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6087">
      <w:pPr>
        <w:rPr>
          <w:rFonts w:ascii="宋体" w:hAnsi="宋体" w:eastAsia="宋体" w:cs="Times New Roman"/>
          <w:color w:val="000000" w:themeColor="text1"/>
          <w:spacing w:val="116"/>
          <w:sz w:val="18"/>
          <w:szCs w:val="18"/>
          <w:highlight w:val="none"/>
          <w14:textFill>
            <w14:solidFill>
              <w14:schemeClr w14:val="tx1"/>
            </w14:solidFill>
          </w14:textFill>
        </w:rPr>
      </w:pPr>
    </w:p>
    <w:p w14:paraId="3B9B2855">
      <w:pPr>
        <w:widowControl/>
        <w:shd w:val="clear" w:color="auto" w:fill="FFFFFF"/>
        <w:spacing w:line="360" w:lineRule="atLeast"/>
        <w:jc w:val="center"/>
        <w:rPr>
          <w:rFonts w:ascii="Times New Roman" w:hAnsi="Times New Roman" w:eastAsia="宋体" w:cs="Times New Roman"/>
          <w:color w:val="000000" w:themeColor="text1"/>
          <w:highlight w:val="none"/>
          <w14:textFill>
            <w14:solidFill>
              <w14:schemeClr w14:val="tx1"/>
            </w14:solidFill>
          </w14:textFill>
        </w:rPr>
      </w:pPr>
    </w:p>
    <w:p w14:paraId="658D0B04">
      <w:pPr>
        <w:spacing w:before="120" w:beforeLines="50"/>
        <w:jc w:val="center"/>
        <w:rPr>
          <w:rFonts w:hint="eastAsia" w:ascii="宋体" w:hAnsi="宋体" w:eastAsia="宋体" w:cs="宋体"/>
          <w:color w:val="000000" w:themeColor="text1"/>
          <w:sz w:val="52"/>
          <w:highlight w:val="none"/>
          <w:u w:val="none"/>
          <w14:textFill>
            <w14:solidFill>
              <w14:schemeClr w14:val="tx1"/>
            </w14:solidFill>
          </w14:textFill>
        </w:rPr>
      </w:pPr>
    </w:p>
    <w:p w14:paraId="158C6303">
      <w:pPr>
        <w:snapToGrid w:val="0"/>
        <w:spacing w:before="120" w:beforeLines="50" w:line="360" w:lineRule="auto"/>
        <w:jc w:val="center"/>
        <w:rPr>
          <w:rFonts w:hint="eastAsia" w:ascii="宋体" w:hAnsi="宋体" w:eastAsia="宋体" w:cs="宋体"/>
          <w:color w:val="000000" w:themeColor="text1"/>
          <w:sz w:val="52"/>
          <w:highlight w:val="none"/>
          <w:u w:val="none"/>
          <w14:textFill>
            <w14:solidFill>
              <w14:schemeClr w14:val="tx1"/>
            </w14:solidFill>
          </w14:textFill>
        </w:rPr>
      </w:pPr>
      <w:r>
        <w:rPr>
          <w:rFonts w:hint="eastAsia" w:ascii="宋体" w:hAnsi="宋体" w:eastAsia="宋体" w:cs="宋体"/>
          <w:b/>
          <w:bCs/>
          <w:color w:val="000000" w:themeColor="text1"/>
          <w:sz w:val="56"/>
          <w:szCs w:val="56"/>
          <w:highlight w:val="none"/>
          <w:lang w:eastAsia="zh-CN"/>
          <w14:textFill>
            <w14:solidFill>
              <w14:schemeClr w14:val="tx1"/>
            </w14:solidFill>
          </w14:textFill>
        </w:rPr>
        <w:t>泽圣勘察设计有限公司</w:t>
      </w:r>
    </w:p>
    <w:p w14:paraId="4AC2335C">
      <w:pPr>
        <w:snapToGrid w:val="0"/>
        <w:spacing w:line="1000" w:lineRule="exact"/>
        <w:jc w:val="center"/>
        <w:rPr>
          <w:rFonts w:hint="eastAsia" w:ascii="楷体" w:hAnsi="楷体" w:eastAsia="楷体" w:cs="宋体"/>
          <w:b/>
          <w:bCs/>
          <w:color w:val="000000" w:themeColor="text1"/>
          <w:sz w:val="84"/>
          <w:szCs w:val="84"/>
          <w:highlight w:val="none"/>
          <w14:textFill>
            <w14:solidFill>
              <w14:schemeClr w14:val="tx1"/>
            </w14:solidFill>
          </w14:textFill>
        </w:rPr>
      </w:pPr>
      <w:r>
        <w:rPr>
          <w:rFonts w:hint="eastAsia" w:ascii="楷体" w:hAnsi="楷体" w:eastAsia="楷体" w:cs="宋体"/>
          <w:b/>
          <w:bCs/>
          <w:color w:val="000000" w:themeColor="text1"/>
          <w:sz w:val="72"/>
          <w:szCs w:val="84"/>
          <w:highlight w:val="none"/>
          <w14:textFill>
            <w14:solidFill>
              <w14:schemeClr w14:val="tx1"/>
            </w14:solidFill>
          </w14:textFill>
        </w:rPr>
        <w:t>竞争性磋商采购文件</w:t>
      </w:r>
    </w:p>
    <w:p w14:paraId="4C0F5AF4">
      <w:pPr>
        <w:spacing w:before="240" w:beforeLines="100" w:after="120" w:afterLines="50"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（全流程电子化评标）</w:t>
      </w:r>
    </w:p>
    <w:p w14:paraId="302A3990">
      <w:pPr>
        <w:rPr>
          <w:rFonts w:hint="eastAsia"/>
          <w:color w:val="000000" w:themeColor="text1"/>
          <w:highlight w:val="none"/>
          <w14:textFill>
            <w14:solidFill>
              <w14:schemeClr w14:val="tx1"/>
            </w14:solidFill>
          </w14:textFill>
        </w:rPr>
      </w:pPr>
    </w:p>
    <w:p w14:paraId="78608B7E">
      <w:pPr>
        <w:rPr>
          <w:rFonts w:ascii="宋体" w:hAnsi="宋体" w:eastAsia="宋体" w:cs="Times New Roman"/>
          <w:color w:val="000000" w:themeColor="text1"/>
          <w:highlight w:val="none"/>
          <w14:textFill>
            <w14:solidFill>
              <w14:schemeClr w14:val="tx1"/>
            </w14:solidFill>
          </w14:textFill>
        </w:rPr>
      </w:pPr>
    </w:p>
    <w:p w14:paraId="4ED3EFE7">
      <w:pPr>
        <w:rPr>
          <w:rFonts w:ascii="宋体" w:hAnsi="宋体" w:eastAsia="宋体" w:cs="Times New Roman"/>
          <w:color w:val="000000" w:themeColor="text1"/>
          <w:highlight w:val="none"/>
          <w14:textFill>
            <w14:solidFill>
              <w14:schemeClr w14:val="tx1"/>
            </w14:solidFill>
          </w14:textFill>
        </w:rPr>
      </w:pPr>
    </w:p>
    <w:p w14:paraId="25258EF3">
      <w:pPr>
        <w:rPr>
          <w:rFonts w:ascii="宋体" w:hAnsi="宋体" w:eastAsia="宋体" w:cs="Times New Roman"/>
          <w:color w:val="000000" w:themeColor="text1"/>
          <w:highlight w:val="none"/>
          <w14:textFill>
            <w14:solidFill>
              <w14:schemeClr w14:val="tx1"/>
            </w14:solidFill>
          </w14:textFill>
        </w:rPr>
      </w:pPr>
    </w:p>
    <w:p w14:paraId="39133FE5">
      <w:pPr>
        <w:rPr>
          <w:rFonts w:ascii="宋体" w:hAnsi="宋体" w:eastAsia="宋体" w:cs="Times New Roman"/>
          <w:color w:val="000000" w:themeColor="text1"/>
          <w:highlight w:val="none"/>
          <w14:textFill>
            <w14:solidFill>
              <w14:schemeClr w14:val="tx1"/>
            </w14:solidFill>
          </w14:textFill>
        </w:rPr>
      </w:pPr>
    </w:p>
    <w:p w14:paraId="3A60C7C3">
      <w:pPr>
        <w:rPr>
          <w:rFonts w:ascii="宋体" w:hAnsi="宋体" w:eastAsia="宋体" w:cs="Times New Roman"/>
          <w:color w:val="000000" w:themeColor="text1"/>
          <w:highlight w:val="none"/>
          <w14:textFill>
            <w14:solidFill>
              <w14:schemeClr w14:val="tx1"/>
            </w14:solidFill>
          </w14:textFill>
        </w:rPr>
      </w:pPr>
    </w:p>
    <w:p w14:paraId="13B570C0">
      <w:pPr>
        <w:keepNext w:val="0"/>
        <w:keepLines w:val="0"/>
        <w:pageBreakBefore w:val="0"/>
        <w:widowControl w:val="0"/>
        <w:kinsoku/>
        <w:wordWrap/>
        <w:overflowPunct/>
        <w:topLinePunct w:val="0"/>
        <w:autoSpaceDE/>
        <w:autoSpaceDN/>
        <w:bidi w:val="0"/>
        <w:adjustRightInd/>
        <w:snapToGrid/>
        <w:spacing w:line="700" w:lineRule="exact"/>
        <w:ind w:left="2556" w:leftChars="500" w:hanging="1506" w:hangingChars="500"/>
        <w:textAlignment w:val="auto"/>
        <w:rPr>
          <w:rFonts w:hint="eastAsia" w:ascii="宋体" w:hAnsi="宋体" w:eastAsia="宋体" w:cs="Times New Roman"/>
          <w:b/>
          <w:bCs/>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项目名称：</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港南区新塘镇蒙大村道路硬化建设以工代赈项目（重）</w:t>
      </w:r>
    </w:p>
    <w:p w14:paraId="2C847AA3">
      <w:pPr>
        <w:keepNext w:val="0"/>
        <w:keepLines w:val="0"/>
        <w:pageBreakBefore w:val="0"/>
        <w:widowControl w:val="0"/>
        <w:kinsoku/>
        <w:wordWrap/>
        <w:overflowPunct/>
        <w:topLinePunct w:val="0"/>
        <w:autoSpaceDE/>
        <w:autoSpaceDN/>
        <w:bidi w:val="0"/>
        <w:adjustRightInd/>
        <w:snapToGrid/>
        <w:spacing w:line="700" w:lineRule="exact"/>
        <w:ind w:left="1050" w:leftChars="500"/>
        <w:textAlignment w:val="auto"/>
        <w:rPr>
          <w:rFonts w:hint="eastAsia" w:ascii="宋体" w:hAnsi="宋体" w:eastAsia="宋体" w:cs="Times New Roman"/>
          <w:b/>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项目编号：</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GGZC2026-C2-030092-ZSKC</w:t>
      </w:r>
    </w:p>
    <w:p w14:paraId="68056A86">
      <w:pPr>
        <w:keepNext w:val="0"/>
        <w:keepLines w:val="0"/>
        <w:pageBreakBefore w:val="0"/>
        <w:widowControl w:val="0"/>
        <w:kinsoku/>
        <w:wordWrap/>
        <w:overflowPunct/>
        <w:topLinePunct w:val="0"/>
        <w:autoSpaceDE/>
        <w:autoSpaceDN/>
        <w:bidi w:val="0"/>
        <w:adjustRightInd/>
        <w:snapToGrid/>
        <w:spacing w:line="440" w:lineRule="exact"/>
        <w:ind w:left="1050" w:leftChars="500"/>
        <w:textAlignment w:val="auto"/>
        <w:rPr>
          <w:rFonts w:ascii="宋体" w:hAnsi="宋体" w:eastAsia="宋体" w:cs="Times New Roman"/>
          <w:b/>
          <w:color w:val="000000" w:themeColor="text1"/>
          <w:sz w:val="30"/>
          <w:szCs w:val="30"/>
          <w:highlight w:val="none"/>
          <w14:textFill>
            <w14:solidFill>
              <w14:schemeClr w14:val="tx1"/>
            </w14:solidFill>
          </w14:textFill>
        </w:rPr>
      </w:pPr>
    </w:p>
    <w:p w14:paraId="584147E4">
      <w:pPr>
        <w:keepNext w:val="0"/>
        <w:keepLines w:val="0"/>
        <w:pageBreakBefore w:val="0"/>
        <w:widowControl w:val="0"/>
        <w:kinsoku/>
        <w:wordWrap/>
        <w:overflowPunct/>
        <w:topLinePunct w:val="0"/>
        <w:autoSpaceDE/>
        <w:autoSpaceDN/>
        <w:bidi w:val="0"/>
        <w:adjustRightInd/>
        <w:snapToGrid/>
        <w:spacing w:line="440" w:lineRule="exact"/>
        <w:ind w:left="1050" w:leftChars="500" w:firstLine="2"/>
        <w:textAlignment w:val="auto"/>
        <w:rPr>
          <w:rFonts w:ascii="宋体" w:hAnsi="宋体" w:eastAsia="宋体" w:cs="Times New Roman"/>
          <w:color w:val="000000" w:themeColor="text1"/>
          <w:sz w:val="30"/>
          <w:szCs w:val="30"/>
          <w:highlight w:val="none"/>
          <w14:textFill>
            <w14:solidFill>
              <w14:schemeClr w14:val="tx1"/>
            </w14:solidFill>
          </w14:textFill>
        </w:rPr>
      </w:pPr>
    </w:p>
    <w:p w14:paraId="6B18D7FA">
      <w:pPr>
        <w:keepNext w:val="0"/>
        <w:keepLines w:val="0"/>
        <w:pageBreakBefore w:val="0"/>
        <w:widowControl w:val="0"/>
        <w:kinsoku/>
        <w:wordWrap/>
        <w:overflowPunct/>
        <w:topLinePunct w:val="0"/>
        <w:autoSpaceDE/>
        <w:autoSpaceDN/>
        <w:bidi w:val="0"/>
        <w:adjustRightInd/>
        <w:snapToGrid/>
        <w:spacing w:line="700" w:lineRule="exact"/>
        <w:ind w:left="1050" w:leftChars="500" w:firstLine="0" w:firstLineChars="0"/>
        <w:textAlignment w:val="auto"/>
        <w:rPr>
          <w:rFonts w:hint="eastAsia" w:ascii="Times New Roman" w:hAnsi="宋体" w:eastAsia="宋体" w:cs="Times New Roman"/>
          <w:b/>
          <w:bCs/>
          <w:color w:val="000000" w:themeColor="text1"/>
          <w:sz w:val="30"/>
          <w:szCs w:val="30"/>
          <w:highlight w:val="none"/>
          <w:lang w:eastAsia="zh-CN"/>
          <w14:textFill>
            <w14:solidFill>
              <w14:schemeClr w14:val="tx1"/>
            </w14:solidFill>
          </w14:textFill>
        </w:rPr>
      </w:pPr>
      <w:r>
        <w:rPr>
          <w:rFonts w:hint="eastAsia" w:ascii="Times New Roman" w:hAnsi="宋体" w:eastAsia="宋体" w:cs="Times New Roman"/>
          <w:b/>
          <w:bCs/>
          <w:color w:val="000000" w:themeColor="text1"/>
          <w:sz w:val="30"/>
          <w:szCs w:val="30"/>
          <w:highlight w:val="none"/>
          <w14:textFill>
            <w14:solidFill>
              <w14:schemeClr w14:val="tx1"/>
            </w14:solidFill>
          </w14:textFill>
        </w:rPr>
        <w:t>采购单位：</w:t>
      </w:r>
      <w:r>
        <w:rPr>
          <w:rFonts w:hint="eastAsia" w:ascii="Times New Roman" w:hAnsi="宋体" w:eastAsia="宋体" w:cs="Times New Roman"/>
          <w:b/>
          <w:bCs/>
          <w:color w:val="000000" w:themeColor="text1"/>
          <w:sz w:val="30"/>
          <w:szCs w:val="30"/>
          <w:highlight w:val="none"/>
          <w:lang w:eastAsia="zh-CN"/>
          <w14:textFill>
            <w14:solidFill>
              <w14:schemeClr w14:val="tx1"/>
            </w14:solidFill>
          </w14:textFill>
        </w:rPr>
        <w:t>贵港市港南区新塘镇人民政府</w:t>
      </w:r>
    </w:p>
    <w:p w14:paraId="429859BF">
      <w:pPr>
        <w:keepNext w:val="0"/>
        <w:keepLines w:val="0"/>
        <w:pageBreakBefore w:val="0"/>
        <w:widowControl w:val="0"/>
        <w:kinsoku/>
        <w:wordWrap/>
        <w:overflowPunct/>
        <w:topLinePunct w:val="0"/>
        <w:autoSpaceDE/>
        <w:autoSpaceDN/>
        <w:bidi w:val="0"/>
        <w:adjustRightInd/>
        <w:snapToGrid/>
        <w:spacing w:line="700" w:lineRule="exact"/>
        <w:ind w:left="1050" w:leftChars="500" w:firstLine="0" w:firstLineChars="0"/>
        <w:textAlignment w:val="auto"/>
        <w:rPr>
          <w:rFonts w:hint="eastAsia" w:ascii="宋体" w:hAnsi="宋体" w:eastAsia="宋体" w:cs="Times New Roman"/>
          <w:b/>
          <w:bCs/>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采购代理机构：</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泽圣勘察设计有限公司</w:t>
      </w:r>
    </w:p>
    <w:p w14:paraId="0C554B4D">
      <w:pPr>
        <w:spacing w:line="700" w:lineRule="exact"/>
        <w:ind w:left="1048" w:leftChars="499" w:firstLine="2711" w:firstLineChars="900"/>
        <w:jc w:val="both"/>
        <w:rPr>
          <w:rFonts w:cs="Times New Roman" w:asciiTheme="minorEastAsia" w:hAnsiTheme="minorEastAsia"/>
          <w:b/>
          <w:bCs/>
          <w:color w:val="000000" w:themeColor="text1"/>
          <w:sz w:val="30"/>
          <w:szCs w:val="30"/>
          <w:highlight w:val="none"/>
          <w14:textFill>
            <w14:solidFill>
              <w14:schemeClr w14:val="tx1"/>
            </w14:solidFill>
          </w14:textFill>
        </w:rPr>
      </w:pPr>
      <w:r>
        <w:rPr>
          <w:rFonts w:hint="eastAsia" w:cs="Times New Roman" w:asciiTheme="minorEastAsia" w:hAnsiTheme="minorEastAsia"/>
          <w:b/>
          <w:bCs/>
          <w:color w:val="000000" w:themeColor="text1"/>
          <w:sz w:val="30"/>
          <w:szCs w:val="30"/>
          <w:highlight w:val="none"/>
          <w14:textFill>
            <w14:solidFill>
              <w14:schemeClr w14:val="tx1"/>
            </w14:solidFill>
          </w14:textFill>
        </w:rPr>
        <w:t>202</w:t>
      </w:r>
      <w:r>
        <w:rPr>
          <w:rFonts w:hint="eastAsia" w:cs="Times New Roman" w:asciiTheme="minorEastAsia" w:hAnsiTheme="minorEastAsia"/>
          <w:b/>
          <w:bCs/>
          <w:color w:val="000000" w:themeColor="text1"/>
          <w:sz w:val="30"/>
          <w:szCs w:val="30"/>
          <w:highlight w:val="none"/>
          <w:lang w:val="en-US" w:eastAsia="zh-CN"/>
          <w14:textFill>
            <w14:solidFill>
              <w14:schemeClr w14:val="tx1"/>
            </w14:solidFill>
          </w14:textFill>
        </w:rPr>
        <w:t>6</w:t>
      </w:r>
      <w:r>
        <w:rPr>
          <w:rFonts w:hint="eastAsia" w:cs="Times New Roman" w:asciiTheme="minorEastAsia" w:hAnsiTheme="minorEastAsia"/>
          <w:b/>
          <w:bCs/>
          <w:color w:val="000000" w:themeColor="text1"/>
          <w:sz w:val="30"/>
          <w:szCs w:val="30"/>
          <w:highlight w:val="none"/>
          <w14:textFill>
            <w14:solidFill>
              <w14:schemeClr w14:val="tx1"/>
            </w14:solidFill>
          </w14:textFill>
        </w:rPr>
        <w:t>年</w:t>
      </w:r>
      <w:r>
        <w:rPr>
          <w:rFonts w:hint="eastAsia" w:cs="Times New Roman" w:asciiTheme="minorEastAsia" w:hAnsiTheme="minorEastAsia"/>
          <w:b/>
          <w:bCs/>
          <w:color w:val="000000" w:themeColor="text1"/>
          <w:sz w:val="30"/>
          <w:szCs w:val="30"/>
          <w:highlight w:val="none"/>
          <w:lang w:val="en-US" w:eastAsia="zh-CN"/>
          <w14:textFill>
            <w14:solidFill>
              <w14:schemeClr w14:val="tx1"/>
            </w14:solidFill>
          </w14:textFill>
        </w:rPr>
        <w:t>9月</w:t>
      </w:r>
    </w:p>
    <w:p w14:paraId="32A4FEEF">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pPr>
    </w:p>
    <w:p w14:paraId="4B83DE6D">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pPr>
    </w:p>
    <w:p w14:paraId="4B9CB4A6">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sectPr>
          <w:footerReference r:id="rId4" w:type="first"/>
          <w:footerReference r:id="rId3" w:type="even"/>
          <w:pgSz w:w="11906" w:h="16838"/>
          <w:pgMar w:top="1191" w:right="1134" w:bottom="1191" w:left="1134" w:header="851" w:footer="992" w:gutter="0"/>
          <w:cols w:space="720" w:num="1"/>
          <w:titlePg/>
          <w:docGrid w:linePitch="312" w:charSpace="0"/>
        </w:sectPr>
      </w:pPr>
    </w:p>
    <w:p w14:paraId="4E1FF278">
      <w:pPr>
        <w:jc w:val="center"/>
        <w:rPr>
          <w:b/>
          <w:bCs/>
          <w:color w:val="000000" w:themeColor="text1"/>
          <w:sz w:val="28"/>
          <w:szCs w:val="32"/>
          <w:highlight w:val="none"/>
          <w14:textFill>
            <w14:solidFill>
              <w14:schemeClr w14:val="tx1"/>
            </w14:solidFill>
          </w14:textFill>
        </w:rPr>
      </w:pPr>
      <w:r>
        <w:rPr>
          <w:rFonts w:hint="eastAsia"/>
          <w:b/>
          <w:bCs/>
          <w:color w:val="000000" w:themeColor="text1"/>
          <w:sz w:val="28"/>
          <w:szCs w:val="32"/>
          <w:highlight w:val="none"/>
          <w14:textFill>
            <w14:solidFill>
              <w14:schemeClr w14:val="tx1"/>
            </w14:solidFill>
          </w14:textFill>
        </w:rPr>
        <w:t>目  录</w:t>
      </w:r>
    </w:p>
    <w:p w14:paraId="1502F91C">
      <w:pPr>
        <w:jc w:val="center"/>
        <w:rPr>
          <w:b/>
          <w:bCs/>
          <w:color w:val="000000" w:themeColor="text1"/>
          <w:sz w:val="28"/>
          <w:szCs w:val="32"/>
          <w:highlight w:val="none"/>
          <w14:textFill>
            <w14:solidFill>
              <w14:schemeClr w14:val="tx1"/>
            </w14:solidFill>
          </w14:textFill>
        </w:rPr>
      </w:pPr>
    </w:p>
    <w:p w14:paraId="7B0C61DB">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fldChar w:fldCharType="begin"/>
      </w:r>
      <w:r>
        <w:rPr>
          <w:rFonts w:hint="eastAsia" w:asciiTheme="minorEastAsia" w:hAnsiTheme="minorEastAsia" w:eastAsiaTheme="minorEastAsia"/>
          <w:color w:val="000000" w:themeColor="text1"/>
          <w:sz w:val="24"/>
          <w:highlight w:val="none"/>
          <w14:textFill>
            <w14:solidFill>
              <w14:schemeClr w14:val="tx1"/>
            </w14:solidFill>
          </w14:textFill>
        </w:rPr>
        <w:instrText xml:space="preserve">TOC \o "1-2" \u </w:instrText>
      </w:r>
      <w:r>
        <w:rPr>
          <w:rFonts w:hint="eastAsia" w:asciiTheme="minorEastAsia" w:hAnsiTheme="minorEastAsia" w:eastAsiaTheme="minorEastAsia"/>
          <w:color w:val="000000" w:themeColor="text1"/>
          <w:sz w:val="24"/>
          <w:highlight w:val="none"/>
          <w14:textFill>
            <w14:solidFill>
              <w14:schemeClr w14:val="tx1"/>
            </w14:solidFill>
          </w14:textFill>
        </w:rPr>
        <w:fldChar w:fldCharType="separate"/>
      </w:r>
      <w:r>
        <w:rPr>
          <w:rFonts w:hint="eastAsia" w:asciiTheme="minorEastAsia" w:hAnsiTheme="minorEastAsia" w:eastAsiaTheme="minorEastAsia"/>
          <w:bCs/>
          <w:color w:val="000000" w:themeColor="text1"/>
          <w:sz w:val="24"/>
          <w:highlight w:val="none"/>
          <w14:textFill>
            <w14:solidFill>
              <w14:schemeClr w14:val="tx1"/>
            </w14:solidFill>
          </w14:textFill>
        </w:rPr>
        <w:t>第一章 竞争性磋商公告</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_Toc3132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4720271F">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第二章 磋商须知前附表及磋商须知</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_Toc10180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351B56E2">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磋商须知前附表</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_Toc28769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31FE287D">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第三章 评定标准</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_Toc17414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22</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4FF21954">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第四章 合同主要条款（参考格式）</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_Toc27892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26</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1C841F96">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第五章 响应文件格式</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_Toc7723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133</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08DA1879">
      <w:pPr>
        <w:spacing w:line="500" w:lineRule="exact"/>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fldChar w:fldCharType="end"/>
      </w:r>
    </w:p>
    <w:p w14:paraId="6D39AB53">
      <w:pPr>
        <w:rPr>
          <w:color w:val="000000" w:themeColor="text1"/>
          <w:highlight w:val="none"/>
          <w14:textFill>
            <w14:solidFill>
              <w14:schemeClr w14:val="tx1"/>
            </w14:solidFill>
          </w14:textFill>
        </w:rPr>
      </w:pPr>
    </w:p>
    <w:p w14:paraId="3F485CE7">
      <w:pPr>
        <w:rPr>
          <w:color w:val="000000" w:themeColor="text1"/>
          <w:highlight w:val="none"/>
          <w14:textFill>
            <w14:solidFill>
              <w14:schemeClr w14:val="tx1"/>
            </w14:solidFill>
          </w14:textFill>
        </w:rPr>
      </w:pPr>
    </w:p>
    <w:p w14:paraId="0A374C5A">
      <w:pPr>
        <w:rPr>
          <w:color w:val="000000" w:themeColor="text1"/>
          <w:highlight w:val="none"/>
          <w14:textFill>
            <w14:solidFill>
              <w14:schemeClr w14:val="tx1"/>
            </w14:solidFill>
          </w14:textFill>
        </w:rPr>
      </w:pPr>
      <w:bookmarkStart w:id="0" w:name="_Toc451430914"/>
    </w:p>
    <w:p w14:paraId="16C46A19">
      <w:pPr>
        <w:keepNext/>
        <w:keepLines/>
        <w:spacing w:before="260" w:after="260" w:line="500" w:lineRule="exact"/>
        <w:jc w:val="center"/>
        <w:outlineLvl w:val="1"/>
        <w:rPr>
          <w:rFonts w:ascii="Cambria" w:hAnsi="Cambria" w:eastAsia="宋体" w:cs="Times New Roman"/>
          <w:b/>
          <w:bCs/>
          <w:color w:val="000000" w:themeColor="text1"/>
          <w:sz w:val="44"/>
          <w:szCs w:val="44"/>
          <w:highlight w:val="none"/>
          <w14:textFill>
            <w14:solidFill>
              <w14:schemeClr w14:val="tx1"/>
            </w14:solidFill>
          </w14:textFill>
        </w:rPr>
        <w:sectPr>
          <w:footerReference r:id="rId6" w:type="first"/>
          <w:footerReference r:id="rId5" w:type="default"/>
          <w:pgSz w:w="11906" w:h="16838"/>
          <w:pgMar w:top="1191" w:right="1134" w:bottom="1191" w:left="1134" w:header="851" w:footer="992" w:gutter="0"/>
          <w:pgNumType w:start="1"/>
          <w:cols w:space="720" w:num="1"/>
          <w:titlePg/>
          <w:docGrid w:linePitch="312" w:charSpace="0"/>
        </w:sectPr>
      </w:pPr>
    </w:p>
    <w:p w14:paraId="731A30B6">
      <w:pPr>
        <w:keepNext/>
        <w:keepLines/>
        <w:spacing w:before="260" w:after="260" w:line="500" w:lineRule="exact"/>
        <w:jc w:val="center"/>
        <w:outlineLvl w:val="1"/>
        <w:rPr>
          <w:rFonts w:ascii="Cambria" w:hAnsi="Cambria" w:eastAsia="宋体" w:cs="Times New Roman"/>
          <w:b/>
          <w:bCs/>
          <w:color w:val="000000" w:themeColor="text1"/>
          <w:sz w:val="40"/>
          <w:szCs w:val="44"/>
          <w:highlight w:val="none"/>
          <w14:textFill>
            <w14:solidFill>
              <w14:schemeClr w14:val="tx1"/>
            </w14:solidFill>
          </w14:textFill>
        </w:rPr>
      </w:pPr>
      <w:bookmarkStart w:id="1" w:name="_Toc10219639"/>
      <w:bookmarkStart w:id="2" w:name="_Toc3132"/>
      <w:r>
        <w:rPr>
          <w:rFonts w:hint="eastAsia" w:ascii="Cambria" w:hAnsi="Cambria" w:eastAsia="宋体" w:cs="Times New Roman"/>
          <w:b/>
          <w:bCs/>
          <w:color w:val="000000" w:themeColor="text1"/>
          <w:sz w:val="40"/>
          <w:szCs w:val="44"/>
          <w:highlight w:val="none"/>
          <w14:textFill>
            <w14:solidFill>
              <w14:schemeClr w14:val="tx1"/>
            </w14:solidFill>
          </w14:textFill>
        </w:rPr>
        <w:t>第一章  竞争性磋商公告</w:t>
      </w:r>
      <w:bookmarkEnd w:id="0"/>
      <w:bookmarkEnd w:id="1"/>
      <w:bookmarkEnd w:id="2"/>
    </w:p>
    <w:p w14:paraId="311D2663">
      <w:pPr>
        <w:wordWrap w:val="0"/>
        <w:spacing w:line="560" w:lineRule="exact"/>
        <w:jc w:val="center"/>
        <w:rPr>
          <w:rFonts w:hint="eastAsia" w:cs="Times New Roman" w:asciiTheme="minorEastAsia" w:hAnsiTheme="minorEastAsia"/>
          <w:b/>
          <w:color w:val="000000" w:themeColor="text1"/>
          <w:sz w:val="28"/>
          <w:szCs w:val="28"/>
          <w:highlight w:val="none"/>
          <w14:textFill>
            <w14:solidFill>
              <w14:schemeClr w14:val="tx1"/>
            </w14:solidFill>
          </w14:textFill>
        </w:rPr>
      </w:pPr>
      <w:bookmarkStart w:id="3" w:name="OLE_LINK4"/>
      <w:bookmarkStart w:id="4" w:name="OLE_LINK5"/>
      <w:r>
        <w:rPr>
          <w:rFonts w:hint="eastAsia" w:cs="Times New Roman" w:asciiTheme="minorEastAsia" w:hAnsiTheme="minorEastAsia"/>
          <w:b/>
          <w:color w:val="000000" w:themeColor="text1"/>
          <w:sz w:val="28"/>
          <w:szCs w:val="28"/>
          <w:highlight w:val="none"/>
          <w:lang w:eastAsia="zh-CN"/>
          <w14:textFill>
            <w14:solidFill>
              <w14:schemeClr w14:val="tx1"/>
            </w14:solidFill>
          </w14:textFill>
        </w:rPr>
        <w:t>泽圣勘察设计有限公司</w:t>
      </w:r>
      <w:r>
        <w:rPr>
          <w:rFonts w:hint="eastAsia" w:cs="Times New Roman" w:asciiTheme="minorEastAsia" w:hAnsiTheme="minorEastAsia"/>
          <w:b/>
          <w:color w:val="000000" w:themeColor="text1"/>
          <w:sz w:val="28"/>
          <w:szCs w:val="28"/>
          <w:highlight w:val="none"/>
          <w14:textFill>
            <w14:solidFill>
              <w14:schemeClr w14:val="tx1"/>
            </w14:solidFill>
          </w14:textFill>
        </w:rPr>
        <w:t xml:space="preserve"> </w:t>
      </w:r>
    </w:p>
    <w:p w14:paraId="4AE5F199">
      <w:pPr>
        <w:wordWrap w:val="0"/>
        <w:spacing w:line="560" w:lineRule="exact"/>
        <w:jc w:val="center"/>
        <w:rPr>
          <w:rFonts w:hint="eastAsia" w:cs="Times New Roman" w:asciiTheme="minorEastAsia" w:hAnsiTheme="minorEastAsia"/>
          <w:b/>
          <w:color w:val="000000" w:themeColor="text1"/>
          <w:sz w:val="28"/>
          <w:szCs w:val="28"/>
          <w:highlight w:val="none"/>
          <w:lang w:eastAsia="zh-CN"/>
          <w14:textFill>
            <w14:solidFill>
              <w14:schemeClr w14:val="tx1"/>
            </w14:solidFill>
          </w14:textFill>
        </w:rPr>
      </w:pPr>
      <w:r>
        <w:rPr>
          <w:rFonts w:hint="eastAsia" w:cs="Times New Roman" w:asciiTheme="minorEastAsia" w:hAnsiTheme="minorEastAsia"/>
          <w:b/>
          <w:color w:val="000000" w:themeColor="text1"/>
          <w:sz w:val="28"/>
          <w:szCs w:val="28"/>
          <w:highlight w:val="none"/>
          <w:lang w:eastAsia="zh-CN"/>
          <w14:textFill>
            <w14:solidFill>
              <w14:schemeClr w14:val="tx1"/>
            </w14:solidFill>
          </w14:textFill>
        </w:rPr>
        <w:t>港南区新塘镇蒙大村道路硬化建设以工代赈项目（重）</w:t>
      </w:r>
    </w:p>
    <w:p w14:paraId="38C15C53">
      <w:pPr>
        <w:wordWrap w:val="0"/>
        <w:spacing w:line="560" w:lineRule="exact"/>
        <w:jc w:val="center"/>
        <w:rPr>
          <w:rFonts w:cs="Times New Roman" w:asciiTheme="minorEastAsia" w:hAnsiTheme="minorEastAsia"/>
          <w:b/>
          <w:color w:val="000000" w:themeColor="text1"/>
          <w:sz w:val="28"/>
          <w:szCs w:val="28"/>
          <w:highlight w:val="none"/>
          <w14:textFill>
            <w14:solidFill>
              <w14:schemeClr w14:val="tx1"/>
            </w14:solidFill>
          </w14:textFill>
        </w:rPr>
      </w:pPr>
      <w:r>
        <w:rPr>
          <w:rFonts w:hint="eastAsia" w:cs="Times New Roman" w:asciiTheme="minorEastAsia" w:hAnsiTheme="minorEastAsia"/>
          <w:b/>
          <w:bCs w:val="0"/>
          <w:color w:val="000000" w:themeColor="text1"/>
          <w:sz w:val="28"/>
          <w:szCs w:val="28"/>
          <w:highlight w:val="none"/>
          <w14:textFill>
            <w14:solidFill>
              <w14:schemeClr w14:val="tx1"/>
            </w14:solidFill>
          </w14:textFill>
        </w:rPr>
        <w:t>(项目编号：</w:t>
      </w:r>
      <w:r>
        <w:rPr>
          <w:rFonts w:hint="eastAsia" w:cs="Times New Roman" w:asciiTheme="minorEastAsia" w:hAnsiTheme="minorEastAsia"/>
          <w:b/>
          <w:bCs w:val="0"/>
          <w:color w:val="000000" w:themeColor="text1"/>
          <w:sz w:val="28"/>
          <w:szCs w:val="28"/>
          <w:highlight w:val="none"/>
          <w:lang w:eastAsia="zh-CN"/>
          <w14:textFill>
            <w14:solidFill>
              <w14:schemeClr w14:val="tx1"/>
            </w14:solidFill>
          </w14:textFill>
        </w:rPr>
        <w:t>GGZC2026-C2-030092-ZSKC</w:t>
      </w:r>
      <w:r>
        <w:rPr>
          <w:rFonts w:hint="eastAsia" w:ascii="宋体" w:hAnsi="宋体" w:eastAsia="宋体" w:cs="仿宋"/>
          <w:b/>
          <w:bCs w:val="0"/>
          <w:color w:val="000000" w:themeColor="text1"/>
          <w:sz w:val="28"/>
          <w:szCs w:val="28"/>
          <w:highlight w:val="none"/>
          <w:u w:val="none"/>
          <w:lang w:eastAsia="zh-CN"/>
          <w14:textFill>
            <w14:solidFill>
              <w14:schemeClr w14:val="tx1"/>
            </w14:solidFill>
          </w14:textFill>
        </w:rPr>
        <w:t>)</w:t>
      </w:r>
      <w:r>
        <w:rPr>
          <w:rFonts w:hint="eastAsia" w:cs="Times New Roman" w:asciiTheme="minorEastAsia" w:hAnsiTheme="minorEastAsia"/>
          <w:b/>
          <w:color w:val="000000" w:themeColor="text1"/>
          <w:sz w:val="28"/>
          <w:szCs w:val="28"/>
          <w:highlight w:val="none"/>
          <w14:textFill>
            <w14:solidFill>
              <w14:schemeClr w14:val="tx1"/>
            </w14:solidFill>
          </w14:textFill>
        </w:rPr>
        <w:t>竞争性磋商采购公告</w:t>
      </w:r>
    </w:p>
    <w:p w14:paraId="179AE23B">
      <w:pPr>
        <w:rPr>
          <w:color w:val="000000" w:themeColor="text1"/>
          <w:highlight w:val="none"/>
          <w14:textFill>
            <w14:solidFill>
              <w14:schemeClr w14:val="tx1"/>
            </w14:solidFill>
          </w14:textFill>
        </w:rPr>
      </w:pPr>
    </w:p>
    <w:p w14:paraId="314AEDE1">
      <w:pPr>
        <w:pBdr>
          <w:top w:val="single" w:color="auto" w:sz="4" w:space="1"/>
          <w:left w:val="single" w:color="auto" w:sz="4" w:space="4"/>
          <w:bottom w:val="single" w:color="auto" w:sz="4" w:space="1"/>
          <w:right w:val="single" w:color="auto" w:sz="4" w:space="4"/>
        </w:pBdr>
        <w:spacing w:line="500" w:lineRule="atLeast"/>
        <w:ind w:firstLine="422" w:firstLineChars="200"/>
        <w:jc w:val="center"/>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项目概况</w:t>
      </w:r>
    </w:p>
    <w:p w14:paraId="17118062">
      <w:pPr>
        <w:pBdr>
          <w:top w:val="single" w:color="auto" w:sz="4" w:space="1"/>
          <w:left w:val="single" w:color="auto" w:sz="4" w:space="4"/>
          <w:bottom w:val="single" w:color="auto" w:sz="4" w:space="1"/>
          <w:right w:val="single" w:color="auto" w:sz="4" w:space="4"/>
        </w:pBdr>
        <w:spacing w:line="500" w:lineRule="atLeast"/>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u w:val="single"/>
          <w:lang w:eastAsia="zh-CN"/>
          <w14:textFill>
            <w14:solidFill>
              <w14:schemeClr w14:val="tx1"/>
            </w14:solidFill>
          </w14:textFill>
        </w:rPr>
        <w:t>港南区新塘镇蒙大村道路硬化建设以工代赈项目（重）</w:t>
      </w:r>
      <w:r>
        <w:rPr>
          <w:rFonts w:hint="eastAsia" w:ascii="宋体" w:hAnsi="宋体" w:eastAsia="宋体" w:cs="仿宋"/>
          <w:color w:val="000000" w:themeColor="text1"/>
          <w:szCs w:val="21"/>
          <w:highlight w:val="none"/>
          <w14:textFill>
            <w14:solidFill>
              <w14:schemeClr w14:val="tx1"/>
            </w14:solidFill>
          </w14:textFill>
        </w:rPr>
        <w:t>的潜在供应商应在</w:t>
      </w:r>
      <w:r>
        <w:rPr>
          <w:rFonts w:hint="eastAsia" w:ascii="宋体" w:hAnsi="宋体" w:eastAsia="宋体" w:cs="仿宋"/>
          <w:color w:val="000000" w:themeColor="text1"/>
          <w:szCs w:val="21"/>
          <w:highlight w:val="none"/>
          <w:u w:val="single"/>
          <w14:textFill>
            <w14:solidFill>
              <w14:schemeClr w14:val="tx1"/>
            </w14:solidFill>
          </w14:textFill>
        </w:rPr>
        <w:t>广西政府采购云平台（</w:t>
      </w:r>
      <w:r>
        <w:rPr>
          <w:rFonts w:ascii="宋体" w:hAnsi="宋体" w:eastAsia="宋体" w:cs="仿宋"/>
          <w:color w:val="000000" w:themeColor="text1"/>
          <w:szCs w:val="21"/>
          <w:highlight w:val="none"/>
          <w:u w:val="single"/>
          <w14:textFill>
            <w14:solidFill>
              <w14:schemeClr w14:val="tx1"/>
            </w14:solidFill>
          </w14:textFill>
        </w:rPr>
        <w:t>https://www.gcy.zfcg.gxzf.gov.cn/</w:t>
      </w:r>
      <w:r>
        <w:rPr>
          <w:rFonts w:hint="eastAsia" w:ascii="宋体" w:hAnsi="宋体" w:eastAsia="宋体" w:cs="仿宋"/>
          <w:color w:val="000000" w:themeColor="text1"/>
          <w:szCs w:val="21"/>
          <w:highlight w:val="none"/>
          <w:u w:val="single"/>
          <w14:textFill>
            <w14:solidFill>
              <w14:schemeClr w14:val="tx1"/>
            </w14:solidFill>
          </w14:textFill>
        </w:rPr>
        <w:t>）“供应商注册入口”完成账号注册后，登录</w:t>
      </w:r>
      <w:r>
        <w:rPr>
          <w:rFonts w:hint="eastAsia" w:ascii="宋体" w:hAnsi="宋体" w:eastAsia="宋体" w:cs="黑体"/>
          <w:color w:val="000000" w:themeColor="text1"/>
          <w:szCs w:val="21"/>
          <w:highlight w:val="none"/>
          <w:u w:val="single"/>
          <w14:textFill>
            <w14:solidFill>
              <w14:schemeClr w14:val="tx1"/>
            </w14:solidFill>
          </w14:textFill>
        </w:rPr>
        <w:t>广西政府采购云平台</w:t>
      </w:r>
      <w:r>
        <w:rPr>
          <w:rFonts w:hint="eastAsia" w:ascii="宋体" w:hAnsi="宋体" w:eastAsia="宋体" w:cs="仿宋"/>
          <w:color w:val="000000" w:themeColor="text1"/>
          <w:szCs w:val="21"/>
          <w:highlight w:val="none"/>
          <w:u w:val="single"/>
          <w14:textFill>
            <w14:solidFill>
              <w14:schemeClr w14:val="tx1"/>
            </w14:solidFill>
          </w14:textFill>
        </w:rPr>
        <w:t>“项目采购—获取采购文件”模块自行下载采购文件</w:t>
      </w:r>
      <w:r>
        <w:rPr>
          <w:rFonts w:hint="eastAsia" w:ascii="宋体" w:hAnsi="宋体" w:eastAsia="宋体" w:cs="仿宋"/>
          <w:color w:val="000000" w:themeColor="text1"/>
          <w:szCs w:val="21"/>
          <w:highlight w:val="none"/>
          <w14:textFill>
            <w14:solidFill>
              <w14:schemeClr w14:val="tx1"/>
            </w14:solidFill>
          </w14:textFill>
        </w:rPr>
        <w:t>，并于</w:t>
      </w:r>
      <w:r>
        <w:rPr>
          <w:rFonts w:hint="eastAsia" w:ascii="宋体" w:hAnsi="宋体" w:eastAsia="宋体" w:cs="仿宋"/>
          <w:color w:val="000000" w:themeColor="text1"/>
          <w:szCs w:val="21"/>
          <w:highlight w:val="none"/>
          <w:u w:val="none"/>
          <w:lang w:eastAsia="zh-CN"/>
          <w14:textFill>
            <w14:solidFill>
              <w14:schemeClr w14:val="tx1"/>
            </w14:solidFill>
          </w14:textFill>
        </w:rPr>
        <w:t>2026年09月14日9点00分</w:t>
      </w:r>
      <w:r>
        <w:rPr>
          <w:rFonts w:hint="eastAsia" w:ascii="宋体" w:hAnsi="宋体" w:eastAsia="宋体" w:cs="仿宋"/>
          <w:color w:val="000000" w:themeColor="text1"/>
          <w:szCs w:val="21"/>
          <w:highlight w:val="none"/>
          <w14:textFill>
            <w14:solidFill>
              <w14:schemeClr w14:val="tx1"/>
            </w14:solidFill>
          </w14:textFill>
        </w:rPr>
        <w:t>（北京时间）前提交响应文件。</w:t>
      </w:r>
    </w:p>
    <w:p w14:paraId="33F116DC">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5" w:name="_Toc28359012"/>
      <w:bookmarkStart w:id="6" w:name="_Toc35393629"/>
      <w:bookmarkStart w:id="7" w:name="_Toc35393798"/>
      <w:bookmarkStart w:id="8" w:name="_Toc28359089"/>
      <w:r>
        <w:rPr>
          <w:rFonts w:hint="eastAsia" w:ascii="宋体" w:hAnsi="宋体" w:eastAsia="宋体" w:cs="黑体"/>
          <w:b/>
          <w:color w:val="000000" w:themeColor="text1"/>
          <w:szCs w:val="21"/>
          <w:highlight w:val="none"/>
          <w14:textFill>
            <w14:solidFill>
              <w14:schemeClr w14:val="tx1"/>
            </w14:solidFill>
          </w14:textFill>
        </w:rPr>
        <w:t>一、项目基本情况</w:t>
      </w:r>
      <w:bookmarkEnd w:id="5"/>
      <w:bookmarkEnd w:id="6"/>
      <w:bookmarkEnd w:id="7"/>
      <w:bookmarkEnd w:id="8"/>
    </w:p>
    <w:p w14:paraId="33D1073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项目编号：</w:t>
      </w:r>
      <w:r>
        <w:rPr>
          <w:rFonts w:hint="eastAsia" w:ascii="宋体" w:hAnsi="宋体" w:eastAsia="宋体" w:cs="仿宋"/>
          <w:b/>
          <w:color w:val="000000" w:themeColor="text1"/>
          <w:szCs w:val="21"/>
          <w:highlight w:val="none"/>
          <w:lang w:eastAsia="zh-CN"/>
          <w14:textFill>
            <w14:solidFill>
              <w14:schemeClr w14:val="tx1"/>
            </w14:solidFill>
          </w14:textFill>
        </w:rPr>
        <w:t>GGZC2026-C2-030092-ZSKC</w:t>
      </w:r>
    </w:p>
    <w:p w14:paraId="2057BA1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default"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仿宋"/>
          <w:b/>
          <w:iCs/>
          <w:color w:val="000000" w:themeColor="text1"/>
          <w:szCs w:val="21"/>
          <w:highlight w:val="none"/>
          <w14:textFill>
            <w14:solidFill>
              <w14:schemeClr w14:val="tx1"/>
            </w14:solidFill>
          </w14:textFill>
        </w:rPr>
        <w:t>采购计划文号：GNZC2026-C2-01711</w:t>
      </w:r>
    </w:p>
    <w:p w14:paraId="22A49FE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color w:val="000000" w:themeColor="text1"/>
          <w:szCs w:val="21"/>
          <w:highlight w:val="none"/>
          <w:u w:val="single"/>
          <w:lang w:eastAsia="zh-CN"/>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项目名称：</w:t>
      </w:r>
      <w:r>
        <w:rPr>
          <w:rFonts w:hint="eastAsia" w:ascii="宋体" w:hAnsi="宋体" w:eastAsia="宋体" w:cs="仿宋"/>
          <w:color w:val="000000" w:themeColor="text1"/>
          <w:szCs w:val="21"/>
          <w:highlight w:val="none"/>
          <w:lang w:eastAsia="zh-CN"/>
          <w14:textFill>
            <w14:solidFill>
              <w14:schemeClr w14:val="tx1"/>
            </w14:solidFill>
          </w14:textFill>
        </w:rPr>
        <w:t>港南区新塘镇蒙大村道路硬化建设以工代赈项目（重）</w:t>
      </w:r>
    </w:p>
    <w:p w14:paraId="1141CF6D">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采购方式：</w:t>
      </w:r>
      <w:r>
        <w:rPr>
          <w:rFonts w:hint="eastAsia" w:ascii="宋体" w:hAnsi="宋体" w:eastAsia="宋体" w:cs="仿宋"/>
          <w:color w:val="000000" w:themeColor="text1"/>
          <w:szCs w:val="21"/>
          <w:highlight w:val="none"/>
          <w14:textFill>
            <w14:solidFill>
              <w14:schemeClr w14:val="tx1"/>
            </w14:solidFill>
          </w14:textFill>
        </w:rPr>
        <w:t>竞争性磋商</w:t>
      </w:r>
    </w:p>
    <w:p w14:paraId="0DC63BF8">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预算金额：</w:t>
      </w:r>
      <w:r>
        <w:rPr>
          <w:rFonts w:hint="eastAsia" w:ascii="宋体" w:hAnsi="宋体" w:eastAsia="宋体" w:cs="仿宋"/>
          <w:color w:val="000000" w:themeColor="text1"/>
          <w:szCs w:val="21"/>
          <w:highlight w:val="none"/>
          <w14:textFill>
            <w14:solidFill>
              <w14:schemeClr w14:val="tx1"/>
            </w14:solidFill>
          </w14:textFill>
        </w:rPr>
        <w:t>人民币</w:t>
      </w:r>
      <w:r>
        <w:rPr>
          <w:rFonts w:hint="eastAsia" w:ascii="宋体" w:hAnsi="宋体" w:eastAsia="宋体" w:cs="仿宋"/>
          <w:color w:val="000000" w:themeColor="text1"/>
          <w:szCs w:val="21"/>
          <w:highlight w:val="none"/>
          <w:lang w:val="en-US" w:eastAsia="zh-CN"/>
          <w14:textFill>
            <w14:solidFill>
              <w14:schemeClr w14:val="tx1"/>
            </w14:solidFill>
          </w14:textFill>
        </w:rPr>
        <w:t>贰佰陆拾玖万捌仟陆佰叁拾贰元整</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val="en-US" w:eastAsia="zh-CN"/>
          <w14:textFill>
            <w14:solidFill>
              <w14:schemeClr w14:val="tx1"/>
            </w14:solidFill>
          </w14:textFill>
        </w:rPr>
        <w:t>2698632.00</w:t>
      </w:r>
      <w:r>
        <w:rPr>
          <w:rFonts w:hint="eastAsia" w:ascii="宋体" w:hAnsi="宋体" w:eastAsia="宋体" w:cs="仿宋"/>
          <w:color w:val="000000" w:themeColor="text1"/>
          <w:szCs w:val="21"/>
          <w:highlight w:val="none"/>
          <w14:textFill>
            <w14:solidFill>
              <w14:schemeClr w14:val="tx1"/>
            </w14:solidFill>
          </w14:textFill>
        </w:rPr>
        <w:t>）</w:t>
      </w:r>
    </w:p>
    <w:p w14:paraId="4C16D1B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bCs w:val="0"/>
          <w:color w:val="000000" w:themeColor="text1"/>
          <w:szCs w:val="21"/>
          <w:highlight w:val="none"/>
          <w:u w:val="double"/>
          <w14:textFill>
            <w14:solidFill>
              <w14:schemeClr w14:val="tx1"/>
            </w14:solidFill>
          </w14:textFill>
        </w:rPr>
      </w:pPr>
      <w:r>
        <w:rPr>
          <w:rFonts w:hint="eastAsia" w:ascii="宋体" w:hAnsi="宋体" w:eastAsia="宋体" w:cs="仿宋"/>
          <w:b/>
          <w:bCs w:val="0"/>
          <w:color w:val="000000" w:themeColor="text1"/>
          <w:szCs w:val="21"/>
          <w:highlight w:val="none"/>
          <w:u w:val="double"/>
          <w14:textFill>
            <w14:solidFill>
              <w14:schemeClr w14:val="tx1"/>
            </w14:solidFill>
          </w14:textFill>
        </w:rPr>
        <w:t>最高限价（如有）：人民币</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贰佰陆拾玖万捌仟陆佰叁拾贰元整</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2698632.00</w:t>
      </w:r>
      <w:r>
        <w:rPr>
          <w:rFonts w:hint="eastAsia" w:ascii="宋体" w:hAnsi="宋体" w:eastAsia="宋体" w:cs="仿宋"/>
          <w:b/>
          <w:bCs w:val="0"/>
          <w:color w:val="000000" w:themeColor="text1"/>
          <w:szCs w:val="21"/>
          <w:highlight w:val="none"/>
          <w:u w:val="double"/>
          <w14:textFill>
            <w14:solidFill>
              <w14:schemeClr w14:val="tx1"/>
            </w14:solidFill>
          </w14:textFill>
        </w:rPr>
        <w:t>）</w:t>
      </w:r>
    </w:p>
    <w:p w14:paraId="477E822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采购需求：</w:t>
      </w:r>
      <w:r>
        <w:rPr>
          <w:rFonts w:hint="eastAsia" w:ascii="宋体" w:hAnsi="宋体" w:eastAsia="宋体" w:cs="仿宋"/>
          <w:color w:val="000000" w:themeColor="text1"/>
          <w:szCs w:val="21"/>
          <w:highlight w:val="none"/>
          <w:lang w:eastAsia="zh-CN"/>
          <w14:textFill>
            <w14:solidFill>
              <w14:schemeClr w14:val="tx1"/>
            </w14:solidFill>
          </w14:textFill>
        </w:rPr>
        <w:t>本项目为港南区新塘镇蒙大村道路硬化建设以工代赈项目，对贵港市港南区新塘镇蒙大村5条碎石老路进行破除新建，道路总长1957米。</w:t>
      </w:r>
      <w:r>
        <w:rPr>
          <w:rFonts w:hint="eastAsia" w:ascii="宋体" w:hAnsi="宋体" w:eastAsia="宋体" w:cs="仿宋"/>
          <w:color w:val="000000" w:themeColor="text1"/>
          <w:szCs w:val="21"/>
          <w:highlight w:val="none"/>
          <w14:textFill>
            <w14:solidFill>
              <w14:schemeClr w14:val="tx1"/>
            </w14:solidFill>
          </w14:textFill>
        </w:rPr>
        <w:t>如需进一步了解详细内容，具体内容详见工程量清单及图纸。</w:t>
      </w:r>
    </w:p>
    <w:p w14:paraId="5CB46B3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合同履</w:t>
      </w:r>
      <w:r>
        <w:rPr>
          <w:rFonts w:hint="eastAsia" w:ascii="宋体" w:hAnsi="宋体" w:eastAsia="宋体" w:cs="仿宋"/>
          <w:b/>
          <w:color w:val="000000" w:themeColor="text1"/>
          <w:szCs w:val="21"/>
          <w:highlight w:val="none"/>
          <w:shd w:val="clear"/>
          <w14:textFill>
            <w14:solidFill>
              <w14:schemeClr w14:val="tx1"/>
            </w14:solidFill>
          </w14:textFill>
        </w:rPr>
        <w:t>行期限</w:t>
      </w:r>
      <w:r>
        <w:rPr>
          <w:rFonts w:hint="eastAsia" w:ascii="宋体" w:hAnsi="宋体" w:eastAsia="宋体" w:cs="仿宋"/>
          <w:color w:val="000000" w:themeColor="text1"/>
          <w:szCs w:val="21"/>
          <w:highlight w:val="none"/>
          <w:u w:val="none"/>
          <w:shd w:val="clear"/>
          <w:lang w:eastAsia="zh-CN"/>
          <w14:textFill>
            <w14:solidFill>
              <w14:schemeClr w14:val="tx1"/>
            </w14:solidFill>
          </w14:textFill>
        </w:rPr>
        <w:t>：工期为</w:t>
      </w:r>
      <w:r>
        <w:rPr>
          <w:rFonts w:hint="eastAsia" w:ascii="宋体" w:hAnsi="宋体" w:eastAsia="宋体" w:cs="仿宋"/>
          <w:color w:val="000000" w:themeColor="text1"/>
          <w:szCs w:val="21"/>
          <w:highlight w:val="none"/>
          <w:u w:val="none"/>
          <w:shd w:val="clear"/>
          <w:lang w:val="en-US" w:eastAsia="zh-CN"/>
          <w14:textFill>
            <w14:solidFill>
              <w14:schemeClr w14:val="tx1"/>
            </w14:solidFill>
          </w14:textFill>
        </w:rPr>
        <w:t>270日历天</w:t>
      </w:r>
      <w:r>
        <w:rPr>
          <w:rFonts w:hint="eastAsia" w:ascii="宋体" w:hAnsi="宋体" w:eastAsia="宋体" w:cs="仿宋"/>
          <w:color w:val="000000" w:themeColor="text1"/>
          <w:szCs w:val="21"/>
          <w:highlight w:val="none"/>
          <w:u w:val="none"/>
          <w:shd w:val="clear"/>
          <w:lang w:eastAsia="zh-CN"/>
          <w14:textFill>
            <w14:solidFill>
              <w14:schemeClr w14:val="tx1"/>
            </w14:solidFill>
          </w14:textFill>
        </w:rPr>
        <w:t>。</w:t>
      </w:r>
    </w:p>
    <w:p w14:paraId="1D70141C">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本项目</w:t>
      </w:r>
      <w:r>
        <w:rPr>
          <w:rFonts w:hint="eastAsia" w:ascii="宋体" w:hAnsi="宋体" w:eastAsia="宋体" w:cs="Times New Roman"/>
          <w:b/>
          <w:color w:val="000000" w:themeColor="text1"/>
          <w:szCs w:val="21"/>
          <w:highlight w:val="none"/>
          <w14:textFill>
            <w14:solidFill>
              <w14:schemeClr w14:val="tx1"/>
            </w14:solidFill>
          </w14:textFill>
        </w:rPr>
        <w:t>不接受</w:t>
      </w:r>
      <w:r>
        <w:rPr>
          <w:rFonts w:hint="eastAsia" w:ascii="宋体" w:hAnsi="宋体" w:eastAsia="宋体" w:cs="Times New Roman"/>
          <w:color w:val="000000" w:themeColor="text1"/>
          <w:szCs w:val="21"/>
          <w:highlight w:val="none"/>
          <w14:textFill>
            <w14:solidFill>
              <w14:schemeClr w14:val="tx1"/>
            </w14:solidFill>
          </w14:textFill>
        </w:rPr>
        <w:t>联合体磋商。</w:t>
      </w:r>
    </w:p>
    <w:p w14:paraId="37EA029E">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color w:val="auto"/>
          <w:szCs w:val="21"/>
          <w:highlight w:val="none"/>
          <w:lang w:val="en-US" w:eastAsia="zh-CN"/>
        </w:rPr>
        <w:t>备注：</w:t>
      </w:r>
      <w:r>
        <w:rPr>
          <w:rFonts w:hint="eastAsia" w:ascii="宋体" w:hAnsi="宋体" w:eastAsia="宋体" w:cs="Times New Roman"/>
          <w:b/>
          <w:bCs/>
          <w:color w:val="auto"/>
          <w:szCs w:val="21"/>
          <w:highlight w:val="none"/>
          <w:lang w:val="en-US" w:eastAsia="zh-CN"/>
        </w:rPr>
        <w:t>以工代赈政策要求：严格按照（1）《国家以工代赈管理办法》(国家发展和改革委员会令第57号)；(2)《国家发展改革委关于进一步坚守“赈”的初心充分发挥以工代赈政策功能的意见》(发改振兴 〔2021〕1852 号)；(3)《广西壮族自治区发展和改革委员会关于精准把握以工代赈中央资金投向切实发挥政策功能的通知》(桂发改振兴(2020)853号)；(4)《国家发展改革委关于进一步统筹推进“硬投资”和“软建设”高标准高质量做好以工代赈工作的指导意见》发改振兴(2025)783号);(5)《广西壮族自治区发展和改革委员会关于印发以工代赈中央专项投资项目实施指南及相关配套文件的通知》桂发改振兴(2025)525号);(6)其他“以工代赈”等相关文件规定，按照“能用人工的尽量不用机械、能用当地群众的尽量不用专业队伍”的要求，加强当地群众务工组织，及时足额发放劳务报酬。具体如下：</w:t>
      </w:r>
    </w:p>
    <w:p w14:paraId="6564B24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1.本项目属于以工代赈建设项目，发包人和承包人应共同落实以工代赈政策要求。承包人应组织当地群众务工，并及时足额发放劳务报酬，项目发放劳务报酬总额不少于人民币118.41万元（不少于中央资金的43.86%），带动当地群众务工人数不少于108人，开展技能培训108人。</w:t>
      </w:r>
    </w:p>
    <w:p w14:paraId="01873995">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2.本项目采用“公益性基础设施建设+劳务报酬发放+就业技能培训+公益性岗位设置”的综合赈济模式，要切实发挥本项目赈济作用，促进当地群众就地就近就业增收。承包人应优先吸纳项目区内的返乡农民工、脱贫人口（含易地搬迁脱贫人口）、防止返贫致贫对象、高校毕业生、退役军人、具备一定劳动能力的残疾人、其他农村低收入人口等重点群体参与务工。</w:t>
      </w:r>
    </w:p>
    <w:p w14:paraId="0AD93D80">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7817245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4.承包人应严格遵守“能用人工的尽量不用机械”的原则组织施工，严禁将租用务工群众车辆或机械设备等费用计入劳务报酬。</w:t>
      </w:r>
    </w:p>
    <w:p w14:paraId="6D2B9A97">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5.承包人应确保劳务报酬通过实名制银行卡直发至务工人员，严禁挤占挪用、拖欠工资，杜绝变相收回、弄虚作假等行为。承包人应按统一规范建立劳务报酬发放台账，接受发包人及相关部门的监督检查。</w:t>
      </w:r>
    </w:p>
    <w:p w14:paraId="356699BE">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6.因承包人原因导致拖欠克扣劳务报酬、弄虚作假等行为的，由此产生的一切法律责任、经济损失及行政处罚后果，均由承包人承担全部责任。</w:t>
      </w:r>
    </w:p>
    <w:p w14:paraId="4D1B0C5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9" w:name="_Toc35393799"/>
      <w:bookmarkStart w:id="10" w:name="_Toc28359090"/>
      <w:bookmarkStart w:id="11" w:name="_Toc28359013"/>
      <w:bookmarkStart w:id="12" w:name="_Toc35393630"/>
      <w:r>
        <w:rPr>
          <w:rFonts w:hint="eastAsia" w:ascii="宋体" w:hAnsi="宋体" w:eastAsia="宋体" w:cs="黑体"/>
          <w:b/>
          <w:color w:val="000000" w:themeColor="text1"/>
          <w:szCs w:val="21"/>
          <w:highlight w:val="none"/>
          <w14:textFill>
            <w14:solidFill>
              <w14:schemeClr w14:val="tx1"/>
            </w14:solidFill>
          </w14:textFill>
        </w:rPr>
        <w:t>二、申请人的资格要求：</w:t>
      </w:r>
      <w:bookmarkEnd w:id="9"/>
      <w:bookmarkEnd w:id="10"/>
      <w:bookmarkEnd w:id="11"/>
      <w:bookmarkEnd w:id="12"/>
    </w:p>
    <w:p w14:paraId="35A156F5">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、满足《中华人民共和国政府采购法》第二十二条规定；</w:t>
      </w:r>
    </w:p>
    <w:p w14:paraId="3DAD386B">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宋体"/>
          <w:b/>
          <w:color w:val="000000" w:themeColor="text1"/>
          <w:szCs w:val="21"/>
          <w:highlight w:val="none"/>
          <w14:textFill>
            <w14:solidFill>
              <w14:schemeClr w14:val="tx1"/>
            </w14:solidFill>
          </w14:textFill>
        </w:rPr>
      </w:pPr>
      <w:bookmarkStart w:id="13" w:name="_Toc28359091"/>
      <w:bookmarkStart w:id="14" w:name="_Toc28359014"/>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落实政府采购政策需满足的资格要求：本项目专门面向中小企业采购，供应商应为</w:t>
      </w:r>
      <w:r>
        <w:rPr>
          <w:rFonts w:hint="eastAsia" w:ascii="宋体" w:hAnsi="宋体" w:eastAsia="宋体" w:cs="宋体"/>
          <w:color w:val="000000" w:themeColor="text1"/>
          <w:szCs w:val="21"/>
          <w:highlight w:val="none"/>
          <w:lang w:eastAsia="zh-CN"/>
          <w14:textFill>
            <w14:solidFill>
              <w14:schemeClr w14:val="tx1"/>
            </w14:solidFill>
          </w14:textFill>
        </w:rPr>
        <w:t>中小微企业</w:t>
      </w:r>
      <w:r>
        <w:rPr>
          <w:rFonts w:hint="eastAsia" w:ascii="宋体" w:hAnsi="宋体" w:eastAsia="宋体" w:cs="宋体"/>
          <w:color w:val="000000" w:themeColor="text1"/>
          <w:szCs w:val="21"/>
          <w:highlight w:val="none"/>
          <w14:textFill>
            <w14:solidFill>
              <w14:schemeClr w14:val="tx1"/>
            </w14:solidFill>
          </w14:textFill>
        </w:rPr>
        <w:t>或监狱企业或残疾人福利性单位</w:t>
      </w:r>
      <w:r>
        <w:rPr>
          <w:rFonts w:hint="eastAsia" w:ascii="宋体" w:hAnsi="宋体" w:eastAsia="宋体" w:cs="仿宋"/>
          <w:b/>
          <w:bCs/>
          <w:color w:val="000000" w:themeColor="text1"/>
          <w:szCs w:val="21"/>
          <w:highlight w:val="none"/>
          <w:u w:val="none"/>
          <w:lang w:eastAsia="zh-CN"/>
          <w14:textFill>
            <w14:solidFill>
              <w14:schemeClr w14:val="tx1"/>
            </w14:solidFill>
          </w14:textFill>
        </w:rPr>
        <w:t>。</w:t>
      </w:r>
    </w:p>
    <w:p w14:paraId="1D087C3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3</w:t>
      </w:r>
      <w:r>
        <w:rPr>
          <w:rFonts w:hint="eastAsia" w:ascii="宋体" w:hAnsi="宋体" w:eastAsia="宋体" w:cs="仿宋"/>
          <w:color w:val="000000" w:themeColor="text1"/>
          <w:szCs w:val="21"/>
          <w:highlight w:val="none"/>
          <w14:textFill>
            <w14:solidFill>
              <w14:schemeClr w14:val="tx1"/>
            </w14:solidFill>
          </w14:textFill>
        </w:rPr>
        <w:t>、本项目的特定资格要求：</w:t>
      </w:r>
    </w:p>
    <w:p w14:paraId="20932CAA">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（1）国内注册（指按国家有关规定要求注册的），具备独立法人资格，具有市政公用工程施工总承包三级(含</w:t>
      </w:r>
      <w:r>
        <w:rPr>
          <w:rFonts w:hint="eastAsia" w:ascii="宋体" w:hAnsi="宋体" w:eastAsia="宋体" w:cs="仿宋"/>
          <w:color w:val="000000" w:themeColor="text1"/>
          <w:szCs w:val="21"/>
          <w:highlight w:val="none"/>
          <w:lang w:val="en-US" w:eastAsia="zh-CN"/>
          <w14:textFill>
            <w14:solidFill>
              <w14:schemeClr w14:val="tx1"/>
            </w14:solidFill>
          </w14:textFill>
        </w:rPr>
        <w:t>本级</w:t>
      </w:r>
      <w:r>
        <w:rPr>
          <w:rFonts w:hint="eastAsia" w:ascii="宋体" w:hAnsi="宋体" w:eastAsia="宋体" w:cs="仿宋"/>
          <w:color w:val="000000" w:themeColor="text1"/>
          <w:szCs w:val="21"/>
          <w:highlight w:val="none"/>
          <w14:textFill>
            <w14:solidFill>
              <w14:schemeClr w14:val="tx1"/>
            </w14:solidFill>
          </w14:textFill>
        </w:rPr>
        <w:t>)以上资质，具有省级及以上建设行政主管部门颁发的安全生产许可证，并在人员、设备、资金、技术能力等方面具有相应施工能力的供应商；</w:t>
      </w:r>
    </w:p>
    <w:p w14:paraId="145EB14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2）拟投入本工程的项目经理持有市政公用工程专业二级以上（含本级）注册建造师执业资格；持有省级或省级以上行政主管部门颁发的B类安全生产考核合格证；本项目不接受有在建、已中标未开工或已列为其他项目中标候选人第一名的建造师作为项目经理（符合《广西壮族自治区建筑市场诚信卡管理暂行办法》第十六条第一款除外）；</w:t>
      </w:r>
    </w:p>
    <w:p w14:paraId="099DFD4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15" w:name="_Toc35393800"/>
      <w:bookmarkStart w:id="16" w:name="_Toc35393631"/>
      <w:r>
        <w:rPr>
          <w:rFonts w:hint="eastAsia" w:ascii="宋体" w:hAnsi="宋体" w:eastAsia="宋体" w:cs="黑体"/>
          <w:b/>
          <w:color w:val="000000" w:themeColor="text1"/>
          <w:szCs w:val="21"/>
          <w:highlight w:val="none"/>
          <w14:textFill>
            <w14:solidFill>
              <w14:schemeClr w14:val="tx1"/>
            </w14:solidFill>
          </w14:textFill>
        </w:rPr>
        <w:t>三、获取采购文件</w:t>
      </w:r>
      <w:bookmarkEnd w:id="13"/>
      <w:bookmarkEnd w:id="14"/>
      <w:bookmarkEnd w:id="15"/>
      <w:bookmarkEnd w:id="16"/>
    </w:p>
    <w:p w14:paraId="58013B46">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2026年09月02日至2026年09月09日</w:t>
      </w:r>
      <w:r>
        <w:rPr>
          <w:rFonts w:hint="eastAsia" w:ascii="宋体" w:hAnsi="宋体" w:eastAsia="宋体" w:cs="仿宋"/>
          <w:color w:val="000000" w:themeColor="text1"/>
          <w:szCs w:val="21"/>
          <w:highlight w:val="none"/>
          <w14:textFill>
            <w14:solidFill>
              <w14:schemeClr w14:val="tx1"/>
            </w14:solidFill>
          </w14:textFill>
        </w:rPr>
        <w:t>（磋商截止时间前）；</w:t>
      </w:r>
    </w:p>
    <w:p w14:paraId="3AD2909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地点：</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w:t>
      </w:r>
    </w:p>
    <w:p w14:paraId="7048DD38">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方式：线上获取。由潜在供应商在</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黑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14:textFill>
            <w14:solidFill>
              <w14:schemeClr w14:val="tx1"/>
            </w14:solidFill>
          </w14:textFill>
        </w:rPr>
        <w:t>“供应商注册入口”完成账号注册后，登录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“项目采购—获取采购文件”模块自行下载采购文件，未在</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注册的供应商可在获取竞争性磋商采购文件前登录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黑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14:textFill>
            <w14:solidFill>
              <w14:schemeClr w14:val="tx1"/>
            </w14:solidFill>
          </w14:textFill>
        </w:rPr>
        <w:t>进行注册。如在操作过程中遇到问题或需技术支持，请致电</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客服热线：95763。</w:t>
      </w:r>
      <w:r>
        <w:rPr>
          <w:rFonts w:hint="eastAsia" w:ascii="宋体" w:hAnsi="宋体" w:eastAsia="宋体" w:cs="仿宋"/>
          <w:b/>
          <w:color w:val="000000" w:themeColor="text1"/>
          <w:szCs w:val="21"/>
          <w:highlight w:val="none"/>
          <w14:textFill>
            <w14:solidFill>
              <w14:schemeClr w14:val="tx1"/>
            </w14:solidFill>
          </w14:textFill>
        </w:rPr>
        <w:t>（注：各供应商通过新平台参与政府采购项目投标需下载使用新版客户端，新版客户端下载路径：广西政府采购网（访问地址 http://zfcg.gxzf.gov.cn/）—办事服务—下载专区。原在采云平台注册的临时供应商需在新平台启用后重新注册登记。）</w:t>
      </w:r>
    </w:p>
    <w:p w14:paraId="2AB7326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售价：每本0元。</w:t>
      </w:r>
    </w:p>
    <w:p w14:paraId="1F74F01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17" w:name="_Toc28359015"/>
      <w:bookmarkStart w:id="18" w:name="_Toc35393801"/>
      <w:bookmarkStart w:id="19" w:name="_Toc35393632"/>
      <w:bookmarkStart w:id="20" w:name="_Toc28359092"/>
      <w:r>
        <w:rPr>
          <w:rFonts w:hint="eastAsia" w:ascii="宋体" w:hAnsi="宋体" w:eastAsia="宋体" w:cs="黑体"/>
          <w:b/>
          <w:color w:val="000000" w:themeColor="text1"/>
          <w:szCs w:val="21"/>
          <w:highlight w:val="none"/>
          <w14:textFill>
            <w14:solidFill>
              <w14:schemeClr w14:val="tx1"/>
            </w14:solidFill>
          </w14:textFill>
        </w:rPr>
        <w:t>四、响应文件提交</w:t>
      </w:r>
      <w:bookmarkEnd w:id="17"/>
      <w:bookmarkEnd w:id="18"/>
      <w:bookmarkEnd w:id="19"/>
      <w:bookmarkEnd w:id="20"/>
    </w:p>
    <w:p w14:paraId="35688586">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截止时间：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2026年09月14日9点00分</w:t>
      </w:r>
      <w:r>
        <w:rPr>
          <w:rFonts w:hint="eastAsia" w:ascii="宋体" w:hAnsi="宋体" w:eastAsia="宋体" w:cs="仿宋"/>
          <w:color w:val="000000" w:themeColor="text1"/>
          <w:szCs w:val="21"/>
          <w:highlight w:val="none"/>
          <w14:textFill>
            <w14:solidFill>
              <w14:schemeClr w14:val="tx1"/>
            </w14:solidFill>
          </w14:textFill>
        </w:rPr>
        <w:t>（北京时间）；</w:t>
      </w:r>
    </w:p>
    <w:p w14:paraId="0F4FE85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b/>
          <w:color w:val="000000" w:themeColor="text1"/>
          <w:szCs w:val="21"/>
          <w:highlight w:val="none"/>
          <w:u w:val="none"/>
          <w14:textFill>
            <w14:solidFill>
              <w14:schemeClr w14:val="tx1"/>
            </w14:solidFill>
          </w14:textFill>
        </w:rPr>
        <w:t>地点：</w:t>
      </w:r>
      <w:r>
        <w:rPr>
          <w:rFonts w:hint="eastAsia" w:ascii="宋体" w:hAnsi="宋体" w:eastAsia="宋体" w:cs="仿宋"/>
          <w:color w:val="000000" w:themeColor="text1"/>
          <w:szCs w:val="21"/>
          <w:highlight w:val="none"/>
          <w:u w:val="none"/>
          <w14:textFill>
            <w14:solidFill>
              <w14:schemeClr w14:val="tx1"/>
            </w14:solidFill>
          </w14:textFill>
        </w:rPr>
        <w:t>通过</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ascii="宋体" w:hAnsi="宋体" w:eastAsia="宋体" w:cs="黑体"/>
          <w:color w:val="000000" w:themeColor="text1"/>
          <w:szCs w:val="21"/>
          <w:highlight w:val="none"/>
          <w:u w:val="none"/>
          <w14:textFill>
            <w14:solidFill>
              <w14:schemeClr w14:val="tx1"/>
            </w14:solidFill>
          </w14:textFill>
        </w:rPr>
        <w:t>https://www.gcy.zfcg.gxzf.gov.cn/</w:t>
      </w:r>
      <w:r>
        <w:rPr>
          <w:rFonts w:hint="eastAsia" w:ascii="宋体" w:hAnsi="宋体" w:eastAsia="宋体" w:cs="黑体"/>
          <w:color w:val="000000" w:themeColor="text1"/>
          <w:szCs w:val="21"/>
          <w:highlight w:val="none"/>
          <w:u w:val="none"/>
          <w14:textFill>
            <w14:solidFill>
              <w14:schemeClr w14:val="tx1"/>
            </w14:solidFill>
          </w14:textFill>
        </w:rPr>
        <w:t>）</w:t>
      </w:r>
      <w:r>
        <w:rPr>
          <w:rFonts w:hint="eastAsia" w:ascii="宋体" w:hAnsi="宋体" w:eastAsia="宋体" w:cs="仿宋"/>
          <w:color w:val="000000" w:themeColor="text1"/>
          <w:szCs w:val="21"/>
          <w:highlight w:val="none"/>
          <w:u w:val="none"/>
          <w14:textFill>
            <w14:solidFill>
              <w14:schemeClr w14:val="tx1"/>
            </w14:solidFill>
          </w14:textFill>
        </w:rPr>
        <w:t>实行在线投标，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hint="eastAsia" w:ascii="宋体" w:hAnsi="宋体" w:eastAsia="宋体" w:cs="仿宋"/>
          <w:color w:val="000000" w:themeColor="text1"/>
          <w:szCs w:val="21"/>
          <w:highlight w:val="none"/>
          <w:u w:val="none"/>
          <w14:textFill>
            <w14:solidFill>
              <w14:schemeClr w14:val="tx1"/>
            </w14:solidFill>
          </w14:textFill>
        </w:rPr>
        <w:t>拒收。（本项目不要求供应商到达开标现场，但供应商应派法定代表人或委托代理人准时在线出席电子开评标会议，随时关注开评标进度，如在开评标过程中有电子询标，应在规定的时间内对电子询标函进行澄清回复。）</w:t>
      </w:r>
    </w:p>
    <w:p w14:paraId="155B6A21">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u w:val="none"/>
          <w14:textFill>
            <w14:solidFill>
              <w14:schemeClr w14:val="tx1"/>
            </w14:solidFill>
          </w14:textFill>
        </w:rPr>
      </w:pPr>
      <w:bookmarkStart w:id="21" w:name="_Toc35393633"/>
      <w:bookmarkStart w:id="22" w:name="_Toc35393802"/>
      <w:bookmarkStart w:id="23" w:name="_Toc28359093"/>
      <w:bookmarkStart w:id="24" w:name="_Toc28359016"/>
      <w:r>
        <w:rPr>
          <w:rFonts w:hint="eastAsia" w:ascii="宋体" w:hAnsi="宋体" w:eastAsia="宋体" w:cs="黑体"/>
          <w:b/>
          <w:color w:val="000000" w:themeColor="text1"/>
          <w:szCs w:val="21"/>
          <w:highlight w:val="none"/>
          <w:u w:val="none"/>
          <w14:textFill>
            <w14:solidFill>
              <w14:schemeClr w14:val="tx1"/>
            </w14:solidFill>
          </w14:textFill>
        </w:rPr>
        <w:t>五、开启</w:t>
      </w:r>
      <w:bookmarkEnd w:id="21"/>
      <w:bookmarkEnd w:id="22"/>
      <w:bookmarkEnd w:id="23"/>
      <w:bookmarkEnd w:id="24"/>
    </w:p>
    <w:p w14:paraId="532C412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2026年09月14日9点00分</w:t>
      </w:r>
      <w:r>
        <w:rPr>
          <w:rFonts w:hint="eastAsia" w:ascii="宋体" w:hAnsi="宋体" w:eastAsia="宋体" w:cs="仿宋"/>
          <w:color w:val="000000" w:themeColor="text1"/>
          <w:szCs w:val="21"/>
          <w:highlight w:val="none"/>
          <w:u w:val="none"/>
          <w14:textFill>
            <w14:solidFill>
              <w14:schemeClr w14:val="tx1"/>
            </w14:solidFill>
          </w14:textFill>
        </w:rPr>
        <w:t>（北京时间）</w:t>
      </w:r>
    </w:p>
    <w:p w14:paraId="0FA9131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地点：在贵港市公共资源交易中心二楼交易厅（</w:t>
      </w:r>
      <w:r>
        <w:rPr>
          <w:rFonts w:hint="eastAsia" w:ascii="宋体" w:hAnsi="宋体" w:eastAsia="宋体" w:cs="仿宋"/>
          <w:color w:val="000000" w:themeColor="text1"/>
          <w:szCs w:val="21"/>
          <w:highlight w:val="none"/>
          <w:u w:val="none"/>
          <w:lang w:eastAsia="zh-CN"/>
          <w14:textFill>
            <w14:solidFill>
              <w14:schemeClr w14:val="tx1"/>
            </w14:solidFill>
          </w14:textFill>
        </w:rPr>
        <w:t>贵港市</w:t>
      </w:r>
      <w:r>
        <w:rPr>
          <w:rFonts w:hint="eastAsia" w:ascii="宋体" w:hAnsi="宋体" w:eastAsia="宋体" w:cs="仿宋"/>
          <w:color w:val="000000" w:themeColor="text1"/>
          <w:szCs w:val="21"/>
          <w:highlight w:val="none"/>
          <w:u w:val="none"/>
          <w:lang w:val="en-US" w:eastAsia="zh-CN"/>
          <w14:textFill>
            <w14:solidFill>
              <w14:schemeClr w14:val="tx1"/>
            </w14:solidFill>
          </w14:textFill>
        </w:rPr>
        <w:t>港北</w:t>
      </w:r>
      <w:r>
        <w:rPr>
          <w:rFonts w:hint="eastAsia" w:ascii="宋体" w:hAnsi="宋体" w:eastAsia="宋体" w:cs="仿宋"/>
          <w:color w:val="000000" w:themeColor="text1"/>
          <w:szCs w:val="21"/>
          <w:highlight w:val="none"/>
          <w:u w:val="none"/>
          <w:lang w:eastAsia="zh-CN"/>
          <w14:textFill>
            <w14:solidFill>
              <w14:schemeClr w14:val="tx1"/>
            </w14:solidFill>
          </w14:textFill>
        </w:rPr>
        <w:t>区</w:t>
      </w:r>
      <w:r>
        <w:rPr>
          <w:rFonts w:hint="eastAsia" w:ascii="宋体" w:hAnsi="宋体" w:eastAsia="宋体" w:cs="仿宋"/>
          <w:color w:val="000000" w:themeColor="text1"/>
          <w:szCs w:val="21"/>
          <w:highlight w:val="none"/>
          <w:u w:val="none"/>
          <w14:textFill>
            <w14:solidFill>
              <w14:schemeClr w14:val="tx1"/>
            </w14:solidFill>
          </w14:textFill>
        </w:rPr>
        <w:t>金城商业步行街与金田路交叉口东南150米水利大厦）通过</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hint="eastAsia" w:ascii="宋体" w:hAnsi="宋体" w:eastAsia="宋体" w:cs="仿宋"/>
          <w:color w:val="000000" w:themeColor="text1"/>
          <w:szCs w:val="21"/>
          <w:highlight w:val="none"/>
          <w:u w:val="none"/>
          <w14:textFill>
            <w14:solidFill>
              <w14:schemeClr w14:val="tx1"/>
            </w14:solidFill>
          </w14:textFill>
        </w:rPr>
        <w:t>实行在线开标。</w:t>
      </w:r>
    </w:p>
    <w:p w14:paraId="0BF245C1">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25" w:name="_Toc28359017"/>
      <w:bookmarkStart w:id="26" w:name="_Toc35393634"/>
      <w:bookmarkStart w:id="27" w:name="_Toc28359094"/>
      <w:bookmarkStart w:id="28" w:name="_Toc35393803"/>
      <w:r>
        <w:rPr>
          <w:rFonts w:hint="eastAsia" w:ascii="宋体" w:hAnsi="宋体" w:eastAsia="宋体" w:cs="黑体"/>
          <w:b/>
          <w:color w:val="000000" w:themeColor="text1"/>
          <w:szCs w:val="21"/>
          <w:highlight w:val="none"/>
          <w14:textFill>
            <w14:solidFill>
              <w14:schemeClr w14:val="tx1"/>
            </w14:solidFill>
          </w14:textFill>
        </w:rPr>
        <w:t>六、公告期限</w:t>
      </w:r>
      <w:bookmarkEnd w:id="25"/>
      <w:bookmarkEnd w:id="26"/>
      <w:bookmarkEnd w:id="27"/>
      <w:bookmarkEnd w:id="28"/>
    </w:p>
    <w:p w14:paraId="26652B2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自本公告发布之日起10个日历天。</w:t>
      </w:r>
    </w:p>
    <w:p w14:paraId="6C76CB7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bookmarkStart w:id="29" w:name="_Toc35393804"/>
      <w:bookmarkStart w:id="30" w:name="_Toc35393635"/>
      <w:r>
        <w:rPr>
          <w:rFonts w:hint="eastAsia" w:ascii="宋体" w:hAnsi="宋体" w:eastAsia="宋体" w:cs="黑体"/>
          <w:b/>
          <w:color w:val="000000" w:themeColor="text1"/>
          <w:szCs w:val="21"/>
          <w:highlight w:val="none"/>
          <w14:textFill>
            <w14:solidFill>
              <w14:schemeClr w14:val="tx1"/>
            </w14:solidFill>
          </w14:textFill>
        </w:rPr>
        <w:t>七、其他补充事宜</w:t>
      </w:r>
      <w:bookmarkEnd w:id="29"/>
      <w:bookmarkEnd w:id="30"/>
    </w:p>
    <w:p w14:paraId="1C09408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1.磋商保证金：</w:t>
      </w:r>
      <w:r>
        <w:rPr>
          <w:rFonts w:hint="eastAsia" w:ascii="宋体" w:hAnsi="宋体" w:eastAsia="宋体" w:cs="黑体"/>
          <w:color w:val="000000" w:themeColor="text1"/>
          <w:szCs w:val="21"/>
          <w:highlight w:val="none"/>
          <w14:textFill>
            <w14:solidFill>
              <w14:schemeClr w14:val="tx1"/>
            </w14:solidFill>
          </w14:textFill>
        </w:rPr>
        <w:t>无。</w:t>
      </w:r>
    </w:p>
    <w:p w14:paraId="13EDF495">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color w:val="000000" w:themeColor="text1"/>
          <w:szCs w:val="21"/>
          <w:highlight w:val="none"/>
          <w14:textFill>
            <w14:solidFill>
              <w14:schemeClr w14:val="tx1"/>
            </w14:solidFill>
          </w14:textFill>
        </w:rPr>
      </w:pPr>
      <w:bookmarkStart w:id="31" w:name="_Toc28359095"/>
      <w:bookmarkStart w:id="32" w:name="_Toc35393805"/>
      <w:bookmarkStart w:id="33" w:name="_Toc35393636"/>
      <w:bookmarkStart w:id="34" w:name="_Toc28359018"/>
      <w:r>
        <w:rPr>
          <w:rFonts w:hint="eastAsia" w:ascii="宋体" w:hAnsi="宋体" w:eastAsia="宋体" w:cs="黑体"/>
          <w:b/>
          <w:color w:val="000000" w:themeColor="text1"/>
          <w:szCs w:val="21"/>
          <w:highlight w:val="none"/>
          <w14:textFill>
            <w14:solidFill>
              <w14:schemeClr w14:val="tx1"/>
            </w14:solidFill>
          </w14:textFill>
        </w:rPr>
        <w:t>2.公告发布媒体：</w:t>
      </w:r>
      <w:r>
        <w:rPr>
          <w:rFonts w:hint="eastAsia" w:ascii="宋体" w:hAnsi="宋体" w:eastAsia="宋体" w:cs="黑体"/>
          <w:color w:val="000000" w:themeColor="text1"/>
          <w:szCs w:val="21"/>
          <w:highlight w:val="none"/>
          <w14:textFill>
            <w14:solidFill>
              <w14:schemeClr w14:val="tx1"/>
            </w14:solidFill>
          </w14:textFill>
        </w:rPr>
        <w:t>http://www.ccgp.gov.cn（中国政府采购网）、http://www.gxzfcg.gov.cn（广西壮族自治区政府采购网）、http://ggzy.jgswj.gxzf.gov.cn/ggggzy/（全国公共资源交易平台（广西•贵港））。</w:t>
      </w:r>
    </w:p>
    <w:p w14:paraId="3FA116D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3.本项目需要落实的政府采购政策：</w:t>
      </w:r>
    </w:p>
    <w:p w14:paraId="669703FD">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bCs/>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（1）《政府采购促进中小企业发展管理办法》（财库[2020]46 号）；</w:t>
      </w:r>
      <w:r>
        <w:rPr>
          <w:rFonts w:hint="eastAsia" w:ascii="宋体" w:hAnsi="宋体" w:eastAsia="宋体" w:cs="黑体"/>
          <w:b/>
          <w:bCs/>
          <w:color w:val="000000" w:themeColor="text1"/>
          <w:szCs w:val="21"/>
          <w:highlight w:val="none"/>
          <w14:textFill>
            <w14:solidFill>
              <w14:schemeClr w14:val="tx1"/>
            </w14:solidFill>
          </w14:textFill>
        </w:rPr>
        <w:t>中小企业划分标准属于行业为“</w:t>
      </w:r>
      <w:r>
        <w:rPr>
          <w:rFonts w:hint="eastAsia" w:ascii="宋体" w:hAnsi="宋体" w:eastAsia="宋体" w:cs="黑体"/>
          <w:b/>
          <w:bCs/>
          <w:color w:val="000000" w:themeColor="text1"/>
          <w:szCs w:val="21"/>
          <w:highlight w:val="none"/>
          <w:lang w:eastAsia="zh-CN"/>
          <w14:textFill>
            <w14:solidFill>
              <w14:schemeClr w14:val="tx1"/>
            </w14:solidFill>
          </w14:textFill>
        </w:rPr>
        <w:t>建筑</w:t>
      </w:r>
      <w:r>
        <w:rPr>
          <w:rFonts w:hint="eastAsia" w:ascii="宋体" w:hAnsi="宋体" w:eastAsia="宋体" w:cs="黑体"/>
          <w:b/>
          <w:bCs/>
          <w:color w:val="000000" w:themeColor="text1"/>
          <w:szCs w:val="21"/>
          <w:highlight w:val="none"/>
          <w14:textFill>
            <w14:solidFill>
              <w14:schemeClr w14:val="tx1"/>
            </w14:solidFill>
          </w14:textFill>
        </w:rPr>
        <w:t>业”。</w:t>
      </w:r>
    </w:p>
    <w:p w14:paraId="7A4E48D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（2）《财政部、司法部关于政府采购支持监狱企业发展有关问题的通知》（财库〔2014〕68号）；</w:t>
      </w:r>
    </w:p>
    <w:p w14:paraId="0F807216">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（3）《财政部民政部中国残疾人联合会关于促进残疾人就业政府采购政策的通知》（财库〔2017〕141号）；</w:t>
      </w:r>
    </w:p>
    <w:p w14:paraId="477DC32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（4）财政部 发展改革委 生态环境部 市场监管总局关于调整优化节能产品、环境标志产品政府采购执行机制的通知（财库〔2019〕9号）；</w:t>
      </w:r>
    </w:p>
    <w:p w14:paraId="3061C0B4">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（5）财政部发展改革委关于印发节能产品政府采购品目清单的通知（财库〔2019〕19号）。</w:t>
      </w:r>
    </w:p>
    <w:p w14:paraId="447863A0">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黑体"/>
          <w:color w:val="000000" w:themeColor="text1"/>
          <w:szCs w:val="21"/>
          <w:highlight w:val="none"/>
          <w:lang w:eastAsia="zh-CN"/>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4.监督部门：</w:t>
      </w:r>
      <w:r>
        <w:rPr>
          <w:rFonts w:hint="eastAsia" w:ascii="宋体" w:hAnsi="宋体" w:eastAsia="宋体" w:cs="黑体"/>
          <w:b w:val="0"/>
          <w:bCs/>
          <w:color w:val="000000" w:themeColor="text1"/>
          <w:szCs w:val="21"/>
          <w:highlight w:val="none"/>
          <w14:textFill>
            <w14:solidFill>
              <w14:schemeClr w14:val="tx1"/>
            </w14:solidFill>
          </w14:textFill>
        </w:rPr>
        <w:t>贵港市港南区财政局政府采购监督管理股</w:t>
      </w:r>
      <w:r>
        <w:rPr>
          <w:rFonts w:hint="eastAsia" w:ascii="宋体" w:hAnsi="宋体" w:eastAsia="宋体" w:cs="黑体"/>
          <w:b w:val="0"/>
          <w:bCs/>
          <w:color w:val="000000" w:themeColor="text1"/>
          <w:szCs w:val="21"/>
          <w:highlight w:val="none"/>
          <w:lang w:eastAsia="zh-CN"/>
          <w14:textFill>
            <w14:solidFill>
              <w14:schemeClr w14:val="tx1"/>
            </w14:solidFill>
          </w14:textFill>
        </w:rPr>
        <w:t xml:space="preserve"> </w:t>
      </w:r>
      <w:r>
        <w:rPr>
          <w:rFonts w:hint="eastAsia" w:ascii="宋体" w:hAnsi="宋体" w:eastAsia="宋体" w:cs="黑体"/>
          <w:color w:val="000000" w:themeColor="text1"/>
          <w:szCs w:val="21"/>
          <w:highlight w:val="none"/>
          <w:lang w:eastAsia="zh-CN"/>
          <w14:textFill>
            <w14:solidFill>
              <w14:schemeClr w14:val="tx1"/>
            </w14:solidFill>
          </w14:textFill>
        </w:rPr>
        <w:t xml:space="preserve"> 联系电话：0775‑4327666</w:t>
      </w:r>
    </w:p>
    <w:p w14:paraId="531CEBF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5.相关业务联系单位及联系电话</w:t>
      </w:r>
    </w:p>
    <w:p w14:paraId="503A16BD">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“广西政府采购云平台”平台客服电话：95763</w:t>
      </w:r>
    </w:p>
    <w:p w14:paraId="2A05D1D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7.在线投标响应（电子投标）说明：</w:t>
      </w:r>
    </w:p>
    <w:p w14:paraId="3DB6E39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（1）磋商响应文件提交方式：本项目为全流程电子化项目，通过</w:t>
      </w:r>
      <w:r>
        <w:rPr>
          <w:rFonts w:hint="eastAsia" w:ascii="宋体" w:hAnsi="宋体" w:eastAsia="宋体" w:cs="黑体"/>
          <w:color w:val="000000" w:themeColor="text1"/>
          <w:szCs w:val="21"/>
          <w:highlight w:val="none"/>
          <w:u w:val="single"/>
          <w14:textFill>
            <w14:solidFill>
              <w14:schemeClr w14:val="tx1"/>
            </w14:solidFill>
          </w14:textFill>
        </w:rPr>
        <w:t>广西政府采购云平台（</w:t>
      </w:r>
      <w:r>
        <w:rPr>
          <w:rFonts w:ascii="宋体" w:hAnsi="宋体" w:eastAsia="宋体" w:cs="黑体"/>
          <w:color w:val="000000" w:themeColor="text1"/>
          <w:szCs w:val="21"/>
          <w:highlight w:val="none"/>
          <w:u w:val="single"/>
          <w14:textFill>
            <w14:solidFill>
              <w14:schemeClr w14:val="tx1"/>
            </w14:solidFill>
          </w14:textFill>
        </w:rPr>
        <w:t>https://www.gcy.zfcg.gxzf.gov.cn/</w:t>
      </w:r>
      <w:r>
        <w:rPr>
          <w:rFonts w:hint="eastAsia" w:ascii="宋体" w:hAnsi="宋体" w:eastAsia="宋体" w:cs="黑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实行在线电子投标，供应商应先安装“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"http://zfcg.gxzf.gov.cn/site/detail?parentId=66479&amp;articleId=+06E5n62B1RzrGh0ew1OFg==" \t "_blank" \o "广西政府采购云平台新版客户端" </w:instrText>
      </w:r>
      <w:r>
        <w:rPr>
          <w:color w:val="000000" w:themeColor="text1"/>
          <w:highlight w:val="none"/>
          <w14:textFill>
            <w14:solidFill>
              <w14:schemeClr w14:val="tx1"/>
            </w14:solidFill>
          </w14:textFill>
        </w:rPr>
        <w:fldChar w:fldCharType="separate"/>
      </w:r>
      <w:r>
        <w:rPr>
          <w:rStyle w:val="36"/>
          <w:rFonts w:ascii="Arial" w:hAnsi="Arial" w:cs="Arial"/>
          <w:color w:val="000000" w:themeColor="text1"/>
          <w:szCs w:val="21"/>
          <w:highlight w:val="none"/>
          <w:shd w:val="clear" w:color="auto" w:fill="FFFFFF"/>
          <w14:textFill>
            <w14:solidFill>
              <w14:schemeClr w14:val="tx1"/>
            </w14:solidFill>
          </w14:textFill>
        </w:rPr>
        <w:t>广西政府采购云平台新版客户端</w:t>
      </w:r>
      <w:r>
        <w:rPr>
          <w:rStyle w:val="36"/>
          <w:rFonts w:ascii="Arial" w:hAnsi="Arial" w:cs="Arial"/>
          <w:color w:val="000000" w:themeColor="text1"/>
          <w:szCs w:val="21"/>
          <w:highlight w:val="none"/>
          <w:shd w:val="clear" w:color="auto" w:fill="FFFFFF"/>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请自行前往“广西政府采购云平台”进行下载，新版客户端下载路径：广西政府采购网（访问地址http://zfcg.gxzf.gov.cn/）—办事服务—下载专区），并按照本项目采购文件和“广西政府采购云平台”的要求编制、加密后在磋商截止时间前通过网络上传至“广西政府采购云平台”，供应商在“广西政府采购云平台”提交电子版磋商响应文件时，请填写参加远程开标活动经办人联系方式，磋商人登录“广西政府采购云平台”，依次进入“服务中心-项目采购-操作流程-电子招投标-政府采购项目电子交易管理操作指南-供应商”查看电子投标具体操作流程。</w:t>
      </w:r>
    </w:p>
    <w:p w14:paraId="7C73990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未进行网上注册并办理数字证书（CA认证）的供应商将无法参与本项目政府采购活动，潜在供应商应当在磋商截止时间前，完成电子交易平台上的CA数字证书办理及磋商响应文件的提交。完成CA数字证书办理预计7日左右，磋商人只需办理其中一家CA数字证书及签章，建议各磋商人抓紧时间办理。（如在操作过程中遇到问题或需技术支持，请致电</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kern w:val="0"/>
          <w:szCs w:val="21"/>
          <w:highlight w:val="none"/>
          <w14:textFill>
            <w14:solidFill>
              <w14:schemeClr w14:val="tx1"/>
            </w14:solidFill>
          </w14:textFill>
        </w:rPr>
        <w:t>客服热线：95763）</w:t>
      </w:r>
    </w:p>
    <w:p w14:paraId="7CDCB81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（3）为确保网上操作合法、有效和安全，请供应商确保在电子投标过程中能够对相关数据电文进行加密和使用电子签章，妥善保管CA数字证书并使用有效的CA数字证书参与整个招标活动。</w:t>
      </w:r>
    </w:p>
    <w:p w14:paraId="1207A2D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注：磋商人应当在磋商截止时间前完成电子磋商响应文件的上传、递交，磋商截止时间前可以补充、修改或者撤回磋商响应文件。补充或者修改磋商响应文件的，应当先行撤回原文件，补充、修改后重新上传、递交。磋商截止时间前未完成上传、递交的，视为撤回磋商响应文件。磋商截止时间以后上传递交的磋商响应文件“广西政府采购云平台”将予以拒收。</w:t>
      </w:r>
    </w:p>
    <w:p w14:paraId="6A33DA61">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（4）开标地点：本次磋商将于本项目采购文件公布的开标时间在“广西政府采购云平台”电子开标大厅开标。</w:t>
      </w:r>
    </w:p>
    <w:p w14:paraId="188D917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（5）CA证书在线解密：供应商磋商时，需携带制作磋商响应文件时用来加密的有效数字证书（CA认证）登录“广西政府采购云平台”电子开标大厅现场按规定时间对加密的磋商响应文件进行解密，否则后果自负。</w:t>
      </w:r>
    </w:p>
    <w:p w14:paraId="49B22E7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供应商需要在具备有摄像头及语音功能且互联网网络状况良好的电脑登录“广西政府采购云平台”远程开标大厅参与本次磋商，否则后果自负。若对项目采购电子交易系统操作有疑问，可登录广西政府采购云平台（</w:t>
      </w:r>
      <w:r>
        <w:rPr>
          <w:rFonts w:ascii="宋体" w:hAnsi="宋体" w:eastAsia="宋体" w:cs="宋体"/>
          <w:color w:val="000000" w:themeColor="text1"/>
          <w:kern w:val="0"/>
          <w:szCs w:val="21"/>
          <w:highlight w:val="none"/>
          <w14:textFill>
            <w14:solidFill>
              <w14:schemeClr w14:val="tx1"/>
            </w14:solidFill>
          </w14:textFill>
        </w:rPr>
        <w:t>https://www.gcy.zfcg.gxzf.gov.cn/</w:t>
      </w:r>
      <w:r>
        <w:rPr>
          <w:rFonts w:hint="eastAsia" w:ascii="宋体" w:hAnsi="宋体" w:eastAsia="宋体" w:cs="宋体"/>
          <w:color w:val="000000" w:themeColor="text1"/>
          <w:kern w:val="0"/>
          <w:szCs w:val="21"/>
          <w:highlight w:val="none"/>
          <w14:textFill>
            <w14:solidFill>
              <w14:schemeClr w14:val="tx1"/>
            </w14:solidFill>
          </w14:textFill>
        </w:rPr>
        <w:t>），点击右侧咨询小采，获取采小蜜智能服务管家帮助，或拨打</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kern w:val="0"/>
          <w:szCs w:val="21"/>
          <w:highlight w:val="none"/>
          <w14:textFill>
            <w14:solidFill>
              <w14:schemeClr w14:val="tx1"/>
            </w14:solidFill>
          </w14:textFill>
        </w:rPr>
        <w:t>服务热线95763获取热线服务帮助。</w:t>
      </w:r>
    </w:p>
    <w:p w14:paraId="53B65D9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8.本项目不接受未在广西政府采购云平台下载采购文件的磋商人参加磋商。</w:t>
      </w:r>
    </w:p>
    <w:p w14:paraId="0117EF7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6EBA70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B2E5C7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8.本项目需落实的其他政策：</w:t>
      </w:r>
    </w:p>
    <w:p w14:paraId="36C9ABB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(1)《国家以工代赈管理办法》(国家发展和改革委员会令第57号)</w:t>
      </w:r>
    </w:p>
    <w:p w14:paraId="53D6BBE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(2)《国家发展改革委关于印发&lt;全国“十四五”以工代赈工作方案&gt;的通知》(发改振兴(2021)1019号)</w:t>
      </w:r>
    </w:p>
    <w:p w14:paraId="699D757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(3)《国家发展改革委关于进一步坚守“赈”的初心充分发挥以工代赈政策功能的意见》(发改振兴〔2021〕1852号)</w:t>
      </w:r>
    </w:p>
    <w:p w14:paraId="39FF424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(4)《广西壮族自治区发展和改革委员会关于精准把握以工代赈中央资金投向切实发挥政策功能的通知》(桂发改振兴(2020)853号)</w:t>
      </w:r>
    </w:p>
    <w:p w14:paraId="35CCFF5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(5)《广西壮族自治区发展和改革委员会关于进一步规范以工代赈项目管理的通知》(桂发改振兴)(2022)5号)</w:t>
      </w:r>
    </w:p>
    <w:p w14:paraId="7F0089C7">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(6)《国家发展改革委关于进一步统筹推进“硬投资”和“软建设”高标准高质量做好以工代赈工作的指导意见》发改振兴(2025)783号)</w:t>
      </w:r>
    </w:p>
    <w:p w14:paraId="2F735DC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(7)《广西壮族自治区发展和改革委员会关于印发以工代赈中央专项投资项目实施指南及相关配套文件的通知》桂发改振兴(2025)525号)</w:t>
      </w:r>
    </w:p>
    <w:p w14:paraId="5AB6B05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(8)其他“以工代赈”等相关文件。</w:t>
      </w:r>
    </w:p>
    <w:p w14:paraId="79095C8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八、凡对本次采购提出询问，请按以下方式联系。</w:t>
      </w:r>
      <w:bookmarkEnd w:id="31"/>
      <w:bookmarkEnd w:id="32"/>
      <w:bookmarkEnd w:id="33"/>
      <w:bookmarkEnd w:id="34"/>
    </w:p>
    <w:p w14:paraId="4B3586E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bookmarkStart w:id="35" w:name="_Toc35393637"/>
      <w:bookmarkStart w:id="36" w:name="_Toc35393806"/>
      <w:bookmarkStart w:id="37" w:name="_Toc28359019"/>
      <w:bookmarkStart w:id="38" w:name="_Toc28359096"/>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采购人信息</w:t>
      </w:r>
      <w:bookmarkEnd w:id="35"/>
      <w:bookmarkEnd w:id="36"/>
      <w:bookmarkEnd w:id="37"/>
      <w:bookmarkEnd w:id="38"/>
    </w:p>
    <w:p w14:paraId="7747DD1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lang w:eastAsia="zh-CN"/>
          <w14:textFill>
            <w14:solidFill>
              <w14:schemeClr w14:val="tx1"/>
            </w14:solidFill>
          </w14:textFill>
        </w:rPr>
      </w:pPr>
      <w:bookmarkStart w:id="39" w:name="_Toc28359020"/>
      <w:bookmarkStart w:id="40" w:name="_Toc35393807"/>
      <w:bookmarkStart w:id="41" w:name="_Toc35393638"/>
      <w:bookmarkStart w:id="42" w:name="_Toc28359097"/>
      <w:r>
        <w:rPr>
          <w:rFonts w:hint="eastAsia" w:ascii="宋体" w:hAnsi="宋体" w:eastAsia="宋体" w:cs="仿宋"/>
          <w:color w:val="000000" w:themeColor="text1"/>
          <w:szCs w:val="21"/>
          <w:highlight w:val="none"/>
          <w14:textFill>
            <w14:solidFill>
              <w14:schemeClr w14:val="tx1"/>
            </w14:solidFill>
          </w14:textFill>
        </w:rPr>
        <w:t>名  称：</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贵港市港南区新塘镇人民政府</w:t>
      </w:r>
    </w:p>
    <w:p w14:paraId="681746BC">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default" w:ascii="宋体" w:hAnsi="宋体" w:eastAsia="宋体" w:cs="仿宋"/>
          <w:color w:val="000000" w:themeColor="text1"/>
          <w:szCs w:val="21"/>
          <w:highlight w:val="none"/>
          <w:lang w:val="en-US" w:eastAsia="zh-CN"/>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地  址：</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贵港市港南区新塘镇沿江路一号</w:t>
      </w:r>
    </w:p>
    <w:p w14:paraId="513F505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联系方式：</w:t>
      </w:r>
      <w:bookmarkStart w:id="1413" w:name="_GoBack"/>
      <w:bookmarkEnd w:id="1413"/>
      <w:r>
        <w:rPr>
          <w:rFonts w:hint="eastAsia" w:ascii="宋体" w:hAnsi="宋体" w:eastAsia="宋体" w:cs="仿宋"/>
          <w:color w:val="000000" w:themeColor="text1"/>
          <w:szCs w:val="21"/>
          <w:highlight w:val="none"/>
          <w:lang w:val="en-US" w:eastAsia="zh-CN"/>
          <w14:textFill>
            <w14:solidFill>
              <w14:schemeClr w14:val="tx1"/>
            </w14:solidFill>
          </w14:textFill>
        </w:rPr>
        <w:t>姜恩金</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eastAsia="zh-CN"/>
          <w14:textFill>
            <w14:solidFill>
              <w14:schemeClr w14:val="tx1"/>
            </w14:solidFill>
          </w14:textFill>
        </w:rPr>
        <w:t>0775-4762030</w:t>
      </w:r>
    </w:p>
    <w:p w14:paraId="5C7B40C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采购代理机构信息</w:t>
      </w:r>
      <w:bookmarkEnd w:id="39"/>
      <w:bookmarkEnd w:id="40"/>
      <w:bookmarkEnd w:id="41"/>
      <w:bookmarkEnd w:id="42"/>
    </w:p>
    <w:p w14:paraId="2576F40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名</w:t>
      </w:r>
      <w:r>
        <w:rPr>
          <w:rFonts w:ascii="宋体" w:hAnsi="宋体" w:eastAsia="宋体" w:cs="仿宋"/>
          <w:color w:val="000000" w:themeColor="text1"/>
          <w:szCs w:val="21"/>
          <w:highlight w:val="none"/>
          <w:u w:val="none"/>
          <w14:textFill>
            <w14:solidFill>
              <w14:schemeClr w14:val="tx1"/>
            </w14:solidFill>
          </w14:textFill>
        </w:rPr>
        <w:t xml:space="preserve">    </w:t>
      </w:r>
      <w:r>
        <w:rPr>
          <w:rFonts w:hint="eastAsia" w:ascii="宋体" w:hAnsi="宋体" w:eastAsia="宋体" w:cs="仿宋"/>
          <w:color w:val="000000" w:themeColor="text1"/>
          <w:szCs w:val="21"/>
          <w:highlight w:val="none"/>
          <w:u w:val="none"/>
          <w14:textFill>
            <w14:solidFill>
              <w14:schemeClr w14:val="tx1"/>
            </w14:solidFill>
          </w14:textFill>
        </w:rPr>
        <w:t>称：</w:t>
      </w:r>
      <w:r>
        <w:rPr>
          <w:rFonts w:hint="eastAsia" w:ascii="宋体" w:hAnsi="宋体" w:eastAsia="宋体" w:cs="仿宋"/>
          <w:color w:val="000000" w:themeColor="text1"/>
          <w:szCs w:val="21"/>
          <w:highlight w:val="none"/>
          <w:u w:val="none"/>
          <w:lang w:eastAsia="zh-CN"/>
          <w14:textFill>
            <w14:solidFill>
              <w14:schemeClr w14:val="tx1"/>
            </w14:solidFill>
          </w14:textFill>
        </w:rPr>
        <w:t>泽圣勘察设计有限公司</w:t>
      </w:r>
    </w:p>
    <w:p w14:paraId="202ED3C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地　　址：</w:t>
      </w:r>
      <w:r>
        <w:rPr>
          <w:rFonts w:hint="eastAsia" w:ascii="宋体" w:hAnsi="宋体" w:eastAsia="宋体" w:cs="仿宋"/>
          <w:color w:val="000000" w:themeColor="text1"/>
          <w:szCs w:val="21"/>
          <w:highlight w:val="none"/>
          <w:u w:val="none"/>
          <w:lang w:eastAsia="zh-CN"/>
          <w14:textFill>
            <w14:solidFill>
              <w14:schemeClr w14:val="tx1"/>
            </w14:solidFill>
          </w14:textFill>
        </w:rPr>
        <w:t>南宁市高新区科园大道31号高新苑第34-40号楼一层42号商铺</w:t>
      </w:r>
    </w:p>
    <w:p w14:paraId="796583F5">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联系方式：</w:t>
      </w:r>
      <w:r>
        <w:rPr>
          <w:rFonts w:hint="eastAsia" w:ascii="宋体" w:hAnsi="宋体" w:eastAsia="宋体" w:cs="仿宋"/>
          <w:color w:val="000000" w:themeColor="text1"/>
          <w:szCs w:val="21"/>
          <w:highlight w:val="none"/>
          <w:u w:val="none"/>
          <w:lang w:eastAsia="zh-CN"/>
          <w14:textFill>
            <w14:solidFill>
              <w14:schemeClr w14:val="tx1"/>
            </w14:solidFill>
          </w14:textFill>
        </w:rPr>
        <w:t>范生，0771-3105459</w:t>
      </w:r>
    </w:p>
    <w:p w14:paraId="5E72A4E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bookmarkStart w:id="43" w:name="_Toc28359021"/>
      <w:bookmarkStart w:id="44" w:name="_Toc35393639"/>
      <w:bookmarkStart w:id="45" w:name="_Toc35393808"/>
      <w:bookmarkStart w:id="46" w:name="_Toc28359098"/>
      <w:r>
        <w:rPr>
          <w:rFonts w:ascii="宋体" w:hAnsi="宋体" w:eastAsia="宋体" w:cs="仿宋"/>
          <w:color w:val="000000" w:themeColor="text1"/>
          <w:szCs w:val="21"/>
          <w:highlight w:val="none"/>
          <w:u w:val="none"/>
          <w14:textFill>
            <w14:solidFill>
              <w14:schemeClr w14:val="tx1"/>
            </w14:solidFill>
          </w14:textFill>
        </w:rPr>
        <w:t>3.</w:t>
      </w:r>
      <w:r>
        <w:rPr>
          <w:rFonts w:hint="eastAsia" w:ascii="宋体" w:hAnsi="宋体" w:eastAsia="宋体" w:cs="仿宋"/>
          <w:color w:val="000000" w:themeColor="text1"/>
          <w:szCs w:val="21"/>
          <w:highlight w:val="none"/>
          <w:u w:val="none"/>
          <w14:textFill>
            <w14:solidFill>
              <w14:schemeClr w14:val="tx1"/>
            </w14:solidFill>
          </w14:textFill>
        </w:rPr>
        <w:t>项目联系方式</w:t>
      </w:r>
      <w:bookmarkEnd w:id="43"/>
      <w:bookmarkEnd w:id="44"/>
      <w:bookmarkEnd w:id="45"/>
      <w:bookmarkEnd w:id="46"/>
    </w:p>
    <w:p w14:paraId="7265C55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项目联系人：</w:t>
      </w:r>
      <w:r>
        <w:rPr>
          <w:rFonts w:hint="eastAsia" w:ascii="宋体" w:hAnsi="宋体" w:eastAsia="宋体" w:cs="仿宋"/>
          <w:color w:val="000000" w:themeColor="text1"/>
          <w:szCs w:val="21"/>
          <w:highlight w:val="none"/>
          <w:u w:val="none"/>
          <w:lang w:eastAsia="zh-CN"/>
          <w14:textFill>
            <w14:solidFill>
              <w14:schemeClr w14:val="tx1"/>
            </w14:solidFill>
          </w14:textFill>
        </w:rPr>
        <w:t>范生</w:t>
      </w:r>
    </w:p>
    <w:p w14:paraId="3EED38C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电　　</w:t>
      </w:r>
      <w:r>
        <w:rPr>
          <w:rFonts w:ascii="宋体" w:hAnsi="宋体" w:eastAsia="宋体" w:cs="仿宋"/>
          <w:color w:val="000000" w:themeColor="text1"/>
          <w:szCs w:val="21"/>
          <w:highlight w:val="none"/>
          <w:u w:val="none"/>
          <w14:textFill>
            <w14:solidFill>
              <w14:schemeClr w14:val="tx1"/>
            </w14:solidFill>
          </w14:textFill>
        </w:rPr>
        <w:t xml:space="preserve"> </w:t>
      </w:r>
      <w:r>
        <w:rPr>
          <w:rFonts w:hint="eastAsia" w:ascii="宋体" w:hAnsi="宋体" w:eastAsia="宋体" w:cs="仿宋"/>
          <w:color w:val="000000" w:themeColor="text1"/>
          <w:szCs w:val="21"/>
          <w:highlight w:val="none"/>
          <w:u w:val="none"/>
          <w14:textFill>
            <w14:solidFill>
              <w14:schemeClr w14:val="tx1"/>
            </w14:solidFill>
          </w14:textFill>
        </w:rPr>
        <w:t>话：</w:t>
      </w:r>
      <w:r>
        <w:rPr>
          <w:rFonts w:hint="eastAsia" w:ascii="宋体" w:hAnsi="宋体" w:eastAsia="宋体" w:cs="仿宋"/>
          <w:color w:val="000000" w:themeColor="text1"/>
          <w:szCs w:val="21"/>
          <w:highlight w:val="none"/>
          <w:u w:val="none"/>
          <w:lang w:eastAsia="zh-CN"/>
          <w14:textFill>
            <w14:solidFill>
              <w14:schemeClr w14:val="tx1"/>
            </w14:solidFill>
          </w14:textFill>
        </w:rPr>
        <w:t>0771-3105459</w:t>
      </w:r>
    </w:p>
    <w:p w14:paraId="472B70F5">
      <w:pPr>
        <w:spacing w:line="500" w:lineRule="atLeast"/>
        <w:jc w:val="right"/>
        <w:rPr>
          <w:rFonts w:ascii="宋体" w:hAnsi="宋体" w:eastAsia="宋体" w:cs="Times New Roman"/>
          <w:color w:val="000000" w:themeColor="text1"/>
          <w:szCs w:val="21"/>
          <w:highlight w:val="none"/>
          <w14:textFill>
            <w14:solidFill>
              <w14:schemeClr w14:val="tx1"/>
            </w14:solidFill>
          </w14:textFill>
        </w:rPr>
      </w:pPr>
    </w:p>
    <w:bookmarkEnd w:id="3"/>
    <w:bookmarkEnd w:id="4"/>
    <w:p w14:paraId="647C7E92">
      <w:pPr>
        <w:spacing w:line="460" w:lineRule="exact"/>
        <w:ind w:firstLine="630" w:firstLineChars="300"/>
        <w:rPr>
          <w:rFonts w:ascii="Times New Roman" w:hAnsi="Times New Roman" w:eastAsia="宋体" w:cs="Times New Roman"/>
          <w:color w:val="000000" w:themeColor="text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br w:type="page"/>
      </w:r>
    </w:p>
    <w:p w14:paraId="1FE8791C">
      <w:pPr>
        <w:keepNext/>
        <w:keepLines/>
        <w:spacing w:before="260" w:after="260" w:line="500" w:lineRule="exact"/>
        <w:jc w:val="center"/>
        <w:outlineLvl w:val="1"/>
        <w:rPr>
          <w:rFonts w:ascii="Cambria" w:hAnsi="Cambria" w:eastAsia="宋体" w:cs="Times New Roman"/>
          <w:b/>
          <w:bCs/>
          <w:color w:val="000000" w:themeColor="text1"/>
          <w:sz w:val="44"/>
          <w:szCs w:val="44"/>
          <w:highlight w:val="none"/>
          <w14:textFill>
            <w14:solidFill>
              <w14:schemeClr w14:val="tx1"/>
            </w14:solidFill>
          </w14:textFill>
        </w:rPr>
      </w:pPr>
      <w:bookmarkStart w:id="47" w:name="_Toc451430915"/>
      <w:bookmarkStart w:id="48" w:name="_Toc10219640"/>
      <w:bookmarkStart w:id="49" w:name="_Toc10180"/>
      <w:r>
        <w:rPr>
          <w:rFonts w:hint="eastAsia" w:ascii="Cambria" w:hAnsi="Cambria" w:eastAsia="宋体" w:cs="Times New Roman"/>
          <w:b/>
          <w:bCs/>
          <w:color w:val="000000" w:themeColor="text1"/>
          <w:sz w:val="44"/>
          <w:szCs w:val="44"/>
          <w:highlight w:val="none"/>
          <w14:textFill>
            <w14:solidFill>
              <w14:schemeClr w14:val="tx1"/>
            </w14:solidFill>
          </w14:textFill>
        </w:rPr>
        <w:t>第二章 磋商须知</w:t>
      </w:r>
      <w:bookmarkEnd w:id="47"/>
      <w:r>
        <w:rPr>
          <w:rFonts w:hint="eastAsia" w:ascii="Cambria" w:hAnsi="Cambria" w:eastAsia="宋体" w:cs="Times New Roman"/>
          <w:b/>
          <w:bCs/>
          <w:color w:val="000000" w:themeColor="text1"/>
          <w:sz w:val="44"/>
          <w:szCs w:val="44"/>
          <w:highlight w:val="none"/>
          <w14:textFill>
            <w14:solidFill>
              <w14:schemeClr w14:val="tx1"/>
            </w14:solidFill>
          </w14:textFill>
        </w:rPr>
        <w:t>前附表及磋商须知</w:t>
      </w:r>
      <w:bookmarkEnd w:id="48"/>
      <w:bookmarkEnd w:id="49"/>
    </w:p>
    <w:p w14:paraId="681BDBB5">
      <w:pPr>
        <w:keepNext/>
        <w:keepLines/>
        <w:spacing w:line="500" w:lineRule="exact"/>
        <w:jc w:val="center"/>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0" w:name="_Toc28769"/>
      <w:r>
        <w:rPr>
          <w:rFonts w:hint="eastAsia" w:ascii="Cambria" w:hAnsi="Cambria" w:eastAsia="宋体" w:cs="Times New Roman"/>
          <w:b/>
          <w:bCs/>
          <w:color w:val="000000" w:themeColor="text1"/>
          <w:sz w:val="32"/>
          <w:szCs w:val="32"/>
          <w:highlight w:val="none"/>
          <w14:textFill>
            <w14:solidFill>
              <w14:schemeClr w14:val="tx1"/>
            </w14:solidFill>
          </w14:textFill>
        </w:rPr>
        <w:t>磋商须知前附表</w:t>
      </w:r>
      <w:bookmarkEnd w:id="5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8833"/>
      </w:tblGrid>
      <w:tr w14:paraId="5223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97" w:type="dxa"/>
          </w:tcPr>
          <w:p w14:paraId="1C12D3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序号</w:t>
            </w:r>
          </w:p>
        </w:tc>
        <w:tc>
          <w:tcPr>
            <w:tcW w:w="8833" w:type="dxa"/>
          </w:tcPr>
          <w:p w14:paraId="25F611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内    容</w:t>
            </w:r>
          </w:p>
        </w:tc>
      </w:tr>
      <w:tr w14:paraId="7D58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97" w:type="dxa"/>
            <w:vAlign w:val="center"/>
          </w:tcPr>
          <w:p w14:paraId="0302544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w:t>
            </w:r>
          </w:p>
        </w:tc>
        <w:tc>
          <w:tcPr>
            <w:tcW w:w="8833" w:type="dxa"/>
            <w:vAlign w:val="center"/>
          </w:tcPr>
          <w:p w14:paraId="428EAA12">
            <w:pPr>
              <w:spacing w:line="360" w:lineRule="auto"/>
              <w:ind w:left="2"/>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一、工程综合说明：</w:t>
            </w:r>
          </w:p>
          <w:p w14:paraId="2AEB403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1、项目名称：</w:t>
            </w:r>
            <w:r>
              <w:rPr>
                <w:rFonts w:hint="eastAsia" w:ascii="宋体" w:hAnsi="宋体" w:eastAsia="宋体" w:cs="宋体"/>
                <w:color w:val="000000" w:themeColor="text1"/>
                <w:szCs w:val="21"/>
                <w:highlight w:val="none"/>
                <w:lang w:eastAsia="zh-CN"/>
                <w14:textFill>
                  <w14:solidFill>
                    <w14:schemeClr w14:val="tx1"/>
                  </w14:solidFill>
                </w14:textFill>
              </w:rPr>
              <w:t>港南区新塘镇蒙大村道路硬化建设以工代赈项目（重）</w:t>
            </w:r>
            <w:r>
              <w:rPr>
                <w:rFonts w:hint="eastAsia" w:ascii="宋体" w:hAnsi="宋体" w:eastAsia="宋体" w:cs="宋体"/>
                <w:color w:val="000000" w:themeColor="text1"/>
                <w:szCs w:val="21"/>
                <w:highlight w:val="none"/>
                <w14:textFill>
                  <w14:solidFill>
                    <w14:schemeClr w14:val="tx1"/>
                  </w14:solidFill>
                </w14:textFill>
              </w:rPr>
              <w:t>。</w:t>
            </w:r>
          </w:p>
          <w:p w14:paraId="78F328B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2、项目编号：</w:t>
            </w:r>
            <w:r>
              <w:rPr>
                <w:rFonts w:hint="eastAsia" w:ascii="宋体" w:hAnsi="宋体" w:eastAsia="宋体" w:cs="宋体"/>
                <w:color w:val="000000" w:themeColor="text1"/>
                <w:szCs w:val="21"/>
                <w:highlight w:val="none"/>
                <w:lang w:eastAsia="zh-CN"/>
                <w14:textFill>
                  <w14:solidFill>
                    <w14:schemeClr w14:val="tx1"/>
                  </w14:solidFill>
                </w14:textFill>
              </w:rPr>
              <w:t>GGZC2026-C2-030092-ZSKC</w:t>
            </w:r>
            <w:r>
              <w:rPr>
                <w:rFonts w:hint="eastAsia" w:ascii="宋体" w:hAnsi="宋体" w:eastAsia="宋体" w:cs="宋体"/>
                <w:color w:val="000000" w:themeColor="text1"/>
                <w:szCs w:val="21"/>
                <w:highlight w:val="none"/>
                <w14:textFill>
                  <w14:solidFill>
                    <w14:schemeClr w14:val="tx1"/>
                  </w14:solidFill>
                </w14:textFill>
              </w:rPr>
              <w:t>。</w:t>
            </w:r>
          </w:p>
          <w:p w14:paraId="5B3AED13">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3、建设地点：</w:t>
            </w:r>
            <w:r>
              <w:rPr>
                <w:rFonts w:hint="eastAsia" w:ascii="宋体" w:hAnsi="宋体" w:eastAsia="宋体" w:cs="宋体"/>
                <w:color w:val="000000" w:themeColor="text1"/>
                <w:szCs w:val="21"/>
                <w:highlight w:val="none"/>
                <w:lang w:eastAsia="zh-CN"/>
                <w14:textFill>
                  <w14:solidFill>
                    <w14:schemeClr w14:val="tx1"/>
                  </w14:solidFill>
                </w14:textFill>
              </w:rPr>
              <w:t>贵港市港南区新塘镇蒙大村</w:t>
            </w:r>
            <w:r>
              <w:rPr>
                <w:rFonts w:hint="eastAsia" w:ascii="宋体" w:hAnsi="宋体" w:eastAsia="宋体" w:cs="宋体"/>
                <w:color w:val="000000" w:themeColor="text1"/>
                <w:szCs w:val="21"/>
                <w:highlight w:val="none"/>
                <w14:textFill>
                  <w14:solidFill>
                    <w14:schemeClr w14:val="tx1"/>
                  </w14:solidFill>
                </w14:textFill>
              </w:rPr>
              <w:t>。</w:t>
            </w:r>
          </w:p>
          <w:p w14:paraId="33390CD2">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4、承包方式：</w:t>
            </w:r>
            <w:r>
              <w:rPr>
                <w:rFonts w:hint="eastAsia" w:ascii="宋体" w:hAnsi="宋体" w:eastAsia="宋体" w:cs="Calibri"/>
                <w:color w:val="000000" w:themeColor="text1"/>
                <w:szCs w:val="21"/>
                <w:highlight w:val="none"/>
                <w14:textFill>
                  <w14:solidFill>
                    <w14:schemeClr w14:val="tx1"/>
                  </w14:solidFill>
                </w14:textFill>
              </w:rPr>
              <w:t>本工程采用固定综合单价合同，结算时的工程量按实际发生的工程量，材料价格按施工期间贵港市建设工程的信息价格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67B69467">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5、质量要求：达到国家和行业颁发的施工及验收规程规范要求。</w:t>
            </w:r>
          </w:p>
          <w:p w14:paraId="696D99C3">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6、计划开工时间：</w:t>
            </w:r>
            <w:r>
              <w:rPr>
                <w:rFonts w:hint="eastAsia" w:ascii="宋体" w:hAnsi="宋体" w:eastAsia="宋体" w:cs="宋体"/>
                <w:color w:val="000000" w:themeColor="text1"/>
                <w:szCs w:val="21"/>
                <w:highlight w:val="none"/>
                <w:lang w:eastAsia="zh-CN"/>
                <w14:textFill>
                  <w14:solidFill>
                    <w14:schemeClr w14:val="tx1"/>
                  </w14:solidFill>
                </w14:textFill>
              </w:rPr>
              <w:t>自合同签订之日起3日内</w:t>
            </w:r>
            <w:r>
              <w:rPr>
                <w:rFonts w:hint="eastAsia" w:ascii="宋体" w:hAnsi="宋体" w:eastAsia="宋体" w:cs="宋体"/>
                <w:color w:val="000000" w:themeColor="text1"/>
                <w:szCs w:val="21"/>
                <w:highlight w:val="none"/>
                <w14:textFill>
                  <w14:solidFill>
                    <w14:schemeClr w14:val="tx1"/>
                  </w14:solidFill>
                </w14:textFill>
              </w:rPr>
              <w:t>。</w:t>
            </w:r>
          </w:p>
          <w:p w14:paraId="5B7AD9EF">
            <w:pPr>
              <w:spacing w:line="360" w:lineRule="auto"/>
              <w:ind w:left="2"/>
              <w:jc w:val="left"/>
              <w:rPr>
                <w:rFonts w:hint="eastAsia" w:ascii="宋体" w:hAnsi="宋体" w:eastAsia="宋体" w:cs="仿宋"/>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7、本项目采购范围：本项目为港南区新塘镇蒙大村道路硬化建设以工代赈项目，对贵港市港南区新塘镇蒙大村5条碎石老路进行破除新建，道路总长1957米。</w:t>
            </w:r>
            <w:r>
              <w:rPr>
                <w:rFonts w:hint="eastAsia" w:ascii="宋体" w:hAnsi="宋体" w:eastAsia="宋体" w:cs="仿宋"/>
                <w:color w:val="000000" w:themeColor="text1"/>
                <w:szCs w:val="21"/>
                <w:highlight w:val="none"/>
                <w:lang w:eastAsia="zh-CN"/>
                <w14:textFill>
                  <w14:solidFill>
                    <w14:schemeClr w14:val="tx1"/>
                  </w14:solidFill>
                </w14:textFill>
              </w:rPr>
              <w:t>如需进一步了解详细内容，具体内容详见工程量清单及图纸。</w:t>
            </w:r>
          </w:p>
          <w:p w14:paraId="3E986B25">
            <w:pPr>
              <w:spacing w:line="360" w:lineRule="auto"/>
              <w:ind w:left="2"/>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r>
              <w:rPr>
                <w:rFonts w:hint="eastAsia" w:ascii="宋体" w:hAnsi="宋体" w:eastAsia="宋体" w:cs="Calibri"/>
                <w:color w:val="000000" w:themeColor="text1"/>
                <w:szCs w:val="21"/>
                <w:highlight w:val="none"/>
                <w14:textFill>
                  <w14:solidFill>
                    <w14:schemeClr w14:val="tx1"/>
                  </w14:solidFill>
                </w14:textFill>
              </w:rPr>
              <w:t>要求工期：</w:t>
            </w:r>
            <w:r>
              <w:rPr>
                <w:rFonts w:hint="eastAsia" w:ascii="宋体" w:hAnsi="宋体" w:eastAsia="宋体" w:cs="Calibri"/>
                <w:color w:val="000000" w:themeColor="text1"/>
                <w:szCs w:val="21"/>
                <w:highlight w:val="none"/>
                <w:lang w:val="en-US" w:eastAsia="zh-CN"/>
                <w14:textFill>
                  <w14:solidFill>
                    <w14:schemeClr w14:val="tx1"/>
                  </w14:solidFill>
                </w14:textFill>
              </w:rPr>
              <w:t>270日历天</w:t>
            </w:r>
            <w:r>
              <w:rPr>
                <w:rFonts w:hint="eastAsia" w:ascii="宋体" w:hAnsi="宋体" w:eastAsia="宋体" w:cs="Calibri"/>
                <w:color w:val="000000" w:themeColor="text1"/>
                <w:szCs w:val="21"/>
                <w:highlight w:val="none"/>
                <w14:textFill>
                  <w14:solidFill>
                    <w14:schemeClr w14:val="tx1"/>
                  </w14:solidFill>
                </w14:textFill>
              </w:rPr>
              <w:t>。</w:t>
            </w:r>
          </w:p>
          <w:p w14:paraId="1EA6104E">
            <w:pPr>
              <w:spacing w:line="360" w:lineRule="auto"/>
              <w:ind w:left="2"/>
              <w:rPr>
                <w:rFonts w:hint="default" w:ascii="宋体" w:hAnsi="宋体" w:eastAsia="宋体" w:cs="Calibri"/>
                <w:color w:val="auto"/>
                <w:szCs w:val="21"/>
                <w:highlight w:val="none"/>
                <w:lang w:val="en-US" w:eastAsia="zh-CN"/>
              </w:rPr>
            </w:pPr>
            <w:r>
              <w:rPr>
                <w:rFonts w:hint="eastAsia" w:ascii="宋体" w:hAnsi="宋体" w:eastAsia="宋体" w:cs="Calibri"/>
                <w:color w:val="auto"/>
                <w:highlight w:val="none"/>
              </w:rPr>
              <w:t>9、预付款支付比例或金额：</w:t>
            </w:r>
            <w:r>
              <w:rPr>
                <w:rFonts w:hint="eastAsia" w:ascii="宋体" w:hAnsi="宋体" w:eastAsia="宋体" w:cs="Calibri"/>
                <w:b/>
                <w:bCs/>
                <w:color w:val="auto"/>
                <w:highlight w:val="none"/>
                <w:lang w:val="en-US" w:eastAsia="zh-CN"/>
              </w:rPr>
              <w:t>签约合同价(扣除暂列金)30%。</w:t>
            </w:r>
          </w:p>
          <w:p w14:paraId="4B98645A">
            <w:pPr>
              <w:widowControl/>
              <w:spacing w:line="360" w:lineRule="auto"/>
              <w:jc w:val="left"/>
              <w:rPr>
                <w:rFonts w:hint="eastAsia" w:ascii="宋体" w:hAnsi="宋体" w:eastAsia="宋体" w:cs="Calibri"/>
                <w:color w:val="auto"/>
                <w:szCs w:val="21"/>
                <w:highlight w:val="none"/>
              </w:rPr>
            </w:pPr>
            <w:r>
              <w:rPr>
                <w:rFonts w:hint="eastAsia" w:ascii="宋体" w:hAnsi="宋体" w:eastAsia="宋体" w:cs="Times New Roman"/>
                <w:bCs/>
                <w:color w:val="auto"/>
                <w:highlight w:val="none"/>
              </w:rPr>
              <w:t>10、工程款支付方式：</w:t>
            </w:r>
            <w:r>
              <w:rPr>
                <w:rFonts w:hint="eastAsia" w:ascii="宋体" w:hAnsi="宋体" w:eastAsia="宋体" w:cs="Calibri"/>
                <w:b/>
                <w:bCs/>
                <w:color w:val="auto"/>
                <w:szCs w:val="21"/>
                <w:highlight w:val="none"/>
              </w:rPr>
              <w:t>关于付款周期的约定:在具备开工条件，监理出具开工令，由施工单位申请，建设单位收到申请后15日内办理支付30%的工程预付款手续送财政审核拨付(因涉及财政资金，具体到账时间以财政拨款到账时间为准)</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按工程进度支付工程进度款，每期进度款按当期已完合格工程量的90%支付</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工程完工验收合格后，累计支付至合同价款的97%</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承包人向发包人提交经发包人认可的银行出具的、金额为审计结算价3%的质量保证金保函后，发包人应在收到保函之日起7个工作日内将累计支付比例提高至合同价款的100%(即剩余3%不再扣留现金，以保函方式替代);竣工结算经有关部门审定后，发包人应在结算审定之日起7个工作日内将工程款支付至结算审定总价的100%(含已支付)</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承包人提供的质量保证金保函有效期应覆盖缺陷责任期(12个月)，缺陷责任期满后，无工程缺陷的，保函自动失效，发包人应在收到承包人书面申请后7个工作日内将保函原件退还承包人。</w:t>
            </w:r>
          </w:p>
          <w:p w14:paraId="1D82F568">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11、合同签订时间：</w:t>
            </w:r>
            <w:r>
              <w:rPr>
                <w:rFonts w:hint="eastAsia" w:ascii="宋体" w:hAnsi="Times New Roman" w:eastAsia="宋体" w:cs="Times New Roman"/>
                <w:color w:val="000000" w:themeColor="text1"/>
                <w:szCs w:val="21"/>
                <w:highlight w:val="none"/>
                <w14:textFill>
                  <w14:solidFill>
                    <w14:schemeClr w14:val="tx1"/>
                  </w14:solidFill>
                </w14:textFill>
              </w:rPr>
              <w:t>成交通知书发出之日起25日内与采购人签订合同。</w:t>
            </w:r>
          </w:p>
          <w:p w14:paraId="43151A94">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二、工程计算依据：</w:t>
            </w:r>
          </w:p>
          <w:p w14:paraId="6849EBCC">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1.2024年版（GB/T50500-2024）《建设工程工程量清单计价标准》</w:t>
            </w:r>
          </w:p>
          <w:p w14:paraId="4586F991">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2.2022年《广西壮族自治区市政工程消耗量定额》及配套的费用定额。</w:t>
            </w:r>
          </w:p>
          <w:p w14:paraId="3B9616B1">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3.2016年《广西壮族自治区建设工程费用定额》（桂建标〔2016〕16号），工程管理费及利润取中值。</w:t>
            </w:r>
          </w:p>
          <w:p w14:paraId="536323E5">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4.《关于调整建设工程定额人工费及有关费率通知》（桂建标〔2023〕7号）。</w:t>
            </w:r>
          </w:p>
          <w:p w14:paraId="68C0A325">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5.《广西壮族自治区住房城乡建设厅关于调整建设工程计价增值税税率的通知》（桂建标〔2019〕12号），本</w:t>
            </w:r>
            <w:r>
              <w:rPr>
                <w:rFonts w:hint="eastAsia" w:ascii="宋体" w:hAnsi="宋体" w:eastAsia="宋体" w:cs="Calibri"/>
                <w:color w:val="000000" w:themeColor="text1"/>
                <w:szCs w:val="21"/>
                <w:highlight w:val="none"/>
                <w:lang w:val="en-US" w:eastAsia="zh-CN"/>
                <w14:textFill>
                  <w14:solidFill>
                    <w14:schemeClr w14:val="tx1"/>
                  </w14:solidFill>
                </w14:textFill>
              </w:rPr>
              <w:t>工程</w:t>
            </w:r>
            <w:r>
              <w:rPr>
                <w:rFonts w:hint="eastAsia" w:ascii="宋体" w:hAnsi="宋体" w:eastAsia="宋体" w:cs="Calibri"/>
                <w:color w:val="000000" w:themeColor="text1"/>
                <w:szCs w:val="21"/>
                <w:highlight w:val="none"/>
                <w14:textFill>
                  <w14:solidFill>
                    <w14:schemeClr w14:val="tx1"/>
                  </w14:solidFill>
                </w14:textFill>
              </w:rPr>
              <w:t>按一般计税法计算，税率9%。</w:t>
            </w:r>
          </w:p>
          <w:p w14:paraId="63F8AED0">
            <w:pPr>
              <w:spacing w:line="360" w:lineRule="auto"/>
              <w:ind w:left="2"/>
              <w:jc w:val="left"/>
              <w:rPr>
                <w:rFonts w:cs="宋体" w:asciiTheme="minorEastAsia" w:hAnsiTheme="minorEastAsia"/>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lang w:val="en-US" w:eastAsia="zh-CN"/>
                <w14:textFill>
                  <w14:solidFill>
                    <w14:schemeClr w14:val="tx1"/>
                  </w14:solidFill>
                </w14:textFill>
              </w:rPr>
              <w:t>6.</w:t>
            </w:r>
            <w:r>
              <w:rPr>
                <w:rFonts w:hint="eastAsia" w:ascii="宋体" w:hAnsi="宋体" w:eastAsia="宋体" w:cs="Calibri"/>
                <w:color w:val="000000" w:themeColor="text1"/>
                <w:szCs w:val="21"/>
                <w:highlight w:val="none"/>
                <w14:textFill>
                  <w14:solidFill>
                    <w14:schemeClr w14:val="tx1"/>
                  </w14:solidFill>
                </w14:textFill>
              </w:rPr>
              <w:t>材料价格按《贵港市建设工程造价信息》2026年第3期中的“除税价格”，缺项材料按市场询价除税后计入综合单价等。</w:t>
            </w:r>
          </w:p>
        </w:tc>
      </w:tr>
      <w:tr w14:paraId="5DF3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97" w:type="dxa"/>
            <w:vAlign w:val="center"/>
          </w:tcPr>
          <w:p w14:paraId="6A5892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w:t>
            </w:r>
          </w:p>
        </w:tc>
        <w:tc>
          <w:tcPr>
            <w:tcW w:w="8833" w:type="dxa"/>
            <w:vAlign w:val="center"/>
          </w:tcPr>
          <w:p w14:paraId="20A48AC9">
            <w:pPr>
              <w:spacing w:line="360" w:lineRule="auto"/>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供应商资格：</w:t>
            </w:r>
          </w:p>
          <w:p w14:paraId="1484A413">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、满足《中华人民共和国政府采购法》第二十二条规定；</w:t>
            </w:r>
          </w:p>
          <w:p w14:paraId="6FFC72F6">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落实政府采购政策需满足的资格要求：本项目专门面向中小企业采购，供应商应为中小微企业或监狱企业或残疾人福利性单位</w:t>
            </w:r>
            <w:r>
              <w:rPr>
                <w:rFonts w:hint="eastAsia" w:ascii="宋体" w:hAnsi="宋体" w:eastAsia="宋体" w:cs="仿宋"/>
                <w:b/>
                <w:bCs/>
                <w:color w:val="000000" w:themeColor="text1"/>
                <w:szCs w:val="21"/>
                <w:highlight w:val="none"/>
                <w:u w:val="none"/>
                <w:lang w:eastAsia="zh-CN"/>
                <w14:textFill>
                  <w14:solidFill>
                    <w14:schemeClr w14:val="tx1"/>
                  </w14:solidFill>
                </w14:textFill>
              </w:rPr>
              <w:t>。</w:t>
            </w:r>
          </w:p>
          <w:p w14:paraId="7339E7D9">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仿宋"/>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3</w:t>
            </w:r>
            <w:r>
              <w:rPr>
                <w:rFonts w:hint="eastAsia" w:ascii="宋体" w:hAnsi="宋体" w:eastAsia="宋体" w:cs="仿宋"/>
                <w:color w:val="000000" w:themeColor="text1"/>
                <w:szCs w:val="21"/>
                <w:highlight w:val="none"/>
                <w14:textFill>
                  <w14:solidFill>
                    <w14:schemeClr w14:val="tx1"/>
                  </w14:solidFill>
                </w14:textFill>
              </w:rPr>
              <w:t>、本项目的特定资格要求：</w:t>
            </w:r>
          </w:p>
          <w:p w14:paraId="606E5F8A">
            <w:pPr>
              <w:keepNext w:val="0"/>
              <w:keepLines w:val="0"/>
              <w:pageBreakBefore w:val="0"/>
              <w:kinsoku/>
              <w:wordWrap/>
              <w:overflowPunct/>
              <w:topLinePunct w:val="0"/>
              <w:autoSpaceDE/>
              <w:autoSpaceDN/>
              <w:bidi w:val="0"/>
              <w:adjustRightInd/>
              <w:snapToGrid/>
              <w:spacing w:line="430" w:lineRule="exact"/>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（1）国内注册（指按国家有关规定要求注册的），具备独立法人资格，具有</w:t>
            </w:r>
            <w:r>
              <w:rPr>
                <w:rFonts w:hint="eastAsia" w:ascii="宋体" w:hAnsi="宋体" w:eastAsia="宋体" w:cs="仿宋"/>
                <w:color w:val="000000" w:themeColor="text1"/>
                <w:szCs w:val="21"/>
                <w:highlight w:val="none"/>
                <w:lang w:val="en-US" w:eastAsia="zh-CN"/>
                <w14:textFill>
                  <w14:solidFill>
                    <w14:schemeClr w14:val="tx1"/>
                  </w14:solidFill>
                </w14:textFill>
              </w:rPr>
              <w:t>市政公用</w:t>
            </w:r>
            <w:r>
              <w:rPr>
                <w:rFonts w:hint="eastAsia" w:ascii="宋体" w:hAnsi="宋体" w:eastAsia="宋体" w:cs="仿宋"/>
                <w:color w:val="000000" w:themeColor="text1"/>
                <w:szCs w:val="21"/>
                <w:highlight w:val="none"/>
                <w14:textFill>
                  <w14:solidFill>
                    <w14:schemeClr w14:val="tx1"/>
                  </w14:solidFill>
                </w14:textFill>
              </w:rPr>
              <w:t>工程施工总承包三级(含</w:t>
            </w:r>
            <w:r>
              <w:rPr>
                <w:rFonts w:hint="eastAsia" w:ascii="宋体" w:hAnsi="宋体" w:eastAsia="宋体" w:cs="仿宋"/>
                <w:color w:val="000000" w:themeColor="text1"/>
                <w:szCs w:val="21"/>
                <w:highlight w:val="none"/>
                <w:lang w:val="en-US" w:eastAsia="zh-CN"/>
                <w14:textFill>
                  <w14:solidFill>
                    <w14:schemeClr w14:val="tx1"/>
                  </w14:solidFill>
                </w14:textFill>
              </w:rPr>
              <w:t>本级</w:t>
            </w:r>
            <w:r>
              <w:rPr>
                <w:rFonts w:hint="eastAsia" w:ascii="宋体" w:hAnsi="宋体" w:eastAsia="宋体" w:cs="仿宋"/>
                <w:color w:val="000000" w:themeColor="text1"/>
                <w:szCs w:val="21"/>
                <w:highlight w:val="none"/>
                <w14:textFill>
                  <w14:solidFill>
                    <w14:schemeClr w14:val="tx1"/>
                  </w14:solidFill>
                </w14:textFill>
              </w:rPr>
              <w:t>)以上资质，具有省级及以上建设行政主管部门颁发的安全生产许可证，并在人员、设备、资金、技术能力等方面具有相应施工能力的供应商；</w:t>
            </w:r>
          </w:p>
          <w:p w14:paraId="50E0BA3D">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（2）拟投入本工程的项目经理持有</w:t>
            </w:r>
            <w:r>
              <w:rPr>
                <w:rFonts w:hint="eastAsia" w:ascii="宋体" w:hAnsi="宋体" w:eastAsia="宋体" w:cs="仿宋"/>
                <w:color w:val="000000" w:themeColor="text1"/>
                <w:szCs w:val="21"/>
                <w:highlight w:val="none"/>
                <w:lang w:val="en-US" w:eastAsia="zh-CN"/>
                <w14:textFill>
                  <w14:solidFill>
                    <w14:schemeClr w14:val="tx1"/>
                  </w14:solidFill>
                </w14:textFill>
              </w:rPr>
              <w:t>市政公用</w:t>
            </w:r>
            <w:r>
              <w:rPr>
                <w:rFonts w:hint="eastAsia" w:ascii="宋体" w:hAnsi="宋体" w:eastAsia="宋体" w:cs="仿宋"/>
                <w:color w:val="000000" w:themeColor="text1"/>
                <w:szCs w:val="21"/>
                <w:highlight w:val="none"/>
                <w14:textFill>
                  <w14:solidFill>
                    <w14:schemeClr w14:val="tx1"/>
                  </w14:solidFill>
                </w14:textFill>
              </w:rPr>
              <w:t>工程专业二级以上（含本级）注册建造师执业资格；持有省级或省级以上行政主管部门颁发的B类安全生产考核合格证；本项目不接受有在建、已中标未开工或已列为其他项目中标候选人第一名的建造师作为项目经理（符合《广西壮族自治区建筑市场诚信卡管理暂行办法》第十六条第一款除外）；</w:t>
            </w:r>
          </w:p>
        </w:tc>
      </w:tr>
      <w:tr w14:paraId="269F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7" w:type="dxa"/>
            <w:vAlign w:val="center"/>
          </w:tcPr>
          <w:p w14:paraId="4DCF5ECF">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w:t>
            </w:r>
          </w:p>
        </w:tc>
        <w:tc>
          <w:tcPr>
            <w:tcW w:w="8833" w:type="dxa"/>
            <w:vAlign w:val="center"/>
          </w:tcPr>
          <w:p w14:paraId="1FBC482A">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报价方式：采用人民币报价</w:t>
            </w:r>
          </w:p>
          <w:p w14:paraId="3C47FEE1">
            <w:pPr>
              <w:spacing w:line="360" w:lineRule="auto"/>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本项目采购预算价：</w:t>
            </w:r>
            <w:r>
              <w:rPr>
                <w:rFonts w:hint="eastAsia" w:ascii="宋体" w:hAnsi="宋体" w:eastAsia="宋体" w:cs="仿宋"/>
                <w:b/>
                <w:bCs w:val="0"/>
                <w:color w:val="000000" w:themeColor="text1"/>
                <w:szCs w:val="21"/>
                <w:highlight w:val="none"/>
                <w:u w:val="double"/>
                <w14:textFill>
                  <w14:solidFill>
                    <w14:schemeClr w14:val="tx1"/>
                  </w14:solidFill>
                </w14:textFill>
              </w:rPr>
              <w:t>人民币</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贰佰陆拾玖万捌仟陆佰叁拾贰元整</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2698632.00</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w:t>
            </w:r>
          </w:p>
          <w:p w14:paraId="5BAC39FD">
            <w:pPr>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注：供应商的总报价超出采购预算价的均作无效磋商处理。</w:t>
            </w:r>
          </w:p>
        </w:tc>
      </w:tr>
      <w:tr w14:paraId="2809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97" w:type="dxa"/>
            <w:vAlign w:val="center"/>
          </w:tcPr>
          <w:p w14:paraId="26B505C3">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w:t>
            </w:r>
          </w:p>
        </w:tc>
        <w:tc>
          <w:tcPr>
            <w:tcW w:w="8833" w:type="dxa"/>
            <w:vAlign w:val="center"/>
          </w:tcPr>
          <w:p w14:paraId="3A8DAA88">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磋商有效期：磋商截止日期后60天。</w:t>
            </w:r>
          </w:p>
        </w:tc>
      </w:tr>
      <w:tr w14:paraId="6CCC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97" w:type="dxa"/>
            <w:vAlign w:val="center"/>
          </w:tcPr>
          <w:p w14:paraId="6C3675DC">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w:t>
            </w:r>
          </w:p>
        </w:tc>
        <w:tc>
          <w:tcPr>
            <w:tcW w:w="8833" w:type="dxa"/>
            <w:vAlign w:val="center"/>
          </w:tcPr>
          <w:p w14:paraId="3223DFD7">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磋商响应文件份数：一份。</w:t>
            </w:r>
          </w:p>
        </w:tc>
      </w:tr>
      <w:tr w14:paraId="0A08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97" w:type="dxa"/>
            <w:vAlign w:val="center"/>
          </w:tcPr>
          <w:p w14:paraId="30F261B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w:t>
            </w:r>
          </w:p>
        </w:tc>
        <w:tc>
          <w:tcPr>
            <w:tcW w:w="8833" w:type="dxa"/>
            <w:vAlign w:val="center"/>
          </w:tcPr>
          <w:p w14:paraId="313EFB54">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磋商保证金：无。</w:t>
            </w:r>
          </w:p>
        </w:tc>
      </w:tr>
      <w:tr w14:paraId="2925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97" w:type="dxa"/>
            <w:vAlign w:val="center"/>
          </w:tcPr>
          <w:p w14:paraId="6A1391A5">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w:t>
            </w:r>
          </w:p>
        </w:tc>
        <w:tc>
          <w:tcPr>
            <w:tcW w:w="8833" w:type="dxa"/>
            <w:vAlign w:val="center"/>
          </w:tcPr>
          <w:p w14:paraId="102D575D">
            <w:pPr>
              <w:spacing w:line="360" w:lineRule="auto"/>
              <w:jc w:val="left"/>
              <w:rPr>
                <w:rFonts w:ascii="Times New Roman" w:hAnsi="Times New Roman"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磋商响应文件递交截止时间与截标时间：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2026年09月14日9点00分</w:t>
            </w:r>
            <w:r>
              <w:rPr>
                <w:rFonts w:hint="eastAsia" w:ascii="宋体" w:hAnsi="宋体" w:eastAsia="宋体" w:cs="宋体"/>
                <w:color w:val="000000" w:themeColor="text1"/>
                <w:szCs w:val="21"/>
                <w:highlight w:val="none"/>
                <w14:textFill>
                  <w14:solidFill>
                    <w14:schemeClr w14:val="tx1"/>
                  </w14:solidFill>
                </w14:textFill>
              </w:rPr>
              <w:t>。</w:t>
            </w:r>
          </w:p>
        </w:tc>
      </w:tr>
      <w:tr w14:paraId="1B7E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97" w:type="dxa"/>
            <w:vAlign w:val="center"/>
          </w:tcPr>
          <w:p w14:paraId="4D108336">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8</w:t>
            </w:r>
          </w:p>
        </w:tc>
        <w:tc>
          <w:tcPr>
            <w:tcW w:w="8833" w:type="dxa"/>
            <w:vAlign w:val="center"/>
          </w:tcPr>
          <w:p w14:paraId="32A211DC">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磋商时间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u w:val="single"/>
                <w:lang w:eastAsia="zh-CN"/>
                <w14:textFill>
                  <w14:solidFill>
                    <w14:schemeClr w14:val="tx1"/>
                  </w14:solidFill>
                </w14:textFill>
              </w:rPr>
              <w:t>2026年09月14日9点00分</w:t>
            </w:r>
            <w:r>
              <w:rPr>
                <w:rFonts w:hint="eastAsia" w:ascii="宋体" w:hAnsi="宋体" w:eastAsia="宋体" w:cs="宋体"/>
                <w:color w:val="000000" w:themeColor="text1"/>
                <w:szCs w:val="21"/>
                <w:highlight w:val="none"/>
                <w14:textFill>
                  <w14:solidFill>
                    <w14:schemeClr w14:val="tx1"/>
                  </w14:solidFill>
                </w14:textFill>
              </w:rPr>
              <w:t>截标后。</w:t>
            </w:r>
          </w:p>
          <w:p w14:paraId="74678855">
            <w:pPr>
              <w:spacing w:line="360" w:lineRule="auto"/>
              <w:jc w:val="left"/>
              <w:rPr>
                <w:rFonts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磋商地点：</w:t>
            </w:r>
            <w:r>
              <w:rPr>
                <w:rFonts w:hint="eastAsia" w:ascii="宋体" w:hAnsi="宋体" w:eastAsia="宋体" w:cs="Times New Roman"/>
                <w:bCs/>
                <w:color w:val="000000" w:themeColor="text1"/>
                <w:szCs w:val="21"/>
                <w:highlight w:val="none"/>
                <w:u w:val="none"/>
                <w14:textFill>
                  <w14:solidFill>
                    <w14:schemeClr w14:val="tx1"/>
                  </w14:solidFill>
                </w14:textFill>
              </w:rPr>
              <w:t>通过广西政府采购云平台（网址：</w:t>
            </w:r>
            <w:r>
              <w:rPr>
                <w:rFonts w:ascii="宋体" w:hAnsi="宋体" w:eastAsia="宋体" w:cs="Times New Roman"/>
                <w:bCs/>
                <w:color w:val="000000" w:themeColor="text1"/>
                <w:szCs w:val="21"/>
                <w:highlight w:val="none"/>
                <w:u w:val="none"/>
                <w14:textFill>
                  <w14:solidFill>
                    <w14:schemeClr w14:val="tx1"/>
                  </w14:solidFill>
                </w14:textFill>
              </w:rPr>
              <w:t>https://www.gcy.zfcg.gxzf.gov.cn/</w:t>
            </w:r>
            <w:r>
              <w:rPr>
                <w:rFonts w:hint="eastAsia" w:ascii="宋体" w:hAnsi="宋体" w:eastAsia="宋体" w:cs="Times New Roman"/>
                <w:bCs/>
                <w:color w:val="000000" w:themeColor="text1"/>
                <w:szCs w:val="21"/>
                <w:highlight w:val="none"/>
                <w:u w:val="none"/>
                <w14:textFill>
                  <w14:solidFill>
                    <w14:schemeClr w14:val="tx1"/>
                  </w14:solidFill>
                </w14:textFill>
              </w:rPr>
              <w:t>）实行在线投标（本项目不要求投标供应商到达开标现场，但供应商应派法定代表人（或负责人）或委托代理人准时在线出席电子开评标会议，随时关注开评标进度，如在开评标过程中有电子询标，应在规定的时间内对电子询标函进行澄清回复。）</w:t>
            </w:r>
          </w:p>
        </w:tc>
      </w:tr>
      <w:tr w14:paraId="43BA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97" w:type="dxa"/>
            <w:vAlign w:val="center"/>
          </w:tcPr>
          <w:p w14:paraId="149A80E0">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9</w:t>
            </w:r>
          </w:p>
        </w:tc>
        <w:tc>
          <w:tcPr>
            <w:tcW w:w="8833" w:type="dxa"/>
            <w:vAlign w:val="center"/>
          </w:tcPr>
          <w:p w14:paraId="0B7EF4ED">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采购代理服务费：</w:t>
            </w:r>
            <w:r>
              <w:rPr>
                <w:rFonts w:hint="eastAsia" w:hAnsi="宋体" w:cs="宋体"/>
                <w:color w:val="auto"/>
                <w:sz w:val="21"/>
                <w:highlight w:val="none"/>
              </w:rPr>
              <w:t>本项目的招标代理服务费以中标（成交）金额为计费基数，按《招标代理服务收费管理暂行办法》（计价格〔2002〕1980号）</w:t>
            </w:r>
            <w:r>
              <w:rPr>
                <w:rFonts w:hint="eastAsia" w:hAnsi="宋体" w:cs="宋体"/>
                <w:color w:val="auto"/>
                <w:sz w:val="21"/>
                <w:highlight w:val="none"/>
                <w:lang w:val="en-US" w:eastAsia="zh-CN"/>
              </w:rPr>
              <w:t>工程</w:t>
            </w:r>
            <w:r>
              <w:rPr>
                <w:rFonts w:hint="eastAsia" w:hAnsi="宋体" w:cs="宋体"/>
                <w:color w:val="auto"/>
                <w:sz w:val="21"/>
                <w:highlight w:val="none"/>
              </w:rPr>
              <w:t>类项目计算标准收取，由中标（成交）供应商在领取中标（成交）通知书前一次性支付</w:t>
            </w:r>
            <w:r>
              <w:rPr>
                <w:rFonts w:ascii="宋体" w:hAnsi="宋体" w:eastAsia="宋体" w:cs="宋体"/>
                <w:color w:val="000000" w:themeColor="text1"/>
                <w:szCs w:val="21"/>
                <w:highlight w:val="none"/>
                <w14:textFill>
                  <w14:solidFill>
                    <w14:schemeClr w14:val="tx1"/>
                  </w14:solidFill>
                </w14:textFill>
              </w:rPr>
              <w:t>。缴纳帐户如下：</w:t>
            </w:r>
            <w:r>
              <w:rPr>
                <w:rFonts w:hint="eastAsia" w:ascii="宋体" w:hAnsi="宋体" w:eastAsia="宋体" w:cs="宋体"/>
                <w:color w:val="000000" w:themeColor="text1"/>
                <w:szCs w:val="21"/>
                <w:highlight w:val="none"/>
                <w14:textFill>
                  <w14:solidFill>
                    <w14:schemeClr w14:val="tx1"/>
                  </w14:solidFill>
                </w14:textFill>
              </w:rPr>
              <w:t xml:space="preserve"> </w:t>
            </w:r>
          </w:p>
          <w:p w14:paraId="0DF57D50">
            <w:pPr>
              <w:adjustRightInd w:val="0"/>
              <w:spacing w:line="360" w:lineRule="auto"/>
              <w:textAlignment w:val="baseline"/>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开户行名称：</w:t>
            </w:r>
            <w:r>
              <w:rPr>
                <w:rFonts w:hint="eastAsia" w:ascii="宋体" w:hAnsi="宋体" w:eastAsia="宋体" w:cs="宋体"/>
                <w:color w:val="000000" w:themeColor="text1"/>
                <w:szCs w:val="21"/>
                <w:highlight w:val="none"/>
                <w:lang w:eastAsia="zh-CN"/>
                <w14:textFill>
                  <w14:solidFill>
                    <w14:schemeClr w14:val="tx1"/>
                  </w14:solidFill>
                </w14:textFill>
              </w:rPr>
              <w:t>泽圣勘察设计有限公司</w:t>
            </w:r>
          </w:p>
          <w:p w14:paraId="62FA97CB">
            <w:pPr>
              <w:adjustRightInd w:val="0"/>
              <w:spacing w:line="360" w:lineRule="auto"/>
              <w:textAlignment w:val="baseline"/>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开户银行：中国农业银行股份有限公司南宁建材支行</w:t>
            </w:r>
          </w:p>
          <w:p w14:paraId="59DAC5DD">
            <w:pPr>
              <w:spacing w:line="360" w:lineRule="auto"/>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银行帐号：2001 9601 0400 1067 4</w:t>
            </w:r>
          </w:p>
        </w:tc>
      </w:tr>
      <w:tr w14:paraId="1569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897" w:type="dxa"/>
            <w:vAlign w:val="center"/>
          </w:tcPr>
          <w:p w14:paraId="2FEBFA7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10</w:t>
            </w:r>
          </w:p>
        </w:tc>
        <w:tc>
          <w:tcPr>
            <w:tcW w:w="8833" w:type="dxa"/>
            <w:vAlign w:val="center"/>
          </w:tcPr>
          <w:p w14:paraId="34D520A2">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履约保证金交纳方式及金额：无。</w:t>
            </w:r>
          </w:p>
        </w:tc>
      </w:tr>
      <w:tr w14:paraId="64F7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97" w:type="dxa"/>
            <w:vAlign w:val="center"/>
          </w:tcPr>
          <w:p w14:paraId="795E999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11</w:t>
            </w:r>
          </w:p>
        </w:tc>
        <w:tc>
          <w:tcPr>
            <w:tcW w:w="8833" w:type="dxa"/>
            <w:vAlign w:val="center"/>
          </w:tcPr>
          <w:p w14:paraId="44AD30D0">
            <w:pPr>
              <w:spacing w:line="360" w:lineRule="auto"/>
              <w:rPr>
                <w:rFonts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现场踏勘是否要求：否</w:t>
            </w:r>
          </w:p>
        </w:tc>
      </w:tr>
      <w:tr w14:paraId="5FBC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4E3C36F3">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12</w:t>
            </w:r>
          </w:p>
        </w:tc>
        <w:tc>
          <w:tcPr>
            <w:tcW w:w="8833" w:type="dxa"/>
            <w:vAlign w:val="center"/>
          </w:tcPr>
          <w:p w14:paraId="362B9A09">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本工程增值税计税方法：</w:t>
            </w:r>
            <w:bookmarkStart w:id="51" w:name="EBa78b867c21d54b4b8e6e228ff716b1f8"/>
            <w:r>
              <w:rPr>
                <w:rFonts w:hint="eastAsia" w:ascii="宋体" w:hAnsi="宋体" w:eastAsia="宋体" w:cs="Times New Roman"/>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一般计税法</w:t>
            </w:r>
            <w:bookmarkEnd w:id="51"/>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MS Mincho" w:hAnsi="MS Mincho" w:eastAsia="宋体" w:cs="MS Mincho"/>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简易计税法</w:t>
            </w:r>
          </w:p>
          <w:p w14:paraId="4BDE047E">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备注：按照广西壮族自治区住房建设厅《自治区住房城乡建设厅关于营业税改征增值税后广西壮族自治区建设工程计价依据调整的通知》（桂建标[2016]17号）、关于广西壮族自治区住房和城乡建设厅文件《自治区住房城乡建设厅关于调整建设工程计价增值税税率的通知》(桂建标〔2019〕12号)、《自治区建设工程造价管理总站关于调整除税价计算适用增值税税率的通知》（桂造价〔2019〕10号）增值税税率由10%调为9%】。</w:t>
            </w:r>
          </w:p>
        </w:tc>
      </w:tr>
      <w:tr w14:paraId="097B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19FE3ED8">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13</w:t>
            </w:r>
          </w:p>
        </w:tc>
        <w:tc>
          <w:tcPr>
            <w:tcW w:w="8833" w:type="dxa"/>
            <w:vAlign w:val="center"/>
          </w:tcPr>
          <w:p w14:paraId="3B7056CA">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开标前准备：</w:t>
            </w:r>
          </w:p>
          <w:p w14:paraId="33102226">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1、本项目实行网上开标，采用磋商电子响应文件。</w:t>
            </w:r>
          </w:p>
          <w:p w14:paraId="1EE53675">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2、各供应商应在截标前应确保成为广西政府采购云平台正式注册入库供应商，并完成CA数字证书申领。如因未注册入库、未办理CA数字证书等原因造成无法磋商或磋商失败等后果由供应商自行承担。</w:t>
            </w:r>
          </w:p>
          <w:p w14:paraId="1FB3F2F8">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3、供应商将</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电子交易客户端下载、安装完成后，可通过账号密码或CA登录客户端进行响应文件制作。客户端请至网站下载专区查看，如有问题可拨打</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客户服务热线：95763进行咨询。</w:t>
            </w:r>
          </w:p>
          <w:p w14:paraId="7E7C3F1E">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磋商响应文件解密时间：</w:t>
            </w:r>
          </w:p>
          <w:p w14:paraId="147AB55A">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截标时间后30</w:t>
            </w:r>
            <w:r>
              <w:rPr>
                <w:rFonts w:hint="eastAsia" w:ascii="宋体" w:hAnsi="宋体" w:eastAsia="宋体" w:cs="Times New Roman"/>
                <w:b/>
                <w:color w:val="000000" w:themeColor="text1"/>
                <w:szCs w:val="21"/>
                <w:highlight w:val="none"/>
                <w:lang w:eastAsia="zh-CN"/>
                <w14:textFill>
                  <w14:solidFill>
                    <w14:schemeClr w14:val="tx1"/>
                  </w14:solidFill>
                </w14:textFill>
              </w:rPr>
              <w:t>分钟</w:t>
            </w:r>
            <w:r>
              <w:rPr>
                <w:rFonts w:hint="eastAsia" w:ascii="宋体" w:hAnsi="宋体" w:eastAsia="宋体" w:cs="Times New Roman"/>
                <w:b/>
                <w:color w:val="000000" w:themeColor="text1"/>
                <w:szCs w:val="21"/>
                <w:highlight w:val="none"/>
                <w14:textFill>
                  <w14:solidFill>
                    <w14:schemeClr w14:val="tx1"/>
                  </w14:solidFill>
                </w14:textFill>
              </w:rPr>
              <w:t>内</w:t>
            </w:r>
            <w:r>
              <w:rPr>
                <w:rFonts w:hint="eastAsia" w:ascii="宋体" w:hAnsi="宋体" w:eastAsia="宋体" w:cs="Times New Roman"/>
                <w:b/>
                <w:color w:val="000000" w:themeColor="text1"/>
                <w:szCs w:val="21"/>
                <w:highlight w:val="none"/>
                <w:u w:val="single"/>
                <w14:textFill>
                  <w14:solidFill>
                    <w14:schemeClr w14:val="tx1"/>
                  </w14:solidFill>
                </w14:textFill>
              </w:rPr>
              <w:t>（</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2026年09月14日9:00-9:30）</w:t>
            </w:r>
            <w:r>
              <w:rPr>
                <w:rFonts w:hint="eastAsia" w:ascii="宋体" w:hAnsi="宋体" w:eastAsia="宋体" w:cs="宋体"/>
                <w:color w:val="000000" w:themeColor="text1"/>
                <w:szCs w:val="21"/>
                <w:highlight w:val="none"/>
                <w14:textFill>
                  <w14:solidFill>
                    <w14:schemeClr w14:val="tx1"/>
                  </w14:solidFill>
                </w14:textFill>
              </w:rPr>
              <w:t>磋商人可以登录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，用“项目采购-开标评标”功能进行解密磋商响应文件。若磋商人在规定时间内无法解密或解密失败，可以以提交的电子备份磋商响应文件作为依据，如若电子备份磋商响应文件与</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上传的电子磋商响应文件被识别为不一致的，以电子备份磋商响应文件作为评审依据；磋商人按时在线解密响应文件的，以在线解密的响应文件作为评审依据。</w:t>
            </w:r>
            <w:r>
              <w:rPr>
                <w:rFonts w:hint="eastAsia" w:ascii="宋体" w:hAnsi="宋体" w:eastAsia="宋体" w:cs="宋体"/>
                <w:b/>
                <w:bCs/>
                <w:color w:val="000000" w:themeColor="text1"/>
                <w:szCs w:val="21"/>
                <w:highlight w:val="none"/>
                <w14:textFill>
                  <w14:solidFill>
                    <w14:schemeClr w14:val="tx1"/>
                  </w14:solidFill>
                </w14:textFill>
              </w:rPr>
              <w:t>若磋商人在规定时间内无法解密或解密失败且未提供电子备份磋商响应文件的，视为响应文件撤回。</w:t>
            </w:r>
          </w:p>
        </w:tc>
      </w:tr>
      <w:tr w14:paraId="0A46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4427172C">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14</w:t>
            </w:r>
          </w:p>
        </w:tc>
        <w:tc>
          <w:tcPr>
            <w:tcW w:w="8833" w:type="dxa"/>
            <w:vAlign w:val="center"/>
          </w:tcPr>
          <w:p w14:paraId="17CDFF50">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在对磋商人资格审查时进行信用查询查询渠道：“信用中国”网站(www.creditchina.gov.cn)、中国政府采购网(www.ccgp.gov.cn)等；</w:t>
            </w:r>
          </w:p>
          <w:p w14:paraId="76D048BF">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查询起止时间：自磋商单位成立之日至磋商截止时间；</w:t>
            </w:r>
          </w:p>
          <w:p w14:paraId="723C51E7">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查询记录和证据留存方式：在查询网站中直接打印查询记录，打印材料作为评审资料保存。</w:t>
            </w:r>
          </w:p>
          <w:p w14:paraId="74DB4A80">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Times New Roman" w:hAnsi="宋体" w:eastAsia="宋体" w:cs="Courier New"/>
                <w:color w:val="000000" w:themeColor="text1"/>
                <w:spacing w:val="2"/>
                <w:highlight w:val="none"/>
                <w14:textFill>
                  <w14:solidFill>
                    <w14:schemeClr w14:val="tx1"/>
                  </w14:solidFill>
                </w14:textFill>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bl>
    <w:p w14:paraId="0502DB3A">
      <w:pPr>
        <w:spacing w:line="500" w:lineRule="exact"/>
        <w:rPr>
          <w:rFonts w:ascii="宋体" w:hAnsi="Times New Roman" w:eastAsia="宋体" w:cs="Times New Roman"/>
          <w:b/>
          <w:color w:val="000000" w:themeColor="text1"/>
          <w:sz w:val="32"/>
          <w:szCs w:val="32"/>
          <w:highlight w:val="none"/>
          <w14:textFill>
            <w14:solidFill>
              <w14:schemeClr w14:val="tx1"/>
            </w14:solidFill>
          </w14:textFill>
        </w:rPr>
        <w:sectPr>
          <w:footerReference r:id="rId8" w:type="first"/>
          <w:footerReference r:id="rId7" w:type="default"/>
          <w:pgSz w:w="11906" w:h="16838"/>
          <w:pgMar w:top="1191" w:right="1134" w:bottom="1191" w:left="1134" w:header="851" w:footer="992" w:gutter="0"/>
          <w:cols w:space="720" w:num="1"/>
          <w:titlePg/>
          <w:docGrid w:linePitch="312" w:charSpace="0"/>
        </w:sectPr>
      </w:pPr>
    </w:p>
    <w:p w14:paraId="566B9D19">
      <w:pPr>
        <w:rPr>
          <w:rFonts w:ascii="Times New Roman" w:hAnsi="Times New Roman" w:eastAsia="宋体" w:cs="Times New Roman"/>
          <w:b/>
          <w:color w:val="000000" w:themeColor="text1"/>
          <w:sz w:val="28"/>
          <w:szCs w:val="24"/>
          <w:highlight w:val="none"/>
          <w14:textFill>
            <w14:solidFill>
              <w14:schemeClr w14:val="tx1"/>
            </w14:solidFill>
          </w14:textFill>
        </w:rPr>
      </w:pPr>
      <w:bookmarkStart w:id="52" w:name="_Toc14045"/>
      <w:r>
        <w:rPr>
          <w:rFonts w:hint="eastAsia" w:ascii="Times New Roman" w:hAnsi="Times New Roman" w:eastAsia="宋体" w:cs="Times New Roman"/>
          <w:b/>
          <w:color w:val="000000" w:themeColor="text1"/>
          <w:sz w:val="28"/>
          <w:szCs w:val="24"/>
          <w:highlight w:val="none"/>
          <w14:textFill>
            <w14:solidFill>
              <w14:schemeClr w14:val="tx1"/>
            </w14:solidFill>
          </w14:textFill>
        </w:rPr>
        <w:t>附件1</w:t>
      </w:r>
    </w:p>
    <w:p w14:paraId="43ABE7BC">
      <w:pPr>
        <w:wordWrap w:val="0"/>
        <w:spacing w:line="400" w:lineRule="exact"/>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中小微企业划型标准</w:t>
      </w:r>
    </w:p>
    <w:tbl>
      <w:tblPr>
        <w:tblStyle w:val="29"/>
        <w:tblW w:w="9951" w:type="dxa"/>
        <w:jc w:val="center"/>
        <w:tblLayout w:type="fixed"/>
        <w:tblCellMar>
          <w:top w:w="0" w:type="dxa"/>
          <w:left w:w="108" w:type="dxa"/>
          <w:bottom w:w="0" w:type="dxa"/>
          <w:right w:w="108" w:type="dxa"/>
        </w:tblCellMar>
      </w:tblPr>
      <w:tblGrid>
        <w:gridCol w:w="2121"/>
        <w:gridCol w:w="1725"/>
        <w:gridCol w:w="1137"/>
        <w:gridCol w:w="2020"/>
        <w:gridCol w:w="1795"/>
        <w:gridCol w:w="1153"/>
      </w:tblGrid>
      <w:tr w14:paraId="14005172">
        <w:tblPrEx>
          <w:tblCellMar>
            <w:top w:w="0" w:type="dxa"/>
            <w:left w:w="108" w:type="dxa"/>
            <w:bottom w:w="0" w:type="dxa"/>
            <w:right w:w="108" w:type="dxa"/>
          </w:tblCellMar>
        </w:tblPrEx>
        <w:trPr>
          <w:trHeight w:val="3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14:paraId="000BB50D">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行业名称</w:t>
            </w:r>
          </w:p>
        </w:tc>
        <w:tc>
          <w:tcPr>
            <w:tcW w:w="1725" w:type="dxa"/>
            <w:tcBorders>
              <w:top w:val="single" w:color="auto" w:sz="4" w:space="0"/>
              <w:left w:val="nil"/>
              <w:bottom w:val="single" w:color="auto" w:sz="4" w:space="0"/>
              <w:right w:val="single" w:color="auto" w:sz="4" w:space="0"/>
            </w:tcBorders>
            <w:vAlign w:val="center"/>
          </w:tcPr>
          <w:p w14:paraId="1A30654F">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指标名称</w:t>
            </w:r>
          </w:p>
        </w:tc>
        <w:tc>
          <w:tcPr>
            <w:tcW w:w="1137" w:type="dxa"/>
            <w:tcBorders>
              <w:top w:val="single" w:color="auto" w:sz="4" w:space="0"/>
              <w:left w:val="nil"/>
              <w:bottom w:val="single" w:color="auto" w:sz="4" w:space="0"/>
              <w:right w:val="single" w:color="auto" w:sz="4" w:space="0"/>
            </w:tcBorders>
            <w:vAlign w:val="center"/>
          </w:tcPr>
          <w:p w14:paraId="3BD27D4B">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计量单位</w:t>
            </w:r>
          </w:p>
        </w:tc>
        <w:tc>
          <w:tcPr>
            <w:tcW w:w="2020" w:type="dxa"/>
            <w:tcBorders>
              <w:top w:val="single" w:color="auto" w:sz="4" w:space="0"/>
              <w:left w:val="nil"/>
              <w:bottom w:val="single" w:color="auto" w:sz="4" w:space="0"/>
              <w:right w:val="single" w:color="auto" w:sz="4" w:space="0"/>
            </w:tcBorders>
            <w:vAlign w:val="center"/>
          </w:tcPr>
          <w:p w14:paraId="7162ACC4">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中型</w:t>
            </w:r>
          </w:p>
        </w:tc>
        <w:tc>
          <w:tcPr>
            <w:tcW w:w="1795" w:type="dxa"/>
            <w:tcBorders>
              <w:top w:val="single" w:color="auto" w:sz="4" w:space="0"/>
              <w:left w:val="nil"/>
              <w:bottom w:val="single" w:color="auto" w:sz="4" w:space="0"/>
              <w:right w:val="single" w:color="auto" w:sz="4" w:space="0"/>
            </w:tcBorders>
            <w:vAlign w:val="center"/>
          </w:tcPr>
          <w:p w14:paraId="0138B25F">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小型</w:t>
            </w:r>
          </w:p>
        </w:tc>
        <w:tc>
          <w:tcPr>
            <w:tcW w:w="1153" w:type="dxa"/>
            <w:tcBorders>
              <w:top w:val="single" w:color="auto" w:sz="4" w:space="0"/>
              <w:left w:val="nil"/>
              <w:bottom w:val="single" w:color="auto" w:sz="4" w:space="0"/>
              <w:right w:val="single" w:color="auto" w:sz="4" w:space="0"/>
            </w:tcBorders>
            <w:vAlign w:val="center"/>
          </w:tcPr>
          <w:p w14:paraId="4DDA87C0">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微型</w:t>
            </w:r>
          </w:p>
        </w:tc>
      </w:tr>
      <w:tr w14:paraId="46A13D52">
        <w:tblPrEx>
          <w:tblCellMar>
            <w:top w:w="0" w:type="dxa"/>
            <w:left w:w="108" w:type="dxa"/>
            <w:bottom w:w="0" w:type="dxa"/>
            <w:right w:w="108" w:type="dxa"/>
          </w:tblCellMar>
        </w:tblPrEx>
        <w:trPr>
          <w:trHeight w:val="336" w:hRule="atLeast"/>
          <w:jc w:val="center"/>
        </w:trPr>
        <w:tc>
          <w:tcPr>
            <w:tcW w:w="2121" w:type="dxa"/>
            <w:tcBorders>
              <w:top w:val="nil"/>
              <w:left w:val="single" w:color="auto" w:sz="4" w:space="0"/>
              <w:bottom w:val="single" w:color="auto" w:sz="4" w:space="0"/>
              <w:right w:val="single" w:color="auto" w:sz="4" w:space="0"/>
            </w:tcBorders>
            <w:vAlign w:val="center"/>
          </w:tcPr>
          <w:p w14:paraId="45CD2E4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农、林、牧、渔</w:t>
            </w:r>
          </w:p>
        </w:tc>
        <w:tc>
          <w:tcPr>
            <w:tcW w:w="1725" w:type="dxa"/>
            <w:tcBorders>
              <w:top w:val="nil"/>
              <w:left w:val="nil"/>
              <w:bottom w:val="single" w:color="auto" w:sz="4" w:space="0"/>
              <w:right w:val="single" w:color="auto" w:sz="4" w:space="0"/>
            </w:tcBorders>
            <w:vAlign w:val="center"/>
          </w:tcPr>
          <w:p w14:paraId="74EDB19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F71DE8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156681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500≤Y＜20000</w:t>
            </w:r>
          </w:p>
        </w:tc>
        <w:tc>
          <w:tcPr>
            <w:tcW w:w="1795" w:type="dxa"/>
            <w:tcBorders>
              <w:top w:val="nil"/>
              <w:left w:val="nil"/>
              <w:bottom w:val="single" w:color="auto" w:sz="4" w:space="0"/>
              <w:right w:val="single" w:color="auto" w:sz="4" w:space="0"/>
            </w:tcBorders>
            <w:vAlign w:val="center"/>
          </w:tcPr>
          <w:p w14:paraId="753B5E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50≤Y＜500</w:t>
            </w:r>
          </w:p>
        </w:tc>
        <w:tc>
          <w:tcPr>
            <w:tcW w:w="1153" w:type="dxa"/>
            <w:tcBorders>
              <w:top w:val="nil"/>
              <w:left w:val="nil"/>
              <w:bottom w:val="single" w:color="auto" w:sz="4" w:space="0"/>
              <w:right w:val="single" w:color="auto" w:sz="4" w:space="0"/>
            </w:tcBorders>
            <w:vAlign w:val="center"/>
          </w:tcPr>
          <w:p w14:paraId="2165B24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w:t>
            </w:r>
          </w:p>
        </w:tc>
      </w:tr>
      <w:tr w14:paraId="7AEA97C1">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C110B89">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工业</w:t>
            </w:r>
          </w:p>
        </w:tc>
        <w:tc>
          <w:tcPr>
            <w:tcW w:w="1725" w:type="dxa"/>
            <w:tcBorders>
              <w:top w:val="nil"/>
              <w:left w:val="nil"/>
              <w:bottom w:val="single" w:color="auto" w:sz="4" w:space="0"/>
              <w:right w:val="single" w:color="auto" w:sz="4" w:space="0"/>
            </w:tcBorders>
            <w:vAlign w:val="center"/>
          </w:tcPr>
          <w:p w14:paraId="129EA40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609B81A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516DC30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4EA24E4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391768C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021ADCA2">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BE782BB">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7E1C1F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6843B9C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44BF47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2000≤Y＜40000</w:t>
            </w:r>
          </w:p>
        </w:tc>
        <w:tc>
          <w:tcPr>
            <w:tcW w:w="1795" w:type="dxa"/>
            <w:tcBorders>
              <w:top w:val="nil"/>
              <w:left w:val="nil"/>
              <w:bottom w:val="single" w:color="auto" w:sz="4" w:space="0"/>
              <w:right w:val="single" w:color="auto" w:sz="4" w:space="0"/>
            </w:tcBorders>
            <w:vAlign w:val="center"/>
          </w:tcPr>
          <w:p w14:paraId="58590D2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300≤Y＜2000</w:t>
            </w:r>
          </w:p>
        </w:tc>
        <w:tc>
          <w:tcPr>
            <w:tcW w:w="1153" w:type="dxa"/>
            <w:tcBorders>
              <w:top w:val="nil"/>
              <w:left w:val="nil"/>
              <w:bottom w:val="single" w:color="auto" w:sz="4" w:space="0"/>
              <w:right w:val="single" w:color="auto" w:sz="4" w:space="0"/>
            </w:tcBorders>
            <w:vAlign w:val="center"/>
          </w:tcPr>
          <w:p w14:paraId="62FA2D8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Y＜300</w:t>
            </w:r>
          </w:p>
        </w:tc>
      </w:tr>
      <w:tr w14:paraId="141076B6">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shd w:val="clear" w:color="auto" w:fill="FDE9D9" w:themeFill="accent6" w:themeFillTint="33"/>
            <w:vAlign w:val="center"/>
          </w:tcPr>
          <w:p w14:paraId="7C0C4926">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建筑业</w:t>
            </w:r>
          </w:p>
        </w:tc>
        <w:tc>
          <w:tcPr>
            <w:tcW w:w="1725" w:type="dxa"/>
            <w:tcBorders>
              <w:top w:val="nil"/>
              <w:left w:val="nil"/>
              <w:bottom w:val="single" w:color="auto" w:sz="4" w:space="0"/>
              <w:right w:val="single" w:color="auto" w:sz="4" w:space="0"/>
            </w:tcBorders>
            <w:shd w:val="clear" w:color="auto" w:fill="FDE9D9" w:themeFill="accent6" w:themeFillTint="33"/>
            <w:vAlign w:val="center"/>
          </w:tcPr>
          <w:p w14:paraId="0D03547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shd w:val="clear" w:color="auto" w:fill="FDE9D9" w:themeFill="accent6" w:themeFillTint="33"/>
            <w:vAlign w:val="center"/>
          </w:tcPr>
          <w:p w14:paraId="6965362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FDE9D9" w:themeFill="accent6" w:themeFillTint="33"/>
            <w:vAlign w:val="center"/>
          </w:tcPr>
          <w:p w14:paraId="12D5693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6000≤Y＜80000</w:t>
            </w:r>
          </w:p>
        </w:tc>
        <w:tc>
          <w:tcPr>
            <w:tcW w:w="1795" w:type="dxa"/>
            <w:tcBorders>
              <w:top w:val="nil"/>
              <w:left w:val="nil"/>
              <w:bottom w:val="single" w:color="auto" w:sz="4" w:space="0"/>
              <w:right w:val="single" w:color="auto" w:sz="4" w:space="0"/>
            </w:tcBorders>
            <w:shd w:val="clear" w:color="auto" w:fill="FDE9D9" w:themeFill="accent6" w:themeFillTint="33"/>
            <w:vAlign w:val="center"/>
          </w:tcPr>
          <w:p w14:paraId="390BAAE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300≤Y＜6000</w:t>
            </w:r>
          </w:p>
        </w:tc>
        <w:tc>
          <w:tcPr>
            <w:tcW w:w="1153" w:type="dxa"/>
            <w:tcBorders>
              <w:top w:val="nil"/>
              <w:left w:val="nil"/>
              <w:bottom w:val="single" w:color="auto" w:sz="4" w:space="0"/>
              <w:right w:val="single" w:color="auto" w:sz="4" w:space="0"/>
            </w:tcBorders>
            <w:shd w:val="clear" w:color="auto" w:fill="FDE9D9" w:themeFill="accent6" w:themeFillTint="33"/>
            <w:vAlign w:val="center"/>
          </w:tcPr>
          <w:p w14:paraId="4263723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Y＜300</w:t>
            </w:r>
          </w:p>
        </w:tc>
      </w:tr>
      <w:tr w14:paraId="55888EF9">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shd w:val="clear" w:color="auto" w:fill="FDE9D9" w:themeFill="accent6" w:themeFillTint="33"/>
            <w:vAlign w:val="center"/>
          </w:tcPr>
          <w:p w14:paraId="50D3F6F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shd w:val="clear" w:color="auto" w:fill="FDE9D9" w:themeFill="accent6" w:themeFillTint="33"/>
            <w:vAlign w:val="center"/>
          </w:tcPr>
          <w:p w14:paraId="722EA13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nil"/>
              <w:left w:val="nil"/>
              <w:bottom w:val="single" w:color="auto" w:sz="4" w:space="0"/>
              <w:right w:val="single" w:color="auto" w:sz="4" w:space="0"/>
            </w:tcBorders>
            <w:shd w:val="clear" w:color="auto" w:fill="FDE9D9" w:themeFill="accent6" w:themeFillTint="33"/>
            <w:vAlign w:val="center"/>
          </w:tcPr>
          <w:p w14:paraId="3DD904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FDE9D9" w:themeFill="accent6" w:themeFillTint="33"/>
            <w:vAlign w:val="center"/>
          </w:tcPr>
          <w:p w14:paraId="6537130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5000≤Z＜80000</w:t>
            </w:r>
          </w:p>
        </w:tc>
        <w:tc>
          <w:tcPr>
            <w:tcW w:w="1795" w:type="dxa"/>
            <w:tcBorders>
              <w:top w:val="nil"/>
              <w:left w:val="nil"/>
              <w:bottom w:val="single" w:color="auto" w:sz="4" w:space="0"/>
              <w:right w:val="single" w:color="auto" w:sz="4" w:space="0"/>
            </w:tcBorders>
            <w:shd w:val="clear" w:color="auto" w:fill="FDE9D9" w:themeFill="accent6" w:themeFillTint="33"/>
            <w:vAlign w:val="center"/>
          </w:tcPr>
          <w:p w14:paraId="64672A0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300≤Z＜5000</w:t>
            </w:r>
          </w:p>
        </w:tc>
        <w:tc>
          <w:tcPr>
            <w:tcW w:w="1153" w:type="dxa"/>
            <w:tcBorders>
              <w:top w:val="nil"/>
              <w:left w:val="nil"/>
              <w:bottom w:val="single" w:color="auto" w:sz="4" w:space="0"/>
              <w:right w:val="single" w:color="auto" w:sz="4" w:space="0"/>
            </w:tcBorders>
            <w:shd w:val="clear" w:color="auto" w:fill="FDE9D9" w:themeFill="accent6" w:themeFillTint="33"/>
            <w:vAlign w:val="center"/>
          </w:tcPr>
          <w:p w14:paraId="29514C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Z＜300</w:t>
            </w:r>
          </w:p>
        </w:tc>
      </w:tr>
      <w:tr w14:paraId="288DA304">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shd w:val="clear" w:color="auto" w:fill="auto"/>
            <w:vAlign w:val="center"/>
          </w:tcPr>
          <w:p w14:paraId="60601432">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批发业</w:t>
            </w:r>
          </w:p>
        </w:tc>
        <w:tc>
          <w:tcPr>
            <w:tcW w:w="1725" w:type="dxa"/>
            <w:tcBorders>
              <w:top w:val="nil"/>
              <w:left w:val="nil"/>
              <w:bottom w:val="single" w:color="auto" w:sz="4" w:space="0"/>
              <w:right w:val="single" w:color="auto" w:sz="4" w:space="0"/>
            </w:tcBorders>
            <w:shd w:val="clear" w:color="auto" w:fill="auto"/>
            <w:vAlign w:val="center"/>
          </w:tcPr>
          <w:p w14:paraId="5C6B6D0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shd w:val="clear" w:color="auto" w:fill="auto"/>
            <w:vAlign w:val="center"/>
          </w:tcPr>
          <w:p w14:paraId="2501CC6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shd w:val="clear" w:color="auto" w:fill="auto"/>
            <w:vAlign w:val="center"/>
          </w:tcPr>
          <w:p w14:paraId="23835A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20≤X＜200</w:t>
            </w:r>
          </w:p>
        </w:tc>
        <w:tc>
          <w:tcPr>
            <w:tcW w:w="1795" w:type="dxa"/>
            <w:tcBorders>
              <w:top w:val="nil"/>
              <w:left w:val="nil"/>
              <w:bottom w:val="single" w:color="auto" w:sz="4" w:space="0"/>
              <w:right w:val="single" w:color="auto" w:sz="4" w:space="0"/>
            </w:tcBorders>
            <w:shd w:val="clear" w:color="auto" w:fill="auto"/>
            <w:vAlign w:val="center"/>
          </w:tcPr>
          <w:p w14:paraId="1BC54D3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5≤X＜20</w:t>
            </w:r>
          </w:p>
        </w:tc>
        <w:tc>
          <w:tcPr>
            <w:tcW w:w="1153" w:type="dxa"/>
            <w:tcBorders>
              <w:top w:val="nil"/>
              <w:left w:val="nil"/>
              <w:bottom w:val="single" w:color="auto" w:sz="4" w:space="0"/>
              <w:right w:val="single" w:color="auto" w:sz="4" w:space="0"/>
            </w:tcBorders>
            <w:shd w:val="clear" w:color="auto" w:fill="auto"/>
            <w:vAlign w:val="center"/>
          </w:tcPr>
          <w:p w14:paraId="10CB1A8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X＜5</w:t>
            </w:r>
          </w:p>
        </w:tc>
      </w:tr>
      <w:tr w14:paraId="2624E217">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shd w:val="clear" w:color="auto" w:fill="auto"/>
            <w:vAlign w:val="center"/>
          </w:tcPr>
          <w:p w14:paraId="70F966E4">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shd w:val="clear" w:color="auto" w:fill="auto"/>
            <w:vAlign w:val="center"/>
          </w:tcPr>
          <w:p w14:paraId="3D4BAB9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shd w:val="clear" w:color="auto" w:fill="auto"/>
            <w:vAlign w:val="center"/>
          </w:tcPr>
          <w:p w14:paraId="1164443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auto"/>
            <w:vAlign w:val="center"/>
          </w:tcPr>
          <w:p w14:paraId="613849E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5000≤Y＜40000</w:t>
            </w:r>
          </w:p>
        </w:tc>
        <w:tc>
          <w:tcPr>
            <w:tcW w:w="1795" w:type="dxa"/>
            <w:tcBorders>
              <w:top w:val="nil"/>
              <w:left w:val="nil"/>
              <w:bottom w:val="single" w:color="auto" w:sz="4" w:space="0"/>
              <w:right w:val="single" w:color="auto" w:sz="4" w:space="0"/>
            </w:tcBorders>
            <w:shd w:val="clear" w:color="auto" w:fill="auto"/>
            <w:vAlign w:val="center"/>
          </w:tcPr>
          <w:p w14:paraId="756DA22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1000≤Y＜5000</w:t>
            </w:r>
          </w:p>
        </w:tc>
        <w:tc>
          <w:tcPr>
            <w:tcW w:w="1153" w:type="dxa"/>
            <w:tcBorders>
              <w:top w:val="nil"/>
              <w:left w:val="nil"/>
              <w:bottom w:val="single" w:color="auto" w:sz="4" w:space="0"/>
              <w:right w:val="single" w:color="auto" w:sz="4" w:space="0"/>
            </w:tcBorders>
            <w:shd w:val="clear" w:color="auto" w:fill="auto"/>
            <w:vAlign w:val="center"/>
          </w:tcPr>
          <w:p w14:paraId="42FFCDA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Y＜1000</w:t>
            </w:r>
          </w:p>
        </w:tc>
      </w:tr>
      <w:tr w14:paraId="09C832DA">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48ABBB09">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零售业</w:t>
            </w:r>
          </w:p>
        </w:tc>
        <w:tc>
          <w:tcPr>
            <w:tcW w:w="1725" w:type="dxa"/>
            <w:tcBorders>
              <w:top w:val="nil"/>
              <w:left w:val="nil"/>
              <w:bottom w:val="single" w:color="auto" w:sz="4" w:space="0"/>
              <w:right w:val="single" w:color="auto" w:sz="4" w:space="0"/>
            </w:tcBorders>
            <w:vAlign w:val="center"/>
          </w:tcPr>
          <w:p w14:paraId="2906FE7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4B18800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787DFC9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50≤X＜300</w:t>
            </w:r>
          </w:p>
        </w:tc>
        <w:tc>
          <w:tcPr>
            <w:tcW w:w="1795" w:type="dxa"/>
            <w:tcBorders>
              <w:top w:val="nil"/>
              <w:left w:val="nil"/>
              <w:bottom w:val="single" w:color="auto" w:sz="4" w:space="0"/>
              <w:right w:val="single" w:color="auto" w:sz="4" w:space="0"/>
            </w:tcBorders>
            <w:vAlign w:val="center"/>
          </w:tcPr>
          <w:p w14:paraId="06EE30F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10≤X＜50</w:t>
            </w:r>
          </w:p>
        </w:tc>
        <w:tc>
          <w:tcPr>
            <w:tcW w:w="1153" w:type="dxa"/>
            <w:tcBorders>
              <w:top w:val="nil"/>
              <w:left w:val="nil"/>
              <w:bottom w:val="single" w:color="auto" w:sz="4" w:space="0"/>
              <w:right w:val="single" w:color="auto" w:sz="4" w:space="0"/>
            </w:tcBorders>
            <w:vAlign w:val="center"/>
          </w:tcPr>
          <w:p w14:paraId="47D380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40694498">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65AD5AB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D62F23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6506B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7FE3CB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500≤Y＜20000</w:t>
            </w:r>
          </w:p>
        </w:tc>
        <w:tc>
          <w:tcPr>
            <w:tcW w:w="1795" w:type="dxa"/>
            <w:tcBorders>
              <w:top w:val="nil"/>
              <w:left w:val="nil"/>
              <w:bottom w:val="single" w:color="auto" w:sz="4" w:space="0"/>
              <w:right w:val="single" w:color="auto" w:sz="4" w:space="0"/>
            </w:tcBorders>
            <w:vAlign w:val="center"/>
          </w:tcPr>
          <w:p w14:paraId="1C6473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100≤Y＜500</w:t>
            </w:r>
          </w:p>
        </w:tc>
        <w:tc>
          <w:tcPr>
            <w:tcW w:w="1153" w:type="dxa"/>
            <w:tcBorders>
              <w:top w:val="nil"/>
              <w:left w:val="nil"/>
              <w:bottom w:val="single" w:color="auto" w:sz="4" w:space="0"/>
              <w:right w:val="single" w:color="auto" w:sz="4" w:space="0"/>
            </w:tcBorders>
            <w:vAlign w:val="center"/>
          </w:tcPr>
          <w:p w14:paraId="32ACD89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7542CF12">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156F0A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交通运输业</w:t>
            </w:r>
          </w:p>
        </w:tc>
        <w:tc>
          <w:tcPr>
            <w:tcW w:w="1725" w:type="dxa"/>
            <w:tcBorders>
              <w:top w:val="nil"/>
              <w:left w:val="nil"/>
              <w:bottom w:val="single" w:color="auto" w:sz="4" w:space="0"/>
              <w:right w:val="single" w:color="auto" w:sz="4" w:space="0"/>
            </w:tcBorders>
            <w:vAlign w:val="center"/>
          </w:tcPr>
          <w:p w14:paraId="4382CB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E940D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FE98E6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664D9C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42EADFF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1D40817A">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568D773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27A138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1C7CCC6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41C490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3000≤Y＜30000</w:t>
            </w:r>
          </w:p>
        </w:tc>
        <w:tc>
          <w:tcPr>
            <w:tcW w:w="1795" w:type="dxa"/>
            <w:tcBorders>
              <w:top w:val="nil"/>
              <w:left w:val="nil"/>
              <w:bottom w:val="single" w:color="auto" w:sz="4" w:space="0"/>
              <w:right w:val="single" w:color="auto" w:sz="4" w:space="0"/>
            </w:tcBorders>
            <w:vAlign w:val="center"/>
          </w:tcPr>
          <w:p w14:paraId="0C969EE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200≤Y＜3000</w:t>
            </w:r>
          </w:p>
        </w:tc>
        <w:tc>
          <w:tcPr>
            <w:tcW w:w="1153" w:type="dxa"/>
            <w:tcBorders>
              <w:top w:val="nil"/>
              <w:left w:val="nil"/>
              <w:bottom w:val="single" w:color="auto" w:sz="4" w:space="0"/>
              <w:right w:val="single" w:color="auto" w:sz="4" w:space="0"/>
            </w:tcBorders>
            <w:vAlign w:val="center"/>
          </w:tcPr>
          <w:p w14:paraId="417B11B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Y＜200</w:t>
            </w:r>
          </w:p>
        </w:tc>
      </w:tr>
      <w:tr w14:paraId="4A6B8FBD">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021001DB">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仓储业</w:t>
            </w:r>
          </w:p>
        </w:tc>
        <w:tc>
          <w:tcPr>
            <w:tcW w:w="1725" w:type="dxa"/>
            <w:tcBorders>
              <w:top w:val="nil"/>
              <w:left w:val="nil"/>
              <w:bottom w:val="single" w:color="auto" w:sz="4" w:space="0"/>
              <w:right w:val="single" w:color="auto" w:sz="4" w:space="0"/>
            </w:tcBorders>
            <w:vAlign w:val="center"/>
          </w:tcPr>
          <w:p w14:paraId="7D072E1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1E51603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2B1B5D2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100≤X＜200</w:t>
            </w:r>
          </w:p>
        </w:tc>
        <w:tc>
          <w:tcPr>
            <w:tcW w:w="1795" w:type="dxa"/>
            <w:tcBorders>
              <w:top w:val="nil"/>
              <w:left w:val="nil"/>
              <w:bottom w:val="single" w:color="auto" w:sz="4" w:space="0"/>
              <w:right w:val="single" w:color="auto" w:sz="4" w:space="0"/>
            </w:tcBorders>
            <w:vAlign w:val="center"/>
          </w:tcPr>
          <w:p w14:paraId="6FDAAAB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20≤X＜100</w:t>
            </w:r>
          </w:p>
        </w:tc>
        <w:tc>
          <w:tcPr>
            <w:tcW w:w="1153" w:type="dxa"/>
            <w:tcBorders>
              <w:top w:val="nil"/>
              <w:left w:val="nil"/>
              <w:bottom w:val="single" w:color="auto" w:sz="4" w:space="0"/>
              <w:right w:val="single" w:color="auto" w:sz="4" w:space="0"/>
            </w:tcBorders>
            <w:vAlign w:val="center"/>
          </w:tcPr>
          <w:p w14:paraId="3E85B8C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7760116A">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246EE9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5DE2092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C443CE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E39ED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1000≤Y＜30000</w:t>
            </w:r>
          </w:p>
        </w:tc>
        <w:tc>
          <w:tcPr>
            <w:tcW w:w="1795" w:type="dxa"/>
            <w:tcBorders>
              <w:top w:val="nil"/>
              <w:left w:val="nil"/>
              <w:bottom w:val="single" w:color="auto" w:sz="4" w:space="0"/>
              <w:right w:val="single" w:color="auto" w:sz="4" w:space="0"/>
            </w:tcBorders>
            <w:vAlign w:val="center"/>
          </w:tcPr>
          <w:p w14:paraId="2464426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100≤Y＜1000</w:t>
            </w:r>
          </w:p>
        </w:tc>
        <w:tc>
          <w:tcPr>
            <w:tcW w:w="1153" w:type="dxa"/>
            <w:tcBorders>
              <w:top w:val="nil"/>
              <w:left w:val="nil"/>
              <w:bottom w:val="single" w:color="auto" w:sz="4" w:space="0"/>
              <w:right w:val="single" w:color="auto" w:sz="4" w:space="0"/>
            </w:tcBorders>
            <w:vAlign w:val="center"/>
          </w:tcPr>
          <w:p w14:paraId="4A5BF29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5F63F64C">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75E29877">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邮政业</w:t>
            </w:r>
          </w:p>
        </w:tc>
        <w:tc>
          <w:tcPr>
            <w:tcW w:w="1725" w:type="dxa"/>
            <w:tcBorders>
              <w:top w:val="nil"/>
              <w:left w:val="nil"/>
              <w:bottom w:val="single" w:color="auto" w:sz="4" w:space="0"/>
              <w:right w:val="single" w:color="auto" w:sz="4" w:space="0"/>
            </w:tcBorders>
            <w:vAlign w:val="center"/>
          </w:tcPr>
          <w:p w14:paraId="15DE7FB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7411367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7899C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3D8990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46CF751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68C06A93">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2FC05170">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E11A49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14FF48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58D855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2000≤Y＜30000</w:t>
            </w:r>
          </w:p>
        </w:tc>
        <w:tc>
          <w:tcPr>
            <w:tcW w:w="1795" w:type="dxa"/>
            <w:tcBorders>
              <w:top w:val="nil"/>
              <w:left w:val="nil"/>
              <w:bottom w:val="single" w:color="auto" w:sz="4" w:space="0"/>
              <w:right w:val="single" w:color="auto" w:sz="4" w:space="0"/>
            </w:tcBorders>
            <w:vAlign w:val="center"/>
          </w:tcPr>
          <w:p w14:paraId="6DFDACC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74D3E5F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ED4C299">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1667F413">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住宿业</w:t>
            </w:r>
          </w:p>
        </w:tc>
        <w:tc>
          <w:tcPr>
            <w:tcW w:w="1725" w:type="dxa"/>
            <w:tcBorders>
              <w:top w:val="nil"/>
              <w:left w:val="nil"/>
              <w:bottom w:val="single" w:color="auto" w:sz="4" w:space="0"/>
              <w:right w:val="single" w:color="auto" w:sz="4" w:space="0"/>
            </w:tcBorders>
            <w:vAlign w:val="center"/>
          </w:tcPr>
          <w:p w14:paraId="048098A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681E29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12FDB53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3EE8B03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035CEF0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2C0B4F15">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E79444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637EDB4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250CD6C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96AB66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2000≤Y＜10000</w:t>
            </w:r>
          </w:p>
        </w:tc>
        <w:tc>
          <w:tcPr>
            <w:tcW w:w="1795" w:type="dxa"/>
            <w:tcBorders>
              <w:top w:val="nil"/>
              <w:left w:val="nil"/>
              <w:bottom w:val="single" w:color="auto" w:sz="4" w:space="0"/>
              <w:right w:val="single" w:color="auto" w:sz="4" w:space="0"/>
            </w:tcBorders>
            <w:vAlign w:val="center"/>
          </w:tcPr>
          <w:p w14:paraId="1B1D058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5B8505F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A070ECF">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F7E817F">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餐饮业</w:t>
            </w:r>
          </w:p>
        </w:tc>
        <w:tc>
          <w:tcPr>
            <w:tcW w:w="1725" w:type="dxa"/>
            <w:tcBorders>
              <w:top w:val="nil"/>
              <w:left w:val="nil"/>
              <w:bottom w:val="single" w:color="auto" w:sz="4" w:space="0"/>
              <w:right w:val="single" w:color="auto" w:sz="4" w:space="0"/>
            </w:tcBorders>
            <w:vAlign w:val="center"/>
          </w:tcPr>
          <w:p w14:paraId="2B2B5AF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4AF99A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0CD3E6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4A6F5EF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2D25318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7FF2DD2E">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443B364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E1AAE9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48BB77A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D9145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2000≤Y＜10000</w:t>
            </w:r>
          </w:p>
        </w:tc>
        <w:tc>
          <w:tcPr>
            <w:tcW w:w="1795" w:type="dxa"/>
            <w:tcBorders>
              <w:top w:val="nil"/>
              <w:left w:val="nil"/>
              <w:bottom w:val="single" w:color="auto" w:sz="4" w:space="0"/>
              <w:right w:val="single" w:color="auto" w:sz="4" w:space="0"/>
            </w:tcBorders>
            <w:vAlign w:val="center"/>
          </w:tcPr>
          <w:p w14:paraId="0DAE5C1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78DE058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2610D57F">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0AD74DF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信息传输业</w:t>
            </w:r>
          </w:p>
        </w:tc>
        <w:tc>
          <w:tcPr>
            <w:tcW w:w="1725" w:type="dxa"/>
            <w:tcBorders>
              <w:top w:val="nil"/>
              <w:left w:val="nil"/>
              <w:bottom w:val="single" w:color="auto" w:sz="4" w:space="0"/>
              <w:right w:val="single" w:color="auto" w:sz="4" w:space="0"/>
            </w:tcBorders>
            <w:vAlign w:val="center"/>
          </w:tcPr>
          <w:p w14:paraId="7156B6C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066715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27D9796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100≤X＜2000</w:t>
            </w:r>
          </w:p>
        </w:tc>
        <w:tc>
          <w:tcPr>
            <w:tcW w:w="1795" w:type="dxa"/>
            <w:tcBorders>
              <w:top w:val="nil"/>
              <w:left w:val="nil"/>
              <w:bottom w:val="single" w:color="auto" w:sz="4" w:space="0"/>
              <w:right w:val="single" w:color="auto" w:sz="4" w:space="0"/>
            </w:tcBorders>
            <w:vAlign w:val="center"/>
          </w:tcPr>
          <w:p w14:paraId="5ED4C76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4BA4E12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06248E36">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59A9B1D6">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0724E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73B35B8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515E9DF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1000≤Y＜100000</w:t>
            </w:r>
          </w:p>
        </w:tc>
        <w:tc>
          <w:tcPr>
            <w:tcW w:w="1795" w:type="dxa"/>
            <w:tcBorders>
              <w:top w:val="nil"/>
              <w:left w:val="nil"/>
              <w:bottom w:val="single" w:color="auto" w:sz="4" w:space="0"/>
              <w:right w:val="single" w:color="auto" w:sz="4" w:space="0"/>
            </w:tcBorders>
            <w:vAlign w:val="center"/>
          </w:tcPr>
          <w:p w14:paraId="178B88F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100≤Y＜1000</w:t>
            </w:r>
          </w:p>
        </w:tc>
        <w:tc>
          <w:tcPr>
            <w:tcW w:w="1153" w:type="dxa"/>
            <w:tcBorders>
              <w:top w:val="nil"/>
              <w:left w:val="nil"/>
              <w:bottom w:val="single" w:color="auto" w:sz="4" w:space="0"/>
              <w:right w:val="single" w:color="auto" w:sz="4" w:space="0"/>
            </w:tcBorders>
            <w:vAlign w:val="center"/>
          </w:tcPr>
          <w:p w14:paraId="6A94568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72003E01">
        <w:tblPrEx>
          <w:tblCellMar>
            <w:top w:w="0" w:type="dxa"/>
            <w:left w:w="108" w:type="dxa"/>
            <w:bottom w:w="0" w:type="dxa"/>
            <w:right w:w="108" w:type="dxa"/>
          </w:tblCellMar>
        </w:tblPrEx>
        <w:trPr>
          <w:trHeight w:val="354"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66D7140F">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软件和信息技术服务业</w:t>
            </w:r>
          </w:p>
        </w:tc>
        <w:tc>
          <w:tcPr>
            <w:tcW w:w="1725" w:type="dxa"/>
            <w:tcBorders>
              <w:top w:val="single" w:color="auto" w:sz="4" w:space="0"/>
              <w:left w:val="single" w:color="auto" w:sz="4" w:space="0"/>
              <w:bottom w:val="single" w:color="auto" w:sz="4" w:space="0"/>
              <w:right w:val="single" w:color="auto" w:sz="4" w:space="0"/>
            </w:tcBorders>
            <w:vAlign w:val="center"/>
          </w:tcPr>
          <w:p w14:paraId="37EBDFB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single" w:color="auto" w:sz="4" w:space="0"/>
              <w:left w:val="single" w:color="auto" w:sz="4" w:space="0"/>
              <w:bottom w:val="single" w:color="auto" w:sz="4" w:space="0"/>
              <w:right w:val="single" w:color="auto" w:sz="4" w:space="0"/>
            </w:tcBorders>
            <w:vAlign w:val="center"/>
          </w:tcPr>
          <w:p w14:paraId="4269BCE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single" w:color="auto" w:sz="4" w:space="0"/>
              <w:left w:val="single" w:color="auto" w:sz="4" w:space="0"/>
              <w:bottom w:val="single" w:color="auto" w:sz="4" w:space="0"/>
              <w:right w:val="single" w:color="auto" w:sz="4" w:space="0"/>
            </w:tcBorders>
            <w:vAlign w:val="center"/>
          </w:tcPr>
          <w:p w14:paraId="4DB3566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single" w:color="auto" w:sz="4" w:space="0"/>
              <w:left w:val="single" w:color="auto" w:sz="4" w:space="0"/>
              <w:bottom w:val="single" w:color="auto" w:sz="4" w:space="0"/>
              <w:right w:val="single" w:color="auto" w:sz="4" w:space="0"/>
            </w:tcBorders>
            <w:vAlign w:val="center"/>
          </w:tcPr>
          <w:p w14:paraId="3498C58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single" w:color="auto" w:sz="4" w:space="0"/>
              <w:left w:val="single" w:color="auto" w:sz="4" w:space="0"/>
              <w:bottom w:val="single" w:color="auto" w:sz="4" w:space="0"/>
              <w:right w:val="single" w:color="auto" w:sz="4" w:space="0"/>
            </w:tcBorders>
            <w:vAlign w:val="center"/>
          </w:tcPr>
          <w:p w14:paraId="6E42A1A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51D9740E">
        <w:tblPrEx>
          <w:tblCellMar>
            <w:top w:w="0" w:type="dxa"/>
            <w:left w:w="108" w:type="dxa"/>
            <w:bottom w:w="0" w:type="dxa"/>
            <w:right w:w="108" w:type="dxa"/>
          </w:tblCellMar>
        </w:tblPrEx>
        <w:trPr>
          <w:trHeight w:val="170" w:hRule="atLeast"/>
          <w:jc w:val="center"/>
        </w:trPr>
        <w:tc>
          <w:tcPr>
            <w:tcW w:w="2121" w:type="dxa"/>
            <w:vMerge w:val="continue"/>
            <w:tcBorders>
              <w:top w:val="single" w:color="auto" w:sz="4" w:space="0"/>
              <w:left w:val="single" w:color="auto" w:sz="4" w:space="0"/>
              <w:bottom w:val="single" w:color="auto" w:sz="4" w:space="0"/>
              <w:right w:val="single" w:color="auto" w:sz="4" w:space="0"/>
            </w:tcBorders>
            <w:vAlign w:val="center"/>
          </w:tcPr>
          <w:p w14:paraId="312B65FD">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612AE9D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single" w:color="auto" w:sz="4" w:space="0"/>
              <w:left w:val="single" w:color="auto" w:sz="4" w:space="0"/>
              <w:bottom w:val="single" w:color="auto" w:sz="4" w:space="0"/>
              <w:right w:val="single" w:color="auto" w:sz="4" w:space="0"/>
            </w:tcBorders>
            <w:vAlign w:val="center"/>
          </w:tcPr>
          <w:p w14:paraId="3D87119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0436740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1000≤Y＜10000</w:t>
            </w:r>
          </w:p>
        </w:tc>
        <w:tc>
          <w:tcPr>
            <w:tcW w:w="1795" w:type="dxa"/>
            <w:tcBorders>
              <w:top w:val="single" w:color="auto" w:sz="4" w:space="0"/>
              <w:left w:val="single" w:color="auto" w:sz="4" w:space="0"/>
              <w:bottom w:val="single" w:color="auto" w:sz="4" w:space="0"/>
              <w:right w:val="single" w:color="auto" w:sz="4" w:space="0"/>
            </w:tcBorders>
            <w:vAlign w:val="center"/>
          </w:tcPr>
          <w:p w14:paraId="36CEF3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50≤Y＜1000</w:t>
            </w:r>
          </w:p>
        </w:tc>
        <w:tc>
          <w:tcPr>
            <w:tcW w:w="1153" w:type="dxa"/>
            <w:tcBorders>
              <w:top w:val="single" w:color="auto" w:sz="4" w:space="0"/>
              <w:left w:val="single" w:color="auto" w:sz="4" w:space="0"/>
              <w:bottom w:val="single" w:color="auto" w:sz="4" w:space="0"/>
              <w:right w:val="single" w:color="auto" w:sz="4" w:space="0"/>
            </w:tcBorders>
            <w:vAlign w:val="center"/>
          </w:tcPr>
          <w:p w14:paraId="3BFCC57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w:t>
            </w:r>
          </w:p>
        </w:tc>
      </w:tr>
      <w:tr w14:paraId="01F63DAB">
        <w:tblPrEx>
          <w:tblCellMar>
            <w:top w:w="0" w:type="dxa"/>
            <w:left w:w="108" w:type="dxa"/>
            <w:bottom w:w="0" w:type="dxa"/>
            <w:right w:w="108" w:type="dxa"/>
          </w:tblCellMar>
        </w:tblPrEx>
        <w:trPr>
          <w:trHeight w:val="354"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55AF272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房地产开发经营</w:t>
            </w:r>
          </w:p>
        </w:tc>
        <w:tc>
          <w:tcPr>
            <w:tcW w:w="1725" w:type="dxa"/>
            <w:tcBorders>
              <w:top w:val="single" w:color="auto" w:sz="4" w:space="0"/>
              <w:left w:val="single" w:color="auto" w:sz="4" w:space="0"/>
              <w:bottom w:val="single" w:color="auto" w:sz="4" w:space="0"/>
              <w:right w:val="single" w:color="auto" w:sz="4" w:space="0"/>
            </w:tcBorders>
            <w:vAlign w:val="center"/>
          </w:tcPr>
          <w:p w14:paraId="54EE400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single" w:color="auto" w:sz="4" w:space="0"/>
              <w:left w:val="single" w:color="auto" w:sz="4" w:space="0"/>
              <w:bottom w:val="single" w:color="auto" w:sz="4" w:space="0"/>
              <w:right w:val="single" w:color="auto" w:sz="4" w:space="0"/>
            </w:tcBorders>
            <w:vAlign w:val="center"/>
          </w:tcPr>
          <w:p w14:paraId="010930D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1CADCA8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1000≤Y＜200000</w:t>
            </w:r>
          </w:p>
        </w:tc>
        <w:tc>
          <w:tcPr>
            <w:tcW w:w="1795" w:type="dxa"/>
            <w:tcBorders>
              <w:top w:val="single" w:color="auto" w:sz="4" w:space="0"/>
              <w:left w:val="single" w:color="auto" w:sz="4" w:space="0"/>
              <w:bottom w:val="single" w:color="auto" w:sz="4" w:space="0"/>
              <w:right w:val="single" w:color="auto" w:sz="4" w:space="0"/>
            </w:tcBorders>
            <w:vAlign w:val="center"/>
          </w:tcPr>
          <w:p w14:paraId="2A76B3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100≤X＜1000</w:t>
            </w:r>
          </w:p>
        </w:tc>
        <w:tc>
          <w:tcPr>
            <w:tcW w:w="1153" w:type="dxa"/>
            <w:tcBorders>
              <w:top w:val="single" w:color="auto" w:sz="4" w:space="0"/>
              <w:left w:val="single" w:color="auto" w:sz="4" w:space="0"/>
              <w:bottom w:val="single" w:color="auto" w:sz="4" w:space="0"/>
              <w:right w:val="single" w:color="auto" w:sz="4" w:space="0"/>
            </w:tcBorders>
            <w:vAlign w:val="center"/>
          </w:tcPr>
          <w:p w14:paraId="2B119EA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X＜100</w:t>
            </w:r>
          </w:p>
        </w:tc>
      </w:tr>
      <w:tr w14:paraId="631FC0EA">
        <w:tblPrEx>
          <w:tblCellMar>
            <w:top w:w="0" w:type="dxa"/>
            <w:left w:w="108" w:type="dxa"/>
            <w:bottom w:w="0" w:type="dxa"/>
            <w:right w:w="108" w:type="dxa"/>
          </w:tblCellMar>
        </w:tblPrEx>
        <w:trPr>
          <w:trHeight w:val="170" w:hRule="atLeast"/>
          <w:jc w:val="center"/>
        </w:trPr>
        <w:tc>
          <w:tcPr>
            <w:tcW w:w="2121" w:type="dxa"/>
            <w:vMerge w:val="continue"/>
            <w:tcBorders>
              <w:top w:val="single" w:color="auto" w:sz="4" w:space="0"/>
              <w:left w:val="single" w:color="auto" w:sz="4" w:space="0"/>
              <w:bottom w:val="single" w:color="auto" w:sz="4" w:space="0"/>
              <w:right w:val="single" w:color="auto" w:sz="4" w:space="0"/>
            </w:tcBorders>
            <w:vAlign w:val="center"/>
          </w:tcPr>
          <w:p w14:paraId="0FBF89BA">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4D13D7A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single" w:color="auto" w:sz="4" w:space="0"/>
              <w:left w:val="single" w:color="auto" w:sz="4" w:space="0"/>
              <w:bottom w:val="single" w:color="auto" w:sz="4" w:space="0"/>
              <w:right w:val="single" w:color="auto" w:sz="4" w:space="0"/>
            </w:tcBorders>
            <w:vAlign w:val="center"/>
          </w:tcPr>
          <w:p w14:paraId="373B819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251E210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5000≤Z＜10000</w:t>
            </w:r>
          </w:p>
        </w:tc>
        <w:tc>
          <w:tcPr>
            <w:tcW w:w="1795" w:type="dxa"/>
            <w:tcBorders>
              <w:top w:val="single" w:color="auto" w:sz="4" w:space="0"/>
              <w:left w:val="single" w:color="auto" w:sz="4" w:space="0"/>
              <w:bottom w:val="single" w:color="auto" w:sz="4" w:space="0"/>
              <w:right w:val="single" w:color="auto" w:sz="4" w:space="0"/>
            </w:tcBorders>
            <w:vAlign w:val="center"/>
          </w:tcPr>
          <w:p w14:paraId="207D7DA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2000≤Y＜5000</w:t>
            </w:r>
          </w:p>
        </w:tc>
        <w:tc>
          <w:tcPr>
            <w:tcW w:w="1153" w:type="dxa"/>
            <w:tcBorders>
              <w:top w:val="single" w:color="auto" w:sz="4" w:space="0"/>
              <w:left w:val="single" w:color="auto" w:sz="4" w:space="0"/>
              <w:bottom w:val="single" w:color="auto" w:sz="4" w:space="0"/>
              <w:right w:val="single" w:color="auto" w:sz="4" w:space="0"/>
            </w:tcBorders>
            <w:vAlign w:val="center"/>
          </w:tcPr>
          <w:p w14:paraId="5186B7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Y＜2000</w:t>
            </w:r>
          </w:p>
        </w:tc>
      </w:tr>
      <w:tr w14:paraId="0247A921">
        <w:tblPrEx>
          <w:tblCellMar>
            <w:top w:w="0" w:type="dxa"/>
            <w:left w:w="108" w:type="dxa"/>
            <w:bottom w:w="0" w:type="dxa"/>
            <w:right w:w="108" w:type="dxa"/>
          </w:tblCellMar>
        </w:tblPrEx>
        <w:trPr>
          <w:trHeight w:val="336"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3F45DCDD">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物业管理</w:t>
            </w:r>
          </w:p>
        </w:tc>
        <w:tc>
          <w:tcPr>
            <w:tcW w:w="1725" w:type="dxa"/>
            <w:tcBorders>
              <w:top w:val="single" w:color="auto" w:sz="4" w:space="0"/>
              <w:left w:val="nil"/>
              <w:bottom w:val="single" w:color="auto" w:sz="4" w:space="0"/>
              <w:right w:val="single" w:color="auto" w:sz="4" w:space="0"/>
            </w:tcBorders>
            <w:vAlign w:val="center"/>
          </w:tcPr>
          <w:p w14:paraId="7F139FB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single" w:color="auto" w:sz="4" w:space="0"/>
              <w:left w:val="nil"/>
              <w:bottom w:val="single" w:color="auto" w:sz="4" w:space="0"/>
              <w:right w:val="single" w:color="auto" w:sz="4" w:space="0"/>
            </w:tcBorders>
            <w:vAlign w:val="center"/>
          </w:tcPr>
          <w:p w14:paraId="4A17676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single" w:color="auto" w:sz="4" w:space="0"/>
              <w:left w:val="nil"/>
              <w:bottom w:val="single" w:color="auto" w:sz="4" w:space="0"/>
              <w:right w:val="single" w:color="auto" w:sz="4" w:space="0"/>
            </w:tcBorders>
            <w:vAlign w:val="center"/>
          </w:tcPr>
          <w:p w14:paraId="1DF8B03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single" w:color="auto" w:sz="4" w:space="0"/>
              <w:left w:val="nil"/>
              <w:bottom w:val="single" w:color="auto" w:sz="4" w:space="0"/>
              <w:right w:val="single" w:color="auto" w:sz="4" w:space="0"/>
            </w:tcBorders>
            <w:vAlign w:val="center"/>
          </w:tcPr>
          <w:p w14:paraId="2587CD6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153" w:type="dxa"/>
            <w:tcBorders>
              <w:top w:val="single" w:color="auto" w:sz="4" w:space="0"/>
              <w:left w:val="nil"/>
              <w:bottom w:val="single" w:color="auto" w:sz="4" w:space="0"/>
              <w:right w:val="single" w:color="auto" w:sz="4" w:space="0"/>
            </w:tcBorders>
            <w:vAlign w:val="center"/>
          </w:tcPr>
          <w:p w14:paraId="4D59861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X＜100</w:t>
            </w:r>
          </w:p>
        </w:tc>
      </w:tr>
      <w:tr w14:paraId="7836BD04">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41FA555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6281CB7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4D3F92E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5F6C5B1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1000≤Y＜5000</w:t>
            </w:r>
          </w:p>
        </w:tc>
        <w:tc>
          <w:tcPr>
            <w:tcW w:w="1795" w:type="dxa"/>
            <w:tcBorders>
              <w:top w:val="nil"/>
              <w:left w:val="nil"/>
              <w:bottom w:val="single" w:color="auto" w:sz="4" w:space="0"/>
              <w:right w:val="single" w:color="auto" w:sz="4" w:space="0"/>
            </w:tcBorders>
            <w:vAlign w:val="center"/>
          </w:tcPr>
          <w:p w14:paraId="5B8E518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500≤Y＜1000</w:t>
            </w:r>
          </w:p>
        </w:tc>
        <w:tc>
          <w:tcPr>
            <w:tcW w:w="1153" w:type="dxa"/>
            <w:tcBorders>
              <w:top w:val="nil"/>
              <w:left w:val="nil"/>
              <w:bottom w:val="single" w:color="auto" w:sz="4" w:space="0"/>
              <w:right w:val="single" w:color="auto" w:sz="4" w:space="0"/>
            </w:tcBorders>
            <w:vAlign w:val="center"/>
          </w:tcPr>
          <w:p w14:paraId="2C6F972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Y＜500</w:t>
            </w:r>
          </w:p>
        </w:tc>
      </w:tr>
      <w:tr w14:paraId="2322B3C5">
        <w:tblPrEx>
          <w:tblCellMar>
            <w:top w:w="0" w:type="dxa"/>
            <w:left w:w="108" w:type="dxa"/>
            <w:bottom w:w="0" w:type="dxa"/>
            <w:right w:w="108" w:type="dxa"/>
          </w:tblCellMar>
        </w:tblPrEx>
        <w:trPr>
          <w:trHeight w:val="336"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7279E10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租赁和商务服务业</w:t>
            </w:r>
          </w:p>
        </w:tc>
        <w:tc>
          <w:tcPr>
            <w:tcW w:w="1725" w:type="dxa"/>
            <w:tcBorders>
              <w:top w:val="nil"/>
              <w:left w:val="nil"/>
              <w:bottom w:val="single" w:color="auto" w:sz="4" w:space="0"/>
              <w:right w:val="single" w:color="auto" w:sz="4" w:space="0"/>
            </w:tcBorders>
            <w:vAlign w:val="center"/>
          </w:tcPr>
          <w:p w14:paraId="1EB4323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A72236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BE7E25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3D50E5E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2C1ED81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3D054755">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7DC21134">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4C4498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nil"/>
              <w:left w:val="nil"/>
              <w:bottom w:val="single" w:color="auto" w:sz="4" w:space="0"/>
              <w:right w:val="single" w:color="auto" w:sz="4" w:space="0"/>
            </w:tcBorders>
            <w:vAlign w:val="center"/>
          </w:tcPr>
          <w:p w14:paraId="7B61D9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F45AF7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8000≤Z＜120000</w:t>
            </w:r>
          </w:p>
        </w:tc>
        <w:tc>
          <w:tcPr>
            <w:tcW w:w="1795" w:type="dxa"/>
            <w:tcBorders>
              <w:top w:val="nil"/>
              <w:left w:val="nil"/>
              <w:bottom w:val="single" w:color="auto" w:sz="4" w:space="0"/>
              <w:right w:val="single" w:color="auto" w:sz="4" w:space="0"/>
            </w:tcBorders>
            <w:vAlign w:val="center"/>
          </w:tcPr>
          <w:p w14:paraId="34458B3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100≤Z＜8000</w:t>
            </w:r>
          </w:p>
        </w:tc>
        <w:tc>
          <w:tcPr>
            <w:tcW w:w="1153" w:type="dxa"/>
            <w:tcBorders>
              <w:top w:val="nil"/>
              <w:left w:val="nil"/>
              <w:bottom w:val="single" w:color="auto" w:sz="4" w:space="0"/>
              <w:right w:val="single" w:color="auto" w:sz="4" w:space="0"/>
            </w:tcBorders>
            <w:vAlign w:val="center"/>
          </w:tcPr>
          <w:p w14:paraId="667FB45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A8076C5">
        <w:tblPrEx>
          <w:tblCellMar>
            <w:top w:w="0" w:type="dxa"/>
            <w:left w:w="108" w:type="dxa"/>
            <w:bottom w:w="0" w:type="dxa"/>
            <w:right w:w="108" w:type="dxa"/>
          </w:tblCellMar>
        </w:tblPrEx>
        <w:trPr>
          <w:trHeight w:val="354" w:hRule="atLeast"/>
          <w:jc w:val="center"/>
        </w:trPr>
        <w:tc>
          <w:tcPr>
            <w:tcW w:w="2121" w:type="dxa"/>
            <w:tcBorders>
              <w:top w:val="nil"/>
              <w:left w:val="single" w:color="auto" w:sz="4" w:space="0"/>
              <w:bottom w:val="single" w:color="auto" w:sz="4" w:space="0"/>
              <w:right w:val="single" w:color="auto" w:sz="4" w:space="0"/>
            </w:tcBorders>
            <w:vAlign w:val="center"/>
          </w:tcPr>
          <w:p w14:paraId="67AFD137">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其他未列明行业</w:t>
            </w:r>
          </w:p>
        </w:tc>
        <w:tc>
          <w:tcPr>
            <w:tcW w:w="1725" w:type="dxa"/>
            <w:tcBorders>
              <w:top w:val="nil"/>
              <w:left w:val="nil"/>
              <w:bottom w:val="single" w:color="auto" w:sz="4" w:space="0"/>
              <w:right w:val="single" w:color="auto" w:sz="4" w:space="0"/>
            </w:tcBorders>
            <w:vAlign w:val="center"/>
          </w:tcPr>
          <w:p w14:paraId="79F8604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5DF639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0D2DBA4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658A37C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7F88DC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bl>
    <w:p w14:paraId="08757D23">
      <w:pPr>
        <w:rPr>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556DD5E6">
      <w:pPr>
        <w:widowControl/>
        <w:jc w:val="left"/>
        <w:rPr>
          <w:rFonts w:ascii="Cambria" w:hAnsi="Cambria" w:eastAsia="宋体" w:cs="Times New Roman"/>
          <w:b/>
          <w:bCs/>
          <w:color w:val="000000" w:themeColor="text1"/>
          <w:sz w:val="32"/>
          <w:szCs w:val="32"/>
          <w:highlight w:val="none"/>
          <w14:textFill>
            <w14:solidFill>
              <w14:schemeClr w14:val="tx1"/>
            </w14:solidFill>
          </w14:textFill>
        </w:rPr>
      </w:pPr>
      <w:r>
        <w:rPr>
          <w:rFonts w:ascii="Cambria" w:hAnsi="Cambria" w:eastAsia="宋体" w:cs="Times New Roman"/>
          <w:b/>
          <w:bCs/>
          <w:color w:val="000000" w:themeColor="text1"/>
          <w:sz w:val="32"/>
          <w:szCs w:val="32"/>
          <w:highlight w:val="none"/>
          <w14:textFill>
            <w14:solidFill>
              <w14:schemeClr w14:val="tx1"/>
            </w14:solidFill>
          </w14:textFill>
        </w:rPr>
        <w:br w:type="page"/>
      </w:r>
    </w:p>
    <w:p w14:paraId="01193940">
      <w:pPr>
        <w:keepNext/>
        <w:keepLines/>
        <w:spacing w:before="260" w:after="260" w:line="240" w:lineRule="auto"/>
        <w:jc w:val="center"/>
        <w:outlineLvl w:val="1"/>
        <w:rPr>
          <w:rFonts w:ascii="Cambria" w:hAnsi="Cambria" w:eastAsia="宋体" w:cs="Times New Roman"/>
          <w:b/>
          <w:bCs/>
          <w:color w:val="000000" w:themeColor="text1"/>
          <w:sz w:val="32"/>
          <w:szCs w:val="32"/>
          <w:highlight w:val="none"/>
          <w14:textFill>
            <w14:solidFill>
              <w14:schemeClr w14:val="tx1"/>
            </w14:solidFill>
          </w14:textFill>
        </w:rPr>
      </w:pPr>
      <w:r>
        <w:rPr>
          <w:rFonts w:hint="eastAsia" w:ascii="Cambria" w:hAnsi="Cambria" w:eastAsia="宋体" w:cs="Times New Roman"/>
          <w:b/>
          <w:bCs/>
          <w:color w:val="000000" w:themeColor="text1"/>
          <w:sz w:val="32"/>
          <w:szCs w:val="32"/>
          <w:highlight w:val="none"/>
          <w14:textFill>
            <w14:solidFill>
              <w14:schemeClr w14:val="tx1"/>
            </w14:solidFill>
          </w14:textFill>
        </w:rPr>
        <w:t>磋商须知</w:t>
      </w:r>
      <w:bookmarkEnd w:id="52"/>
    </w:p>
    <w:p w14:paraId="3B48A0C0">
      <w:pPr>
        <w:keepNext/>
        <w:keepLines/>
        <w:spacing w:before="260" w:after="260" w:line="240"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3" w:name="_Toc27803"/>
      <w:r>
        <w:rPr>
          <w:rFonts w:hint="eastAsia" w:ascii="Cambria" w:hAnsi="Cambria" w:eastAsia="宋体" w:cs="Times New Roman"/>
          <w:b/>
          <w:bCs/>
          <w:color w:val="000000" w:themeColor="text1"/>
          <w:sz w:val="32"/>
          <w:szCs w:val="32"/>
          <w:highlight w:val="none"/>
          <w14:textFill>
            <w14:solidFill>
              <w14:schemeClr w14:val="tx1"/>
            </w14:solidFill>
          </w14:textFill>
        </w:rPr>
        <w:t>一、总　则</w:t>
      </w:r>
      <w:bookmarkEnd w:id="53"/>
    </w:p>
    <w:p w14:paraId="42BAC797">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 适用范围</w:t>
      </w:r>
    </w:p>
    <w:p w14:paraId="6101977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b w:val="0"/>
          <w:bCs w:val="0"/>
          <w:color w:val="000000" w:themeColor="text1"/>
          <w:kern w:val="0"/>
          <w:szCs w:val="2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1.1项目名称：</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港南区新塘镇蒙大村道路硬化建设以工代赈项目（重）</w:t>
      </w:r>
      <w:r>
        <w:rPr>
          <w:rFonts w:hint="eastAsia" w:ascii="宋体" w:hAnsi="宋体" w:eastAsia="宋体" w:cs="宋体"/>
          <w:b w:val="0"/>
          <w:bCs w:val="0"/>
          <w:color w:val="000000" w:themeColor="text1"/>
          <w:kern w:val="0"/>
          <w:szCs w:val="21"/>
          <w:highlight w:val="none"/>
          <w14:textFill>
            <w14:solidFill>
              <w14:schemeClr w14:val="tx1"/>
            </w14:solidFill>
          </w14:textFill>
        </w:rPr>
        <w:t xml:space="preserve"> </w:t>
      </w:r>
    </w:p>
    <w:p w14:paraId="5B21ADE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Times New Roman" w:eastAsia="宋体" w:cs="Times New Roman"/>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1.2项目编号</w:t>
      </w:r>
      <w:r>
        <w:rPr>
          <w:rFonts w:hint="eastAsia" w:ascii="宋体" w:hAnsi="Times New Roman" w:eastAsia="宋体" w:cs="Times New Roman"/>
          <w:b w:val="0"/>
          <w:bCs w:val="0"/>
          <w:color w:val="000000" w:themeColor="text1"/>
          <w:szCs w:val="21"/>
          <w:highlight w:val="none"/>
          <w14:textFill>
            <w14:solidFill>
              <w14:schemeClr w14:val="tx1"/>
            </w14:solidFill>
          </w14:textFill>
        </w:rPr>
        <w:t>：</w:t>
      </w:r>
      <w:r>
        <w:rPr>
          <w:rFonts w:hint="eastAsia" w:ascii="宋体" w:hAnsi="Times New Roman" w:eastAsia="宋体" w:cs="Times New Roman"/>
          <w:b w:val="0"/>
          <w:bCs w:val="0"/>
          <w:color w:val="000000" w:themeColor="text1"/>
          <w:szCs w:val="21"/>
          <w:highlight w:val="none"/>
          <w:lang w:eastAsia="zh-CN"/>
          <w14:textFill>
            <w14:solidFill>
              <w14:schemeClr w14:val="tx1"/>
            </w14:solidFill>
          </w14:textFill>
        </w:rPr>
        <w:t>GGZC2026-C2-030092-ZSKC</w:t>
      </w:r>
    </w:p>
    <w:p w14:paraId="53F365F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1.3本项目采购范围：本项目为港南区新塘镇蒙大村道路硬化建设以工代赈项目，对贵港市港南区新塘镇蒙大村5条碎石老路进行破除新建，道路总长1957米。</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如需进一步了解详细内容，具体内容详见工程量清单及图纸。</w:t>
      </w:r>
      <w:r>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t xml:space="preserve"> </w:t>
      </w:r>
    </w:p>
    <w:p w14:paraId="6A71311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cs="宋体" w:asciiTheme="minorEastAsia" w:hAnsiTheme="minorEastAsia"/>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1.4质量要求：</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达到国家和行业颁发的施工及验收规程规范要求。</w:t>
      </w:r>
    </w:p>
    <w:p w14:paraId="158F732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cs="Times New Roman" w:asciiTheme="minorEastAsia" w:hAnsiTheme="minorEastAsia"/>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1.5要求工期：</w:t>
      </w:r>
      <w:r>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t>270日历天</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w:t>
      </w:r>
    </w:p>
    <w:p w14:paraId="0D9106D6">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 定义</w:t>
      </w:r>
    </w:p>
    <w:p w14:paraId="50A0505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2.1“采购人”是指：依法进行采购的国家机关、事业单位、团体组织。 </w:t>
      </w:r>
    </w:p>
    <w:p w14:paraId="42A3D2B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2.2“采购</w:t>
      </w:r>
      <w:r>
        <w:rPr>
          <w:rFonts w:hint="eastAsia" w:ascii="宋体" w:hAnsi="Times New Roman" w:eastAsia="宋体" w:cs="Times New Roman"/>
          <w:color w:val="000000" w:themeColor="text1"/>
          <w:szCs w:val="21"/>
          <w:highlight w:val="none"/>
          <w14:textFill>
            <w14:solidFill>
              <w14:schemeClr w14:val="tx1"/>
            </w14:solidFill>
          </w14:textFill>
        </w:rPr>
        <w:t>代理机构”是指：</w:t>
      </w:r>
      <w:r>
        <w:rPr>
          <w:rFonts w:hint="eastAsia" w:ascii="Times New Roman" w:hAnsi="Times New Roman" w:eastAsia="宋体" w:cs="Times New Roman"/>
          <w:color w:val="000000" w:themeColor="text1"/>
          <w:highlight w:val="none"/>
          <w:lang w:eastAsia="zh-CN"/>
          <w14:textFill>
            <w14:solidFill>
              <w14:schemeClr w14:val="tx1"/>
            </w14:solidFill>
          </w14:textFill>
        </w:rPr>
        <w:t>泽圣勘察设计有限公司</w:t>
      </w:r>
    </w:p>
    <w:p w14:paraId="35635022">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2.3“供应商”是指响应本文件要求，参加磋商的法人或者其他组织。如果该供应商在本次磋商中成交，即成为“成交人”。</w:t>
      </w:r>
    </w:p>
    <w:p w14:paraId="4AABC22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2.4“货物”是指各种形态和种类的物品，包括原材料、燃料、设备、产品等。</w:t>
      </w:r>
    </w:p>
    <w:p w14:paraId="40B4F8B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2.5“服务”是指除货物和工程以外的其他采购对象。</w:t>
      </w:r>
    </w:p>
    <w:p w14:paraId="062217A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2.6“响应文件”是指：供应商根据本文件要求，编制包含报价、技术和服务等所有内容的响应文件。</w:t>
      </w:r>
    </w:p>
    <w:p w14:paraId="2F718E8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 供应商的基本条件：见磋商须知前附表。</w:t>
      </w:r>
    </w:p>
    <w:p w14:paraId="5D0595B5">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4. 磋商费用</w:t>
      </w:r>
    </w:p>
    <w:p w14:paraId="58EDEEC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4.1 供应商应自行承担所有与编写和提交响应文件有关的费用，不论磋商结果如何，采购人和采购代理机构在任何情况下无义务和责任承担此类费用。</w:t>
      </w:r>
    </w:p>
    <w:p w14:paraId="092BDAE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4.2本项目代理服务费：见磋商须知前附表。</w:t>
      </w:r>
    </w:p>
    <w:p w14:paraId="165D3E16">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5.</w:t>
      </w: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宋体" w:hAnsi="Times New Roman" w:eastAsia="宋体" w:cs="Times New Roman"/>
          <w:color w:val="000000" w:themeColor="text1"/>
          <w:szCs w:val="21"/>
          <w:highlight w:val="none"/>
          <w14:textFill>
            <w14:solidFill>
              <w14:schemeClr w14:val="tx1"/>
            </w14:solidFill>
          </w14:textFill>
        </w:rPr>
        <w:t>竞争性磋商文件（以下简称磋商文件）的澄清与修改、公告</w:t>
      </w:r>
    </w:p>
    <w:p w14:paraId="575A91B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6D56600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5.2本项目采购公告在http://www.ccgp.gov.cn（中国政府采购网）、http://www.gxzfcg.gov.cn（广西壮族自治区政府采购网）、http://ggzy.jgswj.gxzf.gov.cn/ggggzy/（全国公共资源交易平台（广西•贵港））。</w:t>
      </w:r>
    </w:p>
    <w:p w14:paraId="60D15B7D">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4" w:name="_Toc12606"/>
      <w:r>
        <w:rPr>
          <w:rFonts w:hint="eastAsia" w:ascii="Cambria" w:hAnsi="Cambria" w:eastAsia="宋体" w:cs="Times New Roman"/>
          <w:b/>
          <w:bCs/>
          <w:color w:val="000000" w:themeColor="text1"/>
          <w:sz w:val="32"/>
          <w:szCs w:val="32"/>
          <w:highlight w:val="none"/>
          <w14:textFill>
            <w14:solidFill>
              <w14:schemeClr w14:val="tx1"/>
            </w14:solidFill>
          </w14:textFill>
        </w:rPr>
        <w:t>二、响应文件的编制</w:t>
      </w:r>
      <w:bookmarkEnd w:id="54"/>
    </w:p>
    <w:p w14:paraId="48EEA642">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 响应文件编制基本要求</w:t>
      </w:r>
    </w:p>
    <w:p w14:paraId="5169D43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6.1磋商人应仔细阅读竞争性磋商文件，在充分了解招标的内容、工程量清单和实质性要求条件后，编写响应文件。</w:t>
      </w:r>
    </w:p>
    <w:p w14:paraId="0898A63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供应商提交的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14:paraId="4E994A0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6.3供应商应认真阅读、并充分理解本文件的全部内容（包括所有的补充、修改内容），承诺并履行本文件中各项条款规定及要求。</w:t>
      </w:r>
    </w:p>
    <w:p w14:paraId="68E8EEF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6.4响应文件必须按本文件的全部内容，包括所有的补充通知及附件进行编制。</w:t>
      </w:r>
    </w:p>
    <w:p w14:paraId="2999B601">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6.5如因供应商只填写和提供了本文件要求的部分内容和附件，而给评审造成困难，其可能导致的结果和责任由供应商自行承担。</w:t>
      </w:r>
    </w:p>
    <w:p w14:paraId="4848C8C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6.6响应文件中所须加盖公章位置均采用CA签章。若竞争性磋商采购文件中有专门标注的某关联点，并要求供应商在电子投标系统中作出磋商响应的，如供应商未对关联点进行响应或者在响应文件其它内容进行描述，造成电子评审不能查询的责任由供应商自行承担。</w:t>
      </w:r>
    </w:p>
    <w:p w14:paraId="73ACE99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6.6竞争性磋商采购文件要求提供的各种复印件，须加盖磋商供应商CA签章，否则其磋商无效。</w:t>
      </w:r>
    </w:p>
    <w:p w14:paraId="6A9B9A5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6.7竞争性磋商采购文件要求“必须提供”的证明等材料，磋商人必须全部提供，缺一不可，否则磋商无效。</w:t>
      </w:r>
    </w:p>
    <w:p w14:paraId="18EC89E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6.8竞争性磋商采购文件要求法定代表人或委托代理人签字及加盖公章的部分必须签字并加盖公章后然后扫描或者拍照做成pdf格式上传，无签字或盖章的视为磋商无效。</w:t>
      </w:r>
    </w:p>
    <w:p w14:paraId="00BA997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6.9响应文件应用不褪色的材料书写或打印，保证其清楚、工整，相关材料的复印件应清晰可辨认。响应文件字迹潦草、表达不清、模糊无法辨认而导致非唯一理解是供应商的风险，很可能导致该磋商无效。</w:t>
      </w:r>
    </w:p>
    <w:p w14:paraId="1923A8A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6.10第五章“响应文件格式”中规定了响应文件格式的，应按相应格式要求编写。</w:t>
      </w:r>
    </w:p>
    <w:p w14:paraId="736D365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6.11响应文件应由供应商的法定代表人或其委托代理人在凡规定签章处逐一签字或盖章并加盖单位公章。响应文件应尽量避免涂改、行间插字或删除。如果出现上述情况，改动之处应加盖单位公章或由供应商的法定代表人或其委托代理人签字或盖章确认。</w:t>
      </w:r>
    </w:p>
    <w:p w14:paraId="6EFB833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6.12响应文件应编制目录，且页码清晰准确。</w:t>
      </w:r>
    </w:p>
    <w:p w14:paraId="28B906A9">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6.13响应文件的组成：</w:t>
      </w:r>
      <w:r>
        <w:rPr>
          <w:rFonts w:hint="eastAsia" w:ascii="宋体" w:hAnsi="宋体" w:eastAsia="宋体" w:cs="Times New Roman"/>
          <w:color w:val="000000" w:themeColor="text1"/>
          <w:szCs w:val="21"/>
          <w:highlight w:val="none"/>
          <w14:textFill>
            <w14:solidFill>
              <w14:schemeClr w14:val="tx1"/>
            </w14:solidFill>
          </w14:textFill>
        </w:rPr>
        <w:t>响应文件由资格证明文件、报价文件和商务技术文件三部分组成。</w:t>
      </w:r>
    </w:p>
    <w:p w14:paraId="23E9CE11">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6.13.1资格证明文件</w:t>
      </w:r>
    </w:p>
    <w:p w14:paraId="1842C00D">
      <w:pPr>
        <w:keepNext w:val="0"/>
        <w:keepLines w:val="0"/>
        <w:pageBreakBefore w:val="0"/>
        <w:widowControl/>
        <w:numPr>
          <w:ilvl w:val="0"/>
          <w:numId w:val="0"/>
        </w:numPr>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磋商单位有效的营业执照复印件、</w:t>
      </w:r>
      <w:r>
        <w:rPr>
          <w:rFonts w:hint="eastAsia" w:ascii="宋体" w:hAnsi="宋体" w:eastAsia="宋体" w:cs="Times New Roman"/>
          <w:b/>
          <w:bCs/>
          <w:color w:val="000000" w:themeColor="text1"/>
          <w:szCs w:val="21"/>
          <w:highlight w:val="none"/>
          <w14:textFill>
            <w14:solidFill>
              <w14:schemeClr w14:val="tx1"/>
            </w14:solidFill>
          </w14:textFill>
        </w:rPr>
        <w:t>有效的资质证书复印件、安全生产许可证复印件</w:t>
      </w:r>
      <w:r>
        <w:rPr>
          <w:rFonts w:hint="eastAsia" w:ascii="宋体" w:hAnsi="宋体" w:eastAsia="宋体" w:cs="Times New Roman"/>
          <w:color w:val="000000" w:themeColor="text1"/>
          <w:szCs w:val="21"/>
          <w:highlight w:val="none"/>
          <w14:textFill>
            <w14:solidFill>
              <w14:schemeClr w14:val="tx1"/>
            </w14:solidFill>
          </w14:textFill>
        </w:rPr>
        <w:t>、有效的组织机构代码证复印件（如按国家规定三证合一的，不用提供）</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71A2672">
      <w:pPr>
        <w:keepNext w:val="0"/>
        <w:keepLines w:val="0"/>
        <w:pageBreakBefore w:val="0"/>
        <w:widowControl/>
        <w:numPr>
          <w:ilvl w:val="0"/>
          <w:numId w:val="0"/>
        </w:numPr>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（2）拟担任本工程项目项目经理（注册建造师）简历表；附拟投入本工程项目经理持有</w:t>
      </w:r>
      <w:r>
        <w:rPr>
          <w:rFonts w:hint="eastAsia" w:ascii="宋体" w:hAnsi="宋体" w:eastAsia="宋体" w:cs="Times New Roman"/>
          <w:color w:val="000000" w:themeColor="text1"/>
          <w:szCs w:val="21"/>
          <w:highlight w:val="none"/>
          <w:lang w:eastAsia="zh-CN"/>
          <w14:textFill>
            <w14:solidFill>
              <w14:schemeClr w14:val="tx1"/>
            </w14:solidFill>
          </w14:textFill>
        </w:rPr>
        <w:t>市政公用工程专业二级以上（含本级）</w:t>
      </w:r>
      <w:r>
        <w:rPr>
          <w:rFonts w:hint="eastAsia" w:ascii="宋体" w:hAnsi="宋体" w:eastAsia="宋体" w:cs="Times New Roman"/>
          <w:color w:val="000000" w:themeColor="text1"/>
          <w:highlight w:val="none"/>
          <w14:textFill>
            <w14:solidFill>
              <w14:schemeClr w14:val="tx1"/>
            </w14:solidFill>
          </w14:textFill>
        </w:rPr>
        <w:t>注册建造师执业资格；持有省级或省级以上行政主管部门颁发的B类安全生产考核合格证复印件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kern w:val="0"/>
          <w:szCs w:val="21"/>
          <w:highlight w:val="none"/>
          <w14:textFill>
            <w14:solidFill>
              <w14:schemeClr w14:val="tx1"/>
            </w14:solidFill>
          </w14:textFill>
        </w:rPr>
        <w:t>；</w:t>
      </w:r>
    </w:p>
    <w:p w14:paraId="498BFA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（3）贵港市政府采购项目投标资格承诺函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5D1DA4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（4）信用承诺书</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624C28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（5）磋商人为</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的证明材料【①如属于</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（必须提供，加盖单位电子公章）</w:t>
      </w:r>
      <w:r>
        <w:rPr>
          <w:rFonts w:hint="eastAsia" w:ascii="宋体" w:hAnsi="宋体" w:eastAsia="宋体" w:cs="Times New Roman"/>
          <w:b/>
          <w:bCs/>
          <w:color w:val="000000" w:themeColor="text1"/>
          <w:kern w:val="0"/>
          <w:szCs w:val="21"/>
          <w:highlight w:val="none"/>
          <w14:textFill>
            <w14:solidFill>
              <w14:schemeClr w14:val="tx1"/>
            </w14:solidFill>
          </w14:textFill>
        </w:rPr>
        <w:t>；</w:t>
      </w:r>
    </w:p>
    <w:p w14:paraId="2A687FE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宋体"/>
          <w:color w:val="000000" w:themeColor="text1"/>
          <w:szCs w:val="21"/>
          <w:highlight w:val="none"/>
          <w14:textFill>
            <w14:solidFill>
              <w14:schemeClr w14:val="tx1"/>
            </w14:solidFill>
          </w14:textFill>
        </w:rPr>
        <w:t>。</w:t>
      </w:r>
    </w:p>
    <w:p w14:paraId="40110A9E">
      <w:pPr>
        <w:spacing w:line="440" w:lineRule="exac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6.13.2报价文件</w:t>
      </w:r>
    </w:p>
    <w:p w14:paraId="398FEE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（1）磋商函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highlight w:val="none"/>
          <w14:textFill>
            <w14:solidFill>
              <w14:schemeClr w14:val="tx1"/>
            </w14:solidFill>
          </w14:textFill>
        </w:rPr>
        <w:t>；</w:t>
      </w:r>
    </w:p>
    <w:p w14:paraId="69A4DB5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（2）工程量清单报价有关资料</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2C41BE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（3）按本</w:t>
      </w:r>
      <w:r>
        <w:rPr>
          <w:rFonts w:hint="eastAsia" w:ascii="宋体" w:hAnsi="宋体" w:eastAsia="宋体" w:cs="宋体"/>
          <w:color w:val="000000" w:themeColor="text1"/>
          <w:szCs w:val="21"/>
          <w:highlight w:val="none"/>
          <w14:textFill>
            <w14:solidFill>
              <w14:schemeClr w14:val="tx1"/>
            </w14:solidFill>
          </w14:textFill>
        </w:rPr>
        <w:t>竞争性磋商文件</w:t>
      </w:r>
      <w:r>
        <w:rPr>
          <w:rFonts w:hint="eastAsia" w:ascii="宋体" w:hAnsi="宋体" w:eastAsia="宋体" w:cs="Times New Roman"/>
          <w:color w:val="000000" w:themeColor="text1"/>
          <w:szCs w:val="21"/>
          <w:highlight w:val="none"/>
          <w14:textFill>
            <w14:solidFill>
              <w14:schemeClr w14:val="tx1"/>
            </w14:solidFill>
          </w14:textFill>
        </w:rPr>
        <w:t>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5BAC76F2">
      <w:pPr>
        <w:spacing w:line="440" w:lineRule="exact"/>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6.13.3  商务技术文件</w:t>
      </w:r>
    </w:p>
    <w:p w14:paraId="61DD2EC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（1）无串通竞标行为的承诺函（格式后附）</w:t>
      </w:r>
      <w:r>
        <w:rPr>
          <w:rFonts w:hint="eastAsia" w:ascii="宋体" w:hAnsi="宋体" w:eastAsia="宋体" w:cs="Times New Roman"/>
          <w:b/>
          <w:bCs/>
          <w:color w:val="000000" w:themeColor="text1"/>
          <w:kern w:val="0"/>
          <w:szCs w:val="21"/>
          <w:highlight w:val="none"/>
          <w14:textFill>
            <w14:solidFill>
              <w14:schemeClr w14:val="tx1"/>
            </w14:solidFill>
          </w14:textFill>
        </w:rPr>
        <w:t>（必须提供，否则响应文件按无效响应处理）</w:t>
      </w:r>
      <w:r>
        <w:rPr>
          <w:rFonts w:hint="eastAsia" w:ascii="宋体" w:hAnsi="宋体" w:eastAsia="宋体" w:cs="Times New Roman"/>
          <w:color w:val="000000" w:themeColor="text1"/>
          <w:szCs w:val="21"/>
          <w:highlight w:val="none"/>
          <w14:textFill>
            <w14:solidFill>
              <w14:schemeClr w14:val="tx1"/>
            </w14:solidFill>
          </w14:textFill>
        </w:rPr>
        <w:t>；</w:t>
      </w:r>
    </w:p>
    <w:p w14:paraId="0EE471F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（2）法定代表人身份证明书及其有效的身份证正反面复印件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D21ED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（3）法定代表人授权委托书原件和委托代理人有效的身份证正反面复印件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（委托代理时必须提供，加盖单位电子公章）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3CF8CE3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（4）施工组织设计</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28A562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（5）项目管理机构配备情况表</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附安全生产管理人员、施工员等其他相关人员的上岗证和安全生产管理人员安全生产考核合格证复印件；</w:t>
      </w:r>
    </w:p>
    <w:p w14:paraId="68CD2F4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（6）202</w:t>
      </w:r>
      <w:r>
        <w:rPr>
          <w:rFonts w:hint="eastAsia" w:ascii="宋体" w:hAnsi="宋体" w:eastAsia="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年1月1日以来至今企业完成</w:t>
      </w:r>
      <w:r>
        <w:rPr>
          <w:rFonts w:hint="eastAsia" w:ascii="宋体" w:hAnsi="宋体" w:eastAsia="宋体" w:cs="Times New Roman"/>
          <w:b w:val="0"/>
          <w:bCs w:val="0"/>
          <w:color w:val="000000" w:themeColor="text1"/>
          <w:szCs w:val="21"/>
          <w:highlight w:val="none"/>
          <w14:textFill>
            <w14:solidFill>
              <w14:schemeClr w14:val="tx1"/>
            </w14:solidFill>
          </w14:textFill>
        </w:rPr>
        <w:t>过</w:t>
      </w:r>
      <w:r>
        <w:rPr>
          <w:rFonts w:hint="eastAsia" w:ascii="宋体" w:hAnsi="宋体" w:eastAsia="宋体" w:cs="Times New Roman"/>
          <w:b/>
          <w:bCs/>
          <w:color w:val="000000" w:themeColor="text1"/>
          <w:szCs w:val="21"/>
          <w:highlight w:val="none"/>
          <w:u w:val="none"/>
          <w:lang w:eastAsia="zh-CN"/>
          <w14:textFill>
            <w14:solidFill>
              <w14:schemeClr w14:val="tx1"/>
            </w14:solidFill>
          </w14:textFill>
        </w:rPr>
        <w:t>市政公用工程</w:t>
      </w:r>
      <w:r>
        <w:rPr>
          <w:rFonts w:hint="eastAsia" w:ascii="宋体" w:hAnsi="宋体" w:eastAsia="宋体" w:cs="Times New Roman"/>
          <w:b w:val="0"/>
          <w:bCs w:val="0"/>
          <w:color w:val="000000" w:themeColor="text1"/>
          <w:szCs w:val="21"/>
          <w:highlight w:val="none"/>
          <w14:textFill>
            <w14:solidFill>
              <w14:schemeClr w14:val="tx1"/>
            </w14:solidFill>
          </w14:textFill>
        </w:rPr>
        <w:t>项</w:t>
      </w:r>
      <w:r>
        <w:rPr>
          <w:rFonts w:hint="eastAsia" w:ascii="宋体" w:hAnsi="宋体" w:eastAsia="宋体" w:cs="Times New Roman"/>
          <w:color w:val="000000" w:themeColor="text1"/>
          <w:szCs w:val="21"/>
          <w:highlight w:val="none"/>
          <w14:textFill>
            <w14:solidFill>
              <w14:schemeClr w14:val="tx1"/>
            </w14:solidFill>
          </w14:textFill>
        </w:rPr>
        <w:t>目情况表（格式自拟）。附成交（中标）通知书或施工合同复印件</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FF483B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CE62C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imes New Roman"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注：磋商单位按照提供的磋商响应文件格式和顺序另行编制磋商文件。</w:t>
      </w:r>
    </w:p>
    <w:p w14:paraId="49E672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6.14响应文件有效期：见磋商须知前附表。</w:t>
      </w:r>
    </w:p>
    <w:p w14:paraId="20F83FE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6.15磋商保证金：见磋商须知前附表。</w:t>
      </w:r>
    </w:p>
    <w:p w14:paraId="4C8D8EC2">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7. 计量单位</w:t>
      </w:r>
    </w:p>
    <w:p w14:paraId="584E06F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7.1除技术要求中另有规定外，本文件所要求使用的计量单位均应采用国家法定计量单位。</w:t>
      </w:r>
    </w:p>
    <w:p w14:paraId="44D6C7C5">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5" w:name="_Toc28020"/>
      <w:r>
        <w:rPr>
          <w:rFonts w:hint="eastAsia" w:ascii="Cambria" w:hAnsi="Cambria" w:eastAsia="宋体" w:cs="Times New Roman"/>
          <w:b/>
          <w:bCs/>
          <w:color w:val="000000" w:themeColor="text1"/>
          <w:sz w:val="32"/>
          <w:szCs w:val="32"/>
          <w:highlight w:val="none"/>
          <w14:textFill>
            <w14:solidFill>
              <w14:schemeClr w14:val="tx1"/>
            </w14:solidFill>
          </w14:textFill>
        </w:rPr>
        <w:t>三、磋商报价及采购预算</w:t>
      </w:r>
      <w:bookmarkEnd w:id="55"/>
    </w:p>
    <w:p w14:paraId="16562F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14:paraId="14741B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8.2供应商必须就所投项目的全部内容作完整唯一报价，漏项报价的或有选择的或有条件的报价，其磋商将视为无效。</w:t>
      </w:r>
    </w:p>
    <w:p w14:paraId="25EB79F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8.3本项目磋商报价费用指项目策划费用。</w:t>
      </w:r>
    </w:p>
    <w:p w14:paraId="1BBFBA4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8.4磋商报价超出采购预算价的均作无效磋商处理。</w:t>
      </w:r>
    </w:p>
    <w:p w14:paraId="7A89F073">
      <w:pPr>
        <w:keepNext/>
        <w:keepLines/>
        <w:spacing w:before="260" w:after="260" w:line="415" w:lineRule="auto"/>
        <w:outlineLvl w:val="1"/>
        <w:rPr>
          <w:rFonts w:hint="eastAsia" w:ascii="Cambria" w:hAnsi="Cambria" w:eastAsia="宋体" w:cs="Times New Roman"/>
          <w:b/>
          <w:bCs/>
          <w:color w:val="000000" w:themeColor="text1"/>
          <w:sz w:val="32"/>
          <w:szCs w:val="32"/>
          <w:highlight w:val="none"/>
          <w:lang w:eastAsia="zh-CN"/>
          <w14:textFill>
            <w14:solidFill>
              <w14:schemeClr w14:val="tx1"/>
            </w14:solidFill>
          </w14:textFill>
        </w:rPr>
      </w:pPr>
      <w:bookmarkStart w:id="56" w:name="_Toc10085"/>
      <w:r>
        <w:rPr>
          <w:rFonts w:hint="eastAsia" w:ascii="Cambria" w:hAnsi="Cambria" w:eastAsia="宋体" w:cs="Times New Roman"/>
          <w:b/>
          <w:bCs/>
          <w:color w:val="000000" w:themeColor="text1"/>
          <w:sz w:val="32"/>
          <w:szCs w:val="32"/>
          <w:highlight w:val="none"/>
          <w14:textFill>
            <w14:solidFill>
              <w14:schemeClr w14:val="tx1"/>
            </w14:solidFill>
          </w14:textFill>
        </w:rPr>
        <w:t>四、响应文件编制</w:t>
      </w:r>
      <w:bookmarkEnd w:id="56"/>
      <w:r>
        <w:rPr>
          <w:rFonts w:hint="eastAsia" w:ascii="Cambria" w:hAnsi="Cambria" w:eastAsia="宋体" w:cs="Times New Roman"/>
          <w:b/>
          <w:bCs/>
          <w:color w:val="000000" w:themeColor="text1"/>
          <w:sz w:val="32"/>
          <w:szCs w:val="32"/>
          <w:highlight w:val="none"/>
          <w:lang w:eastAsia="zh-CN"/>
          <w14:textFill>
            <w14:solidFill>
              <w14:schemeClr w14:val="tx1"/>
            </w14:solidFill>
          </w14:textFill>
        </w:rPr>
        <w:t>的相关说明</w:t>
      </w:r>
    </w:p>
    <w:p w14:paraId="5BDD9B09">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竞争性磋商响应文件编制基本要求</w:t>
      </w:r>
    </w:p>
    <w:p w14:paraId="3DF62744">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本项目实行电子投标，供应商应准备电子磋商响应文件：</w:t>
      </w:r>
    </w:p>
    <w:p w14:paraId="2710ABC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9.1电子响应文件按广西政府采购云平台要求及本竞争性磋商采购文件要求制作、加密并递交。具体操作流程可参考《政府采购项目电子交易管理操作指南-供应商》，指南可在“http://www.ccgp-guangxi.gov.cn/PurchaseAdvisory/ImportantNotice/2866753.html”下载。</w:t>
      </w:r>
    </w:p>
    <w:p w14:paraId="1BEE7F2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9.2磋商响应文件启用顺序和效力：磋商响应文件的启用，按先后顺位分别为电子磋商响应文件、电子备份磋商响应文件。若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09FBEF4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9.3供应商提交的竞争性磋商响应文件以及供应商与本公司和采购人就有关磋商的所有来往函电均应使用中文。供应商提交的支持文件和印刷的文献可以使用别的语言，但其相应内容必须附有中文翻译文本，在解释竞争性磋商响应文件时以翻译文本为主。</w:t>
      </w:r>
    </w:p>
    <w:p w14:paraId="12A3EE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9.4供应商应认真阅读、并充分理解本文件的全部内容（包括所有的澄清、更改、补充、答疑等内容），承诺并履行本文件中各项条款规定及要求。</w:t>
      </w:r>
    </w:p>
    <w:p w14:paraId="1F8B490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9.5竞争性磋商响应文件必须按本文件的全部内容，包括所有的澄清、更改、补充、答疑等内容及附件进行编制。</w:t>
      </w:r>
    </w:p>
    <w:p w14:paraId="5242781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9.6如因供应商只填写和提供了本文件要求的部分内容和附件，而给磋商小组评审造成困难，其可能导致的结果和责任由供应商自行承担。</w:t>
      </w:r>
    </w:p>
    <w:p w14:paraId="0EDE3A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9.7竞争性磋商响应文件的组成：竞争性磋商响应文件应分为资格证明文件、报价文件、商务技术文件部分三个部分组成。供应商应仔细阅读竞争性磋商采购文件的所有内容，按竞争性磋商采购文件的要求，详细编制竞争性磋商响应文件。</w:t>
      </w:r>
    </w:p>
    <w:p w14:paraId="32FCB48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9.8竞争性磋商响应文件的签章</w:t>
      </w:r>
    </w:p>
    <w:p w14:paraId="551747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9.8.1 电子磋商响应文件中须加盖供应商公章位置均采用CA签章，并根据“政府采购项目电子交易管理操作指南-供应商”及本竞争性磋商采购文件规定的格式和顺序编制电子磋商响应文件并进行关联定位，以便磋商小组在评时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5683706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9.8.2 CA签章上目前没有法人或授权代表签字信息，供应商在磋商响应文件中涉及到签字的位置线下签好字然后扫描或者拍照做成PDF的格式即可。</w:t>
      </w:r>
    </w:p>
    <w:p w14:paraId="110C36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9.8.3 磋商响应文件不得涂改，若有修改错漏处，须法定代表人或授权委托人签字。磋商响应文件因字迹潦草或表达不清所引起的后果由供应商负责。</w:t>
      </w:r>
    </w:p>
    <w:p w14:paraId="1494F52B">
      <w:pPr>
        <w:spacing w:line="500" w:lineRule="exact"/>
        <w:rPr>
          <w:rFonts w:ascii="宋体" w:hAnsi="Times New Roman" w:eastAsia="宋体" w:cs="Times New Roman"/>
          <w:b/>
          <w:color w:val="000000" w:themeColor="text1"/>
          <w:spacing w:val="-10"/>
          <w:szCs w:val="21"/>
          <w:highlight w:val="none"/>
          <w14:textFill>
            <w14:solidFill>
              <w14:schemeClr w14:val="tx1"/>
            </w14:solidFill>
          </w14:textFill>
        </w:rPr>
      </w:pPr>
      <w:r>
        <w:rPr>
          <w:rFonts w:hint="eastAsia" w:ascii="宋体" w:hAnsi="Times New Roman" w:eastAsia="宋体" w:cs="Times New Roman"/>
          <w:b/>
          <w:color w:val="000000" w:themeColor="text1"/>
          <w:spacing w:val="-10"/>
          <w:szCs w:val="21"/>
          <w:highlight w:val="none"/>
          <w14:textFill>
            <w14:solidFill>
              <w14:schemeClr w14:val="tx1"/>
            </w14:solidFill>
          </w14:textFill>
        </w:rPr>
        <w:t>10.电子响应文件的相关说明：</w:t>
      </w:r>
    </w:p>
    <w:p w14:paraId="4FBFA66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10.1供应商进行电子投标应安装客户端软件，并按照采购文件和电子交易平台的要求编制并加密磋商响应文件。供应商未按规定加密的磋商响应文件，电子交易平台将拒收。供应商应当在开标截止时间前完成磋商响应文件的传输递交，并可以补充、修改或者撤回磋商响应文件。补充或者修改磋商响应文件的，应当先行撤回原文件，补充、修改后重新传输递交。开标截止时间前未完成传输的，视为撤回磋商响应文件。开标截止时间后递交的磋商响应文件，电子交易平台将拒收。</w:t>
      </w:r>
    </w:p>
    <w:p w14:paraId="2C5DE6F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10.2如有特殊情况，采购代理机构延长截止时间和开标时间，采购代理机构和供应商的权利和义务将受到新的截止时间和开标时间的约束。</w:t>
      </w:r>
    </w:p>
    <w:p w14:paraId="44834CAC">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7" w:name="_Toc18181"/>
      <w:r>
        <w:rPr>
          <w:rFonts w:hint="eastAsia" w:ascii="Cambria" w:hAnsi="Cambria" w:eastAsia="宋体" w:cs="Times New Roman"/>
          <w:b/>
          <w:bCs/>
          <w:color w:val="000000" w:themeColor="text1"/>
          <w:sz w:val="32"/>
          <w:szCs w:val="32"/>
          <w:highlight w:val="none"/>
          <w14:textFill>
            <w14:solidFill>
              <w14:schemeClr w14:val="tx1"/>
            </w14:solidFill>
          </w14:textFill>
        </w:rPr>
        <w:t>五、竞争性磋商（简称磋商）与评审</w:t>
      </w:r>
      <w:bookmarkEnd w:id="57"/>
    </w:p>
    <w:p w14:paraId="3304CDA3">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11.磋商小组组成及磋商时间、地点、人员</w:t>
      </w:r>
    </w:p>
    <w:p w14:paraId="63ECC5D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11.1磋商小组构成：本项目的磋商小组由采购人代表和评审专家共3人以上单数组成。</w:t>
      </w:r>
    </w:p>
    <w:p w14:paraId="7A35B52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11.2 具体的磋商时间、地点、人员见磋商须知前附表，参加磋商的磋商人应在前附表规定的日期和时间之前将响应文件上传提交至广西政府采购云平台系统。如未按时上传，由此产生的后果由供应商自行负责。</w:t>
      </w:r>
    </w:p>
    <w:p w14:paraId="10D5889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11.3网上开标、电子评标</w:t>
      </w:r>
    </w:p>
    <w:p w14:paraId="2DB0585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11.3.1供应商根据采购文件要求，登录“广西政府采购云平台”，在指定时间内将电子响应文件通过 CA 加密后上传完成投标。开标实行网上不见面开标。到达开标截止时间后，政府采购代理机构工作人员在“广西政府采购云平台”开始网上开标，供应商在指定标书解密时间内各自远程登录“广西政府采购云平台”进行标书解密，供应商全部解密完成或解密时间结束后政府采购代理机构工作人员开启唱标及评标程序，供应商可在个人电脑上查看到唱标信息，并等待专家评委评审，评审结束后系统中将显示评标结果。</w:t>
      </w:r>
    </w:p>
    <w:p w14:paraId="2EFC0EF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11.3.2开标程序</w:t>
      </w:r>
    </w:p>
    <w:p w14:paraId="54001FB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开标截止时间后，主持人宣布开标开始。</w:t>
      </w:r>
    </w:p>
    <w:p w14:paraId="601218C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供应商登录广西政府采购云平台，用“项目采购-开标评标”功能对电子磋商响应文件进行在线解密。</w:t>
      </w:r>
      <w:r>
        <w:rPr>
          <w:rFonts w:hint="eastAsia" w:ascii="宋体" w:hAnsi="Times New Roman" w:eastAsia="宋体" w:cs="Times New Roman"/>
          <w:b/>
          <w:color w:val="000000" w:themeColor="text1"/>
          <w:szCs w:val="21"/>
          <w:highlight w:val="none"/>
          <w14:textFill>
            <w14:solidFill>
              <w14:schemeClr w14:val="tx1"/>
            </w14:solidFill>
          </w14:textFill>
        </w:rPr>
        <w:t>在线解密电子磋商响应文件时间为开标时间起（30分内）。</w:t>
      </w:r>
    </w:p>
    <w:p w14:paraId="42BF4275">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12．评审原则和评审办法</w:t>
      </w:r>
    </w:p>
    <w:p w14:paraId="59808B4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12.1具体评审原则和评审办法见评分标准。</w:t>
      </w:r>
    </w:p>
    <w:p w14:paraId="53D3598F">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13.响应文件评审及磋商的步骤</w:t>
      </w:r>
    </w:p>
    <w:p w14:paraId="03B139E8">
      <w:pPr>
        <w:keepNext w:val="0"/>
        <w:keepLines w:val="0"/>
        <w:pageBreakBefore w:val="0"/>
        <w:widowControl/>
        <w:tabs>
          <w:tab w:val="left" w:pos="540"/>
        </w:tabs>
        <w:kinsoku/>
        <w:wordWrap/>
        <w:overflowPunct/>
        <w:topLinePunct w:val="0"/>
        <w:autoSpaceDE/>
        <w:autoSpaceDN/>
        <w:bidi w:val="0"/>
        <w:adjustRightInd/>
        <w:snapToGrid/>
        <w:spacing w:line="500" w:lineRule="exact"/>
        <w:ind w:firstLine="420" w:firstLineChars="200"/>
        <w:jc w:val="left"/>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13.1</w:t>
      </w:r>
      <w:r>
        <w:rPr>
          <w:rFonts w:hint="eastAsia" w:ascii="宋体" w:hAnsi="Times New Roman" w:eastAsia="宋体" w:cs="Times New Roman"/>
          <w:b/>
          <w:color w:val="000000" w:themeColor="text1"/>
          <w:szCs w:val="21"/>
          <w:highlight w:val="none"/>
          <w14:textFill>
            <w14:solidFill>
              <w14:schemeClr w14:val="tx1"/>
            </w14:solidFill>
          </w14:textFill>
        </w:rPr>
        <w:t>资格或符合性审查：</w:t>
      </w:r>
      <w:r>
        <w:rPr>
          <w:rFonts w:hint="eastAsia" w:ascii="宋体" w:hAnsi="Times New Roman" w:eastAsia="宋体" w:cs="Times New Roman"/>
          <w:color w:val="000000" w:themeColor="text1"/>
          <w:szCs w:val="21"/>
          <w:highlight w:val="none"/>
          <w14:textFill>
            <w14:solidFill>
              <w14:schemeClr w14:val="tx1"/>
            </w14:solidFill>
          </w14:textFill>
        </w:rPr>
        <w:t>磋商小组对磋商资格条件及响应文件进行评审，并从符合竞争性磋商文件规定的相应资格条件的供应商名单中确定不少于3家的供应商参加磋商。资格条件不符合的供应商或未实质性响应磋商文件的响应文件按无效响应处理，磋商小组应当告知有关供应商。</w:t>
      </w:r>
    </w:p>
    <w:p w14:paraId="0B9C93A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00AF753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（2）确定参加磋商的供应商名单。磋商小组将所有通过资格性审查及符合性审查的供应商确定为参加磋商的供应商。 </w:t>
      </w:r>
    </w:p>
    <w:p w14:paraId="034DA80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（3）采购过程中出现以下情形，导致电子交易平台无法正常运行，或者无法保证电子交易的公平、公正和安全时，采购组织机构可中止电子交易活动：</w:t>
      </w:r>
    </w:p>
    <w:p w14:paraId="269A684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（4）电子交易平台发生故障而无法登录访问的；</w:t>
      </w:r>
    </w:p>
    <w:p w14:paraId="60C718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（5）电子交易平台应用或数据库出现错误，不能进行正常操作的；</w:t>
      </w:r>
    </w:p>
    <w:p w14:paraId="253D777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（6）电子交易平台发现严重安全漏洞，有潜在泄密危险的；</w:t>
      </w:r>
    </w:p>
    <w:p w14:paraId="49296F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（7）病毒发作导致不能进行正常操作的；</w:t>
      </w:r>
    </w:p>
    <w:p w14:paraId="6B15EA4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（8）其他无法保证电子交易的公平、公正和安全的情况。</w:t>
      </w:r>
    </w:p>
    <w:p w14:paraId="22CDCCF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（9）出现前款规定情形，不影响采购公平、公正性的，采购组织机构可以待上述情形消除后继续组织电子交易活动，也可以决定某些环节以纸质形式进行；影响或可能影响采购公平、公正性的，应当重新采购。</w:t>
      </w:r>
    </w:p>
    <w:p w14:paraId="4A7FEB40">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hAnsi="Times New Roman" w:eastAsia="宋体" w:cs="Times New Roman"/>
          <w:b/>
          <w:bCs/>
          <w:color w:val="000000" w:themeColor="text1"/>
          <w:szCs w:val="21"/>
          <w:highlight w:val="none"/>
          <w14:textFill>
            <w14:solidFill>
              <w14:schemeClr w14:val="tx1"/>
            </w14:solidFill>
          </w14:textFill>
        </w:rPr>
      </w:pPr>
      <w:r>
        <w:rPr>
          <w:rFonts w:hint="eastAsia" w:ascii="宋体" w:hAnsi="Times New Roman" w:eastAsia="宋体" w:cs="Times New Roman"/>
          <w:b/>
          <w:bCs/>
          <w:color w:val="000000" w:themeColor="text1"/>
          <w:szCs w:val="21"/>
          <w:highlight w:val="none"/>
          <w14:textFill>
            <w14:solidFill>
              <w14:schemeClr w14:val="tx1"/>
            </w14:solidFill>
          </w14:textFill>
        </w:rPr>
        <w:t>13.2确认第一轮磋商报价。</w:t>
      </w:r>
    </w:p>
    <w:p w14:paraId="609648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13.2.1代理机构开启报价文件，供应商对报价记录表进行确认，如对报价记录表无异议，供应商对报价记录表进行CA签章。如供应商对报价记录表有异议，先申请异议后再进行CA签章。</w:t>
      </w:r>
    </w:p>
    <w:p w14:paraId="19B01C3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13.2.2报价确认：如供应商确认报价记录表无异议，点击【报价确认】，进行签章；如供应商对报价记录表有异议，供应商先点击【报价异议】，选择【有异议】并填写异议说明后，再点击【报价确认】对报价记录表进行签章。</w:t>
      </w:r>
    </w:p>
    <w:p w14:paraId="65A4276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13.2.3查看报价列表：可放大查看报价列表。</w:t>
      </w:r>
    </w:p>
    <w:p w14:paraId="6659818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13.2.4报价确认：代理机构开启签字时段后，供应商才可对报价记录表进行CA签字确认。</w:t>
      </w:r>
    </w:p>
    <w:p w14:paraId="4D3998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13.2.5查看联合体供应商：若是联合体供应商，在供应商名称左侧展示“联*”表示联合体供应商以及家数（不包括主供应商），将鼠标停留在“联”上可查看联合供应商的名称。</w:t>
      </w:r>
    </w:p>
    <w:p w14:paraId="637B48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13.2.6填写姓名：填写授权委托人的姓名，确认签字后，系统会自动录入该姓名的系统字体。</w:t>
      </w:r>
    </w:p>
    <w:p w14:paraId="2D26885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13.2.7签字完成：等待评审小组对报价进行评审。</w:t>
      </w:r>
    </w:p>
    <w:p w14:paraId="5DB1A033">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hAnsi="Times New Roman" w:eastAsia="宋体" w:cs="Times New Roman"/>
          <w:b/>
          <w:bCs/>
          <w:color w:val="000000" w:themeColor="text1"/>
          <w:szCs w:val="21"/>
          <w:highlight w:val="none"/>
          <w14:textFill>
            <w14:solidFill>
              <w14:schemeClr w14:val="tx1"/>
            </w14:solidFill>
          </w14:textFill>
        </w:rPr>
      </w:pPr>
      <w:r>
        <w:rPr>
          <w:rFonts w:hint="eastAsia" w:ascii="宋体" w:hAnsi="Times New Roman" w:eastAsia="宋体" w:cs="Times New Roman"/>
          <w:b/>
          <w:bCs/>
          <w:color w:val="000000" w:themeColor="text1"/>
          <w:szCs w:val="21"/>
          <w:highlight w:val="none"/>
          <w14:textFill>
            <w14:solidFill>
              <w14:schemeClr w14:val="tx1"/>
            </w14:solidFill>
          </w14:textFill>
        </w:rPr>
        <w:t>13.3在线多轮报价（最终报价）。</w:t>
      </w:r>
    </w:p>
    <w:p w14:paraId="0A450DE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13.3.1参与报价：磋商小组在平台开启新一轮报价，供应商点击【报价】，参与报价。</w:t>
      </w:r>
    </w:p>
    <w:p w14:paraId="33187E9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13.3.2参与报价：在报价页面填写最终报价、项目负责人等信息，生成报价文件。</w:t>
      </w:r>
    </w:p>
    <w:p w14:paraId="2CE6F69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13.3.3报价文件签章：生成报价文件后，供应商需报价文件进行CA签章。CA签章：供应商确认报价文件无误后，在电脑上插入CA锁，对报价文件进行签章。修改报价文件：生成报价文件后，报价栏内容都置灰，无法编辑，如供应商需要修改，可点击【重新编辑】，进行修改。</w:t>
      </w:r>
    </w:p>
    <w:p w14:paraId="21F9002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查看文件：供应商点击【查看文件】，可查看本轮次生成的报价文件。</w:t>
      </w:r>
    </w:p>
    <w:p w14:paraId="1D9751C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13.3.4提交报价文件：确认报价文件后，点击右上角【提交】，提交报价文件。</w:t>
      </w:r>
    </w:p>
    <w:p w14:paraId="2945C5A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13.3.5如供应商未对报价文件签章，提交时，弹框提醒“报价文件未签章，请进行签章操作”，供应商在：签章后再进行提交。</w:t>
      </w:r>
    </w:p>
    <w:p w14:paraId="7FB224D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13.3.6若是联合投标的供应商，在对应的供应商名称右边显示“联合*家投标”（不包含主供应商），供应商将鼠标停留在该文字上，可查看具体联合的两家供应商名称。</w:t>
      </w:r>
    </w:p>
    <w:p w14:paraId="4CCE4178">
      <w:pPr>
        <w:keepNext w:val="0"/>
        <w:keepLines w:val="0"/>
        <w:pageBreakBefore w:val="0"/>
        <w:widowControl/>
        <w:tabs>
          <w:tab w:val="left" w:pos="540"/>
        </w:tabs>
        <w:kinsoku/>
        <w:wordWrap/>
        <w:overflowPunct/>
        <w:topLinePunct w:val="0"/>
        <w:autoSpaceDE/>
        <w:autoSpaceDN/>
        <w:bidi w:val="0"/>
        <w:adjustRightInd/>
        <w:snapToGrid/>
        <w:spacing w:line="500" w:lineRule="exact"/>
        <w:ind w:firstLine="422" w:firstLineChars="200"/>
        <w:jc w:val="left"/>
        <w:textAlignment w:val="auto"/>
        <w:rPr>
          <w:rFonts w:ascii="宋体" w:hAnsi="Calibri" w:eastAsia="宋体" w:cs="Times New Roman"/>
          <w:b/>
          <w:color w:val="000000" w:themeColor="text1"/>
          <w:szCs w:val="21"/>
          <w:highlight w:val="none"/>
          <w14:textFill>
            <w14:solidFill>
              <w14:schemeClr w14:val="tx1"/>
            </w14:solidFill>
          </w14:textFill>
        </w:rPr>
      </w:pPr>
      <w:r>
        <w:rPr>
          <w:rFonts w:hint="eastAsia" w:ascii="宋体" w:hAnsi="Calibri" w:eastAsia="宋体" w:cs="Times New Roman"/>
          <w:b/>
          <w:color w:val="000000" w:themeColor="text1"/>
          <w:szCs w:val="21"/>
          <w:highlight w:val="none"/>
          <w14:textFill>
            <w14:solidFill>
              <w14:schemeClr w14:val="tx1"/>
            </w14:solidFill>
          </w14:textFill>
        </w:rPr>
        <w:t>注：本项目磋商采用二次报价（在线多轮报价（最终报价））方式，如磋商人的第二次报价有调整时，报价文件必须以工程量清单报价表的格式编制转为pdf格式作为附件上传系统。磋商人不得以总价下浮的方式做报价，否则作无效磋商处理。请各磋商人须提前做好相关准备并按时递交报价文件，报价高于本项目预算控制价的磋商响应文件将被拒绝。</w:t>
      </w:r>
    </w:p>
    <w:p w14:paraId="666F1DD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13.3.7综合评分：经磋商确定最终采购需求和提交最后报价的供应商后，由磋商小组采用综合评分法对提交最后报价的供应商的响应文件和最后报价进行综合评分。</w:t>
      </w:r>
    </w:p>
    <w:p w14:paraId="1812499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bookmarkStart w:id="58" w:name="_Toc19054"/>
      <w:bookmarkStart w:id="59" w:name="_Toc13560"/>
      <w:r>
        <w:rPr>
          <w:rFonts w:hint="eastAsia" w:ascii="宋体" w:hAnsi="Times New Roman" w:eastAsia="宋体" w:cs="Times New Roman"/>
          <w:color w:val="000000" w:themeColor="text1"/>
          <w:szCs w:val="21"/>
          <w:highlight w:val="none"/>
          <w14:textFill>
            <w14:solidFill>
              <w14:schemeClr w14:val="tx1"/>
            </w14:solidFill>
          </w14:textFill>
        </w:rPr>
        <w:t>磋商小组应当根据综合评分情况，按照评审得分由高到低顺序推荐3名成交候选供应商，并编写评审报告。符合《政府采购竞争性磋商采购方式管理暂行办法》（财库﹝2014﹞214号）第二十一条第三款情形和财库〔2015〕124号的，可以推荐3家成交候选供应商。评审得分相同的，按照最后报价由低到高的顺序推荐。评审得分且最后报价相同的，则按照项目技术标优劣顺序推荐。</w:t>
      </w:r>
      <w:bookmarkEnd w:id="58"/>
      <w:bookmarkEnd w:id="59"/>
    </w:p>
    <w:p w14:paraId="38E846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13.3.8响应供应商的报价均超过了采购预算价，采购人不能支付的，磋商活动终止。</w:t>
      </w:r>
    </w:p>
    <w:p w14:paraId="2293FDC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13.3.9在评标过程中出现法律法规和磋商文件均没有明确规定的情形时，由磋商小组现场协商解决，协商不一致的，由全体磋商小组投票表决，以得票率半数以上专家的意见为准。</w:t>
      </w:r>
    </w:p>
    <w:p w14:paraId="1740444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13.4特别说明：</w:t>
      </w:r>
    </w:p>
    <w:p w14:paraId="77AA989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1.供应商磋商所使用的资格、信誉、荣誉、业绩与企业认证必须为本法人所拥有（特殊要求除外）。供应商磋商所使用的采购项目实施人员必须为本法人员工（或必须为本法人或控股公司正式员工）。</w:t>
      </w:r>
    </w:p>
    <w:p w14:paraId="6A6010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2.供应商应仔细阅读竞争性磋商文件的所有内容，按照竞争性磋商文件的要求提交响应文件，并对所提供的全部资料的真实性承担法律责任。</w:t>
      </w:r>
    </w:p>
    <w:p w14:paraId="1C9D3F2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3.供应商在磋商活动中提供任何虚假材料，其磋商无效，并报监管部门查处；成交后发现的，成交供应商须依照《中华人民共和国消费者权益保护法》第五十五条第一款之规定三倍赔偿采购人，且民事赔偿并不免除违法供应商的行政与刑事责任。</w:t>
      </w:r>
    </w:p>
    <w:p w14:paraId="17B1B8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13.5低于成本报价</w:t>
      </w:r>
    </w:p>
    <w:p w14:paraId="0C7EA0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磋商小组在评审过程中发现供应商的总报价明显低于其他供应商的总报价或者明显低于采购预算价，有理由怀疑其总报价可能低于其成本的，应当要求该供应商做出书面说明并提供相关证明材料。供应商不能合理说明或者不能提供相关证明材料的，视作该供应商以低于成本报价磋商，其磋商无效。</w:t>
      </w:r>
    </w:p>
    <w:p w14:paraId="74C468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13.6最终磋商结束后，磋商小组不得再与供应商进行任何形式的商谈。</w:t>
      </w:r>
    </w:p>
    <w:p w14:paraId="543926E8">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0" w:name="_Toc29757"/>
      <w:r>
        <w:rPr>
          <w:rFonts w:hint="eastAsia" w:ascii="Cambria" w:hAnsi="Cambria" w:eastAsia="宋体" w:cs="Times New Roman"/>
          <w:b/>
          <w:bCs/>
          <w:color w:val="000000" w:themeColor="text1"/>
          <w:sz w:val="32"/>
          <w:szCs w:val="32"/>
          <w:highlight w:val="none"/>
          <w14:textFill>
            <w14:solidFill>
              <w14:schemeClr w14:val="tx1"/>
            </w14:solidFill>
          </w14:textFill>
        </w:rPr>
        <w:t>六、确定成交供应商办法及结果公告</w:t>
      </w:r>
      <w:bookmarkEnd w:id="60"/>
    </w:p>
    <w:p w14:paraId="034C397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宋体"/>
          <w:color w:val="000000" w:themeColor="text1"/>
          <w:kern w:val="0"/>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14.1</w:t>
      </w:r>
      <w:r>
        <w:rPr>
          <w:rFonts w:hint="eastAsia" w:ascii="宋体" w:hAnsi="Times New Roman" w:eastAsia="宋体" w:cs="宋体"/>
          <w:color w:val="000000" w:themeColor="text1"/>
          <w:kern w:val="0"/>
          <w:szCs w:val="21"/>
          <w:highlight w:val="none"/>
          <w14:textFill>
            <w14:solidFill>
              <w14:schemeClr w14:val="tx1"/>
            </w14:solidFill>
          </w14:textFill>
        </w:rPr>
        <w:t>采购</w:t>
      </w:r>
      <w:r>
        <w:rPr>
          <w:rFonts w:hint="eastAsia" w:ascii="宋体" w:hAnsi="Times New Roman" w:eastAsia="宋体" w:cs="Times New Roman"/>
          <w:color w:val="000000" w:themeColor="text1"/>
          <w:szCs w:val="21"/>
          <w:highlight w:val="none"/>
          <w14:textFill>
            <w14:solidFill>
              <w14:schemeClr w14:val="tx1"/>
            </w14:solidFill>
          </w14:textFill>
        </w:rPr>
        <w:t>代理</w:t>
      </w:r>
      <w:r>
        <w:rPr>
          <w:rFonts w:hint="eastAsia" w:ascii="宋体" w:hAnsi="Times New Roman" w:eastAsia="宋体" w:cs="宋体"/>
          <w:color w:val="000000" w:themeColor="text1"/>
          <w:kern w:val="0"/>
          <w:szCs w:val="21"/>
          <w:highlight w:val="none"/>
          <w14:textFill>
            <w14:solidFill>
              <w14:schemeClr w14:val="tx1"/>
            </w14:solidFill>
          </w14:textFill>
        </w:rPr>
        <w:t>机构应当在评审结束后</w:t>
      </w:r>
      <w:r>
        <w:rPr>
          <w:rFonts w:hint="eastAsia" w:ascii="宋体" w:hAnsi="Times New Roman" w:eastAsia="宋体" w:cs="宋体"/>
          <w:b/>
          <w:color w:val="000000" w:themeColor="text1"/>
          <w:kern w:val="0"/>
          <w:szCs w:val="21"/>
          <w:highlight w:val="none"/>
          <w14:textFill>
            <w14:solidFill>
              <w14:schemeClr w14:val="tx1"/>
            </w14:solidFill>
          </w14:textFill>
        </w:rPr>
        <w:t>2个工作日</w:t>
      </w:r>
      <w:r>
        <w:rPr>
          <w:rFonts w:hint="eastAsia" w:ascii="宋体" w:hAnsi="Times New Roman" w:eastAsia="宋体" w:cs="宋体"/>
          <w:color w:val="000000" w:themeColor="text1"/>
          <w:kern w:val="0"/>
          <w:szCs w:val="21"/>
          <w:highlight w:val="none"/>
          <w14:textFill>
            <w14:solidFill>
              <w14:schemeClr w14:val="tx1"/>
            </w14:solidFill>
          </w14:textFill>
        </w:rPr>
        <w:t>内将评审报告送采购人确认。采购人应当在收到评审报告后</w:t>
      </w:r>
      <w:r>
        <w:rPr>
          <w:rFonts w:hint="eastAsia" w:ascii="宋体" w:hAnsi="Times New Roman" w:eastAsia="宋体" w:cs="宋体"/>
          <w:b/>
          <w:color w:val="000000" w:themeColor="text1"/>
          <w:kern w:val="0"/>
          <w:szCs w:val="21"/>
          <w:highlight w:val="none"/>
          <w14:textFill>
            <w14:solidFill>
              <w14:schemeClr w14:val="tx1"/>
            </w14:solidFill>
          </w14:textFill>
        </w:rPr>
        <w:t>2个工作日</w:t>
      </w:r>
      <w:r>
        <w:rPr>
          <w:rFonts w:hint="eastAsia" w:ascii="宋体" w:hAnsi="Times New Roman" w:eastAsia="宋体" w:cs="宋体"/>
          <w:color w:val="000000" w:themeColor="text1"/>
          <w:kern w:val="0"/>
          <w:szCs w:val="21"/>
          <w:highlight w:val="none"/>
          <w14:textFill>
            <w14:solidFill>
              <w14:schemeClr w14:val="tx1"/>
            </w14:solidFill>
          </w14:textFill>
        </w:rPr>
        <w:t>，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F62D76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14.2采购代理机构应当在成交供应商确定</w:t>
      </w:r>
      <w:r>
        <w:rPr>
          <w:rFonts w:hint="eastAsia" w:ascii="宋体" w:hAnsi="Times New Roman" w:eastAsia="宋体" w:cs="Times New Roman"/>
          <w:b/>
          <w:color w:val="000000" w:themeColor="text1"/>
          <w:szCs w:val="21"/>
          <w:highlight w:val="none"/>
          <w14:textFill>
            <w14:solidFill>
              <w14:schemeClr w14:val="tx1"/>
            </w14:solidFill>
          </w14:textFill>
        </w:rPr>
        <w:t>后2个工作日内</w:t>
      </w:r>
      <w:r>
        <w:rPr>
          <w:rFonts w:hint="eastAsia" w:ascii="宋体" w:hAnsi="Times New Roman" w:eastAsia="宋体" w:cs="Times New Roman"/>
          <w:color w:val="000000" w:themeColor="text1"/>
          <w:szCs w:val="21"/>
          <w:highlight w:val="none"/>
          <w14:textFill>
            <w14:solidFill>
              <w14:schemeClr w14:val="tx1"/>
            </w14:solidFill>
          </w14:textFill>
        </w:rPr>
        <w:t>，在竞争性磋商公告发布媒体上公告成交结果，同时向成交供应商发出成交通知书。</w:t>
      </w:r>
    </w:p>
    <w:p w14:paraId="5862BEC5">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1" w:name="_Toc11003"/>
      <w:r>
        <w:rPr>
          <w:rFonts w:hint="eastAsia" w:ascii="Cambria" w:hAnsi="Cambria" w:eastAsia="宋体" w:cs="Times New Roman"/>
          <w:b/>
          <w:bCs/>
          <w:color w:val="000000" w:themeColor="text1"/>
          <w:sz w:val="32"/>
          <w:szCs w:val="32"/>
          <w:highlight w:val="none"/>
          <w14:textFill>
            <w14:solidFill>
              <w14:schemeClr w14:val="tx1"/>
            </w14:solidFill>
          </w14:textFill>
        </w:rPr>
        <w:t>七、履约保证金：无。</w:t>
      </w:r>
      <w:bookmarkEnd w:id="61"/>
    </w:p>
    <w:p w14:paraId="029822DE">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2" w:name="_Toc25472"/>
      <w:r>
        <w:rPr>
          <w:rFonts w:hint="eastAsia" w:ascii="Cambria" w:hAnsi="Cambria" w:eastAsia="宋体" w:cs="Times New Roman"/>
          <w:b/>
          <w:bCs/>
          <w:color w:val="000000" w:themeColor="text1"/>
          <w:sz w:val="32"/>
          <w:szCs w:val="32"/>
          <w:highlight w:val="none"/>
          <w14:textFill>
            <w14:solidFill>
              <w14:schemeClr w14:val="tx1"/>
            </w14:solidFill>
          </w14:textFill>
        </w:rPr>
        <w:t>八、签订合同</w:t>
      </w:r>
      <w:bookmarkEnd w:id="62"/>
    </w:p>
    <w:p w14:paraId="3432C4C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15.1自成交通知书发出之日起2</w:t>
      </w:r>
      <w:r>
        <w:rPr>
          <w:rFonts w:hint="eastAsia" w:ascii="宋体" w:hAnsi="Times New Roman" w:eastAsia="宋体" w:cs="Times New Roman"/>
          <w:color w:val="000000" w:themeColor="text1"/>
          <w:szCs w:val="21"/>
          <w:highlight w:val="none"/>
          <w:lang w:val="en-US" w:eastAsia="zh-CN"/>
          <w14:textFill>
            <w14:solidFill>
              <w14:schemeClr w14:val="tx1"/>
            </w14:solidFill>
          </w14:textFill>
        </w:rPr>
        <w:t>5</w:t>
      </w:r>
      <w:r>
        <w:rPr>
          <w:rFonts w:hint="eastAsia" w:ascii="宋体" w:hAnsi="Times New Roman" w:eastAsia="宋体" w:cs="Times New Roman"/>
          <w:color w:val="000000" w:themeColor="text1"/>
          <w:szCs w:val="21"/>
          <w:highlight w:val="none"/>
          <w14:textFill>
            <w14:solidFill>
              <w14:schemeClr w14:val="tx1"/>
            </w14:solidFill>
          </w14:textFill>
        </w:rPr>
        <w:t>日内与采购人签订合同。</w:t>
      </w:r>
    </w:p>
    <w:p w14:paraId="52C3631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15.2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2DE8687">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3" w:name="_Toc7138"/>
      <w:r>
        <w:rPr>
          <w:rFonts w:hint="eastAsia" w:ascii="Cambria" w:hAnsi="Cambria" w:eastAsia="宋体" w:cs="Times New Roman"/>
          <w:b/>
          <w:bCs/>
          <w:color w:val="000000" w:themeColor="text1"/>
          <w:sz w:val="32"/>
          <w:szCs w:val="32"/>
          <w:highlight w:val="none"/>
          <w14:textFill>
            <w14:solidFill>
              <w14:schemeClr w14:val="tx1"/>
            </w14:solidFill>
          </w14:textFill>
        </w:rPr>
        <w:t>九、政府采购合同公告</w:t>
      </w:r>
      <w:bookmarkEnd w:id="63"/>
    </w:p>
    <w:p w14:paraId="7814EBE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16.1根据《中华人民共和国政府采购法实施条例》第五十条规定，采购人应当自政府采购合同签订之日起</w:t>
      </w:r>
      <w:r>
        <w:rPr>
          <w:rFonts w:hint="eastAsia" w:ascii="宋体" w:hAnsi="Times New Roman" w:eastAsia="宋体" w:cs="Times New Roman"/>
          <w:b/>
          <w:color w:val="000000" w:themeColor="text1"/>
          <w:szCs w:val="21"/>
          <w:highlight w:val="none"/>
          <w14:textFill>
            <w14:solidFill>
              <w14:schemeClr w14:val="tx1"/>
            </w14:solidFill>
          </w14:textFill>
        </w:rPr>
        <w:t>2个工作日内</w:t>
      </w:r>
      <w:r>
        <w:rPr>
          <w:rFonts w:hint="eastAsia" w:ascii="宋体" w:hAnsi="Times New Roman" w:eastAsia="宋体" w:cs="Times New Roman"/>
          <w:color w:val="000000" w:themeColor="text1"/>
          <w:szCs w:val="21"/>
          <w:highlight w:val="none"/>
          <w14:textFill>
            <w14:solidFill>
              <w14:schemeClr w14:val="tx1"/>
            </w14:solidFill>
          </w14:textFill>
        </w:rPr>
        <w:t>，将政府采购合同在省级以上人民政府财政部门指定的媒体上公告，但政府采购合同中涉及国家秘密、商业秘密的内容除外。</w:t>
      </w:r>
    </w:p>
    <w:p w14:paraId="196FFEC2">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4" w:name="_Toc9309"/>
      <w:r>
        <w:rPr>
          <w:rFonts w:hint="eastAsia" w:ascii="Cambria" w:hAnsi="Cambria" w:eastAsia="宋体" w:cs="Times New Roman"/>
          <w:b/>
          <w:bCs/>
          <w:color w:val="000000" w:themeColor="text1"/>
          <w:sz w:val="32"/>
          <w:szCs w:val="32"/>
          <w:highlight w:val="none"/>
          <w14:textFill>
            <w14:solidFill>
              <w14:schemeClr w14:val="tx1"/>
            </w14:solidFill>
          </w14:textFill>
        </w:rPr>
        <w:t>十、适用法律</w:t>
      </w:r>
      <w:bookmarkEnd w:id="64"/>
    </w:p>
    <w:p w14:paraId="17F61486">
      <w:pPr>
        <w:keepNext w:val="0"/>
        <w:keepLines w:val="0"/>
        <w:pageBreakBefore w:val="0"/>
        <w:widowControl w:val="0"/>
        <w:tabs>
          <w:tab w:val="left" w:pos="2835"/>
        </w:tabs>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17.</w:t>
      </w: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宋体" w:hAnsi="Times New Roman" w:eastAsia="宋体" w:cs="Times New Roman"/>
          <w:color w:val="000000" w:themeColor="text1"/>
          <w:szCs w:val="21"/>
          <w:highlight w:val="none"/>
          <w14:textFill>
            <w14:solidFill>
              <w14:schemeClr w14:val="tx1"/>
            </w14:solidFill>
          </w14:textFill>
        </w:rPr>
        <w:t>采购当事人的一切活动均适用于《中华人民共和国政府采购法》、</w:t>
      </w:r>
      <w:r>
        <w:rPr>
          <w:rFonts w:hint="eastAsia" w:ascii="宋体" w:hAnsi="宋体" w:eastAsia="宋体" w:cs="Times New Roman"/>
          <w:color w:val="000000" w:themeColor="text1"/>
          <w:szCs w:val="21"/>
          <w:highlight w:val="none"/>
          <w14:textFill>
            <w14:solidFill>
              <w14:schemeClr w14:val="tx1"/>
            </w14:solidFill>
          </w14:textFill>
        </w:rPr>
        <w:t>《中华人民共和国政府民法典》、</w:t>
      </w:r>
      <w:r>
        <w:rPr>
          <w:rFonts w:hint="eastAsia" w:ascii="宋体" w:hAnsi="Times New Roman" w:eastAsia="宋体" w:cs="Times New Roman"/>
          <w:color w:val="000000" w:themeColor="text1"/>
          <w:szCs w:val="21"/>
          <w:highlight w:val="none"/>
          <w14:textFill>
            <w14:solidFill>
              <w14:schemeClr w14:val="tx1"/>
            </w14:solidFill>
          </w14:textFill>
        </w:rPr>
        <w:t>《政府采购竞争性磋商采购方式管理暂行办法》及相关规定。</w:t>
      </w:r>
    </w:p>
    <w:p w14:paraId="66BB03D0">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5" w:name="_Toc12214"/>
      <w:r>
        <w:rPr>
          <w:rFonts w:hint="eastAsia" w:ascii="Cambria" w:hAnsi="Cambria" w:eastAsia="宋体" w:cs="Times New Roman"/>
          <w:b/>
          <w:bCs/>
          <w:color w:val="000000" w:themeColor="text1"/>
          <w:sz w:val="32"/>
          <w:szCs w:val="32"/>
          <w:highlight w:val="none"/>
          <w14:textFill>
            <w14:solidFill>
              <w14:schemeClr w14:val="tx1"/>
            </w14:solidFill>
          </w14:textFill>
        </w:rPr>
        <w:t>十一、其他事项</w:t>
      </w:r>
      <w:bookmarkEnd w:id="65"/>
    </w:p>
    <w:p w14:paraId="5716F412">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18.1.解释权</w:t>
      </w:r>
    </w:p>
    <w:p w14:paraId="6AFC65D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解释权属本采购代理机构。</w:t>
      </w:r>
    </w:p>
    <w:p w14:paraId="41021DB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18.2有关事宜</w:t>
      </w:r>
    </w:p>
    <w:p w14:paraId="0D45A0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18.3所有与本竞争性磋商采购文件有关的函电请按下列通讯地址联系：</w:t>
      </w:r>
    </w:p>
    <w:p w14:paraId="03DEF87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lang w:eastAsia="zh-CN"/>
          <w14:textFill>
            <w14:solidFill>
              <w14:schemeClr w14:val="tx1"/>
            </w14:solidFill>
          </w14:textFill>
        </w:rPr>
        <w:t>泽圣勘察设计有限公司</w:t>
      </w:r>
    </w:p>
    <w:p w14:paraId="082C7DC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邮政编码：537100</w:t>
      </w:r>
    </w:p>
    <w:p w14:paraId="39FD0F4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通讯地址：</w:t>
      </w:r>
      <w:r>
        <w:rPr>
          <w:rFonts w:hint="eastAsia" w:ascii="宋体" w:hAnsi="Times New Roman" w:eastAsia="宋体" w:cs="Times New Roman"/>
          <w:color w:val="000000" w:themeColor="text1"/>
          <w:szCs w:val="21"/>
          <w:highlight w:val="none"/>
          <w:lang w:eastAsia="zh-CN"/>
          <w14:textFill>
            <w14:solidFill>
              <w14:schemeClr w14:val="tx1"/>
            </w14:solidFill>
          </w14:textFill>
        </w:rPr>
        <w:t>南宁市高新区科园大道31号高新苑第34-40号楼一层42号商铺</w:t>
      </w:r>
    </w:p>
    <w:p w14:paraId="692A62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项目联系人：</w:t>
      </w:r>
      <w:r>
        <w:rPr>
          <w:rFonts w:hint="eastAsia" w:ascii="宋体" w:hAnsi="宋体" w:eastAsia="宋体" w:cs="仿宋"/>
          <w:color w:val="000000" w:themeColor="text1"/>
          <w:szCs w:val="21"/>
          <w:highlight w:val="none"/>
          <w:u w:val="none"/>
          <w:lang w:eastAsia="zh-CN"/>
          <w14:textFill>
            <w14:solidFill>
              <w14:schemeClr w14:val="tx1"/>
            </w14:solidFill>
          </w14:textFill>
        </w:rPr>
        <w:t>范生</w:t>
      </w:r>
    </w:p>
    <w:p w14:paraId="1EB5769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咨询电话：</w:t>
      </w:r>
      <w:r>
        <w:rPr>
          <w:rFonts w:hint="eastAsia" w:ascii="宋体" w:hAnsi="宋体" w:eastAsia="宋体" w:cs="仿宋"/>
          <w:color w:val="000000" w:themeColor="text1"/>
          <w:szCs w:val="21"/>
          <w:highlight w:val="none"/>
          <w:u w:val="none"/>
          <w:lang w:eastAsia="zh-CN"/>
          <w14:textFill>
            <w14:solidFill>
              <w14:schemeClr w14:val="tx1"/>
            </w14:solidFill>
          </w14:textFill>
        </w:rPr>
        <w:t>0771-3105459</w:t>
      </w:r>
    </w:p>
    <w:p w14:paraId="4B2708F0">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6" w:name="_Toc12866"/>
      <w:r>
        <w:rPr>
          <w:rFonts w:hint="eastAsia" w:ascii="Cambria" w:hAnsi="Cambria" w:eastAsia="宋体" w:cs="Times New Roman"/>
          <w:b/>
          <w:bCs/>
          <w:color w:val="000000" w:themeColor="text1"/>
          <w:sz w:val="32"/>
          <w:szCs w:val="32"/>
          <w:highlight w:val="none"/>
          <w14:textFill>
            <w14:solidFill>
              <w14:schemeClr w14:val="tx1"/>
            </w14:solidFill>
          </w14:textFill>
        </w:rPr>
        <w:t>十二、质疑和投诉</w:t>
      </w:r>
      <w:bookmarkEnd w:id="66"/>
    </w:p>
    <w:p w14:paraId="5D63EA0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19.1磋商人认为磋商文件、采购过程或成交结果使自己的合法权益受到损害的，应当在知道或者应知其权益受到损害之日起七个工作日内，以书面形式向采购人、采购代理机构提出质疑。 </w:t>
      </w:r>
    </w:p>
    <w:p w14:paraId="61594FD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19.2磋商人对采购人、采购代理机构的质疑答复不满意，或者采购人、采购代理机构未在规定时间内作出答复的，可以在答复期满后十五个工作日内向同级政府采购监管部门投诉。 </w:t>
      </w:r>
    </w:p>
    <w:p w14:paraId="329F128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19.3质疑、投诉应当采用书面形式，质疑书、投诉书均应明确阐述招标文件、招标过程或成交结果中使自己合法权益受到损害的实质性内容，提供相关事实、依据和证据及其来源或线索，便于有关单位调查、答复和处理。 </w:t>
      </w:r>
    </w:p>
    <w:p w14:paraId="71D8323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供应商提出质疑应当提交质疑函和必要的证明材料，针对同一采购程序环节的质疑必须在法定质疑期内一次性提出。质疑函应当包括下列内容： </w:t>
      </w:r>
    </w:p>
    <w:p w14:paraId="0B14DBB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（1）供应商的姓名或者名称、地址、邮编、联系人及联系电话； </w:t>
      </w:r>
    </w:p>
    <w:p w14:paraId="7C1726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（2）质疑项目的名称、编号； </w:t>
      </w:r>
    </w:p>
    <w:p w14:paraId="67979F7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（3）具体、明确的质疑事项和与质疑事项相关的请求； </w:t>
      </w:r>
    </w:p>
    <w:p w14:paraId="3A9CA2E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（4）事实依据； </w:t>
      </w:r>
    </w:p>
    <w:p w14:paraId="6555D63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（5）必要的法律依据； </w:t>
      </w:r>
    </w:p>
    <w:p w14:paraId="0323F39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（6）提出质疑的日期。 </w:t>
      </w:r>
    </w:p>
    <w:p w14:paraId="6E5A1E2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imes New Roman" w:hAnsi="Times New Roman" w:eastAsia="宋体" w:cs="Times New Roman"/>
          <w:color w:val="000000" w:themeColor="text1"/>
          <w:sz w:val="44"/>
          <w:szCs w:val="44"/>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bookmarkStart w:id="67" w:name="_Toc451430916"/>
    </w:p>
    <w:p w14:paraId="3E4AE7CA">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16A57522">
      <w:pPr>
        <w:keepNext/>
        <w:keepLines/>
        <w:spacing w:before="260" w:after="260" w:line="500" w:lineRule="exact"/>
        <w:jc w:val="center"/>
        <w:outlineLvl w:val="1"/>
        <w:rPr>
          <w:rFonts w:cs="Times New Roman" w:asciiTheme="minorEastAsia" w:hAnsiTheme="minorEastAsia"/>
          <w:b/>
          <w:bCs/>
          <w:color w:val="000000" w:themeColor="text1"/>
          <w:sz w:val="44"/>
          <w:szCs w:val="44"/>
          <w:highlight w:val="none"/>
          <w14:textFill>
            <w14:solidFill>
              <w14:schemeClr w14:val="tx1"/>
            </w14:solidFill>
          </w14:textFill>
        </w:rPr>
      </w:pPr>
      <w:bookmarkStart w:id="68" w:name="_Toc17414"/>
      <w:bookmarkStart w:id="69" w:name="_Toc10219641"/>
      <w:r>
        <w:rPr>
          <w:rFonts w:hint="eastAsia" w:cs="Times New Roman" w:asciiTheme="minorEastAsia" w:hAnsiTheme="minorEastAsia"/>
          <w:b/>
          <w:bCs/>
          <w:color w:val="000000" w:themeColor="text1"/>
          <w:sz w:val="44"/>
          <w:szCs w:val="44"/>
          <w:highlight w:val="none"/>
          <w14:textFill>
            <w14:solidFill>
              <w14:schemeClr w14:val="tx1"/>
            </w14:solidFill>
          </w14:textFill>
        </w:rPr>
        <w:t xml:space="preserve">第三章 </w:t>
      </w:r>
      <w:bookmarkEnd w:id="67"/>
      <w:bookmarkStart w:id="70" w:name="_Toc451430917"/>
      <w:r>
        <w:rPr>
          <w:rFonts w:hint="eastAsia" w:cs="Times New Roman" w:asciiTheme="minorEastAsia" w:hAnsiTheme="minorEastAsia"/>
          <w:b/>
          <w:bCs/>
          <w:color w:val="000000" w:themeColor="text1"/>
          <w:sz w:val="44"/>
          <w:szCs w:val="44"/>
          <w:highlight w:val="none"/>
          <w14:textFill>
            <w14:solidFill>
              <w14:schemeClr w14:val="tx1"/>
            </w14:solidFill>
          </w14:textFill>
        </w:rPr>
        <w:t>评定标准</w:t>
      </w:r>
      <w:bookmarkEnd w:id="68"/>
      <w:bookmarkEnd w:id="69"/>
      <w:bookmarkEnd w:id="70"/>
    </w:p>
    <w:p w14:paraId="7AF640BA">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一、评标原则</w:t>
      </w:r>
    </w:p>
    <w:p w14:paraId="5552CBBB">
      <w:pPr>
        <w:spacing w:line="440" w:lineRule="exact"/>
        <w:ind w:firstLine="273" w:firstLineChars="13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(一) 竞争性磋商小组构成：本项目的磋商小组由采购人代表和评审专家共3人以上单数组成，其中专家人数不少于成员总数的三分之二。</w:t>
      </w:r>
    </w:p>
    <w:p w14:paraId="6A86C409">
      <w:pPr>
        <w:spacing w:line="440" w:lineRule="exact"/>
        <w:ind w:firstLine="289" w:firstLineChars="138"/>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(二)评标依据：竞争性磋商小组将以竞争性磋商采购文件、磋商响应文件为评标依据，对供应商的各项因素进行打分。</w:t>
      </w:r>
    </w:p>
    <w:p w14:paraId="5EBF0343">
      <w:pPr>
        <w:spacing w:line="440" w:lineRule="exact"/>
        <w:ind w:firstLine="289" w:firstLineChars="138"/>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(三)评标方式：以封闭方式进行。</w:t>
      </w:r>
    </w:p>
    <w:p w14:paraId="10E217CE">
      <w:pPr>
        <w:keepNext w:val="0"/>
        <w:keepLines w:val="0"/>
        <w:pageBreakBefore w:val="0"/>
        <w:widowControl w:val="0"/>
        <w:kinsoku/>
        <w:wordWrap/>
        <w:overflowPunct/>
        <w:topLinePunct w:val="0"/>
        <w:autoSpaceDE/>
        <w:autoSpaceDN/>
        <w:bidi w:val="0"/>
        <w:adjustRightInd/>
        <w:snapToGrid/>
        <w:spacing w:line="440" w:lineRule="exact"/>
        <w:ind w:firstLine="211" w:firstLineChars="100"/>
        <w:textAlignment w:val="auto"/>
        <w:rPr>
          <w:rFonts w:hint="eastAsia" w:ascii="宋体" w:hAnsi="宋体" w:eastAsia="宋体" w:cs="Times New Roman"/>
          <w:b/>
          <w:color w:val="000000" w:themeColor="text1"/>
          <w:szCs w:val="21"/>
          <w:highlight w:val="none"/>
          <w:u w:val="none"/>
          <w:lang w:eastAsia="zh-CN"/>
          <w14:textFill>
            <w14:solidFill>
              <w14:schemeClr w14:val="tx1"/>
            </w14:solidFill>
          </w14:textFill>
        </w:rPr>
      </w:pPr>
      <w:r>
        <w:rPr>
          <w:rFonts w:hint="eastAsia" w:ascii="宋体" w:hAnsi="宋体" w:eastAsia="宋体" w:cs="Times New Roman"/>
          <w:b/>
          <w:color w:val="000000" w:themeColor="text1"/>
          <w:szCs w:val="21"/>
          <w:highlight w:val="none"/>
          <w:u w:val="none"/>
          <w:lang w:eastAsia="zh-CN"/>
          <w14:textFill>
            <w14:solidFill>
              <w14:schemeClr w14:val="tx1"/>
            </w14:solidFill>
          </w14:textFill>
        </w:rPr>
        <w:t>（四）本项目属于专门面向</w:t>
      </w:r>
      <w:r>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t>中小企业</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采购的项目，不再执行价格评审优惠的扶持政策。</w:t>
      </w:r>
    </w:p>
    <w:p w14:paraId="0091A150">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二、评审办法</w:t>
      </w:r>
    </w:p>
    <w:p w14:paraId="03741ABE">
      <w:pPr>
        <w:spacing w:line="440" w:lineRule="exact"/>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（一）对进入详评的，采用综合评分法。</w:t>
      </w:r>
    </w:p>
    <w:p w14:paraId="23BB5D3E">
      <w:pPr>
        <w:spacing w:line="440" w:lineRule="exact"/>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（二）计分办法（按四舍五入取至小数点后二位）。</w:t>
      </w:r>
    </w:p>
    <w:tbl>
      <w:tblPr>
        <w:tblStyle w:val="29"/>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50"/>
        <w:gridCol w:w="7307"/>
      </w:tblGrid>
      <w:tr w14:paraId="1F53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792F7E2F">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序号</w:t>
            </w:r>
          </w:p>
        </w:tc>
        <w:tc>
          <w:tcPr>
            <w:tcW w:w="1550" w:type="dxa"/>
            <w:vAlign w:val="center"/>
          </w:tcPr>
          <w:p w14:paraId="0A0A85EB">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评分因素</w:t>
            </w:r>
          </w:p>
        </w:tc>
        <w:tc>
          <w:tcPr>
            <w:tcW w:w="7307" w:type="dxa"/>
            <w:vAlign w:val="center"/>
          </w:tcPr>
          <w:p w14:paraId="71BFDFAD">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评分内容</w:t>
            </w:r>
          </w:p>
        </w:tc>
      </w:tr>
      <w:tr w14:paraId="1FDF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053EC89B">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1</w:t>
            </w:r>
          </w:p>
        </w:tc>
        <w:tc>
          <w:tcPr>
            <w:tcW w:w="1550" w:type="dxa"/>
            <w:vAlign w:val="center"/>
          </w:tcPr>
          <w:p w14:paraId="7745CA45">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价格分</w:t>
            </w:r>
          </w:p>
          <w:p w14:paraId="2FE40B49">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（满分30分）</w:t>
            </w:r>
          </w:p>
        </w:tc>
        <w:tc>
          <w:tcPr>
            <w:tcW w:w="7307" w:type="dxa"/>
          </w:tcPr>
          <w:p w14:paraId="61103329">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（1）以进入详评的且评审报价最低的供应商的评审报价为磋商基准价，其价格分为30分。</w:t>
            </w:r>
          </w:p>
          <w:p w14:paraId="3F7646DD">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（2）价格分计算公式：</w:t>
            </w:r>
          </w:p>
          <w:p w14:paraId="78EB0A05">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评标基准价</w:t>
            </w:r>
          </w:p>
          <w:p w14:paraId="4A0315D8">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某有效磋商人价格分=---------------------×</w:t>
            </w:r>
            <w:r>
              <w:rPr>
                <w:rFonts w:hint="eastAsia" w:ascii="宋体" w:hAnsi="宋体"/>
                <w:color w:val="000000" w:themeColor="text1"/>
                <w:szCs w:val="21"/>
                <w:highlight w:val="none"/>
                <w:lang w:val="en-US" w:eastAsia="zh-CN"/>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w:t>
            </w:r>
          </w:p>
          <w:p w14:paraId="7D70C6A6">
            <w:pPr>
              <w:keepNext w:val="0"/>
              <w:keepLines w:val="0"/>
              <w:pageBreakBefore w:val="0"/>
              <w:kinsoku/>
              <w:wordWrap/>
              <w:overflowPunct/>
              <w:topLinePunct w:val="0"/>
              <w:autoSpaceDE/>
              <w:autoSpaceDN/>
              <w:bidi w:val="0"/>
              <w:adjustRightInd/>
              <w:spacing w:line="380" w:lineRule="exact"/>
              <w:ind w:firstLine="2100" w:firstLineChars="1000"/>
              <w:jc w:val="both"/>
              <w:textAlignment w:val="auto"/>
              <w:rPr>
                <w:rFonts w:cs="宋体" w:asciiTheme="minorEastAsia" w:hAnsiTheme="minorEastAsia"/>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某有效磋商人评标报价</w:t>
            </w:r>
          </w:p>
        </w:tc>
      </w:tr>
      <w:tr w14:paraId="1AD8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5EE0635F">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2</w:t>
            </w:r>
          </w:p>
        </w:tc>
        <w:tc>
          <w:tcPr>
            <w:tcW w:w="1550" w:type="dxa"/>
            <w:vAlign w:val="center"/>
          </w:tcPr>
          <w:p w14:paraId="3FE49F4E">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施工组织设计分（满分56分）</w:t>
            </w:r>
          </w:p>
        </w:tc>
        <w:tc>
          <w:tcPr>
            <w:tcW w:w="7307" w:type="dxa"/>
            <w:vAlign w:val="center"/>
          </w:tcPr>
          <w:p w14:paraId="5D5D9D36">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（1）主要施工方法（满分7分）</w:t>
            </w:r>
          </w:p>
          <w:p w14:paraId="50745A96">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一档（2分）：对项目的总体认识不足，施工方案不完整，技术措施不具体，施工段划分不合理.</w:t>
            </w:r>
          </w:p>
          <w:p w14:paraId="3430BB27">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二档（4分）：对项目总体有认识，表述基本清晰。施工方案基本完整、合理，技术措施不够具体，施工段划分较合理、采用了一般的技术、工艺、材料、设备。</w:t>
            </w:r>
          </w:p>
          <w:p w14:paraId="39D0BB02">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项目总体有深刻认识，表述清晰。施工方案完整、严谨、合理，技术措施先进、具体、有效、成熟，施工段划分呼应总体表述，划分清晰、合理，符合规范要求。采用了己论证的新技术、新工艺、新材料、新设备。</w:t>
            </w:r>
          </w:p>
          <w:p w14:paraId="5DD5C3F6">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（2）拟投入的主要物资计划（满分7分）</w:t>
            </w:r>
          </w:p>
          <w:p w14:paraId="63524640">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一档（2分）：资源配备不合理，不满足施工需要。</w:t>
            </w:r>
          </w:p>
          <w:p w14:paraId="3CC46D61">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二档（4分）：资源配备基本合理，基本满足施工需要，调配投入计划基本可行。</w:t>
            </w:r>
          </w:p>
          <w:p w14:paraId="2C9444C9">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三档（7分）：资源配备计划与工程进度计划呼应，较好满足施工需要，调配投入计划合理、准确。</w:t>
            </w:r>
          </w:p>
          <w:p w14:paraId="012380CF">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（3）劳动力安排计划（满分7分）</w:t>
            </w:r>
          </w:p>
          <w:p w14:paraId="2A93FB70">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一档（2分）：劳动力投入不合理，未满足施工需要，或未提供劳动力安排计划的。</w:t>
            </w:r>
          </w:p>
          <w:p w14:paraId="4EA6ACA7">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二档（4分）：各主要施工工序应有较合理的劳动力安排计划，有各工种劳动力安排计划，满足施工需要。</w:t>
            </w:r>
          </w:p>
          <w:p w14:paraId="7974BE3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三档（7分）：各主要施工工序应有详细周密的劳动力安排计划，有各工种劳动力安排计划，劳动力投入合理，人员配备齐全的。</w:t>
            </w:r>
          </w:p>
          <w:p w14:paraId="5CF91A7C">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（4）确保工程质量的技术组织措施（满分7分）</w:t>
            </w:r>
          </w:p>
          <w:p w14:paraId="66685FEF">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一档（2分）：质量管理体系表述不清晰，对项目重点、难点没有可行的质量保证措施，质量管理措施不可行。</w:t>
            </w:r>
          </w:p>
          <w:p w14:paraId="2E0CB5BD">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质量管理体系基本完善并基本符合项目特点、可行，对项目的质量管理（特别是关键部位技术、工艺）有一定的表述级有一般可行、粗咯的质量保证措施，针对项目重点、难点有较合理的质量保证措施，质量管理措施基本可行。</w:t>
            </w:r>
          </w:p>
          <w:p w14:paraId="3F9EFF0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质量管理体系完善并具备符合性、有效性及可行性。对项目的质量管理（特别是关键部位技术、工艺）有深入的表述及有效的先进的、可行的、具体的质量保证措施，针对项目重点、难点有可行的质量保证措施，质量管理措施完整、安全、切实、可行、得力。</w:t>
            </w:r>
          </w:p>
          <w:p w14:paraId="7093213E">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（5）确保安全生产的技术组织措施（满分7分）</w:t>
            </w:r>
          </w:p>
          <w:p w14:paraId="094E597B">
            <w:pPr>
              <w:spacing w:line="440" w:lineRule="exact"/>
              <w:ind w:firstLine="315" w:firstLineChars="15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一档（2分）：安全技术组织措施不完善，对项目的安全管理（特别是关键部位技术、工艺）保证措施不可行，采用规范不正确。</w:t>
            </w:r>
          </w:p>
          <w:p w14:paraId="271BCDD1">
            <w:pPr>
              <w:spacing w:line="440" w:lineRule="exact"/>
              <w:ind w:firstLine="315" w:firstLineChars="15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二档（4分）：安全技术组织措施基本完善、可行。对项目的安全管理（特别是关键部位技术、工艺）保证措施基本可行。采用规范基本正确。</w:t>
            </w:r>
          </w:p>
          <w:p w14:paraId="7EB9D1DB">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三档（7分）：安全技术组织措施完善并具备符合性、有效性及可行性。对项目的安全管理（特别是关键部位技术、工艺）有深入的表述及有具体、完整、可行的安全保证实施措施，采用规范正确、清晰。</w:t>
            </w:r>
          </w:p>
          <w:p w14:paraId="425CFAEB">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（6）确保工期的技术组织措施（满分7分）</w:t>
            </w:r>
          </w:p>
          <w:p w14:paraId="52D4F4E1">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一档（2分）：对工程进度安排表述不清晰，关键线路不清晰，计划编制不合理、不可行，无关键节点的控制措施、无进度违约责任。</w:t>
            </w:r>
          </w:p>
          <w:p w14:paraId="4454FC2F">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二档（4分）：对工程进度总体安排表述基本清晰。关键线路基本清晰、计划编制合理、基本可行，关键节点的控制措施基本可行，进度违约责任承诺较组略。</w:t>
            </w:r>
          </w:p>
          <w:p w14:paraId="52FE2EA5">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三档（7分）：对工程进度总体安排表述清晰。关键线路清晰。准确、完整，计划编制合理、可行，关键节点的控制措施有力、合理、可行，进度违约责任承诺具体。</w:t>
            </w:r>
          </w:p>
          <w:p w14:paraId="50FD17D4">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（7）确保文明施工的技术组织措施（满分7分）</w:t>
            </w:r>
          </w:p>
          <w:p w14:paraId="537ECA84">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w:t>
            </w:r>
            <w:r>
              <w:rPr>
                <w:rFonts w:cs="Times New Roman" w:asciiTheme="minorEastAsia" w:hAnsiTheme="minorEastAsia"/>
                <w:bCs/>
                <w:color w:val="000000" w:themeColor="text1"/>
                <w:szCs w:val="21"/>
                <w:highlight w:val="none"/>
                <w14:textFill>
                  <w14:solidFill>
                    <w14:schemeClr w14:val="tx1"/>
                  </w14:solidFill>
                </w14:textFill>
              </w:rPr>
              <w:t>现场文明施工、环境保护措施和内容与《建筑施工安全生产检查标准》、《广西壮族自治区建筑专业工程文明施工导则》的要求偏差大，</w:t>
            </w:r>
            <w:r>
              <w:rPr>
                <w:rFonts w:hint="eastAsia" w:cs="Times New Roman" w:asciiTheme="minorEastAsia" w:hAnsiTheme="minorEastAsia"/>
                <w:bCs/>
                <w:color w:val="000000" w:themeColor="text1"/>
                <w:szCs w:val="21"/>
                <w:highlight w:val="none"/>
                <w14:textFill>
                  <w14:solidFill>
                    <w14:schemeClr w14:val="tx1"/>
                  </w14:solidFill>
                </w14:textFill>
              </w:rPr>
              <w:t>无现场文明施工目标的承诺。</w:t>
            </w:r>
          </w:p>
          <w:p w14:paraId="5BD3FEA5">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二档（4分）：有具体实现现场文明施工目标的承诺，而且各项措施周全、具体、有效的。</w:t>
            </w:r>
          </w:p>
          <w:p w14:paraId="25B8CDBF">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三档（7分）：有具体实现现场文明施工目标的承诺，而且各项措施科学、具体、得力的。</w:t>
            </w:r>
          </w:p>
          <w:p w14:paraId="469594F8">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（8）工程施工的重点和难点及保证措施（满分7分）</w:t>
            </w:r>
          </w:p>
          <w:p w14:paraId="3DCA12BE">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一档（2分）：对项目关键技术有表述，对重点、难点有建议，解决方案不可行。</w:t>
            </w:r>
          </w:p>
          <w:p w14:paraId="68DCE776">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二档（4分）：对项目关键技术、工艺有深入的表述，对重点、难点有合理的建议，解决方案经济、安全、基本可行。</w:t>
            </w:r>
          </w:p>
          <w:p w14:paraId="4AF81533">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三档（7分）：对项目关键技术、工艺有深入的表述。对重点、难点有先进合理的施工措施并有可行的安全措施，解决方案完整、经济、安全、切实可行，措施得力。</w:t>
            </w:r>
          </w:p>
        </w:tc>
      </w:tr>
      <w:tr w14:paraId="3C28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3461C230">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3</w:t>
            </w:r>
          </w:p>
        </w:tc>
        <w:tc>
          <w:tcPr>
            <w:tcW w:w="1550" w:type="dxa"/>
            <w:vAlign w:val="center"/>
          </w:tcPr>
          <w:p w14:paraId="0BE9885C">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项目管理机构配备分</w:t>
            </w:r>
          </w:p>
          <w:p w14:paraId="248177A8">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（满分12分）</w:t>
            </w:r>
          </w:p>
        </w:tc>
        <w:tc>
          <w:tcPr>
            <w:tcW w:w="7307" w:type="dxa"/>
            <w:vAlign w:val="center"/>
          </w:tcPr>
          <w:p w14:paraId="0F6DC14E">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（1）项目经理（满分4分）</w:t>
            </w:r>
          </w:p>
          <w:p w14:paraId="40C46FE2">
            <w:pPr>
              <w:spacing w:line="440" w:lineRule="exact"/>
              <w:ind w:left="105" w:leftChars="50" w:firstLine="333" w:firstLineChars="159"/>
              <w:jc w:val="left"/>
              <w:rPr>
                <w:rFonts w:cs="Times New Roman" w:asciiTheme="minorEastAsia" w:hAnsiTheme="minorEastAsia"/>
                <w:bCs/>
                <w:color w:val="000000" w:themeColor="text1"/>
                <w:kern w:val="0"/>
                <w:szCs w:val="21"/>
                <w:highlight w:val="none"/>
                <w14:textFill>
                  <w14:solidFill>
                    <w14:schemeClr w14:val="tx1"/>
                  </w14:solidFill>
                </w14:textFill>
              </w:rPr>
            </w:pPr>
            <w:r>
              <w:rPr>
                <w:rFonts w:hint="eastAsia" w:cs="Times New Roman" w:asciiTheme="minorEastAsia" w:hAnsiTheme="minorEastAsia"/>
                <w:bCs/>
                <w:color w:val="000000" w:themeColor="text1"/>
                <w:kern w:val="0"/>
                <w:szCs w:val="21"/>
                <w:highlight w:val="none"/>
                <w14:textFill>
                  <w14:solidFill>
                    <w14:schemeClr w14:val="tx1"/>
                  </w14:solidFill>
                </w14:textFill>
              </w:rPr>
              <w:t>①项目经理学历（满分4分）：具有中专或大专学历的得2分，本科及以上学历的得4分。</w:t>
            </w:r>
          </w:p>
          <w:p w14:paraId="71386834">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（2）其他主要管理人员（满分8分）</w:t>
            </w:r>
          </w:p>
          <w:p w14:paraId="735E77B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一档（2分）：拟投入本工程的专职安全员持证上岗，其他项目班子人员不太齐备或搭配不太合理得2分。</w:t>
            </w:r>
          </w:p>
          <w:p w14:paraId="0AA1FEC2">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二档（5分）：拟投入本工程的技术负责人有中级职称，专职安全员持证上岗</w:t>
            </w:r>
            <w:r>
              <w:rPr>
                <w:rFonts w:hint="eastAsia" w:ascii="宋体" w:hAnsi="宋体" w:eastAsia="宋体" w:cs="宋体"/>
                <w:color w:val="000000" w:themeColor="text1"/>
                <w:spacing w:val="-5"/>
                <w:szCs w:val="21"/>
                <w:highlight w:val="none"/>
                <w14:textFill>
                  <w14:solidFill>
                    <w14:schemeClr w14:val="tx1"/>
                  </w14:solidFill>
                </w14:textFill>
              </w:rPr>
              <w:t>，其他项目班子人员齐备、搭配基本合理，都有岗位证书得5分。</w:t>
            </w:r>
          </w:p>
          <w:p w14:paraId="1F17A94E">
            <w:pPr>
              <w:spacing w:line="440" w:lineRule="exact"/>
              <w:ind w:left="105" w:leftChars="50" w:firstLine="333" w:firstLineChars="159"/>
              <w:jc w:val="left"/>
              <w:rPr>
                <w:rFonts w:cs="Times New Roman" w:asciiTheme="minorEastAsia" w:hAnsiTheme="minorEastAsia"/>
                <w:bCs/>
                <w:color w:val="000000" w:themeColor="text1"/>
                <w:kern w:val="0"/>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三档（8分）：拟投入本工程的技术负责人有中级职称，专职安全员持证上岗</w:t>
            </w:r>
            <w:r>
              <w:rPr>
                <w:rFonts w:hint="eastAsia" w:ascii="宋体" w:hAnsi="宋体" w:eastAsia="宋体" w:cs="宋体"/>
                <w:color w:val="000000" w:themeColor="text1"/>
                <w:spacing w:val="-5"/>
                <w:szCs w:val="21"/>
                <w:highlight w:val="none"/>
                <w14:textFill>
                  <w14:solidFill>
                    <w14:schemeClr w14:val="tx1"/>
                  </w14:solidFill>
                </w14:textFill>
              </w:rPr>
              <w:t>，其他项目班子人员齐备、搭配合理，都有岗位证书得8分。</w:t>
            </w:r>
          </w:p>
        </w:tc>
      </w:tr>
      <w:tr w14:paraId="47CF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13CC32ED">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4</w:t>
            </w:r>
          </w:p>
        </w:tc>
        <w:tc>
          <w:tcPr>
            <w:tcW w:w="1550" w:type="dxa"/>
            <w:vAlign w:val="center"/>
          </w:tcPr>
          <w:p w14:paraId="58ED1FB7">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业绩分</w:t>
            </w:r>
          </w:p>
          <w:p w14:paraId="51C7C877">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（满分2分）</w:t>
            </w:r>
          </w:p>
        </w:tc>
        <w:tc>
          <w:tcPr>
            <w:tcW w:w="7307" w:type="dxa"/>
          </w:tcPr>
          <w:p w14:paraId="4F94A36B">
            <w:pPr>
              <w:widowControl/>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1、供应商提供从 202</w:t>
            </w:r>
            <w:r>
              <w:rPr>
                <w:rFonts w:hint="eastAsia" w:cs="Times New Roman" w:asciiTheme="minorEastAsia" w:hAnsiTheme="minorEastAsia"/>
                <w:b w:val="0"/>
                <w:bCs w:val="0"/>
                <w:color w:val="000000" w:themeColor="text1"/>
                <w:kern w:val="0"/>
                <w:szCs w:val="21"/>
                <w:highlight w:val="none"/>
                <w:lang w:val="en-US" w:eastAsia="zh-CN"/>
                <w14:textFill>
                  <w14:solidFill>
                    <w14:schemeClr w14:val="tx1"/>
                  </w14:solidFill>
                </w14:textFill>
              </w:rPr>
              <w:t>3</w:t>
            </w: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年01月01日至磋商截止时间止完成过</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市政公用工程</w:t>
            </w: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项目业绩的（提供施工合同或成交（中标）通知书证明材料）并加盖单位公章。每个得1分</w:t>
            </w:r>
            <w:r>
              <w:rPr>
                <w:rFonts w:hint="eastAsia" w:cs="Times New Roman" w:asciiTheme="minorEastAsia" w:hAnsiTheme="minorEastAsia"/>
                <w:color w:val="000000" w:themeColor="text1"/>
                <w:kern w:val="0"/>
                <w:szCs w:val="21"/>
                <w:highlight w:val="none"/>
                <w14:textFill>
                  <w14:solidFill>
                    <w14:schemeClr w14:val="tx1"/>
                  </w14:solidFill>
                </w14:textFill>
              </w:rPr>
              <w:t>， 满分2分。</w:t>
            </w:r>
          </w:p>
        </w:tc>
      </w:tr>
      <w:tr w14:paraId="5BAB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43" w:type="dxa"/>
            <w:gridSpan w:val="3"/>
          </w:tcPr>
          <w:p w14:paraId="5884078B">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本项目总得分＝1+2+3+4</w:t>
            </w:r>
          </w:p>
        </w:tc>
      </w:tr>
    </w:tbl>
    <w:p w14:paraId="0595D824">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三、成交候选人推荐原则</w:t>
      </w:r>
    </w:p>
    <w:p w14:paraId="3508CB18">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1</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磋商小组应当根据综合评分情况，按照评审得分由高到低顺序推荐3名成交候选供应商，并编写评审报告。评审得分相同的，以磋商响应报价由低到高顺序排列；若仍相同的，按照项目技术标优劣顺序推荐。</w:t>
      </w:r>
    </w:p>
    <w:p w14:paraId="6528C8D2">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2</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第一名供应商放弃成交或因不可抗力等原因提出不能履行合同，采购单位可以确定排名次位的供应商为成交人，以此类推。但确定为成交人的供应商放弃成交时，采购人也可以重新开展磋商。</w:t>
      </w:r>
    </w:p>
    <w:p w14:paraId="2FDC78F6">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3</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磋商小组认为，某供应商的有效响应报价或者某些分项报价明显不合理或者低于成本，有可能影响商品质量和不能诚信履约的，应要求其在规定的期限内提供书面文件予以解释说明，并提交相关证明材料，否则，磋商小组可以取消该供应商的成交候选资格，按顺序由排在其后面的供应商递补，以此类推。</w:t>
      </w:r>
      <w:bookmarkStart w:id="71" w:name="_Toc451430918"/>
    </w:p>
    <w:p w14:paraId="381E0959">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Ansi="宋体" w:eastAsia="宋体" w:cs="Times New Roman"/>
          <w:color w:val="000000" w:themeColor="text1"/>
          <w:highlight w:val="none"/>
          <w14:textFill>
            <w14:solidFill>
              <w14:schemeClr w14:val="tx1"/>
            </w14:solidFill>
          </w14:textFill>
        </w:rPr>
        <w:br w:type="page"/>
      </w:r>
    </w:p>
    <w:p w14:paraId="2A466660">
      <w:pPr>
        <w:keepNext/>
        <w:keepLines/>
        <w:spacing w:before="260" w:after="260" w:line="500" w:lineRule="exact"/>
        <w:ind w:left="180"/>
        <w:jc w:val="center"/>
        <w:outlineLvl w:val="1"/>
        <w:rPr>
          <w:rFonts w:ascii="Cambria" w:hAnsi="Cambria" w:eastAsia="宋体" w:cs="Times New Roman"/>
          <w:b/>
          <w:bCs/>
          <w:color w:val="000000" w:themeColor="text1"/>
          <w:sz w:val="44"/>
          <w:szCs w:val="44"/>
          <w:highlight w:val="none"/>
          <w14:textFill>
            <w14:solidFill>
              <w14:schemeClr w14:val="tx1"/>
            </w14:solidFill>
          </w14:textFill>
        </w:rPr>
      </w:pPr>
      <w:bookmarkStart w:id="72" w:name="_Toc27892"/>
      <w:bookmarkStart w:id="73" w:name="_Toc10219642"/>
      <w:r>
        <w:rPr>
          <w:rFonts w:hint="eastAsia" w:ascii="Cambria" w:hAnsi="Cambria" w:eastAsia="宋体" w:cs="Times New Roman"/>
          <w:b/>
          <w:bCs/>
          <w:color w:val="000000" w:themeColor="text1"/>
          <w:sz w:val="44"/>
          <w:szCs w:val="44"/>
          <w:highlight w:val="none"/>
          <w14:textFill>
            <w14:solidFill>
              <w14:schemeClr w14:val="tx1"/>
            </w14:solidFill>
          </w14:textFill>
        </w:rPr>
        <w:t>第四章   合同主要条款（参考格式）</w:t>
      </w:r>
      <w:bookmarkEnd w:id="71"/>
      <w:bookmarkEnd w:id="72"/>
      <w:bookmarkEnd w:id="73"/>
    </w:p>
    <w:p w14:paraId="6C1D58EE">
      <w:pPr>
        <w:spacing w:line="360" w:lineRule="auto"/>
        <w:ind w:left="1380" w:leftChars="657"/>
        <w:rPr>
          <w:rFonts w:ascii="仿宋_GB2312" w:hAnsi="仿宋" w:eastAsia="仿宋_GB2312" w:cs="Times New Roman"/>
          <w:b/>
          <w:color w:val="000000" w:themeColor="text1"/>
          <w:sz w:val="28"/>
          <w:szCs w:val="28"/>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w:t>
      </w:r>
      <w:r>
        <w:rPr>
          <w:rFonts w:hint="eastAsia" w:ascii="仿宋_GB2312" w:hAnsi="仿宋" w:eastAsia="仿宋_GB2312" w:cs="Times New Roman"/>
          <w:b/>
          <w:color w:val="000000" w:themeColor="text1"/>
          <w:sz w:val="28"/>
          <w:szCs w:val="28"/>
          <w:highlight w:val="none"/>
          <w14:textFill>
            <w14:solidFill>
              <w14:schemeClr w14:val="tx1"/>
            </w14:solidFill>
          </w14:textFill>
        </w:rPr>
        <w:t>注：本合同格式仅为合同的参考文本，合同签订双方</w:t>
      </w:r>
    </w:p>
    <w:p w14:paraId="4760BDD0">
      <w:pPr>
        <w:spacing w:line="360" w:lineRule="auto"/>
        <w:ind w:left="1380" w:leftChars="657" w:firstLine="1405" w:firstLineChars="500"/>
        <w:rPr>
          <w:rFonts w:ascii="宋体" w:hAnsi="宋体" w:eastAsia="宋体" w:cs="Times New Roman"/>
          <w:color w:val="000000" w:themeColor="text1"/>
          <w:sz w:val="28"/>
          <w:highlight w:val="none"/>
          <w14:textFill>
            <w14:solidFill>
              <w14:schemeClr w14:val="tx1"/>
            </w14:solidFill>
          </w14:textFill>
        </w:rPr>
      </w:pPr>
      <w:r>
        <w:rPr>
          <w:rFonts w:hint="eastAsia" w:ascii="仿宋_GB2312" w:hAnsi="仿宋" w:eastAsia="仿宋_GB2312" w:cs="Times New Roman"/>
          <w:b/>
          <w:color w:val="000000" w:themeColor="text1"/>
          <w:sz w:val="28"/>
          <w:szCs w:val="28"/>
          <w:highlight w:val="none"/>
          <w14:textFill>
            <w14:solidFill>
              <w14:schemeClr w14:val="tx1"/>
            </w14:solidFill>
          </w14:textFill>
        </w:rPr>
        <w:t>可根据项目的具体要求进行修订。</w:t>
      </w:r>
      <w:r>
        <w:rPr>
          <w:rFonts w:hint="eastAsia" w:ascii="Times New Roman" w:hAnsi="Times New Roman" w:eastAsia="宋体" w:cs="Times New Roman"/>
          <w:color w:val="000000" w:themeColor="text1"/>
          <w:highlight w:val="none"/>
          <w14:textFill>
            <w14:solidFill>
              <w14:schemeClr w14:val="tx1"/>
            </w14:solidFill>
          </w14:textFill>
        </w:rPr>
        <w:t>）</w:t>
      </w:r>
    </w:p>
    <w:p w14:paraId="56DF847F">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49DAA562">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0E4B7780">
      <w:pPr>
        <w:jc w:val="center"/>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（GF—201</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7</w:t>
      </w:r>
      <w:r>
        <w:rPr>
          <w:rFonts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0201）</w:t>
      </w:r>
    </w:p>
    <w:p w14:paraId="4A831AC4">
      <w:pPr>
        <w:jc w:val="center"/>
        <w:rPr>
          <w:rFonts w:ascii="宋体" w:hAnsi="宋体" w:eastAsia="宋体" w:cs="Times New Roman"/>
          <w:b/>
          <w:color w:val="000000" w:themeColor="text1"/>
          <w:sz w:val="52"/>
          <w:szCs w:val="52"/>
          <w:highlight w:val="none"/>
          <w14:textFill>
            <w14:solidFill>
              <w14:schemeClr w14:val="tx1"/>
            </w14:solidFill>
          </w14:textFill>
        </w:rPr>
      </w:pPr>
    </w:p>
    <w:p w14:paraId="12F4F84A">
      <w:pPr>
        <w:jc w:val="center"/>
        <w:rPr>
          <w:rFonts w:ascii="宋体" w:hAnsi="宋体" w:eastAsia="宋体" w:cs="Times New Roman"/>
          <w:b/>
          <w:color w:val="000000" w:themeColor="text1"/>
          <w:sz w:val="52"/>
          <w:szCs w:val="52"/>
          <w:highlight w:val="none"/>
          <w14:textFill>
            <w14:solidFill>
              <w14:schemeClr w14:val="tx1"/>
            </w14:solidFill>
          </w14:textFill>
        </w:rPr>
      </w:pPr>
    </w:p>
    <w:p w14:paraId="4EDC0F0F">
      <w:pPr>
        <w:jc w:val="center"/>
        <w:rPr>
          <w:rFonts w:ascii="宋体" w:hAnsi="宋体" w:eastAsia="宋体" w:cs="Times New Roman"/>
          <w:b/>
          <w:color w:val="000000" w:themeColor="text1"/>
          <w:sz w:val="52"/>
          <w:szCs w:val="52"/>
          <w:highlight w:val="none"/>
          <w14:textFill>
            <w14:solidFill>
              <w14:schemeClr w14:val="tx1"/>
            </w14:solidFill>
          </w14:textFill>
        </w:rPr>
      </w:pPr>
      <w:r>
        <w:rPr>
          <w:rFonts w:ascii="宋体" w:hAnsi="宋体" w:eastAsia="宋体" w:cs="Times New Roman"/>
          <w:b/>
          <w:color w:val="000000" w:themeColor="text1"/>
          <w:sz w:val="72"/>
          <w:szCs w:val="52"/>
          <w:highlight w:val="none"/>
          <w14:textFill>
            <w14:solidFill>
              <w14:schemeClr w14:val="tx1"/>
            </w14:solidFill>
          </w14:textFill>
        </w:rPr>
        <w:t>建设工程施工合同</w:t>
      </w:r>
      <w:r>
        <w:rPr>
          <w:rFonts w:ascii="宋体" w:hAnsi="宋体" w:eastAsia="宋体" w:cs="Times New Roman"/>
          <w:b/>
          <w:color w:val="000000" w:themeColor="text1"/>
          <w:sz w:val="52"/>
          <w:szCs w:val="52"/>
          <w:highlight w:val="none"/>
          <w14:textFill>
            <w14:solidFill>
              <w14:schemeClr w14:val="tx1"/>
            </w14:solidFill>
          </w14:textFill>
        </w:rPr>
        <w:br w:type="textWrapping"/>
      </w:r>
      <w:r>
        <w:rPr>
          <w:rFonts w:ascii="宋体" w:hAnsi="宋体" w:eastAsia="宋体" w:cs="Times New Roman"/>
          <w:b/>
          <w:color w:val="000000" w:themeColor="text1"/>
          <w:sz w:val="52"/>
          <w:szCs w:val="52"/>
          <w:highlight w:val="none"/>
          <w14:textFill>
            <w14:solidFill>
              <w14:schemeClr w14:val="tx1"/>
            </w14:solidFill>
          </w14:textFill>
        </w:rPr>
        <w:t>（示范文本）</w:t>
      </w:r>
    </w:p>
    <w:p w14:paraId="4CCB42AC">
      <w:pPr>
        <w:jc w:val="center"/>
        <w:rPr>
          <w:rFonts w:ascii="宋体" w:hAnsi="宋体" w:eastAsia="宋体" w:cs="Times New Roman"/>
          <w:b/>
          <w:color w:val="000000" w:themeColor="text1"/>
          <w:sz w:val="52"/>
          <w:szCs w:val="52"/>
          <w:highlight w:val="none"/>
          <w14:textFill>
            <w14:solidFill>
              <w14:schemeClr w14:val="tx1"/>
            </w14:solidFill>
          </w14:textFill>
        </w:rPr>
      </w:pPr>
    </w:p>
    <w:p w14:paraId="2F3D1238">
      <w:pPr>
        <w:jc w:val="center"/>
        <w:rPr>
          <w:rFonts w:ascii="宋体" w:hAnsi="宋体" w:eastAsia="宋体" w:cs="Times New Roman"/>
          <w:b/>
          <w:color w:val="000000" w:themeColor="text1"/>
          <w:sz w:val="72"/>
          <w:szCs w:val="72"/>
          <w:highlight w:val="none"/>
          <w14:textFill>
            <w14:solidFill>
              <w14:schemeClr w14:val="tx1"/>
            </w14:solidFill>
          </w14:textFill>
        </w:rPr>
      </w:pPr>
    </w:p>
    <w:p w14:paraId="7E4BE316">
      <w:pPr>
        <w:rPr>
          <w:rFonts w:ascii="宋体" w:hAnsi="宋体" w:eastAsia="宋体" w:cs="Times New Roman"/>
          <w:b/>
          <w:color w:val="000000" w:themeColor="text1"/>
          <w:szCs w:val="28"/>
          <w:highlight w:val="none"/>
          <w14:textFill>
            <w14:solidFill>
              <w14:schemeClr w14:val="tx1"/>
            </w14:solidFill>
          </w14:textFill>
        </w:rPr>
      </w:pPr>
    </w:p>
    <w:p w14:paraId="61319CB0">
      <w:pPr>
        <w:rPr>
          <w:rFonts w:ascii="宋体" w:hAnsi="宋体" w:eastAsia="宋体" w:cs="Times New Roman"/>
          <w:b/>
          <w:color w:val="000000" w:themeColor="text1"/>
          <w:szCs w:val="28"/>
          <w:highlight w:val="none"/>
          <w14:textFill>
            <w14:solidFill>
              <w14:schemeClr w14:val="tx1"/>
            </w14:solidFill>
          </w14:textFill>
        </w:rPr>
      </w:pPr>
    </w:p>
    <w:p w14:paraId="3CBBAFE3">
      <w:pPr>
        <w:rPr>
          <w:rFonts w:ascii="宋体" w:hAnsi="宋体" w:eastAsia="宋体" w:cs="Times New Roman"/>
          <w:b/>
          <w:color w:val="000000" w:themeColor="text1"/>
          <w:szCs w:val="28"/>
          <w:highlight w:val="none"/>
          <w14:textFill>
            <w14:solidFill>
              <w14:schemeClr w14:val="tx1"/>
            </w14:solidFill>
          </w14:textFill>
        </w:rPr>
      </w:pPr>
    </w:p>
    <w:p w14:paraId="1504120B">
      <w:pPr>
        <w:rPr>
          <w:rFonts w:ascii="宋体" w:hAnsi="宋体" w:eastAsia="宋体" w:cs="Times New Roman"/>
          <w:b/>
          <w:color w:val="000000" w:themeColor="text1"/>
          <w:szCs w:val="28"/>
          <w:highlight w:val="none"/>
          <w14:textFill>
            <w14:solidFill>
              <w14:schemeClr w14:val="tx1"/>
            </w14:solidFill>
          </w14:textFill>
        </w:rPr>
      </w:pPr>
    </w:p>
    <w:p w14:paraId="401CB125">
      <w:pPr>
        <w:ind w:right="2719" w:rightChars="1295" w:firstLine="1890" w:firstLineChars="900"/>
        <w:rPr>
          <w:rFonts w:ascii="宋体" w:hAnsi="宋体" w:eastAsia="宋体" w:cs="Times New Roman"/>
          <w:b/>
          <w:color w:val="000000" w:themeColor="text1"/>
          <w:sz w:val="32"/>
          <w:szCs w:val="28"/>
          <w:highlight w:val="none"/>
          <w14:textFill>
            <w14:solidFill>
              <w14:schemeClr w14:val="tx1"/>
            </w14:solidFill>
          </w14:textFill>
        </w:rPr>
      </w:pPr>
      <w:r>
        <w:rPr>
          <w:rFonts w:ascii="宋体" w:hAnsi="宋体" w:eastAsia="宋体" w:cs="Times New Roman"/>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8255" t="5080" r="10795" b="1397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3EBBFD2A">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BzS1x2AAAAAkBAAAPAAAAAAAAAAEAIAAAACIAAABkcnMv&#10;ZG93bnJldi54bWxQSwECFAAUAAAACACHTuJA8pzPLjwCAABdBAAADgAAAAAAAAABACAAAAAnAQAA&#10;ZHJzL2Uyb0RvYy54bWxQSwUGAAAAAAYABgBZAQAA1QUAAAAA&#10;">
                <v:fill on="f" focussize="0,0"/>
                <v:stroke color="#FFFFFF" miterlimit="8" joinstyle="miter"/>
                <v:imagedata o:title=""/>
                <o:lock v:ext="edit" aspectratio="f"/>
                <v:textbox>
                  <w:txbxContent>
                    <w:p w14:paraId="3EBBFD2A">
                      <w:pPr>
                        <w:rPr>
                          <w:b/>
                          <w:bCs/>
                          <w:sz w:val="32"/>
                        </w:rPr>
                      </w:pPr>
                      <w:r>
                        <w:rPr>
                          <w:rFonts w:hint="eastAsia"/>
                          <w:b/>
                          <w:bCs/>
                          <w:sz w:val="32"/>
                        </w:rPr>
                        <w:t>制定</w:t>
                      </w:r>
                    </w:p>
                  </w:txbxContent>
                </v:textbox>
              </v:shape>
            </w:pict>
          </mc:Fallback>
        </mc:AlternateContent>
      </w:r>
      <w:r>
        <w:rPr>
          <w:rFonts w:ascii="宋体" w:hAnsi="宋体" w:eastAsia="宋体" w:cs="Times New Roman"/>
          <w:b/>
          <w:color w:val="000000" w:themeColor="text1"/>
          <w:sz w:val="32"/>
          <w:szCs w:val="28"/>
          <w:highlight w:val="none"/>
          <w14:textFill>
            <w14:solidFill>
              <w14:schemeClr w14:val="tx1"/>
            </w14:solidFill>
          </w14:textFill>
        </w:rPr>
        <w:t>住房和城乡建设部</w:t>
      </w:r>
    </w:p>
    <w:p w14:paraId="3EC18E5C">
      <w:pPr>
        <w:ind w:right="2719" w:rightChars="1295" w:firstLine="1911" w:firstLineChars="595"/>
        <w:rPr>
          <w:rFonts w:ascii="宋体" w:hAnsi="宋体" w:eastAsia="宋体" w:cs="Times New Roman"/>
          <w:b/>
          <w:color w:val="000000" w:themeColor="text1"/>
          <w:sz w:val="32"/>
          <w:szCs w:val="28"/>
          <w:highlight w:val="none"/>
          <w14:textFill>
            <w14:solidFill>
              <w14:schemeClr w14:val="tx1"/>
            </w14:solidFill>
          </w14:textFill>
        </w:rPr>
      </w:pPr>
      <w:r>
        <w:rPr>
          <w:rFonts w:ascii="宋体" w:hAnsi="宋体" w:eastAsia="宋体" w:cs="Times New Roman"/>
          <w:b/>
          <w:color w:val="000000" w:themeColor="text1"/>
          <w:sz w:val="32"/>
          <w:szCs w:val="28"/>
          <w:highlight w:val="none"/>
          <w14:textFill>
            <w14:solidFill>
              <w14:schemeClr w14:val="tx1"/>
            </w14:solidFill>
          </w14:textFill>
        </w:rPr>
        <w:t>国家工商行政管理总局</w:t>
      </w:r>
    </w:p>
    <w:p w14:paraId="69650784">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78A8EFD2">
      <w:pPr>
        <w:spacing w:line="360" w:lineRule="auto"/>
        <w:jc w:val="center"/>
        <w:rPr>
          <w:rFonts w:ascii="Times New Roman" w:hAnsi="Times New Roman" w:eastAsia="宋体" w:cs="Times New Roman"/>
          <w:b/>
          <w:color w:val="000000" w:themeColor="text1"/>
          <w:sz w:val="24"/>
          <w:highlight w:val="none"/>
          <w:lang w:val="zh-CN"/>
          <w14:textFill>
            <w14:solidFill>
              <w14:schemeClr w14:val="tx1"/>
            </w14:solidFill>
          </w14:textFill>
        </w:rPr>
      </w:pPr>
      <w:bookmarkStart w:id="74" w:name="_Toc26923"/>
      <w:bookmarkStart w:id="75" w:name="_Toc296503025"/>
      <w:bookmarkStart w:id="76" w:name="_Toc296890982"/>
      <w:bookmarkStart w:id="77" w:name="_Toc451430919"/>
      <w:r>
        <w:rPr>
          <w:rFonts w:ascii="Times New Roman" w:hAnsi="Times New Roman" w:eastAsia="宋体" w:cs="Times New Roman"/>
          <w:b/>
          <w:color w:val="000000" w:themeColor="text1"/>
          <w:sz w:val="24"/>
          <w:highlight w:val="none"/>
          <w:lang w:val="zh-CN"/>
          <w14:textFill>
            <w14:solidFill>
              <w14:schemeClr w14:val="tx1"/>
            </w14:solidFill>
          </w14:textFill>
        </w:rPr>
        <w:br w:type="page"/>
      </w:r>
      <w:r>
        <w:rPr>
          <w:rFonts w:hint="eastAsia" w:ascii="Times New Roman" w:hAnsi="Times New Roman" w:eastAsia="宋体" w:cs="Times New Roman"/>
          <w:b/>
          <w:color w:val="000000" w:themeColor="text1"/>
          <w:sz w:val="24"/>
          <w:highlight w:val="none"/>
          <w:lang w:val="zh-CN"/>
          <w14:textFill>
            <w14:solidFill>
              <w14:schemeClr w14:val="tx1"/>
            </w14:solidFill>
          </w14:textFill>
        </w:rPr>
        <w:t>说  明</w:t>
      </w:r>
    </w:p>
    <w:p w14:paraId="3FDD65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4E346D96">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一、《示范文本》的组成</w:t>
      </w:r>
    </w:p>
    <w:p w14:paraId="5C988A9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《示范文本》由合同协议书、通用合同条款和专用合同条款三部分组成。</w:t>
      </w:r>
    </w:p>
    <w:p w14:paraId="6B1FD30E">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（一）合同协议书</w:t>
      </w:r>
    </w:p>
    <w:p w14:paraId="5180773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575CB17A">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（二）通用合同条款</w:t>
      </w:r>
    </w:p>
    <w:p w14:paraId="21B21C6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通用合同条款是合同当事人根据《中华人民共和国建筑法》、《中华人民共和国民法典》等法律法规的规定，就工程建设的实施及相关事项，对合同当事人的权利义务作出的原则性约定。</w:t>
      </w:r>
    </w:p>
    <w:p w14:paraId="74FDB1C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391EF0C">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（三）专用合同条款</w:t>
      </w:r>
    </w:p>
    <w:p w14:paraId="0DFC9F2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是对通用合同条款原则性约定的细化、完善、补充、修改或另行约定的条款。合同当事人可以根据不同建设工程的特点及具体情况，通过双方的磋商、协商对相应的专用合同条款进行修改补充。在使用专用合同条款时，应注意以下事项：</w:t>
      </w:r>
    </w:p>
    <w:p w14:paraId="1AAA716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1.专用合同条款的编号应与相应的通用合同条款的编号一致；</w:t>
      </w:r>
    </w:p>
    <w:p w14:paraId="2E5E36B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2.合同当事人可以通过对专用合同条款的修改，满足具体建设工程的特殊要求，避免直接修改通用合同条款；</w:t>
      </w:r>
    </w:p>
    <w:p w14:paraId="29FF93A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3.在专用合同条款中有横道线的地方，合同当事人可针对相应的通用合同条款进行细化、完善、补充、修改或另行约定；如无细化、完善、补充、修改或另行约定，则填写“无”或划“/”。</w:t>
      </w:r>
    </w:p>
    <w:p w14:paraId="049712A1">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二、《示范文本》的性质和适用范围</w:t>
      </w:r>
    </w:p>
    <w:p w14:paraId="563F7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themeColor="text1"/>
          <w:szCs w:val="21"/>
          <w:highlight w:val="none"/>
          <w14:textFill>
            <w14:solidFill>
              <w14:schemeClr w14:val="tx1"/>
            </w14:solidFill>
          </w14:textFill>
        </w:rPr>
        <w:sectPr>
          <w:footerReference r:id="rId9" w:type="default"/>
          <w:pgSz w:w="11906" w:h="16838"/>
          <w:pgMar w:top="1440" w:right="1080" w:bottom="1440" w:left="1080" w:header="851" w:footer="992" w:gutter="0"/>
          <w:cols w:space="720" w:num="1"/>
          <w:titlePg/>
          <w:docGrid w:type="lines" w:linePitch="312" w:charSpace="0"/>
        </w:sectPr>
      </w:pPr>
      <w:r>
        <w:rPr>
          <w:rFonts w:hint="eastAsia" w:ascii="宋体" w:hAnsi="宋体" w:eastAsia="宋体" w:cs="宋体"/>
          <w:color w:val="000000" w:themeColor="text1"/>
          <w:szCs w:val="21"/>
          <w:highlight w:val="none"/>
          <w14:textFill>
            <w14:solidFill>
              <w14:schemeClr w14:val="tx1"/>
            </w14:solidFill>
          </w14:textFill>
        </w:rPr>
        <w:t>《示范文本》为非强制性使用文本。《示范文本》适用于房屋建筑专业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2889FFE6">
      <w:pPr>
        <w:spacing w:line="360" w:lineRule="auto"/>
        <w:jc w:val="center"/>
        <w:rPr>
          <w:rFonts w:ascii="宋体" w:hAnsi="宋体" w:eastAsia="宋体" w:cs="Times New Roman"/>
          <w:b/>
          <w:bCs/>
          <w:color w:val="000000" w:themeColor="text1"/>
          <w:sz w:val="28"/>
          <w:szCs w:val="32"/>
          <w:highlight w:val="none"/>
          <w14:textFill>
            <w14:solidFill>
              <w14:schemeClr w14:val="tx1"/>
            </w14:solidFill>
          </w14:textFill>
        </w:rPr>
      </w:pPr>
      <w:r>
        <w:rPr>
          <w:rFonts w:ascii="宋体" w:hAnsi="宋体" w:eastAsia="宋体" w:cs="Times New Roman"/>
          <w:b/>
          <w:bCs/>
          <w:color w:val="000000" w:themeColor="text1"/>
          <w:sz w:val="28"/>
          <w:szCs w:val="32"/>
          <w:highlight w:val="none"/>
          <w:lang w:val="zh-CN"/>
          <w14:textFill>
            <w14:solidFill>
              <w14:schemeClr w14:val="tx1"/>
            </w14:solidFill>
          </w14:textFill>
        </w:rPr>
        <w:t>目</w:t>
      </w:r>
      <w:r>
        <w:rPr>
          <w:rFonts w:hint="eastAsia" w:ascii="宋体" w:hAnsi="宋体" w:eastAsia="宋体" w:cs="Times New Roman"/>
          <w:b/>
          <w:bCs/>
          <w:color w:val="000000" w:themeColor="text1"/>
          <w:sz w:val="28"/>
          <w:szCs w:val="32"/>
          <w:highlight w:val="none"/>
          <w:lang w:val="zh-CN"/>
          <w14:textFill>
            <w14:solidFill>
              <w14:schemeClr w14:val="tx1"/>
            </w14:solidFill>
          </w14:textFill>
        </w:rPr>
        <w:t xml:space="preserve">  </w:t>
      </w:r>
      <w:r>
        <w:rPr>
          <w:rFonts w:ascii="宋体" w:hAnsi="宋体" w:eastAsia="宋体" w:cs="Times New Roman"/>
          <w:b/>
          <w:bCs/>
          <w:color w:val="000000" w:themeColor="text1"/>
          <w:sz w:val="28"/>
          <w:szCs w:val="32"/>
          <w:highlight w:val="none"/>
          <w:lang w:val="zh-CN"/>
          <w14:textFill>
            <w14:solidFill>
              <w14:schemeClr w14:val="tx1"/>
            </w14:solidFill>
          </w14:textFill>
        </w:rPr>
        <w:t>录</w:t>
      </w:r>
      <w:bookmarkEnd w:id="74"/>
    </w:p>
    <w:p w14:paraId="6544FC24">
      <w:pPr>
        <w:pStyle w:val="21"/>
        <w:tabs>
          <w:tab w:val="right" w:leader="dot" w:pos="8820"/>
        </w:tabs>
        <w:spacing w:line="360" w:lineRule="auto"/>
        <w:rPr>
          <w:color w:val="000000" w:themeColor="text1"/>
          <w:highlight w:val="none"/>
          <w14:textFill>
            <w14:solidFill>
              <w14:schemeClr w14:val="tx1"/>
            </w14:solidFill>
          </w14:textFill>
        </w:rPr>
      </w:pPr>
      <w:bookmarkStart w:id="78" w:name="_Toc351203480"/>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"1-1"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"_Toc10959"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第一部分 合同协议书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16CCE1">
      <w:pPr>
        <w:pStyle w:val="21"/>
        <w:tabs>
          <w:tab w:val="right" w:leader="dot" w:pos="8820"/>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"_Toc3209"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第二部分 通用合同条款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E31A8C0">
      <w:pPr>
        <w:pStyle w:val="21"/>
        <w:tabs>
          <w:tab w:val="right" w:leader="dot" w:pos="8820"/>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"_Toc8137"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第三部分 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C4759C5">
      <w:pPr>
        <w:pStyle w:val="21"/>
        <w:tabs>
          <w:tab w:val="right" w:leader="dot" w:pos="8820"/>
        </w:tabs>
        <w:rPr>
          <w:color w:val="000000" w:themeColor="text1"/>
          <w:highlight w:val="none"/>
          <w14:textFill>
            <w14:solidFill>
              <w14:schemeClr w14:val="tx1"/>
            </w14:solidFill>
          </w14:textFill>
        </w:rPr>
      </w:pPr>
    </w:p>
    <w:p w14:paraId="0DBB47A6">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bookmarkEnd w:id="75"/>
    <w:bookmarkEnd w:id="76"/>
    <w:bookmarkEnd w:id="78"/>
    <w:p w14:paraId="297F845F">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r>
        <w:rPr>
          <w:rFonts w:ascii="Cambria" w:hAnsi="Cambria" w:eastAsia="宋体" w:cs="Times New Roman"/>
          <w:b/>
          <w:bCs/>
          <w:color w:val="000000" w:themeColor="text1"/>
          <w:sz w:val="32"/>
          <w:szCs w:val="21"/>
          <w:highlight w:val="none"/>
          <w14:textFill>
            <w14:solidFill>
              <w14:schemeClr w14:val="tx1"/>
            </w14:solidFill>
          </w14:textFill>
        </w:rPr>
        <w:br w:type="page"/>
      </w:r>
      <w:bookmarkStart w:id="79" w:name="_Toc10959"/>
      <w:bookmarkStart w:id="80" w:name="_Toc6192"/>
      <w:bookmarkStart w:id="81" w:name="_Toc27987"/>
      <w:bookmarkStart w:id="82" w:name="_Toc533863304"/>
      <w:bookmarkStart w:id="83" w:name="EB959a0cec904a4675a610b8ff15efe337"/>
      <w:r>
        <w:rPr>
          <w:rFonts w:hint="eastAsia" w:ascii="宋体" w:hAnsi="宋体" w:eastAsia="宋体" w:cs="宋体"/>
          <w:b/>
          <w:bCs/>
          <w:color w:val="000000" w:themeColor="text1"/>
          <w:kern w:val="44"/>
          <w:sz w:val="32"/>
          <w:szCs w:val="32"/>
          <w:highlight w:val="none"/>
          <w14:textFill>
            <w14:solidFill>
              <w14:schemeClr w14:val="tx1"/>
            </w14:solidFill>
          </w14:textFill>
        </w:rPr>
        <w:t>第一部分 合同协议书</w:t>
      </w:r>
      <w:bookmarkEnd w:id="79"/>
      <w:bookmarkEnd w:id="80"/>
      <w:bookmarkEnd w:id="81"/>
      <w:bookmarkEnd w:id="82"/>
    </w:p>
    <w:p w14:paraId="78D0087B">
      <w:pPr>
        <w:widowControl/>
        <w:rPr>
          <w:rFonts w:hint="eastAsia" w:ascii="Times New Roman" w:hAnsi="Times New Roman" w:eastAsia="宋体" w:cs="Times New Roman"/>
          <w:color w:val="000000" w:themeColor="text1"/>
          <w:szCs w:val="21"/>
          <w:highlight w:val="none"/>
          <w:u w:val="single"/>
          <w:lang w:eastAsia="zh-CN"/>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发包人（全称）：</w:t>
      </w:r>
      <w:r>
        <w:rPr>
          <w:rFonts w:hint="eastAsia" w:ascii="Times New Roman" w:hAnsi="宋体" w:eastAsia="宋体" w:cs="Times New Roman"/>
          <w:b/>
          <w:bCs/>
          <w:color w:val="000000" w:themeColor="text1"/>
          <w:szCs w:val="21"/>
          <w:highlight w:val="none"/>
          <w:u w:val="single"/>
          <w:lang w:eastAsia="zh-CN"/>
          <w14:textFill>
            <w14:solidFill>
              <w14:schemeClr w14:val="tx1"/>
            </w14:solidFill>
          </w14:textFill>
        </w:rPr>
        <w:t>贵港市港南区新塘镇人民政府</w:t>
      </w:r>
    </w:p>
    <w:p w14:paraId="184AAECA">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承包人（全称）：</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p>
    <w:p w14:paraId="0E9DCE79">
      <w:pPr>
        <w:widowControl/>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根据《中华人民共和国民法典》、《中华人民共和国建筑法》及有关法律规定，遵循平等、自愿、公平和诚实信用的原则，双方就</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b/>
          <w:bCs/>
          <w:color w:val="000000" w:themeColor="text1"/>
          <w:szCs w:val="21"/>
          <w:highlight w:val="none"/>
          <w:u w:val="single"/>
          <w:lang w:eastAsia="zh-CN"/>
          <w14:textFill>
            <w14:solidFill>
              <w14:schemeClr w14:val="tx1"/>
            </w14:solidFill>
          </w14:textFill>
        </w:rPr>
        <w:t>港南区新塘镇蒙大村道路硬化建设以工代赈项目（重）</w:t>
      </w:r>
      <w:r>
        <w:rPr>
          <w:rFonts w:hint="eastAsia" w:ascii="宋体" w:hAnsi="宋体" w:eastAsia="宋体" w:cs="Times New Roman"/>
          <w:b/>
          <w:bCs/>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工程施工及有关事项协商一致，共同达成如下协议：</w:t>
      </w:r>
      <w:bookmarkStart w:id="84" w:name="_Toc351203481"/>
    </w:p>
    <w:p w14:paraId="41287496">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一、工程概况</w:t>
      </w:r>
      <w:bookmarkEnd w:id="84"/>
    </w:p>
    <w:p w14:paraId="2F1735AF">
      <w:pPr>
        <w:widowControl/>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1.</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项目名称</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宋体" w:hAnsi="宋体" w:eastAsia="宋体" w:cs="Times New Roman"/>
          <w:bCs/>
          <w:color w:val="000000" w:themeColor="text1"/>
          <w:szCs w:val="21"/>
          <w:highlight w:val="none"/>
          <w:u w:val="single"/>
          <w:lang w:eastAsia="zh-CN"/>
          <w14:textFill>
            <w14:solidFill>
              <w14:schemeClr w14:val="tx1"/>
            </w14:solidFill>
          </w14:textFill>
        </w:rPr>
        <w:t>港南区新塘镇蒙大村道路硬化建设以工代赈项目（重）</w:t>
      </w:r>
      <w:r>
        <w:rPr>
          <w:rFonts w:ascii="Times New Roman" w:hAnsi="宋体" w:eastAsia="宋体" w:cs="Times New Roman"/>
          <w:color w:val="000000" w:themeColor="text1"/>
          <w:szCs w:val="21"/>
          <w:highlight w:val="none"/>
          <w14:textFill>
            <w14:solidFill>
              <w14:schemeClr w14:val="tx1"/>
            </w14:solidFill>
          </w14:textFill>
        </w:rPr>
        <w:t>。</w:t>
      </w:r>
    </w:p>
    <w:p w14:paraId="11264AA3">
      <w:pPr>
        <w:widowControl/>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2.</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工程地点：</w:t>
      </w:r>
      <w:r>
        <w:rPr>
          <w:rFonts w:hint="eastAsia" w:ascii="宋体" w:hAnsi="宋体" w:eastAsia="宋体" w:cs="宋体"/>
          <w:color w:val="000000" w:themeColor="text1"/>
          <w:szCs w:val="21"/>
          <w:highlight w:val="none"/>
          <w:u w:val="single"/>
          <w:lang w:eastAsia="zh-CN"/>
          <w14:textFill>
            <w14:solidFill>
              <w14:schemeClr w14:val="tx1"/>
            </w14:solidFill>
          </w14:textFill>
        </w:rPr>
        <w:t>贵港市港南区新塘镇蒙大村</w:t>
      </w:r>
      <w:r>
        <w:rPr>
          <w:rFonts w:ascii="Times New Roman" w:hAnsi="宋体" w:eastAsia="宋体" w:cs="Times New Roman"/>
          <w:color w:val="000000" w:themeColor="text1"/>
          <w:szCs w:val="21"/>
          <w:highlight w:val="none"/>
          <w14:textFill>
            <w14:solidFill>
              <w14:schemeClr w14:val="tx1"/>
            </w14:solidFill>
          </w14:textFill>
        </w:rPr>
        <w:t>。</w:t>
      </w:r>
    </w:p>
    <w:p w14:paraId="2A7E141F">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3.</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工程立项批准文号：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bCs/>
          <w:color w:val="000000" w:themeColor="text1"/>
          <w:szCs w:val="21"/>
          <w:highlight w:val="none"/>
          <w14:textFill>
            <w14:solidFill>
              <w14:schemeClr w14:val="tx1"/>
            </w14:solidFill>
          </w14:textFill>
        </w:rPr>
        <w:t>。</w:t>
      </w:r>
    </w:p>
    <w:p w14:paraId="54E46CD2">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4.</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资金来源：</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w:t>
      </w:r>
    </w:p>
    <w:p w14:paraId="752AAE18">
      <w:pPr>
        <w:spacing w:line="360" w:lineRule="auto"/>
        <w:ind w:firstLine="411" w:firstLineChars="196"/>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5.</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工程内容：</w:t>
      </w:r>
      <w:r>
        <w:rPr>
          <w:rFonts w:hint="eastAsia" w:ascii="Times New Roman" w:hAnsi="宋体" w:eastAsia="宋体" w:cs="Times New Roman"/>
          <w:bCs/>
          <w:color w:val="000000" w:themeColor="text1"/>
          <w:szCs w:val="21"/>
          <w:highlight w:val="none"/>
          <w:u w:val="single"/>
          <w14:textFill>
            <w14:solidFill>
              <w14:schemeClr w14:val="tx1"/>
            </w14:solidFill>
          </w14:textFill>
        </w:rPr>
        <w:t>本项目为港南区新塘镇蒙大村道路硬化建设以工代赈项目，对贵港市港南区新塘镇蒙大村5条碎石老路进行破除新建，道路总长1957米。</w:t>
      </w:r>
      <w:r>
        <w:rPr>
          <w:rFonts w:hint="eastAsia" w:ascii="宋体" w:hAnsi="宋体" w:eastAsia="宋体" w:cs="仿宋"/>
          <w:color w:val="000000" w:themeColor="text1"/>
          <w:szCs w:val="21"/>
          <w:highlight w:val="none"/>
          <w:u w:val="single"/>
          <w14:textFill>
            <w14:solidFill>
              <w14:schemeClr w14:val="tx1"/>
            </w14:solidFill>
          </w14:textFill>
        </w:rPr>
        <w:t>具体内容详见工程量清单及图纸</w:t>
      </w:r>
      <w:r>
        <w:rPr>
          <w:rFonts w:hint="eastAsia" w:ascii="宋体" w:hAnsi="宋体" w:eastAsia="宋体" w:cs="仿宋"/>
          <w:color w:val="000000" w:themeColor="text1"/>
          <w:szCs w:val="21"/>
          <w:highlight w:val="none"/>
          <w:u w:val="single"/>
          <w:lang w:eastAsia="zh-CN"/>
          <w14:textFill>
            <w14:solidFill>
              <w14:schemeClr w14:val="tx1"/>
            </w14:solidFill>
          </w14:textFill>
        </w:rPr>
        <w:t>。</w:t>
      </w:r>
    </w:p>
    <w:p w14:paraId="44D3B3D2">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群体工程应附《承包人承揽工程项目一览表》（附件</w:t>
      </w: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w:t>
      </w:r>
    </w:p>
    <w:p w14:paraId="4A12D4CE">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6.</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工程承包范围：</w:t>
      </w:r>
    </w:p>
    <w:p w14:paraId="59E817B5">
      <w:pPr>
        <w:spacing w:line="360" w:lineRule="auto"/>
        <w:ind w:firstLine="405" w:firstLineChars="193"/>
        <w:rPr>
          <w:rFonts w:hint="eastAsia" w:ascii="宋体" w:hAnsi="宋体" w:eastAsia="宋体" w:cs="宋体"/>
          <w:color w:val="000000" w:themeColor="text1"/>
          <w:szCs w:val="21"/>
          <w:highlight w:val="none"/>
          <w:u w:val="single"/>
          <w:lang w:eastAsia="zh-CN"/>
          <w14:textFill>
            <w14:solidFill>
              <w14:schemeClr w14:val="tx1"/>
            </w14:solidFill>
          </w14:textFill>
        </w:rPr>
      </w:pPr>
      <w:bookmarkStart w:id="85" w:name="_Toc351203482"/>
      <w:r>
        <w:rPr>
          <w:rFonts w:hint="eastAsia" w:ascii="宋体" w:hAnsi="宋体" w:eastAsia="宋体" w:cs="宋体"/>
          <w:color w:val="000000" w:themeColor="text1"/>
          <w:szCs w:val="21"/>
          <w:highlight w:val="none"/>
          <w:u w:val="single"/>
          <w:lang w:eastAsia="zh-CN"/>
          <w14:textFill>
            <w14:solidFill>
              <w14:schemeClr w14:val="tx1"/>
            </w14:solidFill>
          </w14:textFill>
        </w:rPr>
        <w:t>港南区新塘镇蒙大村道路硬化建设以工代赈项目，</w:t>
      </w:r>
      <w:r>
        <w:rPr>
          <w:rFonts w:hint="eastAsia" w:ascii="宋体" w:hAnsi="宋体" w:eastAsia="宋体" w:cs="仿宋"/>
          <w:color w:val="000000" w:themeColor="text1"/>
          <w:szCs w:val="21"/>
          <w:highlight w:val="none"/>
          <w:u w:val="single"/>
          <w14:textFill>
            <w14:solidFill>
              <w14:schemeClr w14:val="tx1"/>
            </w14:solidFill>
          </w14:textFill>
        </w:rPr>
        <w:t>具体内容详见工程量清单及图纸</w:t>
      </w:r>
      <w:r>
        <w:rPr>
          <w:rFonts w:hint="eastAsia" w:ascii="宋体" w:hAnsi="宋体" w:eastAsia="宋体" w:cs="宋体"/>
          <w:color w:val="000000" w:themeColor="text1"/>
          <w:szCs w:val="21"/>
          <w:highlight w:val="none"/>
          <w:u w:val="single"/>
          <w:lang w:eastAsia="zh-CN"/>
          <w14:textFill>
            <w14:solidFill>
              <w14:schemeClr w14:val="tx1"/>
            </w14:solidFill>
          </w14:textFill>
        </w:rPr>
        <w:t>。</w:t>
      </w:r>
    </w:p>
    <w:p w14:paraId="7F87A5FF">
      <w:pPr>
        <w:spacing w:line="360" w:lineRule="auto"/>
        <w:ind w:firstLine="407" w:firstLineChars="193"/>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二、合同工期</w:t>
      </w:r>
      <w:bookmarkEnd w:id="85"/>
    </w:p>
    <w:p w14:paraId="4169741F">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计划开工日期：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年</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月</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日。</w:t>
      </w:r>
      <w:r>
        <w:rPr>
          <w:rFonts w:hint="eastAsia" w:ascii="Times New Roman" w:hAnsi="宋体" w:eastAsia="宋体" w:cs="宋体"/>
          <w:color w:val="000000" w:themeColor="text1"/>
          <w:highlight w:val="none"/>
          <w14:textFill>
            <w14:solidFill>
              <w14:schemeClr w14:val="tx1"/>
            </w14:solidFill>
          </w14:textFill>
        </w:rPr>
        <w:t>（具体以发包人书面通知为准）</w:t>
      </w:r>
    </w:p>
    <w:p w14:paraId="07535AFE">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计划竣工日期：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年</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月</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日。</w:t>
      </w:r>
    </w:p>
    <w:p w14:paraId="200602FD">
      <w:pPr>
        <w:spacing w:line="360" w:lineRule="auto"/>
        <w:ind w:firstLine="459"/>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工期总日历天数：</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天。工期总日历天数与根据前述计划开竣工日期计算的工期天数不一致的，以工期总日历天数为准。</w:t>
      </w:r>
    </w:p>
    <w:p w14:paraId="14589430">
      <w:pPr>
        <w:spacing w:line="360" w:lineRule="auto"/>
        <w:ind w:firstLine="459"/>
        <w:rPr>
          <w:rFonts w:ascii="Times New Roman" w:hAnsi="Times New Roman" w:eastAsia="宋体" w:cs="Times New Roman"/>
          <w:b/>
          <w:bCs/>
          <w:color w:val="000000" w:themeColor="text1"/>
          <w:szCs w:val="21"/>
          <w:highlight w:val="none"/>
          <w14:textFill>
            <w14:solidFill>
              <w14:schemeClr w14:val="tx1"/>
            </w14:solidFill>
          </w14:textFill>
        </w:rPr>
      </w:pPr>
      <w:bookmarkStart w:id="86" w:name="_Toc351203483"/>
      <w:r>
        <w:rPr>
          <w:rFonts w:ascii="Times New Roman" w:hAnsi="宋体" w:eastAsia="宋体" w:cs="Times New Roman"/>
          <w:b/>
          <w:bCs/>
          <w:color w:val="000000" w:themeColor="text1"/>
          <w:szCs w:val="21"/>
          <w:highlight w:val="none"/>
          <w14:textFill>
            <w14:solidFill>
              <w14:schemeClr w14:val="tx1"/>
            </w14:solidFill>
          </w14:textFill>
        </w:rPr>
        <w:t>三、质量标准</w:t>
      </w:r>
      <w:bookmarkEnd w:id="86"/>
    </w:p>
    <w:p w14:paraId="4701938E">
      <w:pPr>
        <w:widowControl/>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工程质量符合</w:t>
      </w:r>
      <w:r>
        <w:rPr>
          <w:rFonts w:hint="eastAsia" w:ascii="宋体" w:hAnsi="宋体" w:eastAsia="宋体" w:cs="宋体"/>
          <w:color w:val="000000" w:themeColor="text1"/>
          <w:szCs w:val="21"/>
          <w:highlight w:val="none"/>
          <w:u w:val="single"/>
          <w14:textFill>
            <w14:solidFill>
              <w14:schemeClr w14:val="tx1"/>
            </w14:solidFill>
          </w14:textFill>
        </w:rPr>
        <w:t xml:space="preserve">达到国家和行业颁发的施工及验收规程规范要求 </w:t>
      </w:r>
      <w:r>
        <w:rPr>
          <w:rFonts w:ascii="Times New Roman" w:hAnsi="宋体" w:eastAsia="宋体" w:cs="Times New Roman"/>
          <w:color w:val="000000" w:themeColor="text1"/>
          <w:szCs w:val="21"/>
          <w:highlight w:val="none"/>
          <w14:textFill>
            <w14:solidFill>
              <w14:schemeClr w14:val="tx1"/>
            </w14:solidFill>
          </w14:textFill>
        </w:rPr>
        <w:t>标准。</w:t>
      </w:r>
    </w:p>
    <w:p w14:paraId="11594822">
      <w:pPr>
        <w:spacing w:line="360" w:lineRule="auto"/>
        <w:ind w:firstLine="459"/>
        <w:rPr>
          <w:rFonts w:ascii="Times New Roman" w:hAnsi="宋体" w:eastAsia="宋体" w:cs="Times New Roman"/>
          <w:b/>
          <w:bCs/>
          <w:color w:val="000000" w:themeColor="text1"/>
          <w:szCs w:val="21"/>
          <w:highlight w:val="none"/>
          <w14:textFill>
            <w14:solidFill>
              <w14:schemeClr w14:val="tx1"/>
            </w14:solidFill>
          </w14:textFill>
        </w:rPr>
      </w:pPr>
      <w:bookmarkStart w:id="87" w:name="_Toc351203484"/>
      <w:r>
        <w:rPr>
          <w:rFonts w:ascii="Times New Roman" w:hAnsi="宋体" w:eastAsia="宋体" w:cs="Times New Roman"/>
          <w:b/>
          <w:bCs/>
          <w:color w:val="000000" w:themeColor="text1"/>
          <w:szCs w:val="21"/>
          <w:highlight w:val="none"/>
          <w14:textFill>
            <w14:solidFill>
              <w14:schemeClr w14:val="tx1"/>
            </w14:solidFill>
          </w14:textFill>
        </w:rPr>
        <w:t>四、签约合同价与合同价格形式</w:t>
      </w:r>
      <w:bookmarkEnd w:id="87"/>
    </w:p>
    <w:p w14:paraId="5BA1AE53">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1.</w:t>
      </w:r>
      <w:r>
        <w:rPr>
          <w:rFonts w:hint="eastAsia"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签约合同价为：</w:t>
      </w:r>
    </w:p>
    <w:p w14:paraId="4BC5CD41">
      <w:pPr>
        <w:spacing w:line="360" w:lineRule="auto"/>
        <w:ind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445B09A">
      <w:pPr>
        <w:spacing w:line="360" w:lineRule="auto"/>
        <w:ind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其中：</w:t>
      </w:r>
    </w:p>
    <w:p w14:paraId="282BDBD7">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安全文明施工费：</w:t>
      </w:r>
    </w:p>
    <w:p w14:paraId="71D0B551">
      <w:pPr>
        <w:spacing w:line="360" w:lineRule="auto"/>
        <w:ind w:left="420" w:leftChars="200"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29FA87C">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2</w:t>
      </w:r>
      <w:r>
        <w:rPr>
          <w:rFonts w:ascii="Times New Roman" w:hAnsi="宋体" w:eastAsia="宋体" w:cs="Times New Roman"/>
          <w:color w:val="000000" w:themeColor="text1"/>
          <w:szCs w:val="21"/>
          <w:highlight w:val="none"/>
          <w14:textFill>
            <w14:solidFill>
              <w14:schemeClr w14:val="tx1"/>
            </w14:solidFill>
          </w14:textFill>
        </w:rPr>
        <w:t>）建安劳保费：</w:t>
      </w:r>
    </w:p>
    <w:p w14:paraId="039B6481">
      <w:pPr>
        <w:spacing w:line="360" w:lineRule="auto"/>
        <w:ind w:left="420" w:leftChars="200" w:firstLine="525" w:firstLineChars="2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00E3E128">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3</w:t>
      </w:r>
      <w:r>
        <w:rPr>
          <w:rFonts w:ascii="Times New Roman" w:hAnsi="宋体" w:eastAsia="宋体" w:cs="Times New Roman"/>
          <w:color w:val="000000" w:themeColor="text1"/>
          <w:szCs w:val="21"/>
          <w:highlight w:val="none"/>
          <w14:textFill>
            <w14:solidFill>
              <w14:schemeClr w14:val="tx1"/>
            </w14:solidFill>
          </w14:textFill>
        </w:rPr>
        <w:t>）材料和工程设备暂估价金额：</w:t>
      </w:r>
    </w:p>
    <w:p w14:paraId="45E2694B">
      <w:pPr>
        <w:spacing w:line="360" w:lineRule="auto"/>
        <w:ind w:firstLine="945" w:firstLineChars="4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77D46C0">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4</w:t>
      </w:r>
      <w:r>
        <w:rPr>
          <w:rFonts w:ascii="Times New Roman" w:hAnsi="宋体" w:eastAsia="宋体" w:cs="Times New Roman"/>
          <w:color w:val="000000" w:themeColor="text1"/>
          <w:szCs w:val="21"/>
          <w:highlight w:val="none"/>
          <w14:textFill>
            <w14:solidFill>
              <w14:schemeClr w14:val="tx1"/>
            </w14:solidFill>
          </w14:textFill>
        </w:rPr>
        <w:t>）专业工程暂估价金额：</w:t>
      </w:r>
    </w:p>
    <w:p w14:paraId="565F7B8C">
      <w:pPr>
        <w:spacing w:line="360" w:lineRule="auto"/>
        <w:ind w:firstLine="945" w:firstLineChars="4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4E08FE04">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5</w:t>
      </w:r>
      <w:r>
        <w:rPr>
          <w:rFonts w:ascii="Times New Roman" w:hAnsi="宋体" w:eastAsia="宋体" w:cs="Times New Roman"/>
          <w:color w:val="000000" w:themeColor="text1"/>
          <w:szCs w:val="21"/>
          <w:highlight w:val="none"/>
          <w14:textFill>
            <w14:solidFill>
              <w14:schemeClr w14:val="tx1"/>
            </w14:solidFill>
          </w14:textFill>
        </w:rPr>
        <w:t>）暂列金额：</w:t>
      </w:r>
    </w:p>
    <w:p w14:paraId="34499521">
      <w:pPr>
        <w:spacing w:line="360" w:lineRule="auto"/>
        <w:ind w:firstLine="945" w:firstLineChars="4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4BCEAF7C">
      <w:pPr>
        <w:spacing w:line="360" w:lineRule="auto"/>
        <w:ind w:firstLine="359" w:firstLineChars="171"/>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w:t>
      </w:r>
      <w:r>
        <w:rPr>
          <w:rFonts w:ascii="Times New Roman" w:hAnsi="宋体" w:eastAsia="宋体" w:cs="Times New Roman"/>
          <w:color w:val="000000" w:themeColor="text1"/>
          <w:highlight w:val="none"/>
          <w14:textFill>
            <w14:solidFill>
              <w14:schemeClr w14:val="tx1"/>
            </w14:solidFill>
          </w14:textFill>
        </w:rPr>
        <w:t>6</w:t>
      </w:r>
      <w:r>
        <w:rPr>
          <w:rFonts w:hint="eastAsia" w:ascii="Times New Roman" w:hAnsi="宋体" w:eastAsia="宋体" w:cs="宋体"/>
          <w:color w:val="000000" w:themeColor="text1"/>
          <w:highlight w:val="none"/>
          <w14:textFill>
            <w14:solidFill>
              <w14:schemeClr w14:val="tx1"/>
            </w14:solidFill>
          </w14:textFill>
        </w:rPr>
        <w:t>）增值税额：</w:t>
      </w:r>
    </w:p>
    <w:p w14:paraId="17A26384">
      <w:pPr>
        <w:spacing w:line="360" w:lineRule="auto"/>
        <w:ind w:firstLine="945" w:firstLineChars="450"/>
        <w:rPr>
          <w:rFonts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人民币（大写）</w:t>
      </w:r>
      <w:r>
        <w:rPr>
          <w:rFonts w:ascii="Times New Roman" w:hAnsi="Times New Roman" w:eastAsia="宋体" w:cs="Times New Roman"/>
          <w:color w:val="000000" w:themeColor="text1"/>
          <w:highlight w:val="none"/>
          <w:u w:val="single"/>
          <w14:textFill>
            <w14:solidFill>
              <w14:schemeClr w14:val="tx1"/>
            </w14:solidFill>
          </w14:textFill>
        </w:rPr>
        <w:t xml:space="preserve">              </w:t>
      </w:r>
      <w:r>
        <w:rPr>
          <w:rFonts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宋体"/>
          <w:color w:val="000000" w:themeColor="text1"/>
          <w:highlight w:val="none"/>
          <w14:textFill>
            <w14:solidFill>
              <w14:schemeClr w14:val="tx1"/>
            </w14:solidFill>
          </w14:textFill>
        </w:rPr>
        <w:t>（</w:t>
      </w:r>
      <w:r>
        <w:rPr>
          <w:rFonts w:ascii="Times New Roman" w:hAnsi="Times New Roman" w:eastAsia="宋体" w:cs="Times New Roman"/>
          <w:color w:val="000000" w:themeColor="text1"/>
          <w:highlight w:val="none"/>
          <w14:textFill>
            <w14:solidFill>
              <w14:schemeClr w14:val="tx1"/>
            </w14:solidFill>
          </w14:textFill>
        </w:rPr>
        <w:t>¥</w:t>
      </w:r>
      <w:r>
        <w:rPr>
          <w:rFonts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宋体" w:eastAsia="宋体" w:cs="宋体"/>
          <w:color w:val="000000" w:themeColor="text1"/>
          <w:highlight w:val="none"/>
          <w14:textFill>
            <w14:solidFill>
              <w14:schemeClr w14:val="tx1"/>
            </w14:solidFill>
          </w14:textFill>
        </w:rPr>
        <w:t>元</w:t>
      </w:r>
      <w:r>
        <w:rPr>
          <w:rFonts w:hint="eastAsia" w:ascii="Times New Roman" w:hAnsi="Times New Roman" w:eastAsia="宋体" w:cs="宋体"/>
          <w:color w:val="000000" w:themeColor="text1"/>
          <w:highlight w:val="none"/>
          <w14:textFill>
            <w14:solidFill>
              <w14:schemeClr w14:val="tx1"/>
            </w14:solidFill>
          </w14:textFill>
        </w:rPr>
        <w:t>）</w:t>
      </w:r>
      <w:r>
        <w:rPr>
          <w:rFonts w:hint="eastAsia" w:ascii="Times New Roman" w:hAnsi="宋体" w:eastAsia="宋体" w:cs="宋体"/>
          <w:color w:val="000000" w:themeColor="text1"/>
          <w:highlight w:val="none"/>
          <w14:textFill>
            <w14:solidFill>
              <w14:schemeClr w14:val="tx1"/>
            </w14:solidFill>
          </w14:textFill>
        </w:rPr>
        <w:t>。</w:t>
      </w:r>
    </w:p>
    <w:p w14:paraId="583C1162">
      <w:pPr>
        <w:spacing w:line="360" w:lineRule="auto"/>
        <w:ind w:firstLine="945" w:firstLineChars="4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增值税率：</w:t>
      </w:r>
      <w:r>
        <w:rPr>
          <w:rFonts w:ascii="Times New Roman" w:hAnsi="宋体" w:eastAsia="宋体" w:cs="Times New Roman"/>
          <w:color w:val="000000" w:themeColor="text1"/>
          <w:highlight w:val="none"/>
          <w:u w:val="single"/>
          <w14:textFill>
            <w14:solidFill>
              <w14:schemeClr w14:val="tx1"/>
            </w14:solidFill>
          </w14:textFill>
        </w:rPr>
        <w:t xml:space="preserve">  </w:t>
      </w:r>
      <w:r>
        <w:rPr>
          <w:rFonts w:hint="eastAsia" w:ascii="Times New Roman" w:hAnsi="宋体" w:eastAsia="宋体" w:cs="宋体"/>
          <w:color w:val="000000" w:themeColor="text1"/>
          <w:highlight w:val="none"/>
          <w:u w:val="single"/>
          <w14:textFill>
            <w14:solidFill>
              <w14:schemeClr w14:val="tx1"/>
            </w14:solidFill>
          </w14:textFill>
        </w:rPr>
        <w:t>　　　　　　</w:t>
      </w:r>
      <w:r>
        <w:rPr>
          <w:rFonts w:ascii="Times New Roman" w:hAnsi="宋体" w:eastAsia="宋体" w:cs="Times New Roman"/>
          <w:color w:val="000000" w:themeColor="text1"/>
          <w:highlight w:val="none"/>
          <w:u w:val="single"/>
          <w14:textFill>
            <w14:solidFill>
              <w14:schemeClr w14:val="tx1"/>
            </w14:solidFill>
          </w14:textFill>
        </w:rPr>
        <w:t xml:space="preserve">  </w:t>
      </w:r>
    </w:p>
    <w:p w14:paraId="20181B8C">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2.</w:t>
      </w:r>
      <w:r>
        <w:rPr>
          <w:rFonts w:hint="eastAsia"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合同价格形式：</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固定综合单价合同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w:t>
      </w:r>
    </w:p>
    <w:p w14:paraId="1AE5039B">
      <w:pPr>
        <w:spacing w:line="360" w:lineRule="auto"/>
        <w:ind w:firstLine="420" w:firstLineChars="200"/>
        <w:rPr>
          <w:rFonts w:ascii="Times New Roman" w:hAnsi="宋体" w:eastAsia="宋体" w:cs="Times New Roman"/>
          <w:color w:val="000000" w:themeColor="text1"/>
          <w:szCs w:val="21"/>
          <w:highlight w:val="none"/>
          <w:u w:val="singl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3.（1）工程款支付账户：</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 xml:space="preserve"> </w:t>
      </w:r>
    </w:p>
    <w:p w14:paraId="1B9C5FB0">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账号：</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32BF89D6">
      <w:pPr>
        <w:spacing w:line="360" w:lineRule="auto"/>
        <w:ind w:firstLine="420" w:firstLineChars="200"/>
        <w:rPr>
          <w:rFonts w:ascii="Times New Roman" w:hAnsi="宋体" w:eastAsia="宋体" w:cs="Times New Roman"/>
          <w:color w:val="000000" w:themeColor="text1"/>
          <w:szCs w:val="21"/>
          <w:highlight w:val="none"/>
          <w:u w:val="singl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12CCC9C9">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（2）安全生产费用专户：</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公司安全生产费用专户</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13212E3C">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账号：</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6A4CAA1B">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52486619">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（3）农民工工资支付专用账户：</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公司农民工工资支付专用账户</w:t>
      </w:r>
      <w:r>
        <w:rPr>
          <w:rFonts w:ascii="Times New Roman" w:hAnsi="宋体" w:eastAsia="宋体" w:cs="Times New Roman"/>
          <w:color w:val="000000" w:themeColor="text1"/>
          <w:szCs w:val="21"/>
          <w:highlight w:val="non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67D08536">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账号：</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27A048E3">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01C23BA1">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p>
    <w:p w14:paraId="1065FFD7">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88" w:name="_Toc351203485"/>
      <w:r>
        <w:rPr>
          <w:rFonts w:ascii="Times New Roman" w:hAnsi="宋体" w:eastAsia="宋体" w:cs="Times New Roman"/>
          <w:b/>
          <w:bCs/>
          <w:color w:val="000000" w:themeColor="text1"/>
          <w:szCs w:val="21"/>
          <w:highlight w:val="none"/>
          <w14:textFill>
            <w14:solidFill>
              <w14:schemeClr w14:val="tx1"/>
            </w14:solidFill>
          </w14:textFill>
        </w:rPr>
        <w:t>五、</w:t>
      </w:r>
      <w:bookmarkEnd w:id="88"/>
      <w:r>
        <w:rPr>
          <w:rFonts w:ascii="Times New Roman" w:hAnsi="宋体" w:eastAsia="宋体" w:cs="Times New Roman"/>
          <w:b/>
          <w:bCs/>
          <w:color w:val="000000" w:themeColor="text1"/>
          <w:szCs w:val="21"/>
          <w:highlight w:val="none"/>
          <w14:textFill>
            <w14:solidFill>
              <w14:schemeClr w14:val="tx1"/>
            </w14:solidFill>
          </w14:textFill>
        </w:rPr>
        <w:t>项目经理</w:t>
      </w:r>
    </w:p>
    <w:p w14:paraId="313D5886">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承包人项目经理：</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0E2397CA">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89" w:name="_Toc351203486"/>
      <w:r>
        <w:rPr>
          <w:rFonts w:ascii="Times New Roman" w:hAnsi="宋体" w:eastAsia="宋体" w:cs="Times New Roman"/>
          <w:b/>
          <w:bCs/>
          <w:color w:val="000000" w:themeColor="text1"/>
          <w:szCs w:val="21"/>
          <w:highlight w:val="none"/>
          <w14:textFill>
            <w14:solidFill>
              <w14:schemeClr w14:val="tx1"/>
            </w14:solidFill>
          </w14:textFill>
        </w:rPr>
        <w:t>六、合同文件构成</w:t>
      </w:r>
      <w:bookmarkEnd w:id="89"/>
    </w:p>
    <w:p w14:paraId="72093741">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本协议书与下列文件一起构成合同文件：</w:t>
      </w:r>
    </w:p>
    <w:p w14:paraId="233E254F">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）中标</w:t>
      </w:r>
      <w:r>
        <w:rPr>
          <w:rFonts w:hint="eastAsia" w:ascii="Times New Roman" w:hAnsi="宋体" w:eastAsia="宋体" w:cs="Times New Roman"/>
          <w:color w:val="000000" w:themeColor="text1"/>
          <w:szCs w:val="21"/>
          <w:highlight w:val="none"/>
          <w14:textFill>
            <w14:solidFill>
              <w14:schemeClr w14:val="tx1"/>
            </w14:solidFill>
          </w14:textFill>
        </w:rPr>
        <w:t>（成交）</w:t>
      </w:r>
      <w:r>
        <w:rPr>
          <w:rFonts w:ascii="Times New Roman" w:hAnsi="宋体" w:eastAsia="宋体" w:cs="Times New Roman"/>
          <w:color w:val="000000" w:themeColor="text1"/>
          <w:szCs w:val="21"/>
          <w:highlight w:val="none"/>
          <w14:textFill>
            <w14:solidFill>
              <w14:schemeClr w14:val="tx1"/>
            </w14:solidFill>
          </w14:textFill>
        </w:rPr>
        <w:t>通知书（如有）；</w:t>
      </w:r>
    </w:p>
    <w:p w14:paraId="11D37966">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2</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Times New Roman" w:hAnsi="宋体" w:eastAsia="宋体" w:cs="Times New Roman"/>
          <w:color w:val="000000" w:themeColor="text1"/>
          <w:szCs w:val="21"/>
          <w:highlight w:val="none"/>
          <w14:textFill>
            <w14:solidFill>
              <w14:schemeClr w14:val="tx1"/>
            </w14:solidFill>
          </w14:textFill>
        </w:rPr>
        <w:t>响应（投标）</w:t>
      </w:r>
      <w:r>
        <w:rPr>
          <w:rFonts w:ascii="Times New Roman" w:hAnsi="宋体" w:eastAsia="宋体" w:cs="Times New Roman"/>
          <w:color w:val="000000" w:themeColor="text1"/>
          <w:szCs w:val="21"/>
          <w:highlight w:val="none"/>
          <w14:textFill>
            <w14:solidFill>
              <w14:schemeClr w14:val="tx1"/>
            </w14:solidFill>
          </w14:textFill>
        </w:rPr>
        <w:t>函及其附录（如有）；</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1CEDACAA">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3</w:t>
      </w:r>
      <w:r>
        <w:rPr>
          <w:rFonts w:ascii="Times New Roman" w:hAnsi="宋体" w:eastAsia="宋体" w:cs="Times New Roman"/>
          <w:color w:val="000000" w:themeColor="text1"/>
          <w:szCs w:val="21"/>
          <w:highlight w:val="none"/>
          <w14:textFill>
            <w14:solidFill>
              <w14:schemeClr w14:val="tx1"/>
            </w14:solidFill>
          </w14:textFill>
        </w:rPr>
        <w:t>）专用合同条款及其附件；</w:t>
      </w:r>
    </w:p>
    <w:p w14:paraId="39169970">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4</w:t>
      </w:r>
      <w:r>
        <w:rPr>
          <w:rFonts w:ascii="Times New Roman" w:hAnsi="宋体" w:eastAsia="宋体" w:cs="Times New Roman"/>
          <w:color w:val="000000" w:themeColor="text1"/>
          <w:szCs w:val="21"/>
          <w:highlight w:val="none"/>
          <w14:textFill>
            <w14:solidFill>
              <w14:schemeClr w14:val="tx1"/>
            </w14:solidFill>
          </w14:textFill>
        </w:rPr>
        <w:t>）通用合同条款；</w:t>
      </w:r>
    </w:p>
    <w:p w14:paraId="1D841199">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5</w:t>
      </w:r>
      <w:r>
        <w:rPr>
          <w:rFonts w:ascii="Times New Roman" w:hAnsi="宋体" w:eastAsia="宋体" w:cs="Times New Roman"/>
          <w:color w:val="000000" w:themeColor="text1"/>
          <w:szCs w:val="21"/>
          <w:highlight w:val="none"/>
          <w14:textFill>
            <w14:solidFill>
              <w14:schemeClr w14:val="tx1"/>
            </w14:solidFill>
          </w14:textFill>
        </w:rPr>
        <w:t>）技术标准和要求；</w:t>
      </w:r>
    </w:p>
    <w:p w14:paraId="1231EF26">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6</w:t>
      </w:r>
      <w:r>
        <w:rPr>
          <w:rFonts w:ascii="Times New Roman" w:hAnsi="宋体" w:eastAsia="宋体" w:cs="Times New Roman"/>
          <w:color w:val="000000" w:themeColor="text1"/>
          <w:szCs w:val="21"/>
          <w:highlight w:val="none"/>
          <w14:textFill>
            <w14:solidFill>
              <w14:schemeClr w14:val="tx1"/>
            </w14:solidFill>
          </w14:textFill>
        </w:rPr>
        <w:t>）已标价工程量清单或预算书；</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7993A9D0">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7</w:t>
      </w:r>
      <w:r>
        <w:rPr>
          <w:rFonts w:ascii="Times New Roman" w:hAnsi="宋体" w:eastAsia="宋体" w:cs="Times New Roman"/>
          <w:color w:val="000000" w:themeColor="text1"/>
          <w:szCs w:val="21"/>
          <w:highlight w:val="none"/>
          <w14:textFill>
            <w14:solidFill>
              <w14:schemeClr w14:val="tx1"/>
            </w14:solidFill>
          </w14:textFill>
        </w:rPr>
        <w:t>）图纸；</w:t>
      </w:r>
    </w:p>
    <w:p w14:paraId="47BB16A9">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8</w:t>
      </w:r>
      <w:r>
        <w:rPr>
          <w:rFonts w:ascii="Times New Roman" w:hAnsi="宋体" w:eastAsia="宋体" w:cs="Times New Roman"/>
          <w:color w:val="000000" w:themeColor="text1"/>
          <w:szCs w:val="21"/>
          <w:highlight w:val="none"/>
          <w14:textFill>
            <w14:solidFill>
              <w14:schemeClr w14:val="tx1"/>
            </w14:solidFill>
          </w14:textFill>
        </w:rPr>
        <w:t>）其他合同文件。</w:t>
      </w:r>
    </w:p>
    <w:p w14:paraId="08D6BFAE">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在合同订立及履行过程中形成的与合同有关的文件均构成合同文件组成部分。</w:t>
      </w:r>
    </w:p>
    <w:p w14:paraId="79881A94">
      <w:pPr>
        <w:autoSpaceDE w:val="0"/>
        <w:autoSpaceDN w:val="0"/>
        <w:adjustRightInd w:val="0"/>
        <w:spacing w:line="360" w:lineRule="auto"/>
        <w:ind w:firstLine="420" w:firstLineChars="200"/>
        <w:jc w:val="left"/>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14:paraId="1CF48C43">
      <w:pPr>
        <w:autoSpaceDE w:val="0"/>
        <w:autoSpaceDN w:val="0"/>
        <w:adjustRightInd w:val="0"/>
        <w:spacing w:line="360" w:lineRule="auto"/>
        <w:ind w:firstLine="422" w:firstLineChars="200"/>
        <w:jc w:val="left"/>
        <w:rPr>
          <w:rFonts w:ascii="Times New Roman" w:hAnsi="Times New Roman" w:eastAsia="宋体" w:cs="Times New Roman"/>
          <w:b/>
          <w:bCs/>
          <w:color w:val="000000" w:themeColor="text1"/>
          <w:szCs w:val="21"/>
          <w:highlight w:val="none"/>
          <w14:textFill>
            <w14:solidFill>
              <w14:schemeClr w14:val="tx1"/>
            </w14:solidFill>
          </w14:textFill>
        </w:rPr>
      </w:pPr>
      <w:bookmarkStart w:id="90" w:name="_Toc351203487"/>
      <w:r>
        <w:rPr>
          <w:rFonts w:ascii="Times New Roman" w:hAnsi="宋体" w:eastAsia="宋体" w:cs="Times New Roman"/>
          <w:b/>
          <w:bCs/>
          <w:color w:val="000000" w:themeColor="text1"/>
          <w:szCs w:val="21"/>
          <w:highlight w:val="none"/>
          <w14:textFill>
            <w14:solidFill>
              <w14:schemeClr w14:val="tx1"/>
            </w14:solidFill>
          </w14:textFill>
        </w:rPr>
        <w:t>七、承诺</w:t>
      </w:r>
      <w:bookmarkEnd w:id="90"/>
    </w:p>
    <w:p w14:paraId="29CB743D">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1.</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发包人承诺按照法律规定履行项目审批手续、筹集工程建设资金并按照合同约定的期限和方式支付合同价款。</w:t>
      </w:r>
    </w:p>
    <w:p w14:paraId="5C3154C9">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2.</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0AF84743">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3.</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发包人和承包人通过招投标形式签订合同的，双方理解并承诺不再就同一工程另行签订与合同实质性内容相背离的协议。</w:t>
      </w:r>
      <w:bookmarkStart w:id="91" w:name="_Toc351203488"/>
    </w:p>
    <w:p w14:paraId="48396C3D">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八、词语含义</w:t>
      </w:r>
      <w:bookmarkEnd w:id="91"/>
    </w:p>
    <w:p w14:paraId="68EE29E5">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本协议书中词语含义与第二部分通用合同条款中赋予的含义相同。</w:t>
      </w:r>
    </w:p>
    <w:p w14:paraId="7CF2A641">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2" w:name="_Toc351203489"/>
      <w:r>
        <w:rPr>
          <w:rFonts w:ascii="Times New Roman" w:hAnsi="宋体" w:eastAsia="宋体" w:cs="Times New Roman"/>
          <w:b/>
          <w:bCs/>
          <w:color w:val="000000" w:themeColor="text1"/>
          <w:szCs w:val="21"/>
          <w:highlight w:val="none"/>
          <w14:textFill>
            <w14:solidFill>
              <w14:schemeClr w14:val="tx1"/>
            </w14:solidFill>
          </w14:textFill>
        </w:rPr>
        <w:t>九、签订时间</w:t>
      </w:r>
      <w:bookmarkEnd w:id="92"/>
    </w:p>
    <w:p w14:paraId="63BB2EA9">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本合同于</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年</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月</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日签订。</w:t>
      </w:r>
    </w:p>
    <w:p w14:paraId="32316027">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3" w:name="_Toc351203490"/>
      <w:r>
        <w:rPr>
          <w:rFonts w:ascii="Times New Roman" w:hAnsi="宋体" w:eastAsia="宋体" w:cs="Times New Roman"/>
          <w:b/>
          <w:bCs/>
          <w:color w:val="000000" w:themeColor="text1"/>
          <w:szCs w:val="21"/>
          <w:highlight w:val="none"/>
          <w14:textFill>
            <w14:solidFill>
              <w14:schemeClr w14:val="tx1"/>
            </w14:solidFill>
          </w14:textFill>
        </w:rPr>
        <w:t>十、签订地点</w:t>
      </w:r>
      <w:bookmarkEnd w:id="93"/>
    </w:p>
    <w:p w14:paraId="25FAE07E">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本合同在</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签订。</w:t>
      </w:r>
    </w:p>
    <w:p w14:paraId="233B6446">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4" w:name="_Toc351203491"/>
      <w:r>
        <w:rPr>
          <w:rFonts w:ascii="Times New Roman" w:hAnsi="宋体" w:eastAsia="宋体" w:cs="Times New Roman"/>
          <w:b/>
          <w:bCs/>
          <w:color w:val="000000" w:themeColor="text1"/>
          <w:szCs w:val="21"/>
          <w:highlight w:val="none"/>
          <w14:textFill>
            <w14:solidFill>
              <w14:schemeClr w14:val="tx1"/>
            </w14:solidFill>
          </w14:textFill>
        </w:rPr>
        <w:t>十一、补充协议</w:t>
      </w:r>
      <w:bookmarkEnd w:id="94"/>
    </w:p>
    <w:p w14:paraId="4D93477D">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合同未尽事宜，合同当事人另行签订补充协议，补充协议是合同的组成部分。</w:t>
      </w:r>
    </w:p>
    <w:p w14:paraId="69F17F92">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5" w:name="_Toc351203492"/>
      <w:r>
        <w:rPr>
          <w:rFonts w:ascii="Times New Roman" w:hAnsi="宋体" w:eastAsia="宋体" w:cs="Times New Roman"/>
          <w:b/>
          <w:bCs/>
          <w:color w:val="000000" w:themeColor="text1"/>
          <w:szCs w:val="21"/>
          <w:highlight w:val="none"/>
          <w14:textFill>
            <w14:solidFill>
              <w14:schemeClr w14:val="tx1"/>
            </w14:solidFill>
          </w14:textFill>
        </w:rPr>
        <w:t>十二、合同生效</w:t>
      </w:r>
      <w:bookmarkEnd w:id="95"/>
    </w:p>
    <w:p w14:paraId="0D6D65E7">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本合同自</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生效。</w:t>
      </w:r>
    </w:p>
    <w:p w14:paraId="58D2EC25">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6" w:name="_Toc351203493"/>
      <w:r>
        <w:rPr>
          <w:rFonts w:ascii="Times New Roman" w:hAnsi="宋体" w:eastAsia="宋体" w:cs="Times New Roman"/>
          <w:b/>
          <w:bCs/>
          <w:color w:val="000000" w:themeColor="text1"/>
          <w:szCs w:val="21"/>
          <w:highlight w:val="none"/>
          <w14:textFill>
            <w14:solidFill>
              <w14:schemeClr w14:val="tx1"/>
            </w14:solidFill>
          </w14:textFill>
        </w:rPr>
        <w:t>十三、合同份数</w:t>
      </w:r>
      <w:bookmarkEnd w:id="96"/>
    </w:p>
    <w:p w14:paraId="17434715">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本合同一式</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份，均具有同等法律效力，发包人执</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份，承包人执</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w:t>
      </w:r>
    </w:p>
    <w:p w14:paraId="0365DAE1">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发包人：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公章</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承包人：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公章</w:t>
      </w:r>
      <w:r>
        <w:rPr>
          <w:rFonts w:hint="eastAsia" w:ascii="Times New Roman" w:hAnsi="Times New Roman" w:eastAsia="宋体" w:cs="Times New Roman"/>
          <w:color w:val="000000" w:themeColor="text1"/>
          <w:szCs w:val="21"/>
          <w:highlight w:val="none"/>
          <w14:textFill>
            <w14:solidFill>
              <w14:schemeClr w14:val="tx1"/>
            </w14:solidFill>
          </w14:textFill>
        </w:rPr>
        <w:t>）</w:t>
      </w:r>
    </w:p>
    <w:p w14:paraId="020451F0">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05B3A835">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法定代表人或其委托代理人：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法定代表人或其委托代理人：</w:t>
      </w:r>
    </w:p>
    <w:p w14:paraId="0E706AED">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（签字）</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（签字）</w:t>
      </w:r>
    </w:p>
    <w:p w14:paraId="2118A5C3">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p>
    <w:p w14:paraId="655B2161">
      <w:pPr>
        <w:tabs>
          <w:tab w:val="left" w:pos="4410"/>
        </w:tabs>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组织机构代码：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组织机构代码：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4E0E1416">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地</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址：</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地</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址：</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158E18A8">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邮政编码：</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邮政编码：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156AFFCD">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法定代表人：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法定代表人：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74C726D0">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委托代理人：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委托代理人：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69300BD1">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电</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话：</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电</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话：</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4625ACB5">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传</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传</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30056309">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电子信箱：</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电子信箱：</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439DABE4">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开户银行：</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开户银行：</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3335832A">
      <w:pPr>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账</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账</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bookmarkEnd w:id="83"/>
    <w:p w14:paraId="4E4B827C">
      <w:pPr>
        <w:spacing w:line="420" w:lineRule="exact"/>
        <w:rPr>
          <w:rFonts w:ascii="宋体" w:hAnsi="宋体" w:eastAsia="宋体" w:cs="宋体"/>
          <w:color w:val="000000" w:themeColor="text1"/>
          <w:highlight w:val="none"/>
          <w14:textFill>
            <w14:solidFill>
              <w14:schemeClr w14:val="tx1"/>
            </w14:solidFill>
          </w14:textFill>
        </w:rPr>
      </w:pPr>
    </w:p>
    <w:p w14:paraId="45786861">
      <w:pPr>
        <w:rPr>
          <w:rFonts w:ascii="Times New Roman" w:hAnsi="Times New Roman" w:eastAsia="宋体" w:cs="Times New Roman"/>
          <w:color w:val="000000" w:themeColor="text1"/>
          <w:highlight w:val="none"/>
          <w14:textFill>
            <w14:solidFill>
              <w14:schemeClr w14:val="tx1"/>
            </w14:solidFill>
          </w14:textFill>
        </w:rPr>
      </w:pPr>
      <w:bookmarkStart w:id="97" w:name="_Toc533863305"/>
      <w:bookmarkStart w:id="98" w:name="_Toc351203494"/>
    </w:p>
    <w:p w14:paraId="017FF377">
      <w:pPr>
        <w:rPr>
          <w:rFonts w:ascii="Times New Roman" w:hAnsi="Times New Roman" w:eastAsia="宋体" w:cs="Times New Roman"/>
          <w:color w:val="000000" w:themeColor="text1"/>
          <w:highlight w:val="none"/>
          <w14:textFill>
            <w14:solidFill>
              <w14:schemeClr w14:val="tx1"/>
            </w14:solidFill>
          </w14:textFill>
        </w:rPr>
      </w:pPr>
    </w:p>
    <w:p w14:paraId="2E025450">
      <w:pPr>
        <w:rPr>
          <w:rFonts w:ascii="Times New Roman" w:hAnsi="Times New Roman" w:eastAsia="宋体" w:cs="Times New Roman"/>
          <w:color w:val="000000" w:themeColor="text1"/>
          <w:highlight w:val="none"/>
          <w14:textFill>
            <w14:solidFill>
              <w14:schemeClr w14:val="tx1"/>
            </w14:solidFill>
          </w14:textFill>
        </w:rPr>
      </w:pPr>
    </w:p>
    <w:p w14:paraId="38D05B5C">
      <w:pPr>
        <w:rPr>
          <w:rFonts w:ascii="宋体" w:hAnsi="宋体" w:eastAsia="宋体" w:cs="宋体"/>
          <w:color w:val="000000" w:themeColor="text1"/>
          <w:highlight w:val="none"/>
          <w14:textFill>
            <w14:solidFill>
              <w14:schemeClr w14:val="tx1"/>
            </w14:solidFill>
          </w14:textFill>
        </w:rPr>
      </w:pPr>
    </w:p>
    <w:p w14:paraId="2071DB65">
      <w:pPr>
        <w:rPr>
          <w:rFonts w:ascii="宋体" w:hAnsi="宋体" w:eastAsia="宋体" w:cs="宋体"/>
          <w:color w:val="000000" w:themeColor="text1"/>
          <w:highlight w:val="none"/>
          <w14:textFill>
            <w14:solidFill>
              <w14:schemeClr w14:val="tx1"/>
            </w14:solidFill>
          </w14:textFill>
        </w:rPr>
      </w:pPr>
    </w:p>
    <w:p w14:paraId="5D22AD0F">
      <w:pPr>
        <w:rPr>
          <w:rFonts w:ascii="宋体" w:hAnsi="宋体" w:eastAsia="宋体" w:cs="宋体"/>
          <w:color w:val="000000" w:themeColor="text1"/>
          <w:highlight w:val="none"/>
          <w14:textFill>
            <w14:solidFill>
              <w14:schemeClr w14:val="tx1"/>
            </w14:solidFill>
          </w14:textFill>
        </w:rPr>
      </w:pPr>
    </w:p>
    <w:p w14:paraId="6904252D">
      <w:pPr>
        <w:rPr>
          <w:rFonts w:ascii="宋体" w:hAnsi="宋体" w:eastAsia="宋体" w:cs="宋体"/>
          <w:color w:val="000000" w:themeColor="text1"/>
          <w:highlight w:val="none"/>
          <w14:textFill>
            <w14:solidFill>
              <w14:schemeClr w14:val="tx1"/>
            </w14:solidFill>
          </w14:textFill>
        </w:rPr>
      </w:pPr>
    </w:p>
    <w:p w14:paraId="6081106F">
      <w:pPr>
        <w:rPr>
          <w:rFonts w:ascii="宋体" w:hAnsi="宋体" w:eastAsia="宋体" w:cs="宋体"/>
          <w:color w:val="000000" w:themeColor="text1"/>
          <w:highlight w:val="none"/>
          <w14:textFill>
            <w14:solidFill>
              <w14:schemeClr w14:val="tx1"/>
            </w14:solidFill>
          </w14:textFill>
        </w:rPr>
      </w:pPr>
    </w:p>
    <w:p w14:paraId="5CA4EDAA">
      <w:pPr>
        <w:rPr>
          <w:rFonts w:ascii="宋体" w:hAnsi="宋体" w:eastAsia="宋体" w:cs="宋体"/>
          <w:color w:val="000000" w:themeColor="text1"/>
          <w:highlight w:val="none"/>
          <w14:textFill>
            <w14:solidFill>
              <w14:schemeClr w14:val="tx1"/>
            </w14:solidFill>
          </w14:textFill>
        </w:rPr>
      </w:pPr>
    </w:p>
    <w:p w14:paraId="204C6032">
      <w:pP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br w:type="textWrapping"/>
      </w:r>
    </w:p>
    <w:p w14:paraId="34A93369">
      <w:pP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br w:type="page"/>
      </w:r>
    </w:p>
    <w:p w14:paraId="191151FD">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bookmarkStart w:id="99" w:name="_Toc3209"/>
      <w:bookmarkStart w:id="100" w:name="_Toc31012"/>
      <w:bookmarkStart w:id="101" w:name="_Toc8790"/>
      <w:r>
        <w:rPr>
          <w:rFonts w:hint="eastAsia" w:ascii="宋体" w:hAnsi="宋体" w:eastAsia="宋体" w:cs="宋体"/>
          <w:b/>
          <w:bCs/>
          <w:color w:val="000000" w:themeColor="text1"/>
          <w:kern w:val="44"/>
          <w:sz w:val="32"/>
          <w:szCs w:val="32"/>
          <w:highlight w:val="none"/>
          <w14:textFill>
            <w14:solidFill>
              <w14:schemeClr w14:val="tx1"/>
            </w14:solidFill>
          </w14:textFill>
        </w:rPr>
        <w:t>第二部分 通用合同条款</w:t>
      </w:r>
      <w:bookmarkEnd w:id="97"/>
      <w:bookmarkEnd w:id="98"/>
      <w:bookmarkEnd w:id="99"/>
      <w:bookmarkEnd w:id="100"/>
      <w:bookmarkEnd w:id="101"/>
      <w:bookmarkStart w:id="102" w:name="_Toc337558727"/>
    </w:p>
    <w:p w14:paraId="32C953E3">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103" w:name="_Toc9858"/>
      <w:bookmarkStart w:id="104" w:name="_Toc351203495"/>
      <w:bookmarkStart w:id="105" w:name="_Toc533863306"/>
      <w:r>
        <w:rPr>
          <w:rFonts w:ascii="宋体" w:hAnsi="宋体" w:eastAsia="宋体" w:cs="宋体"/>
          <w:bCs/>
          <w:color w:val="000000" w:themeColor="text1"/>
          <w:szCs w:val="21"/>
          <w:highlight w:val="none"/>
          <w14:textFill>
            <w14:solidFill>
              <w14:schemeClr w14:val="tx1"/>
            </w14:solidFill>
          </w14:textFill>
        </w:rPr>
        <w:t>1.</w:t>
      </w:r>
      <w:bookmarkStart w:id="106" w:name="_Toc303538976"/>
      <w:bookmarkEnd w:id="106"/>
      <w:bookmarkStart w:id="107" w:name="_Toc303538975"/>
      <w:bookmarkEnd w:id="107"/>
      <w:bookmarkStart w:id="108" w:name="_Toc303538974"/>
      <w:bookmarkEnd w:id="108"/>
      <w:bookmarkStart w:id="109" w:name="_Toc303538973"/>
      <w:bookmarkEnd w:id="109"/>
      <w:bookmarkStart w:id="110" w:name="_Toc303538972"/>
      <w:bookmarkEnd w:id="110"/>
      <w:bookmarkStart w:id="111" w:name="_Toc296503027"/>
      <w:bookmarkStart w:id="112" w:name="_Toc296346528"/>
      <w:r>
        <w:rPr>
          <w:rFonts w:ascii="宋体" w:hAnsi="宋体" w:eastAsia="宋体" w:cs="宋体"/>
          <w:bCs/>
          <w:color w:val="000000" w:themeColor="text1"/>
          <w:szCs w:val="21"/>
          <w:highlight w:val="non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一般约定</w:t>
      </w:r>
      <w:bookmarkEnd w:id="103"/>
      <w:bookmarkEnd w:id="104"/>
      <w:bookmarkEnd w:id="105"/>
      <w:bookmarkEnd w:id="111"/>
      <w:bookmarkEnd w:id="112"/>
    </w:p>
    <w:p w14:paraId="691D9D5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13" w:name="_Toc296503028"/>
      <w:bookmarkStart w:id="114" w:name="_Toc296346529"/>
      <w:bookmarkStart w:id="115" w:name="_Toc337558728"/>
      <w:bookmarkStart w:id="116" w:name="_Toc533863307"/>
      <w:bookmarkStart w:id="117" w:name="_Toc351203496"/>
      <w:r>
        <w:rPr>
          <w:rFonts w:ascii="宋体" w:hAnsi="宋体" w:eastAsia="宋体" w:cs="宋体"/>
          <w:bCs/>
          <w:color w:val="000000" w:themeColor="text1"/>
          <w:kern w:val="0"/>
          <w:szCs w:val="21"/>
          <w:highlight w:val="none"/>
          <w14:textFill>
            <w14:solidFill>
              <w14:schemeClr w14:val="tx1"/>
            </w14:solidFill>
          </w14:textFill>
        </w:rPr>
        <w:t>1.1词语定义</w:t>
      </w:r>
      <w:bookmarkEnd w:id="113"/>
      <w:bookmarkEnd w:id="114"/>
      <w:bookmarkEnd w:id="115"/>
      <w:r>
        <w:rPr>
          <w:rFonts w:ascii="宋体" w:hAnsi="宋体" w:eastAsia="宋体" w:cs="宋体"/>
          <w:bCs/>
          <w:color w:val="000000" w:themeColor="text1"/>
          <w:kern w:val="0"/>
          <w:szCs w:val="21"/>
          <w:highlight w:val="none"/>
          <w14:textFill>
            <w14:solidFill>
              <w14:schemeClr w14:val="tx1"/>
            </w14:solidFill>
          </w14:textFill>
        </w:rPr>
        <w:t>与解释</w:t>
      </w:r>
      <w:bookmarkEnd w:id="116"/>
      <w:bookmarkEnd w:id="117"/>
    </w:p>
    <w:p w14:paraId="3745D63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合同协议书、通用合同条款、专用合同条款中的下列词语具有本款所赋予的含义：</w:t>
      </w:r>
    </w:p>
    <w:p w14:paraId="53C5AAC6">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    1.1.1 </w:t>
      </w:r>
      <w:r>
        <w:rPr>
          <w:rFonts w:hint="eastAsia" w:ascii="宋体" w:hAnsi="宋体" w:eastAsia="宋体" w:cs="宋体"/>
          <w:color w:val="000000" w:themeColor="text1"/>
          <w:kern w:val="0"/>
          <w:szCs w:val="21"/>
          <w:highlight w:val="none"/>
          <w14:textFill>
            <w14:solidFill>
              <w14:schemeClr w14:val="tx1"/>
            </w14:solidFill>
          </w14:textFill>
        </w:rPr>
        <w:t>合同</w:t>
      </w:r>
    </w:p>
    <w:p w14:paraId="6A6FC4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 </w:t>
      </w:r>
      <w:r>
        <w:rPr>
          <w:rFonts w:hint="eastAsia" w:ascii="宋体" w:hAnsi="宋体" w:eastAsia="宋体" w:cs="宋体"/>
          <w:color w:val="000000" w:themeColor="text1"/>
          <w:kern w:val="0"/>
          <w:szCs w:val="21"/>
          <w:highlight w:val="none"/>
          <w14:textFill>
            <w14:solidFill>
              <w14:schemeClr w14:val="tx1"/>
            </w14:solidFill>
          </w14:textFill>
        </w:rPr>
        <w:t>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000000" w:themeColor="text1"/>
          <w:szCs w:val="21"/>
          <w:highlight w:val="none"/>
          <w14:textFill>
            <w14:solidFill>
              <w14:schemeClr w14:val="tx1"/>
            </w14:solidFill>
          </w14:textFill>
        </w:rPr>
        <w:t>及其附件</w:t>
      </w:r>
      <w:r>
        <w:rPr>
          <w:rFonts w:hint="eastAsia" w:ascii="宋体" w:hAnsi="宋体" w:eastAsia="宋体" w:cs="宋体"/>
          <w:color w:val="000000" w:themeColor="text1"/>
          <w:kern w:val="0"/>
          <w:szCs w:val="21"/>
          <w:highlight w:val="none"/>
          <w14:textFill>
            <w14:solidFill>
              <w14:schemeClr w14:val="tx1"/>
            </w14:solidFill>
          </w14:textFill>
        </w:rPr>
        <w:t>、通用合同条款、技术标准和要求、图纸、已标价工程量清单或预算书以及其他合同文件。</w:t>
      </w:r>
    </w:p>
    <w:p w14:paraId="23C0381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1.1.1.2 </w:t>
      </w:r>
      <w:r>
        <w:rPr>
          <w:rFonts w:hint="eastAsia" w:ascii="宋体" w:hAnsi="宋体" w:eastAsia="宋体" w:cs="宋体"/>
          <w:color w:val="000000" w:themeColor="text1"/>
          <w:kern w:val="0"/>
          <w:szCs w:val="21"/>
          <w:highlight w:val="none"/>
          <w14:textFill>
            <w14:solidFill>
              <w14:schemeClr w14:val="tx1"/>
            </w14:solidFill>
          </w14:textFill>
        </w:rPr>
        <w:t>合同协议书：是指构成合同的由发包人和承包人共同签署的称为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合同协议书</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的书面文件。</w:t>
      </w:r>
    </w:p>
    <w:p w14:paraId="1B8143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1.1.1.3 </w:t>
      </w:r>
      <w:r>
        <w:rPr>
          <w:rFonts w:hint="eastAsia" w:ascii="宋体" w:hAnsi="宋体" w:eastAsia="宋体" w:cs="宋体"/>
          <w:color w:val="000000" w:themeColor="text1"/>
          <w:kern w:val="0"/>
          <w:szCs w:val="21"/>
          <w:highlight w:val="none"/>
          <w14:textFill>
            <w14:solidFill>
              <w14:schemeClr w14:val="tx1"/>
            </w14:solidFill>
          </w14:textFill>
        </w:rPr>
        <w:t>中标通知书：是指构成合同的由发包人通知承包人中标的书面文件。</w:t>
      </w:r>
    </w:p>
    <w:p w14:paraId="02DE49F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1.1.1.4 </w:t>
      </w:r>
      <w:r>
        <w:rPr>
          <w:rFonts w:hint="eastAsia" w:ascii="宋体" w:hAnsi="宋体" w:eastAsia="宋体" w:cs="宋体"/>
          <w:color w:val="000000" w:themeColor="text1"/>
          <w:kern w:val="0"/>
          <w:szCs w:val="21"/>
          <w:highlight w:val="none"/>
          <w14:textFill>
            <w14:solidFill>
              <w14:schemeClr w14:val="tx1"/>
            </w14:solidFill>
          </w14:textFill>
        </w:rPr>
        <w:t>投标函：是指构成合同的由承包人填写并签署的用于投标的称为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投标函</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的文件。</w:t>
      </w:r>
    </w:p>
    <w:p w14:paraId="1258975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1.1.1.5 </w:t>
      </w:r>
      <w:r>
        <w:rPr>
          <w:rFonts w:hint="eastAsia" w:ascii="宋体" w:hAnsi="宋体" w:eastAsia="宋体" w:cs="宋体"/>
          <w:color w:val="000000" w:themeColor="text1"/>
          <w:kern w:val="0"/>
          <w:szCs w:val="21"/>
          <w:highlight w:val="none"/>
          <w14:textFill>
            <w14:solidFill>
              <w14:schemeClr w14:val="tx1"/>
            </w14:solidFill>
          </w14:textFill>
        </w:rPr>
        <w:t>投标函附录：是指构成合同的附在投标函后的称为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投标函附录</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的文件。</w:t>
      </w:r>
    </w:p>
    <w:p w14:paraId="45FD863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1.1.1.6 </w:t>
      </w:r>
      <w:r>
        <w:rPr>
          <w:rFonts w:hint="eastAsia" w:ascii="宋体" w:hAnsi="宋体" w:eastAsia="宋体" w:cs="宋体"/>
          <w:color w:val="000000" w:themeColor="text1"/>
          <w:kern w:val="0"/>
          <w:szCs w:val="21"/>
          <w:highlight w:val="none"/>
          <w14:textFill>
            <w14:solidFill>
              <w14:schemeClr w14:val="tx1"/>
            </w14:solidFill>
          </w14:textFill>
        </w:rPr>
        <w:t>技术标准和要求：是指构成合同的施工应当遵守的或指导施工的国家、行业或地方的技术标准和要求，以及合同约定的技术标准和要求。</w:t>
      </w:r>
    </w:p>
    <w:p w14:paraId="7FB003F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1.1.1.7 </w:t>
      </w:r>
      <w:r>
        <w:rPr>
          <w:rFonts w:hint="eastAsia" w:ascii="宋体" w:hAnsi="宋体" w:eastAsia="宋体" w:cs="宋体"/>
          <w:color w:val="000000" w:themeColor="text1"/>
          <w:kern w:val="0"/>
          <w:szCs w:val="21"/>
          <w:highlight w:val="none"/>
          <w14:textFill>
            <w14:solidFill>
              <w14:schemeClr w14:val="tx1"/>
            </w14:solidFill>
          </w14:textFill>
        </w:rPr>
        <w:t>图纸：是指构成合同的图纸，包括由发包人按照合同约定提供或经发包人批准的设计文件、施工图、鸟瞰图及模型等，以及在合同履行过程中形成的图纸文件。图纸应当按照法律规定审查合格。</w:t>
      </w:r>
    </w:p>
    <w:p w14:paraId="12D8A413">
      <w:pPr>
        <w:autoSpaceDE w:val="0"/>
        <w:autoSpaceDN w:val="0"/>
        <w:adjustRightInd w:val="0"/>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1.1.1.8 </w:t>
      </w:r>
      <w:r>
        <w:rPr>
          <w:rFonts w:hint="eastAsia" w:ascii="宋体" w:hAnsi="宋体" w:eastAsia="宋体" w:cs="宋体"/>
          <w:color w:val="000000" w:themeColor="text1"/>
          <w:kern w:val="0"/>
          <w:szCs w:val="21"/>
          <w:highlight w:val="none"/>
          <w14:textFill>
            <w14:solidFill>
              <w14:schemeClr w14:val="tx1"/>
            </w14:solidFill>
          </w14:textFill>
        </w:rPr>
        <w:t>已标价工程量清单：是指构成合同的由承包人按照规定的格式和要求填写并标明价格的工程量清单，包括说明和表格。</w:t>
      </w:r>
    </w:p>
    <w:p w14:paraId="679429A2">
      <w:pPr>
        <w:autoSpaceDE w:val="0"/>
        <w:autoSpaceDN w:val="0"/>
        <w:adjustRightInd w:val="0"/>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1.1.1.9 </w:t>
      </w:r>
      <w:r>
        <w:rPr>
          <w:rFonts w:hint="eastAsia" w:ascii="宋体" w:hAnsi="宋体" w:eastAsia="宋体" w:cs="宋体"/>
          <w:color w:val="000000" w:themeColor="text1"/>
          <w:kern w:val="0"/>
          <w:szCs w:val="21"/>
          <w:highlight w:val="none"/>
          <w14:textFill>
            <w14:solidFill>
              <w14:schemeClr w14:val="tx1"/>
            </w14:solidFill>
          </w14:textFill>
        </w:rPr>
        <w:t>预算书：是指构成合同的由承包人按照发包人规定的格式和要求编制的工程预算文件。</w:t>
      </w:r>
    </w:p>
    <w:p w14:paraId="6EABF7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1.1.1.10 </w:t>
      </w:r>
      <w:r>
        <w:rPr>
          <w:rFonts w:hint="eastAsia" w:ascii="宋体" w:hAnsi="宋体" w:eastAsia="宋体" w:cs="宋体"/>
          <w:color w:val="000000" w:themeColor="text1"/>
          <w:kern w:val="0"/>
          <w:szCs w:val="21"/>
          <w:highlight w:val="none"/>
          <w14:textFill>
            <w14:solidFill>
              <w14:schemeClr w14:val="tx1"/>
            </w14:solidFill>
          </w14:textFill>
        </w:rPr>
        <w:t>其他合同文件：是指经合同当事人约定的与工程施工有关的具有合同约束力的文件或书面协议。合同当事人可以在专用合同条款中进行约定。</w:t>
      </w:r>
    </w:p>
    <w:p w14:paraId="24088A1E">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    1.1.2 </w:t>
      </w:r>
      <w:r>
        <w:rPr>
          <w:rFonts w:hint="eastAsia" w:ascii="宋体" w:hAnsi="宋体" w:eastAsia="宋体" w:cs="宋体"/>
          <w:color w:val="000000" w:themeColor="text1"/>
          <w:kern w:val="0"/>
          <w:szCs w:val="21"/>
          <w:highlight w:val="none"/>
          <w14:textFill>
            <w14:solidFill>
              <w14:schemeClr w14:val="tx1"/>
            </w14:solidFill>
          </w14:textFill>
        </w:rPr>
        <w:t>合同当事人及其他相关方</w:t>
      </w:r>
    </w:p>
    <w:p w14:paraId="0B1720C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1.1.2.1 </w:t>
      </w:r>
      <w:r>
        <w:rPr>
          <w:rFonts w:hint="eastAsia" w:ascii="宋体" w:hAnsi="宋体" w:eastAsia="宋体" w:cs="宋体"/>
          <w:color w:val="000000" w:themeColor="text1"/>
          <w:kern w:val="0"/>
          <w:szCs w:val="21"/>
          <w:highlight w:val="none"/>
          <w14:textFill>
            <w14:solidFill>
              <w14:schemeClr w14:val="tx1"/>
            </w14:solidFill>
          </w14:textFill>
        </w:rPr>
        <w:t>合同当事人：是指发包人和（或）承包人。</w:t>
      </w:r>
    </w:p>
    <w:p w14:paraId="449B8DA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1.1.2.2 </w:t>
      </w:r>
      <w:r>
        <w:rPr>
          <w:rFonts w:hint="eastAsia" w:ascii="宋体" w:hAnsi="宋体" w:eastAsia="宋体" w:cs="宋体"/>
          <w:color w:val="000000" w:themeColor="text1"/>
          <w:kern w:val="0"/>
          <w:szCs w:val="21"/>
          <w:highlight w:val="none"/>
          <w14:textFill>
            <w14:solidFill>
              <w14:schemeClr w14:val="tx1"/>
            </w14:solidFill>
          </w14:textFill>
        </w:rPr>
        <w:t>发包人：是指与承包人签订合同协议书的当事人及取得该当事人资格的合法继承人。</w:t>
      </w:r>
    </w:p>
    <w:p w14:paraId="1068C13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1.1.2.3 </w:t>
      </w:r>
      <w:r>
        <w:rPr>
          <w:rFonts w:hint="eastAsia" w:ascii="宋体" w:hAnsi="宋体" w:eastAsia="宋体" w:cs="宋体"/>
          <w:color w:val="000000" w:themeColor="text1"/>
          <w:kern w:val="0"/>
          <w:szCs w:val="21"/>
          <w:highlight w:val="none"/>
          <w14:textFill>
            <w14:solidFill>
              <w14:schemeClr w14:val="tx1"/>
            </w14:solidFill>
          </w14:textFill>
        </w:rPr>
        <w:t>承包人：是指与发包人签订合同协议书的，具有相应工程施工承包资质的当事人及取得该当事人资格的合法继承人。</w:t>
      </w:r>
    </w:p>
    <w:p w14:paraId="30C53F0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1.1.2.4 </w:t>
      </w:r>
      <w:r>
        <w:rPr>
          <w:rFonts w:hint="eastAsia" w:ascii="宋体" w:hAnsi="宋体" w:eastAsia="宋体" w:cs="宋体"/>
          <w:color w:val="000000" w:themeColor="text1"/>
          <w:kern w:val="0"/>
          <w:szCs w:val="21"/>
          <w:highlight w:val="none"/>
          <w14:textFill>
            <w14:solidFill>
              <w14:schemeClr w14:val="tx1"/>
            </w14:solidFill>
          </w14:textFill>
        </w:rPr>
        <w:t>监理人：是指在专用合同条款中指明的，受发包人委托按照法律规定进行工程监督管理的法人或其他组织。</w:t>
      </w:r>
    </w:p>
    <w:p w14:paraId="0BAD37C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1.1.2.5 </w:t>
      </w:r>
      <w:r>
        <w:rPr>
          <w:rFonts w:hint="eastAsia" w:ascii="宋体" w:hAnsi="宋体" w:eastAsia="宋体" w:cs="宋体"/>
          <w:color w:val="000000" w:themeColor="text1"/>
          <w:kern w:val="0"/>
          <w:szCs w:val="21"/>
          <w:highlight w:val="none"/>
          <w14:textFill>
            <w14:solidFill>
              <w14:schemeClr w14:val="tx1"/>
            </w14:solidFill>
          </w14:textFill>
        </w:rPr>
        <w:t>设计人：是指在专用合同条款中指明的，受发包人委托负责工程设计并具备相应工程设计资质的法人或其他组织。</w:t>
      </w:r>
    </w:p>
    <w:p w14:paraId="71631A17">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1.1.2.6 </w:t>
      </w:r>
      <w:r>
        <w:rPr>
          <w:rFonts w:hint="eastAsia" w:ascii="宋体" w:hAnsi="宋体" w:eastAsia="宋体" w:cs="宋体"/>
          <w:color w:val="000000" w:themeColor="text1"/>
          <w:kern w:val="0"/>
          <w:szCs w:val="21"/>
          <w:highlight w:val="none"/>
          <w14:textFill>
            <w14:solidFill>
              <w14:schemeClr w14:val="tx1"/>
            </w14:solidFill>
          </w14:textFill>
        </w:rPr>
        <w:t>分包人：</w:t>
      </w:r>
      <w:bookmarkStart w:id="118" w:name="#go5"/>
      <w:bookmarkEnd w:id="118"/>
      <w:r>
        <w:rPr>
          <w:rFonts w:hint="eastAsia" w:ascii="宋体" w:hAnsi="宋体" w:eastAsia="宋体" w:cs="宋体"/>
          <w:color w:val="000000" w:themeColor="text1"/>
          <w:kern w:val="0"/>
          <w:szCs w:val="21"/>
          <w:highlight w:val="none"/>
          <w14:textFill>
            <w14:solidFill>
              <w14:schemeClr w14:val="tx1"/>
            </w14:solidFill>
          </w14:textFill>
        </w:rPr>
        <w:t>是指按照法律规定和合同约定，分包部分工程或工作，并与承包人签订分包合同的具有相应资质的法人。</w:t>
      </w:r>
    </w:p>
    <w:p w14:paraId="3538B18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1.1.2.7 </w:t>
      </w:r>
      <w:r>
        <w:rPr>
          <w:rFonts w:hint="eastAsia" w:ascii="宋体" w:hAnsi="宋体" w:eastAsia="宋体" w:cs="宋体"/>
          <w:color w:val="000000" w:themeColor="text1"/>
          <w:kern w:val="0"/>
          <w:szCs w:val="21"/>
          <w:highlight w:val="none"/>
          <w14:textFill>
            <w14:solidFill>
              <w14:schemeClr w14:val="tx1"/>
            </w14:solidFill>
          </w14:textFill>
        </w:rPr>
        <w:t>发包人代表：是指由发包人任命并派驻施工现场在发包人授权范围内行使发包人权利的人。</w:t>
      </w:r>
    </w:p>
    <w:p w14:paraId="52017E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1.1.2.8 </w:t>
      </w:r>
      <w:r>
        <w:rPr>
          <w:rFonts w:hint="eastAsia" w:ascii="宋体" w:hAnsi="宋体" w:eastAsia="宋体" w:cs="宋体"/>
          <w:color w:val="000000" w:themeColor="text1"/>
          <w:kern w:val="0"/>
          <w:szCs w:val="21"/>
          <w:highlight w:val="none"/>
          <w14:textFill>
            <w14:solidFill>
              <w14:schemeClr w14:val="tx1"/>
            </w14:solidFill>
          </w14:textFill>
        </w:rPr>
        <w:t>项目经理：是指由承包人任命并派驻施工现场，在承包人授权范围内负责合同履行，且按照法律规定具有相应资格的项目负责人。</w:t>
      </w:r>
    </w:p>
    <w:p w14:paraId="37A094B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1.1.2.9 </w:t>
      </w:r>
      <w:r>
        <w:rPr>
          <w:rFonts w:hint="eastAsia" w:ascii="宋体" w:hAnsi="宋体" w:eastAsia="宋体" w:cs="宋体"/>
          <w:color w:val="000000" w:themeColor="text1"/>
          <w:kern w:val="0"/>
          <w:szCs w:val="21"/>
          <w:highlight w:val="none"/>
          <w14:textFill>
            <w14:solidFill>
              <w14:schemeClr w14:val="tx1"/>
            </w14:solidFill>
          </w14:textFill>
        </w:rPr>
        <w:t>总监理工程师：是指由监理人任命并派驻施工现场进行工程监理的总负责人。</w:t>
      </w:r>
    </w:p>
    <w:p w14:paraId="5DD4517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 </w:t>
      </w:r>
      <w:r>
        <w:rPr>
          <w:rFonts w:hint="eastAsia" w:ascii="宋体" w:hAnsi="宋体" w:eastAsia="宋体" w:cs="宋体"/>
          <w:color w:val="000000" w:themeColor="text1"/>
          <w:kern w:val="0"/>
          <w:szCs w:val="21"/>
          <w:highlight w:val="none"/>
          <w14:textFill>
            <w14:solidFill>
              <w14:schemeClr w14:val="tx1"/>
            </w14:solidFill>
          </w14:textFill>
        </w:rPr>
        <w:t>工程和设备</w:t>
      </w:r>
    </w:p>
    <w:p w14:paraId="53CABD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1.1.3.1 </w:t>
      </w:r>
      <w:r>
        <w:rPr>
          <w:rFonts w:hint="eastAsia" w:ascii="宋体" w:hAnsi="宋体" w:eastAsia="宋体" w:cs="宋体"/>
          <w:color w:val="000000" w:themeColor="text1"/>
          <w:kern w:val="0"/>
          <w:szCs w:val="21"/>
          <w:highlight w:val="none"/>
          <w14:textFill>
            <w14:solidFill>
              <w14:schemeClr w14:val="tx1"/>
            </w14:solidFill>
          </w14:textFill>
        </w:rPr>
        <w:t>工程：是指与合同协议书中工程承包范围对应的永久工程和（或）临时工程。</w:t>
      </w:r>
    </w:p>
    <w:p w14:paraId="519771D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1.1.3.2 </w:t>
      </w:r>
      <w:r>
        <w:rPr>
          <w:rFonts w:hint="eastAsia" w:ascii="宋体" w:hAnsi="宋体" w:eastAsia="宋体" w:cs="宋体"/>
          <w:color w:val="000000" w:themeColor="text1"/>
          <w:kern w:val="0"/>
          <w:szCs w:val="21"/>
          <w:highlight w:val="none"/>
          <w14:textFill>
            <w14:solidFill>
              <w14:schemeClr w14:val="tx1"/>
            </w14:solidFill>
          </w14:textFill>
        </w:rPr>
        <w:t>永久工程：是指按合同约定建造并移交给发包人的工程，包括工程设备。</w:t>
      </w:r>
    </w:p>
    <w:p w14:paraId="72908A8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1.1.3.3 </w:t>
      </w:r>
      <w:r>
        <w:rPr>
          <w:rFonts w:hint="eastAsia" w:ascii="宋体" w:hAnsi="宋体" w:eastAsia="宋体" w:cs="宋体"/>
          <w:color w:val="000000" w:themeColor="text1"/>
          <w:kern w:val="0"/>
          <w:szCs w:val="21"/>
          <w:highlight w:val="none"/>
          <w14:textFill>
            <w14:solidFill>
              <w14:schemeClr w14:val="tx1"/>
            </w14:solidFill>
          </w14:textFill>
        </w:rPr>
        <w:t>临时工程：是指为完成合同约定的永久工程所修建的各类临时性工程，不包括施工设备。</w:t>
      </w:r>
    </w:p>
    <w:p w14:paraId="29620B5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1.1.3.4 </w:t>
      </w:r>
      <w:r>
        <w:rPr>
          <w:rFonts w:hint="eastAsia" w:ascii="宋体" w:hAnsi="宋体" w:eastAsia="宋体" w:cs="宋体"/>
          <w:color w:val="000000" w:themeColor="text1"/>
          <w:kern w:val="0"/>
          <w:szCs w:val="21"/>
          <w:highlight w:val="none"/>
          <w14:textFill>
            <w14:solidFill>
              <w14:schemeClr w14:val="tx1"/>
            </w14:solidFill>
          </w14:textFill>
        </w:rPr>
        <w:t>单位工程：是指在合同协议书中指明的，具备独立施工条件并能形成独立使用功能的永久工程。</w:t>
      </w:r>
    </w:p>
    <w:p w14:paraId="47D0B7B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1.1.3.5 </w:t>
      </w:r>
      <w:r>
        <w:rPr>
          <w:rFonts w:hint="eastAsia" w:ascii="宋体" w:hAnsi="宋体" w:eastAsia="宋体" w:cs="宋体"/>
          <w:color w:val="000000" w:themeColor="text1"/>
          <w:kern w:val="0"/>
          <w:szCs w:val="21"/>
          <w:highlight w:val="none"/>
          <w14:textFill>
            <w14:solidFill>
              <w14:schemeClr w14:val="tx1"/>
            </w14:solidFill>
          </w14:textFill>
        </w:rPr>
        <w:t>工程设备：是指构成永久工程的机电设备、金属结构设备、仪器及其他类似的设备和装置。</w:t>
      </w:r>
    </w:p>
    <w:p w14:paraId="392682F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1.1.3.6 </w:t>
      </w:r>
      <w:r>
        <w:rPr>
          <w:rFonts w:hint="eastAsia" w:ascii="宋体" w:hAnsi="宋体" w:eastAsia="宋体" w:cs="宋体"/>
          <w:color w:val="000000" w:themeColor="text1"/>
          <w:kern w:val="0"/>
          <w:szCs w:val="21"/>
          <w:highlight w:val="none"/>
          <w14:textFill>
            <w14:solidFill>
              <w14:schemeClr w14:val="tx1"/>
            </w14:solidFill>
          </w14:textFill>
        </w:rPr>
        <w:t>施工设备：是指为完成合同约定的各项工作所需的设备、器具和其他物品，但不包括工程设备、临时工程和材料。</w:t>
      </w:r>
    </w:p>
    <w:p w14:paraId="483099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1.1.3.7 </w:t>
      </w:r>
      <w:r>
        <w:rPr>
          <w:rFonts w:hint="eastAsia" w:ascii="宋体" w:hAnsi="宋体" w:eastAsia="宋体" w:cs="宋体"/>
          <w:color w:val="000000" w:themeColor="text1"/>
          <w:kern w:val="0"/>
          <w:szCs w:val="21"/>
          <w:highlight w:val="none"/>
          <w14:textFill>
            <w14:solidFill>
              <w14:schemeClr w14:val="tx1"/>
            </w14:solidFill>
          </w14:textFill>
        </w:rPr>
        <w:t>施工现场：是指用于工程施工的场所，以及在专用合同条款中指明作为施工场所组成部分的其他场所，包括永久占地和临时占地。</w:t>
      </w:r>
    </w:p>
    <w:p w14:paraId="1564380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1.1.3.8</w:t>
      </w:r>
      <w:r>
        <w:rPr>
          <w:rFonts w:hint="eastAsia" w:ascii="宋体" w:hAnsi="宋体" w:eastAsia="宋体" w:cs="宋体"/>
          <w:color w:val="000000" w:themeColor="text1"/>
          <w:kern w:val="0"/>
          <w:szCs w:val="21"/>
          <w:highlight w:val="none"/>
          <w14:textFill>
            <w14:solidFill>
              <w14:schemeClr w14:val="tx1"/>
            </w14:solidFill>
          </w14:textFill>
        </w:rPr>
        <w:t>临时设施：是指为完成合同约定的各项工作所服务的临时性生产和生活设施。</w:t>
      </w:r>
    </w:p>
    <w:p w14:paraId="7789F2A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1.1.3.9 </w:t>
      </w:r>
      <w:r>
        <w:rPr>
          <w:rFonts w:hint="eastAsia" w:ascii="宋体" w:hAnsi="宋体" w:eastAsia="宋体" w:cs="宋体"/>
          <w:color w:val="000000" w:themeColor="text1"/>
          <w:kern w:val="0"/>
          <w:szCs w:val="21"/>
          <w:highlight w:val="none"/>
          <w14:textFill>
            <w14:solidFill>
              <w14:schemeClr w14:val="tx1"/>
            </w14:solidFill>
          </w14:textFill>
        </w:rPr>
        <w:t>永久占地：是指专用合同条款中指明为实施工程需永久占用的土地。</w:t>
      </w:r>
    </w:p>
    <w:p w14:paraId="5CA5301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1.1.3.10 </w:t>
      </w:r>
      <w:r>
        <w:rPr>
          <w:rFonts w:hint="eastAsia" w:ascii="宋体" w:hAnsi="宋体" w:eastAsia="宋体" w:cs="宋体"/>
          <w:color w:val="000000" w:themeColor="text1"/>
          <w:kern w:val="0"/>
          <w:szCs w:val="21"/>
          <w:highlight w:val="none"/>
          <w14:textFill>
            <w14:solidFill>
              <w14:schemeClr w14:val="tx1"/>
            </w14:solidFill>
          </w14:textFill>
        </w:rPr>
        <w:t>临时占地：是指专用合同条款中指明为实施工程需要临时占用的土地。</w:t>
      </w:r>
    </w:p>
    <w:p w14:paraId="15AE1A6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 </w:t>
      </w:r>
      <w:r>
        <w:rPr>
          <w:rFonts w:hint="eastAsia" w:ascii="宋体" w:hAnsi="宋体" w:eastAsia="宋体" w:cs="宋体"/>
          <w:color w:val="000000" w:themeColor="text1"/>
          <w:kern w:val="0"/>
          <w:szCs w:val="21"/>
          <w:highlight w:val="none"/>
          <w14:textFill>
            <w14:solidFill>
              <w14:schemeClr w14:val="tx1"/>
            </w14:solidFill>
          </w14:textFill>
        </w:rPr>
        <w:t>日期和期限</w:t>
      </w:r>
    </w:p>
    <w:p w14:paraId="302FD47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1.1.4.1 </w:t>
      </w:r>
      <w:r>
        <w:rPr>
          <w:rFonts w:hint="eastAsia" w:ascii="宋体" w:hAnsi="宋体" w:eastAsia="宋体" w:cs="宋体"/>
          <w:color w:val="000000" w:themeColor="text1"/>
          <w:kern w:val="0"/>
          <w:szCs w:val="21"/>
          <w:highlight w:val="none"/>
          <w14:textFill>
            <w14:solidFill>
              <w14:schemeClr w14:val="tx1"/>
            </w14:solidFill>
          </w14:textFill>
        </w:rPr>
        <w:t>开工日期：包括计划开工日期和实际开工日期。计划开工日期是指合同协议书约定的开工日期；实际开工日期是指监理人按照第</w:t>
      </w:r>
      <w:r>
        <w:rPr>
          <w:rFonts w:ascii="宋体" w:hAnsi="宋体" w:eastAsia="宋体" w:cs="宋体"/>
          <w:color w:val="000000" w:themeColor="text1"/>
          <w:kern w:val="0"/>
          <w:szCs w:val="21"/>
          <w:highlight w:val="none"/>
          <w14:textFill>
            <w14:solidFill>
              <w14:schemeClr w14:val="tx1"/>
            </w14:solidFill>
          </w14:textFill>
        </w:rPr>
        <w:t>7.3.2</w:t>
      </w:r>
      <w:r>
        <w:rPr>
          <w:rFonts w:hint="eastAsia" w:ascii="宋体" w:hAnsi="宋体" w:eastAsia="宋体" w:cs="宋体"/>
          <w:color w:val="000000" w:themeColor="text1"/>
          <w:kern w:val="0"/>
          <w:szCs w:val="21"/>
          <w:highlight w:val="none"/>
          <w14:textFill>
            <w14:solidFill>
              <w14:schemeClr w14:val="tx1"/>
            </w14:solidFill>
          </w14:textFill>
        </w:rPr>
        <w:t>项〔开工通知〕约定发出的符合法律规定的开工通知中载明的开工日期。</w:t>
      </w:r>
    </w:p>
    <w:p w14:paraId="4494B3B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1.1.4.2 </w:t>
      </w:r>
      <w:r>
        <w:rPr>
          <w:rFonts w:hint="eastAsia" w:ascii="宋体" w:hAnsi="宋体" w:eastAsia="宋体" w:cs="宋体"/>
          <w:color w:val="000000" w:themeColor="text1"/>
          <w:kern w:val="0"/>
          <w:szCs w:val="21"/>
          <w:highlight w:val="none"/>
          <w14:textFill>
            <w14:solidFill>
              <w14:schemeClr w14:val="tx1"/>
            </w14:solidFill>
          </w14:textFill>
        </w:rPr>
        <w:t>竣工日期：包括计划竣工日期和实际竣工日期。计划竣工日期是指合同协议书约定的竣工日期；实际竣工日期按照第</w:t>
      </w:r>
      <w:r>
        <w:rPr>
          <w:rFonts w:ascii="宋体" w:hAnsi="宋体" w:eastAsia="宋体" w:cs="宋体"/>
          <w:color w:val="000000" w:themeColor="text1"/>
          <w:kern w:val="0"/>
          <w:szCs w:val="21"/>
          <w:highlight w:val="none"/>
          <w14:textFill>
            <w14:solidFill>
              <w14:schemeClr w14:val="tx1"/>
            </w14:solidFill>
          </w14:textFill>
        </w:rPr>
        <w:t>13.2.3</w:t>
      </w:r>
      <w:r>
        <w:rPr>
          <w:rFonts w:hint="eastAsia" w:ascii="宋体" w:hAnsi="宋体" w:eastAsia="宋体" w:cs="宋体"/>
          <w:color w:val="000000" w:themeColor="text1"/>
          <w:kern w:val="0"/>
          <w:szCs w:val="21"/>
          <w:highlight w:val="none"/>
          <w14:textFill>
            <w14:solidFill>
              <w14:schemeClr w14:val="tx1"/>
            </w14:solidFill>
          </w14:textFill>
        </w:rPr>
        <w:t>项〔竣工日期〕的约定确定。</w:t>
      </w:r>
      <w:r>
        <w:rPr>
          <w:rFonts w:ascii="宋体" w:hAnsi="宋体" w:eastAsia="宋体" w:cs="宋体"/>
          <w:color w:val="000000" w:themeColor="text1"/>
          <w:kern w:val="0"/>
          <w:szCs w:val="21"/>
          <w:highlight w:val="none"/>
          <w14:textFill>
            <w14:solidFill>
              <w14:schemeClr w14:val="tx1"/>
            </w14:solidFill>
          </w14:textFill>
        </w:rPr>
        <w:t xml:space="preserve"> </w:t>
      </w:r>
    </w:p>
    <w:p w14:paraId="38BE8017">
      <w:pPr>
        <w:spacing w:line="360" w:lineRule="auto"/>
        <w:ind w:firstLine="426" w:firstLineChars="203"/>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1.1.4.3 </w:t>
      </w:r>
      <w:r>
        <w:rPr>
          <w:rFonts w:hint="eastAsia" w:ascii="宋体" w:hAnsi="宋体" w:eastAsia="宋体" w:cs="宋体"/>
          <w:color w:val="000000" w:themeColor="text1"/>
          <w:kern w:val="0"/>
          <w:szCs w:val="21"/>
          <w:highlight w:val="none"/>
          <w14:textFill>
            <w14:solidFill>
              <w14:schemeClr w14:val="tx1"/>
            </w14:solidFill>
          </w14:textFill>
        </w:rPr>
        <w:t>工期：是指在合同协议书约定的承包人完成工程所需的期限，包括按照合同约定所作的期限变更。</w:t>
      </w:r>
    </w:p>
    <w:p w14:paraId="3E98B3B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1.1.4.4 </w:t>
      </w:r>
      <w:r>
        <w:rPr>
          <w:rFonts w:hint="eastAsia" w:ascii="宋体" w:hAnsi="宋体" w:eastAsia="宋体" w:cs="宋体"/>
          <w:color w:val="000000" w:themeColor="text1"/>
          <w:kern w:val="0"/>
          <w:szCs w:val="21"/>
          <w:highlight w:val="none"/>
          <w14:textFill>
            <w14:solidFill>
              <w14:schemeClr w14:val="tx1"/>
            </w14:solidFill>
          </w14:textFill>
        </w:rPr>
        <w:t>缺陷责任期：是指承包人按照合同约定承担缺陷修复义务，且发包人预留质量保证金（已缴纳履约保证金的除外）的期限，自工程实际竣工日期起计算。</w:t>
      </w:r>
    </w:p>
    <w:p w14:paraId="7416747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1.1.4.5 </w:t>
      </w:r>
      <w:r>
        <w:rPr>
          <w:rFonts w:hint="eastAsia" w:ascii="宋体" w:hAnsi="宋体" w:eastAsia="宋体" w:cs="宋体"/>
          <w:color w:val="000000" w:themeColor="text1"/>
          <w:kern w:val="0"/>
          <w:szCs w:val="21"/>
          <w:highlight w:val="none"/>
          <w14:textFill>
            <w14:solidFill>
              <w14:schemeClr w14:val="tx1"/>
            </w14:solidFill>
          </w14:textFill>
        </w:rPr>
        <w:t>保修期：是指承包人按照合同约定对工程承担保修责任的期限，从工程竣工验收合格之日起计算。</w:t>
      </w:r>
    </w:p>
    <w:p w14:paraId="1DD2999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1.1.4.6 </w:t>
      </w:r>
      <w:r>
        <w:rPr>
          <w:rFonts w:hint="eastAsia" w:ascii="宋体" w:hAnsi="宋体" w:eastAsia="宋体" w:cs="宋体"/>
          <w:color w:val="000000" w:themeColor="text1"/>
          <w:kern w:val="0"/>
          <w:szCs w:val="21"/>
          <w:highlight w:val="none"/>
          <w14:textFill>
            <w14:solidFill>
              <w14:schemeClr w14:val="tx1"/>
            </w14:solidFill>
          </w14:textFill>
        </w:rPr>
        <w:t>基准日期：招标发包的工程以投标截止日前</w:t>
      </w:r>
      <w:r>
        <w:rPr>
          <w:rFonts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kern w:val="0"/>
          <w:szCs w:val="21"/>
          <w:highlight w:val="none"/>
          <w14:textFill>
            <w14:solidFill>
              <w14:schemeClr w14:val="tx1"/>
            </w14:solidFill>
          </w14:textFill>
        </w:rPr>
        <w:t>天的日期为基准日期，直接发包的工程以合同签订日前</w:t>
      </w:r>
      <w:r>
        <w:rPr>
          <w:rFonts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kern w:val="0"/>
          <w:szCs w:val="21"/>
          <w:highlight w:val="none"/>
          <w14:textFill>
            <w14:solidFill>
              <w14:schemeClr w14:val="tx1"/>
            </w14:solidFill>
          </w14:textFill>
        </w:rPr>
        <w:t>天的日期为基准日期。</w:t>
      </w:r>
    </w:p>
    <w:p w14:paraId="3F0006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1.1.4.7 </w:t>
      </w:r>
      <w:r>
        <w:rPr>
          <w:rFonts w:hint="eastAsia" w:ascii="宋体" w:hAnsi="宋体" w:eastAsia="宋体" w:cs="宋体"/>
          <w:color w:val="000000" w:themeColor="text1"/>
          <w:kern w:val="0"/>
          <w:szCs w:val="21"/>
          <w:highlight w:val="none"/>
          <w14:textFill>
            <w14:solidFill>
              <w14:schemeClr w14:val="tx1"/>
            </w14:solidFill>
          </w14:textFill>
        </w:rPr>
        <w:t>天：除特别指明外，均指日历天。合同中按天计算时间的，开始当天不计入，从次日开始计算，期限最后一天的截止时间为当天</w:t>
      </w:r>
      <w:r>
        <w:rPr>
          <w:rFonts w:ascii="宋体" w:hAnsi="宋体" w:eastAsia="宋体" w:cs="宋体"/>
          <w:color w:val="000000" w:themeColor="text1"/>
          <w:kern w:val="0"/>
          <w:szCs w:val="21"/>
          <w:highlight w:val="none"/>
          <w14:textFill>
            <w14:solidFill>
              <w14:schemeClr w14:val="tx1"/>
            </w14:solidFill>
          </w14:textFill>
        </w:rPr>
        <w:t>24:00</w:t>
      </w:r>
      <w:r>
        <w:rPr>
          <w:rFonts w:hint="eastAsia" w:ascii="宋体" w:hAnsi="宋体" w:eastAsia="宋体" w:cs="宋体"/>
          <w:color w:val="000000" w:themeColor="text1"/>
          <w:kern w:val="0"/>
          <w:szCs w:val="21"/>
          <w:highlight w:val="none"/>
          <w14:textFill>
            <w14:solidFill>
              <w14:schemeClr w14:val="tx1"/>
            </w14:solidFill>
          </w14:textFill>
        </w:rPr>
        <w:t>时。</w:t>
      </w:r>
    </w:p>
    <w:p w14:paraId="0969DF6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 </w:t>
      </w:r>
      <w:r>
        <w:rPr>
          <w:rFonts w:hint="eastAsia" w:ascii="宋体" w:hAnsi="宋体" w:eastAsia="宋体" w:cs="宋体"/>
          <w:color w:val="000000" w:themeColor="text1"/>
          <w:kern w:val="0"/>
          <w:szCs w:val="21"/>
          <w:highlight w:val="none"/>
          <w14:textFill>
            <w14:solidFill>
              <w14:schemeClr w14:val="tx1"/>
            </w14:solidFill>
          </w14:textFill>
        </w:rPr>
        <w:t>合同价格和费用</w:t>
      </w:r>
    </w:p>
    <w:p w14:paraId="7E08A93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1.1.5.1 </w:t>
      </w:r>
      <w:r>
        <w:rPr>
          <w:rFonts w:hint="eastAsia" w:ascii="宋体" w:hAnsi="宋体" w:eastAsia="宋体" w:cs="宋体"/>
          <w:color w:val="000000" w:themeColor="text1"/>
          <w:kern w:val="0"/>
          <w:szCs w:val="21"/>
          <w:highlight w:val="none"/>
          <w14:textFill>
            <w14:solidFill>
              <w14:schemeClr w14:val="tx1"/>
            </w14:solidFill>
          </w14:textFill>
        </w:rPr>
        <w:t>签约合同价：是指</w:t>
      </w:r>
      <w:r>
        <w:rPr>
          <w:rFonts w:hint="eastAsia" w:ascii="宋体" w:hAnsi="宋体" w:eastAsia="宋体" w:cs="宋体"/>
          <w:color w:val="000000" w:themeColor="text1"/>
          <w:szCs w:val="21"/>
          <w:highlight w:val="none"/>
          <w14:textFill>
            <w14:solidFill>
              <w14:schemeClr w14:val="tx1"/>
            </w14:solidFill>
          </w14:textFill>
        </w:rPr>
        <w:t>发包人和承包人在合同协议书中确定的总金额，包括安全文明施工费、暂估价及暂列金额等。</w:t>
      </w:r>
    </w:p>
    <w:p w14:paraId="2952CF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1.1.5.2 </w:t>
      </w:r>
      <w:r>
        <w:rPr>
          <w:rFonts w:hint="eastAsia" w:ascii="宋体" w:hAnsi="宋体" w:eastAsia="宋体" w:cs="宋体"/>
          <w:color w:val="000000" w:themeColor="text1"/>
          <w:kern w:val="0"/>
          <w:szCs w:val="21"/>
          <w:highlight w:val="none"/>
          <w14:textFill>
            <w14:solidFill>
              <w14:schemeClr w14:val="tx1"/>
            </w14:solidFill>
          </w14:textFill>
        </w:rPr>
        <w:t>合同价格：是指发包人用于支付承包人按照合同约定完成承包范围内全部工作的金额，包括合同履行过程中按合同约定发生的价格变化。</w:t>
      </w:r>
    </w:p>
    <w:p w14:paraId="7D967F7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1.1.5.3 </w:t>
      </w:r>
      <w:r>
        <w:rPr>
          <w:rFonts w:hint="eastAsia" w:ascii="宋体" w:hAnsi="宋体" w:eastAsia="宋体" w:cs="宋体"/>
          <w:color w:val="000000" w:themeColor="text1"/>
          <w:kern w:val="0"/>
          <w:szCs w:val="21"/>
          <w:highlight w:val="none"/>
          <w14:textFill>
            <w14:solidFill>
              <w14:schemeClr w14:val="tx1"/>
            </w14:solidFill>
          </w14:textFill>
        </w:rPr>
        <w:t>费用：是指为履行合同所发生的或将要发生的所有必需的开支，包括管理费和应分摊的其他费用，但不包括利润。</w:t>
      </w:r>
    </w:p>
    <w:p w14:paraId="236A22D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1.1.5.4 </w:t>
      </w:r>
      <w:r>
        <w:rPr>
          <w:rFonts w:hint="eastAsia" w:ascii="宋体" w:hAnsi="宋体" w:eastAsia="宋体" w:cs="宋体"/>
          <w:color w:val="000000" w:themeColor="text1"/>
          <w:kern w:val="0"/>
          <w:szCs w:val="21"/>
          <w:highlight w:val="none"/>
          <w14:textFill>
            <w14:solidFill>
              <w14:schemeClr w14:val="tx1"/>
            </w14:solidFill>
          </w14:textFill>
        </w:rPr>
        <w:t>暂估价：是指发包人在工程量清单或预算书中提供的用于支付必然发生但暂时不能确定价格的材料、工程设备的单价、专业工程以及服务工作的金额。</w:t>
      </w:r>
    </w:p>
    <w:p w14:paraId="2271146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1.1.5.5 </w:t>
      </w:r>
      <w:r>
        <w:rPr>
          <w:rFonts w:hint="eastAsia" w:ascii="宋体" w:hAnsi="宋体" w:eastAsia="宋体" w:cs="宋体"/>
          <w:color w:val="000000" w:themeColor="text1"/>
          <w:kern w:val="0"/>
          <w:szCs w:val="21"/>
          <w:highlight w:val="none"/>
          <w14:textFill>
            <w14:solidFill>
              <w14:schemeClr w14:val="tx1"/>
            </w14:solidFill>
          </w14:textFill>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714EC1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1.1.5.6 </w:t>
      </w:r>
      <w:r>
        <w:rPr>
          <w:rFonts w:hint="eastAsia" w:ascii="宋体" w:hAnsi="宋体" w:eastAsia="宋体" w:cs="宋体"/>
          <w:color w:val="000000" w:themeColor="text1"/>
          <w:kern w:val="0"/>
          <w:szCs w:val="21"/>
          <w:highlight w:val="none"/>
          <w14:textFill>
            <w14:solidFill>
              <w14:schemeClr w14:val="tx1"/>
            </w14:solidFill>
          </w14:textFill>
        </w:rPr>
        <w:t>计日工：是指合同履行过程中，承包人完成发包人提出的零星工作或需要采用计日工计价的变更工作时，按合同中约定的单价计价的一种方式。</w:t>
      </w:r>
    </w:p>
    <w:p w14:paraId="018A60BE">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1.1.5.7 </w:t>
      </w:r>
      <w:r>
        <w:rPr>
          <w:rFonts w:hint="eastAsia" w:ascii="宋体" w:hAnsi="宋体" w:eastAsia="宋体" w:cs="宋体"/>
          <w:color w:val="000000" w:themeColor="text1"/>
          <w:kern w:val="0"/>
          <w:szCs w:val="21"/>
          <w:highlight w:val="none"/>
          <w14:textFill>
            <w14:solidFill>
              <w14:schemeClr w14:val="tx1"/>
            </w14:solidFill>
          </w14:textFill>
        </w:rPr>
        <w:t>质量保证金</w:t>
      </w:r>
      <w:bookmarkStart w:id="119" w:name="#go2"/>
      <w:bookmarkEnd w:id="119"/>
      <w:r>
        <w:rPr>
          <w:rFonts w:hint="eastAsia" w:ascii="宋体" w:hAnsi="宋体" w:eastAsia="宋体" w:cs="宋体"/>
          <w:color w:val="000000" w:themeColor="text1"/>
          <w:kern w:val="0"/>
          <w:szCs w:val="21"/>
          <w:highlight w:val="none"/>
          <w14:textFill>
            <w14:solidFill>
              <w14:schemeClr w14:val="tx1"/>
            </w14:solidFill>
          </w14:textFill>
        </w:rPr>
        <w:t>：是指按照第</w:t>
      </w:r>
      <w:r>
        <w:rPr>
          <w:rFonts w:ascii="宋体" w:hAnsi="宋体" w:eastAsia="宋体" w:cs="宋体"/>
          <w:color w:val="000000" w:themeColor="text1"/>
          <w:kern w:val="0"/>
          <w:szCs w:val="21"/>
          <w:highlight w:val="none"/>
          <w14:textFill>
            <w14:solidFill>
              <w14:schemeClr w14:val="tx1"/>
            </w14:solidFill>
          </w14:textFill>
        </w:rPr>
        <w:t>15.3</w:t>
      </w:r>
      <w:r>
        <w:rPr>
          <w:rFonts w:hint="eastAsia" w:ascii="宋体" w:hAnsi="宋体" w:eastAsia="宋体" w:cs="宋体"/>
          <w:color w:val="000000" w:themeColor="text1"/>
          <w:kern w:val="0"/>
          <w:szCs w:val="21"/>
          <w:highlight w:val="none"/>
          <w14:textFill>
            <w14:solidFill>
              <w14:schemeClr w14:val="tx1"/>
            </w14:solidFill>
          </w14:textFill>
        </w:rPr>
        <w:t>款〔质量保证金〕约定承包人用于保证其在缺陷责任期内履行缺陷修补义务的担保</w:t>
      </w:r>
      <w:r>
        <w:rPr>
          <w:rFonts w:hint="eastAsia" w:ascii="宋体" w:hAnsi="宋体" w:eastAsia="宋体" w:cs="宋体"/>
          <w:color w:val="000000" w:themeColor="text1"/>
          <w:szCs w:val="21"/>
          <w:highlight w:val="none"/>
          <w14:textFill>
            <w14:solidFill>
              <w14:schemeClr w14:val="tx1"/>
            </w14:solidFill>
          </w14:textFill>
        </w:rPr>
        <w:t>。</w:t>
      </w:r>
    </w:p>
    <w:p w14:paraId="6DD7473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1.1.5.8 </w:t>
      </w:r>
      <w:r>
        <w:rPr>
          <w:rFonts w:hint="eastAsia" w:ascii="宋体" w:hAnsi="宋体" w:eastAsia="宋体" w:cs="宋体"/>
          <w:color w:val="000000" w:themeColor="text1"/>
          <w:kern w:val="0"/>
          <w:szCs w:val="21"/>
          <w:highlight w:val="none"/>
          <w14:textFill>
            <w14:solidFill>
              <w14:schemeClr w14:val="tx1"/>
            </w14:solidFill>
          </w14:textFill>
        </w:rPr>
        <w:t>总价项目：是指在现行国家、行业以及地方的计量规则中无工程量计算规则，在已标价工程量清单或预算书中以总价或以费率形式计算的项目。</w:t>
      </w:r>
    </w:p>
    <w:p w14:paraId="5EE75D9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1.1.6 </w:t>
      </w:r>
      <w:r>
        <w:rPr>
          <w:rFonts w:hint="eastAsia" w:ascii="宋体" w:hAnsi="宋体" w:eastAsia="宋体" w:cs="宋体"/>
          <w:color w:val="000000" w:themeColor="text1"/>
          <w:szCs w:val="21"/>
          <w:highlight w:val="none"/>
          <w14:textFill>
            <w14:solidFill>
              <w14:schemeClr w14:val="tx1"/>
            </w14:solidFill>
          </w14:textFill>
        </w:rPr>
        <w:t>其他</w:t>
      </w:r>
    </w:p>
    <w:p w14:paraId="15422F0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1.1.6.1 </w:t>
      </w:r>
      <w:r>
        <w:rPr>
          <w:rFonts w:hint="eastAsia" w:ascii="宋体" w:hAnsi="宋体" w:eastAsia="宋体" w:cs="宋体"/>
          <w:color w:val="000000" w:themeColor="text1"/>
          <w:szCs w:val="21"/>
          <w:highlight w:val="none"/>
          <w14:textFill>
            <w14:solidFill>
              <w14:schemeClr w14:val="tx1"/>
            </w14:solidFill>
          </w14:textFill>
        </w:rPr>
        <w:t>书面形式：是指合同文件、信函、电报、传真等可以有形地表现所载内容的形式。</w:t>
      </w:r>
    </w:p>
    <w:p w14:paraId="4B1342E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20" w:name="_Toc337558729"/>
      <w:bookmarkStart w:id="121" w:name="_Toc351203497"/>
      <w:bookmarkStart w:id="122" w:name="_Toc533863308"/>
      <w:bookmarkStart w:id="123" w:name="_Toc296503029"/>
      <w:bookmarkStart w:id="124" w:name="_Toc296346530"/>
      <w:r>
        <w:rPr>
          <w:rFonts w:ascii="宋体" w:hAnsi="宋体" w:eastAsia="宋体" w:cs="宋体"/>
          <w:bCs/>
          <w:color w:val="000000" w:themeColor="text1"/>
          <w:kern w:val="0"/>
          <w:szCs w:val="21"/>
          <w:highlight w:val="none"/>
          <w14:textFill>
            <w14:solidFill>
              <w14:schemeClr w14:val="tx1"/>
            </w14:solidFill>
          </w14:textFill>
        </w:rPr>
        <w:t>1.2语言文字</w:t>
      </w:r>
      <w:bookmarkEnd w:id="120"/>
      <w:bookmarkEnd w:id="121"/>
      <w:bookmarkEnd w:id="122"/>
      <w:bookmarkEnd w:id="123"/>
      <w:bookmarkEnd w:id="124"/>
    </w:p>
    <w:p w14:paraId="1746D69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合同以中国的汉语简体文字编写、解释和说明。合同当事人在专用合同条款中约定使用两种以上语言时，汉语为优先解释和说明合同的语言。</w:t>
      </w:r>
    </w:p>
    <w:p w14:paraId="4484793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25" w:name="_Toc296346531"/>
      <w:bookmarkStart w:id="126" w:name="_Toc533863309"/>
      <w:bookmarkStart w:id="127" w:name="_Toc296503030"/>
      <w:bookmarkStart w:id="128" w:name="_Toc337558730"/>
      <w:bookmarkStart w:id="129" w:name="_Toc351203498"/>
      <w:r>
        <w:rPr>
          <w:rFonts w:ascii="宋体" w:hAnsi="宋体" w:eastAsia="宋体" w:cs="宋体"/>
          <w:bCs/>
          <w:color w:val="000000" w:themeColor="text1"/>
          <w:kern w:val="0"/>
          <w:szCs w:val="21"/>
          <w:highlight w:val="none"/>
          <w14:textFill>
            <w14:solidFill>
              <w14:schemeClr w14:val="tx1"/>
            </w14:solidFill>
          </w14:textFill>
        </w:rPr>
        <w:t>1.3法律</w:t>
      </w:r>
      <w:bookmarkEnd w:id="125"/>
      <w:bookmarkEnd w:id="126"/>
      <w:bookmarkEnd w:id="127"/>
      <w:bookmarkEnd w:id="128"/>
      <w:bookmarkEnd w:id="129"/>
    </w:p>
    <w:p w14:paraId="6A003B1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合同所称法律是指中华人民共和国法律、行政法规、部门规章，以及工程所在地的地方性法规、自治条例、单行条例和地方政府规章等。</w:t>
      </w:r>
    </w:p>
    <w:p w14:paraId="77FA662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合同当事人可以在专用合同条款中约定合同适用的其他规范性文件。</w:t>
      </w:r>
    </w:p>
    <w:p w14:paraId="747CA68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0" w:name="_Toc351203499"/>
      <w:bookmarkStart w:id="131" w:name="_Toc533863310"/>
      <w:r>
        <w:rPr>
          <w:rFonts w:ascii="宋体" w:hAnsi="宋体" w:eastAsia="宋体" w:cs="宋体"/>
          <w:bCs/>
          <w:color w:val="000000" w:themeColor="text1"/>
          <w:kern w:val="0"/>
          <w:szCs w:val="21"/>
          <w:highlight w:val="none"/>
          <w14:textFill>
            <w14:solidFill>
              <w14:schemeClr w14:val="tx1"/>
            </w14:solidFill>
          </w14:textFill>
        </w:rPr>
        <w:t>1.4 标准和规范</w:t>
      </w:r>
      <w:bookmarkEnd w:id="130"/>
      <w:bookmarkEnd w:id="131"/>
    </w:p>
    <w:p w14:paraId="0FECE2C3">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1.4.1 </w:t>
      </w:r>
      <w:r>
        <w:rPr>
          <w:rFonts w:hint="eastAsia" w:ascii="宋体" w:hAnsi="宋体" w:eastAsia="宋体" w:cs="宋体"/>
          <w:color w:val="000000" w:themeColor="text1"/>
          <w:kern w:val="0"/>
          <w:szCs w:val="21"/>
          <w:highlight w:val="none"/>
          <w14:textFill>
            <w14:solidFill>
              <w14:schemeClr w14:val="tx1"/>
            </w14:solidFill>
          </w14:textFill>
        </w:rPr>
        <w:t>适用于工程的国家标准、行业标准、工程所在地的地方性标准，以及相应的规范、规程等，合同当事人有特别要求的，应在专用合同条款中约定。</w:t>
      </w:r>
    </w:p>
    <w:p w14:paraId="0093492B">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1.4.2 </w:t>
      </w:r>
      <w:r>
        <w:rPr>
          <w:rFonts w:hint="eastAsia" w:ascii="宋体" w:hAnsi="宋体" w:eastAsia="宋体" w:cs="宋体"/>
          <w:color w:val="000000" w:themeColor="text1"/>
          <w:kern w:val="0"/>
          <w:szCs w:val="21"/>
          <w:highlight w:val="none"/>
          <w14:textFill>
            <w14:solidFill>
              <w14:schemeClr w14:val="tx1"/>
            </w14:solidFill>
          </w14:textFill>
        </w:rPr>
        <w:t>发包人要求使用国外标准、规范的，发包人负责提供原文版本和中文译本，并在专用合同条款中约定提供标准规范的名称、份数和时间。</w:t>
      </w:r>
    </w:p>
    <w:p w14:paraId="57A87DB7">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1.4.3 </w:t>
      </w:r>
      <w:r>
        <w:rPr>
          <w:rFonts w:hint="eastAsia" w:ascii="宋体" w:hAnsi="宋体" w:eastAsia="宋体" w:cs="宋体"/>
          <w:color w:val="000000" w:themeColor="text1"/>
          <w:kern w:val="0"/>
          <w:szCs w:val="21"/>
          <w:highlight w:val="none"/>
          <w14:textFill>
            <w14:solidFill>
              <w14:schemeClr w14:val="tx1"/>
            </w14:solidFill>
          </w14:textFill>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34C6409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2" w:name="_Toc533863311"/>
      <w:bookmarkStart w:id="133" w:name="_Toc351203500"/>
      <w:r>
        <w:rPr>
          <w:rFonts w:ascii="宋体" w:hAnsi="宋体" w:eastAsia="宋体" w:cs="宋体"/>
          <w:bCs/>
          <w:color w:val="000000" w:themeColor="text1"/>
          <w:kern w:val="0"/>
          <w:szCs w:val="21"/>
          <w:highlight w:val="none"/>
          <w14:textFill>
            <w14:solidFill>
              <w14:schemeClr w14:val="tx1"/>
            </w14:solidFill>
          </w14:textFill>
        </w:rPr>
        <w:t>1</w:t>
      </w:r>
      <w:bookmarkStart w:id="134" w:name="_Toc296346532"/>
      <w:bookmarkStart w:id="135" w:name="_Toc337558731"/>
      <w:bookmarkStart w:id="136" w:name="_Toc296503031"/>
      <w:r>
        <w:rPr>
          <w:rFonts w:ascii="宋体" w:hAnsi="宋体" w:eastAsia="宋体" w:cs="宋体"/>
          <w:bCs/>
          <w:color w:val="000000" w:themeColor="text1"/>
          <w:kern w:val="0"/>
          <w:szCs w:val="21"/>
          <w:highlight w:val="none"/>
          <w14:textFill>
            <w14:solidFill>
              <w14:schemeClr w14:val="tx1"/>
            </w14:solidFill>
          </w14:textFill>
        </w:rPr>
        <w:t>.5 合同文件的优先顺序</w:t>
      </w:r>
      <w:bookmarkEnd w:id="132"/>
      <w:bookmarkEnd w:id="133"/>
    </w:p>
    <w:bookmarkEnd w:id="134"/>
    <w:bookmarkEnd w:id="135"/>
    <w:bookmarkEnd w:id="136"/>
    <w:p w14:paraId="39CCCCE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组成合同的各项文件应互相解释，互为说明。除专用合同条款另有约定外，解释合同文件的优先顺序如下：</w:t>
      </w:r>
    </w:p>
    <w:p w14:paraId="2A8BAFD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）合同协议书；</w:t>
      </w:r>
    </w:p>
    <w:p w14:paraId="6C5000E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）中标通知书（如果有）；</w:t>
      </w:r>
    </w:p>
    <w:p w14:paraId="0A98B3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）投标函及其附录（如果有）；</w:t>
      </w:r>
    </w:p>
    <w:p w14:paraId="0013AA8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）专用合同条款</w:t>
      </w:r>
      <w:r>
        <w:rPr>
          <w:rFonts w:hint="eastAsia" w:ascii="宋体" w:hAnsi="宋体" w:eastAsia="宋体" w:cs="宋体"/>
          <w:color w:val="000000" w:themeColor="text1"/>
          <w:szCs w:val="21"/>
          <w:highlight w:val="none"/>
          <w14:textFill>
            <w14:solidFill>
              <w14:schemeClr w14:val="tx1"/>
            </w14:solidFill>
          </w14:textFill>
        </w:rPr>
        <w:t>及其附件</w:t>
      </w:r>
      <w:r>
        <w:rPr>
          <w:rFonts w:hint="eastAsia" w:ascii="宋体" w:hAnsi="宋体" w:eastAsia="宋体" w:cs="宋体"/>
          <w:color w:val="000000" w:themeColor="text1"/>
          <w:kern w:val="0"/>
          <w:szCs w:val="21"/>
          <w:highlight w:val="none"/>
          <w14:textFill>
            <w14:solidFill>
              <w14:schemeClr w14:val="tx1"/>
            </w14:solidFill>
          </w14:textFill>
        </w:rPr>
        <w:t>；</w:t>
      </w:r>
    </w:p>
    <w:p w14:paraId="4776C95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5</w:t>
      </w:r>
      <w:r>
        <w:rPr>
          <w:rFonts w:hint="eastAsia" w:ascii="宋体" w:hAnsi="宋体" w:eastAsia="宋体" w:cs="宋体"/>
          <w:color w:val="000000" w:themeColor="text1"/>
          <w:kern w:val="0"/>
          <w:szCs w:val="21"/>
          <w:highlight w:val="none"/>
          <w14:textFill>
            <w14:solidFill>
              <w14:schemeClr w14:val="tx1"/>
            </w14:solidFill>
          </w14:textFill>
        </w:rPr>
        <w:t>）通用合同条款；</w:t>
      </w:r>
    </w:p>
    <w:p w14:paraId="003D52A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6</w:t>
      </w:r>
      <w:r>
        <w:rPr>
          <w:rFonts w:hint="eastAsia" w:ascii="宋体" w:hAnsi="宋体" w:eastAsia="宋体" w:cs="宋体"/>
          <w:color w:val="000000" w:themeColor="text1"/>
          <w:kern w:val="0"/>
          <w:szCs w:val="21"/>
          <w:highlight w:val="none"/>
          <w14:textFill>
            <w14:solidFill>
              <w14:schemeClr w14:val="tx1"/>
            </w14:solidFill>
          </w14:textFill>
        </w:rPr>
        <w:t>）技术标准和要求；</w:t>
      </w:r>
    </w:p>
    <w:p w14:paraId="42051DA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）图纸；</w:t>
      </w:r>
    </w:p>
    <w:p w14:paraId="1C43571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8</w:t>
      </w:r>
      <w:r>
        <w:rPr>
          <w:rFonts w:hint="eastAsia" w:ascii="宋体" w:hAnsi="宋体" w:eastAsia="宋体" w:cs="宋体"/>
          <w:color w:val="000000" w:themeColor="text1"/>
          <w:kern w:val="0"/>
          <w:szCs w:val="21"/>
          <w:highlight w:val="none"/>
          <w14:textFill>
            <w14:solidFill>
              <w14:schemeClr w14:val="tx1"/>
            </w14:solidFill>
          </w14:textFill>
        </w:rPr>
        <w:t>）已标价工程量清单或预算书；</w:t>
      </w:r>
    </w:p>
    <w:p w14:paraId="2B9C2177">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9</w:t>
      </w:r>
      <w:r>
        <w:rPr>
          <w:rFonts w:hint="eastAsia" w:ascii="宋体" w:hAnsi="宋体" w:eastAsia="宋体" w:cs="宋体"/>
          <w:color w:val="000000" w:themeColor="text1"/>
          <w:kern w:val="0"/>
          <w:szCs w:val="21"/>
          <w:highlight w:val="none"/>
          <w14:textFill>
            <w14:solidFill>
              <w14:schemeClr w14:val="tx1"/>
            </w14:solidFill>
          </w14:textFill>
        </w:rPr>
        <w:t>）其他合同文件。</w:t>
      </w:r>
    </w:p>
    <w:p w14:paraId="63DA02F4">
      <w:pPr>
        <w:spacing w:line="360" w:lineRule="auto"/>
        <w:ind w:firstLine="447" w:firstLineChars="213"/>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w:t>
      </w:r>
    </w:p>
    <w:p w14:paraId="2496C36E">
      <w:pPr>
        <w:spacing w:line="360" w:lineRule="auto"/>
        <w:ind w:firstLine="447" w:firstLineChars="213"/>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在合同订立及履行过程中形成的与合同有关的文件均构成合同文件组成部分，并根据其性质确定优先解释顺序。</w:t>
      </w:r>
    </w:p>
    <w:p w14:paraId="1FE946B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7" w:name="_Toc351203501"/>
      <w:bookmarkStart w:id="138" w:name="_Toc533863312"/>
      <w:r>
        <w:rPr>
          <w:rFonts w:ascii="宋体" w:hAnsi="宋体" w:eastAsia="宋体" w:cs="宋体"/>
          <w:bCs/>
          <w:color w:val="000000" w:themeColor="text1"/>
          <w:kern w:val="0"/>
          <w:szCs w:val="21"/>
          <w:highlight w:val="none"/>
          <w14:textFill>
            <w14:solidFill>
              <w14:schemeClr w14:val="tx1"/>
            </w14:solidFill>
          </w14:textFill>
        </w:rPr>
        <w:t>1</w:t>
      </w:r>
      <w:bookmarkStart w:id="139" w:name="_Toc296346533"/>
      <w:bookmarkStart w:id="140" w:name="_Toc296503032"/>
      <w:bookmarkStart w:id="141" w:name="_Toc337558732"/>
      <w:r>
        <w:rPr>
          <w:rFonts w:ascii="宋体" w:hAnsi="宋体" w:eastAsia="宋体" w:cs="宋体"/>
          <w:bCs/>
          <w:color w:val="000000" w:themeColor="text1"/>
          <w:kern w:val="0"/>
          <w:szCs w:val="21"/>
          <w:highlight w:val="none"/>
          <w14:textFill>
            <w14:solidFill>
              <w14:schemeClr w14:val="tx1"/>
            </w14:solidFill>
          </w14:textFill>
        </w:rPr>
        <w:t>.6图纸和承包人文件</w:t>
      </w:r>
      <w:bookmarkEnd w:id="137"/>
      <w:bookmarkEnd w:id="138"/>
    </w:p>
    <w:bookmarkEnd w:id="139"/>
    <w:bookmarkEnd w:id="140"/>
    <w:bookmarkEnd w:id="141"/>
    <w:p w14:paraId="777019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1.6.1 </w:t>
      </w:r>
      <w:r>
        <w:rPr>
          <w:rFonts w:hint="eastAsia" w:ascii="宋体" w:hAnsi="宋体" w:eastAsia="宋体" w:cs="宋体"/>
          <w:color w:val="000000" w:themeColor="text1"/>
          <w:kern w:val="0"/>
          <w:szCs w:val="21"/>
          <w:highlight w:val="none"/>
          <w14:textFill>
            <w14:solidFill>
              <w14:schemeClr w14:val="tx1"/>
            </w14:solidFill>
          </w14:textFill>
        </w:rPr>
        <w:t>图纸的提供和交底</w:t>
      </w:r>
    </w:p>
    <w:p w14:paraId="155B5D4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发包人应按照专用合同条款约定的期限、数量和内容向承包人免费提供图纸，并组织承包人、监理人和设计人进行图纸会审和设计交底。发包人至迟不得晚于第</w:t>
      </w:r>
      <w:r>
        <w:rPr>
          <w:rFonts w:ascii="宋体" w:hAnsi="宋体" w:eastAsia="宋体" w:cs="宋体"/>
          <w:color w:val="000000" w:themeColor="text1"/>
          <w:kern w:val="0"/>
          <w:szCs w:val="21"/>
          <w:highlight w:val="none"/>
          <w14:textFill>
            <w14:solidFill>
              <w14:schemeClr w14:val="tx1"/>
            </w14:solidFill>
          </w14:textFill>
        </w:rPr>
        <w:t>7.3.2</w:t>
      </w:r>
      <w:r>
        <w:rPr>
          <w:rFonts w:hint="eastAsia" w:ascii="宋体" w:hAnsi="宋体" w:eastAsia="宋体" w:cs="宋体"/>
          <w:color w:val="000000" w:themeColor="text1"/>
          <w:kern w:val="0"/>
          <w:szCs w:val="21"/>
          <w:highlight w:val="none"/>
          <w14:textFill>
            <w14:solidFill>
              <w14:schemeClr w14:val="tx1"/>
            </w14:solidFill>
          </w14:textFill>
        </w:rPr>
        <w:t>项〔开工通知〕载明的开工日期前</w:t>
      </w:r>
      <w:r>
        <w:rPr>
          <w:rFonts w:ascii="宋体" w:hAnsi="宋体" w:eastAsia="宋体" w:cs="宋体"/>
          <w:color w:val="000000" w:themeColor="text1"/>
          <w:kern w:val="0"/>
          <w:szCs w:val="21"/>
          <w:highlight w:val="none"/>
          <w14:textFill>
            <w14:solidFill>
              <w14:schemeClr w14:val="tx1"/>
            </w14:solidFill>
          </w14:textFill>
        </w:rPr>
        <w:t>14</w:t>
      </w:r>
      <w:r>
        <w:rPr>
          <w:rFonts w:hint="eastAsia" w:ascii="宋体" w:hAnsi="宋体" w:eastAsia="宋体" w:cs="宋体"/>
          <w:color w:val="000000" w:themeColor="text1"/>
          <w:kern w:val="0"/>
          <w:szCs w:val="21"/>
          <w:highlight w:val="none"/>
          <w14:textFill>
            <w14:solidFill>
              <w14:schemeClr w14:val="tx1"/>
            </w14:solidFill>
          </w14:textFill>
        </w:rPr>
        <w:t>天向承包人提供图纸。</w:t>
      </w:r>
    </w:p>
    <w:p w14:paraId="7F8EC27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因发包人未按合同约定提供图纸导致承包人费用增加和（或）工期延误的，按照第</w:t>
      </w:r>
      <w:r>
        <w:rPr>
          <w:rFonts w:ascii="宋体" w:hAnsi="宋体" w:eastAsia="宋体" w:cs="宋体"/>
          <w:color w:val="000000" w:themeColor="text1"/>
          <w:kern w:val="0"/>
          <w:szCs w:val="21"/>
          <w:highlight w:val="none"/>
          <w14:textFill>
            <w14:solidFill>
              <w14:schemeClr w14:val="tx1"/>
            </w14:solidFill>
          </w14:textFill>
        </w:rPr>
        <w:t>7.5.1</w:t>
      </w:r>
      <w:r>
        <w:rPr>
          <w:rFonts w:hint="eastAsia" w:ascii="宋体" w:hAnsi="宋体" w:eastAsia="宋体" w:cs="宋体"/>
          <w:color w:val="000000" w:themeColor="text1"/>
          <w:kern w:val="0"/>
          <w:szCs w:val="21"/>
          <w:highlight w:val="none"/>
          <w14:textFill>
            <w14:solidFill>
              <w14:schemeClr w14:val="tx1"/>
            </w14:solidFill>
          </w14:textFill>
        </w:rPr>
        <w:t>项〔因发包人原因导致工期延误〕约定办理。</w:t>
      </w:r>
    </w:p>
    <w:p w14:paraId="5E5616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1.6.2 </w:t>
      </w:r>
      <w:r>
        <w:rPr>
          <w:rFonts w:hint="eastAsia" w:ascii="宋体" w:hAnsi="宋体" w:eastAsia="宋体" w:cs="宋体"/>
          <w:color w:val="000000" w:themeColor="text1"/>
          <w:kern w:val="0"/>
          <w:szCs w:val="21"/>
          <w:highlight w:val="none"/>
          <w14:textFill>
            <w14:solidFill>
              <w14:schemeClr w14:val="tx1"/>
            </w14:solidFill>
          </w14:textFill>
        </w:rPr>
        <w:t>图纸的错误</w:t>
      </w:r>
    </w:p>
    <w:p w14:paraId="7C509BB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B25B3E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1.6.3 </w:t>
      </w:r>
      <w:r>
        <w:rPr>
          <w:rFonts w:hint="eastAsia" w:ascii="宋体" w:hAnsi="宋体" w:eastAsia="宋体" w:cs="宋体"/>
          <w:color w:val="000000" w:themeColor="text1"/>
          <w:kern w:val="0"/>
          <w:szCs w:val="21"/>
          <w:highlight w:val="none"/>
          <w14:textFill>
            <w14:solidFill>
              <w14:schemeClr w14:val="tx1"/>
            </w14:solidFill>
          </w14:textFill>
        </w:rPr>
        <w:t>图纸的修改和补充</w:t>
      </w:r>
    </w:p>
    <w:p w14:paraId="627BE9D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图纸需要修改和补充的，应经图纸原设计人及审批部门同意，并由监理人在工程或工程相应部位施工前将修改后的图纸或补充图纸提交给承包人，承包人应按修改或补充后的图纸施工。</w:t>
      </w:r>
    </w:p>
    <w:p w14:paraId="1A4E16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1.6.4 </w:t>
      </w:r>
      <w:r>
        <w:rPr>
          <w:rFonts w:hint="eastAsia" w:ascii="宋体" w:hAnsi="宋体" w:eastAsia="宋体" w:cs="宋体"/>
          <w:color w:val="000000" w:themeColor="text1"/>
          <w:kern w:val="0"/>
          <w:szCs w:val="21"/>
          <w:highlight w:val="none"/>
          <w14:textFill>
            <w14:solidFill>
              <w14:schemeClr w14:val="tx1"/>
            </w14:solidFill>
          </w14:textFill>
        </w:rPr>
        <w:t>承包人文件</w:t>
      </w:r>
    </w:p>
    <w:p w14:paraId="48DEF6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承包人应按照专用合同条款的约定提供应当由其编制的与工程施工有关的文件，并按照专用合同条款约定的期限、数量和形式提交监理人，并由监理人报送发包人。</w:t>
      </w:r>
    </w:p>
    <w:p w14:paraId="484886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除专用合同条款另有约定外，监理人应在收到承包人文件后</w:t>
      </w:r>
      <w:r>
        <w:rPr>
          <w:rFonts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天内审查完毕，监理人对承包人文件有异议的，承包人应予以修改，并重新报送监理人。监理人的审查并不减轻或免除承包人根据合同约定应当承担的责任。</w:t>
      </w:r>
    </w:p>
    <w:p w14:paraId="39875CF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1.6.5 </w:t>
      </w:r>
      <w:r>
        <w:rPr>
          <w:rFonts w:hint="eastAsia" w:ascii="宋体" w:hAnsi="宋体" w:eastAsia="宋体" w:cs="宋体"/>
          <w:color w:val="000000" w:themeColor="text1"/>
          <w:kern w:val="0"/>
          <w:szCs w:val="21"/>
          <w:highlight w:val="none"/>
          <w14:textFill>
            <w14:solidFill>
              <w14:schemeClr w14:val="tx1"/>
            </w14:solidFill>
          </w14:textFill>
        </w:rPr>
        <w:t>图纸和承包人文件的保管</w:t>
      </w:r>
    </w:p>
    <w:p w14:paraId="1605ED9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除专用合同条款另有约定外，承包人应在施工现场另外保存一套完整的图纸和承包人文件，供发包人、监理人及有关人员进行工程检查时使用。</w:t>
      </w:r>
    </w:p>
    <w:p w14:paraId="3924B41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42" w:name="_Toc351203502"/>
      <w:bookmarkStart w:id="143" w:name="_Toc533863313"/>
      <w:r>
        <w:rPr>
          <w:rFonts w:ascii="宋体" w:hAnsi="宋体" w:eastAsia="宋体" w:cs="宋体"/>
          <w:bCs/>
          <w:color w:val="000000" w:themeColor="text1"/>
          <w:kern w:val="0"/>
          <w:szCs w:val="21"/>
          <w:highlight w:val="none"/>
          <w14:textFill>
            <w14:solidFill>
              <w14:schemeClr w14:val="tx1"/>
            </w14:solidFill>
          </w14:textFill>
        </w:rPr>
        <w:t>1</w:t>
      </w:r>
      <w:bookmarkStart w:id="144" w:name="_Toc296503033"/>
      <w:bookmarkStart w:id="145" w:name="_Toc296346534"/>
      <w:bookmarkStart w:id="146" w:name="_Toc337558733"/>
      <w:r>
        <w:rPr>
          <w:rFonts w:ascii="宋体" w:hAnsi="宋体" w:eastAsia="宋体" w:cs="宋体"/>
          <w:bCs/>
          <w:color w:val="000000" w:themeColor="text1"/>
          <w:kern w:val="0"/>
          <w:szCs w:val="21"/>
          <w:highlight w:val="none"/>
          <w14:textFill>
            <w14:solidFill>
              <w14:schemeClr w14:val="tx1"/>
            </w14:solidFill>
          </w14:textFill>
        </w:rPr>
        <w:t>.7联络</w:t>
      </w:r>
      <w:bookmarkEnd w:id="142"/>
      <w:bookmarkEnd w:id="143"/>
    </w:p>
    <w:bookmarkEnd w:id="144"/>
    <w:bookmarkEnd w:id="145"/>
    <w:bookmarkEnd w:id="146"/>
    <w:p w14:paraId="7CAB09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1.7.1 </w:t>
      </w:r>
      <w:r>
        <w:rPr>
          <w:rFonts w:hint="eastAsia" w:ascii="宋体" w:hAnsi="宋体" w:eastAsia="宋体" w:cs="宋体"/>
          <w:color w:val="000000" w:themeColor="text1"/>
          <w:kern w:val="0"/>
          <w:szCs w:val="21"/>
          <w:highlight w:val="none"/>
          <w14:textFill>
            <w14:solidFill>
              <w14:schemeClr w14:val="tx1"/>
            </w14:solidFill>
          </w14:textFill>
        </w:rPr>
        <w:t>与合同有关的通知、批准、证明、证书、指示、指令、要求、请求、同意、意见、确定和决定等，均应采用书面形式，并应在合同约定的期限内送达接收人和送达地点。</w:t>
      </w:r>
    </w:p>
    <w:p w14:paraId="5B0946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1.7.2 </w:t>
      </w:r>
      <w:r>
        <w:rPr>
          <w:rFonts w:hint="eastAsia" w:ascii="宋体" w:hAnsi="宋体" w:eastAsia="宋体" w:cs="宋体"/>
          <w:color w:val="000000" w:themeColor="text1"/>
          <w:kern w:val="0"/>
          <w:szCs w:val="21"/>
          <w:highlight w:val="none"/>
          <w14:textFill>
            <w14:solidFill>
              <w14:schemeClr w14:val="tx1"/>
            </w14:solidFill>
          </w14:textFill>
        </w:rPr>
        <w:t>发包人和承包人应在专用合同条款中约定各自的送达接收人和送达地点。任何一方合同当事人指定的接收人或送达地点发生变动的，应提前</w:t>
      </w:r>
      <w:r>
        <w:rPr>
          <w:rFonts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天以书面形式通知对方。</w:t>
      </w:r>
    </w:p>
    <w:p w14:paraId="00EBF0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1.7.3 </w:t>
      </w:r>
      <w:r>
        <w:rPr>
          <w:rFonts w:hint="eastAsia" w:ascii="宋体" w:hAnsi="宋体" w:eastAsia="宋体" w:cs="宋体"/>
          <w:color w:val="000000" w:themeColor="text1"/>
          <w:kern w:val="0"/>
          <w:szCs w:val="21"/>
          <w:highlight w:val="none"/>
          <w14:textFill>
            <w14:solidFill>
              <w14:schemeClr w14:val="tx1"/>
            </w14:solidFill>
          </w14:textFill>
        </w:rPr>
        <w:t>发包人和承包人应当及时签收另一方送达至送达地点和指定接收人的来往信函。拒不签收的，由此增加的费用和（或）延误的工期由拒绝接收一方承担。</w:t>
      </w:r>
    </w:p>
    <w:p w14:paraId="6A3B4E0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47" w:name="_Toc351203503"/>
      <w:bookmarkStart w:id="148" w:name="_Toc533863314"/>
      <w:r>
        <w:rPr>
          <w:rFonts w:ascii="宋体" w:hAnsi="宋体" w:eastAsia="宋体" w:cs="宋体"/>
          <w:bCs/>
          <w:color w:val="000000" w:themeColor="text1"/>
          <w:kern w:val="0"/>
          <w:szCs w:val="21"/>
          <w:highlight w:val="none"/>
          <w14:textFill>
            <w14:solidFill>
              <w14:schemeClr w14:val="tx1"/>
            </w14:solidFill>
          </w14:textFill>
        </w:rPr>
        <w:t>1</w:t>
      </w:r>
      <w:bookmarkStart w:id="149" w:name="_Toc296346536"/>
      <w:bookmarkStart w:id="150" w:name="_Toc296503035"/>
      <w:bookmarkStart w:id="151" w:name="_Toc337558734"/>
      <w:r>
        <w:rPr>
          <w:rFonts w:ascii="宋体" w:hAnsi="宋体" w:eastAsia="宋体" w:cs="宋体"/>
          <w:bCs/>
          <w:color w:val="000000" w:themeColor="text1"/>
          <w:kern w:val="0"/>
          <w:szCs w:val="21"/>
          <w:highlight w:val="none"/>
          <w14:textFill>
            <w14:solidFill>
              <w14:schemeClr w14:val="tx1"/>
            </w14:solidFill>
          </w14:textFill>
        </w:rPr>
        <w:t>.8严禁贿赂</w:t>
      </w:r>
      <w:bookmarkEnd w:id="147"/>
      <w:bookmarkEnd w:id="148"/>
    </w:p>
    <w:bookmarkEnd w:id="149"/>
    <w:bookmarkEnd w:id="150"/>
    <w:bookmarkEnd w:id="151"/>
    <w:p w14:paraId="71F028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合同当事人不得以贿赂或变相贿赂的方式，谋取非法利益或损害对方权益。因一方合同当事人的贿赂造成对方损失的，应赔偿损失，并承担相应的法律责任。</w:t>
      </w:r>
    </w:p>
    <w:p w14:paraId="2C05D40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承包人不得与监理人或发包人聘请的第三方串通损害发包人利益。未经发包人书面同意，承包人不得为监理人提供合同约定以外的通讯设备、交通工具及其他任何形式的利益，不得向监理人支付报酬。</w:t>
      </w:r>
    </w:p>
    <w:p w14:paraId="177135C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52" w:name="_Toc533863315"/>
      <w:bookmarkStart w:id="153" w:name="_Toc351203504"/>
      <w:r>
        <w:rPr>
          <w:rFonts w:ascii="宋体" w:hAnsi="宋体" w:eastAsia="宋体" w:cs="宋体"/>
          <w:bCs/>
          <w:color w:val="000000" w:themeColor="text1"/>
          <w:kern w:val="0"/>
          <w:szCs w:val="21"/>
          <w:highlight w:val="none"/>
          <w14:textFill>
            <w14:solidFill>
              <w14:schemeClr w14:val="tx1"/>
            </w14:solidFill>
          </w14:textFill>
        </w:rPr>
        <w:t>1</w:t>
      </w:r>
      <w:bookmarkStart w:id="154" w:name="_Toc296503036"/>
      <w:bookmarkStart w:id="155" w:name="_Toc337558735"/>
      <w:bookmarkStart w:id="156" w:name="_Toc296346537"/>
      <w:r>
        <w:rPr>
          <w:rFonts w:ascii="宋体" w:hAnsi="宋体" w:eastAsia="宋体" w:cs="宋体"/>
          <w:bCs/>
          <w:color w:val="000000" w:themeColor="text1"/>
          <w:kern w:val="0"/>
          <w:szCs w:val="21"/>
          <w:highlight w:val="none"/>
          <w14:textFill>
            <w14:solidFill>
              <w14:schemeClr w14:val="tx1"/>
            </w14:solidFill>
          </w14:textFill>
        </w:rPr>
        <w:t>.9化石、文物</w:t>
      </w:r>
      <w:bookmarkEnd w:id="152"/>
      <w:bookmarkEnd w:id="153"/>
    </w:p>
    <w:bookmarkEnd w:id="154"/>
    <w:bookmarkEnd w:id="155"/>
    <w:bookmarkEnd w:id="156"/>
    <w:p w14:paraId="5C398BC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437C1AF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发包人、监理人和承包人应按有关政府行政管理部门要求采取妥善的保护措施，由此增加的费用和（或）延误的工期由发包人承担。</w:t>
      </w:r>
    </w:p>
    <w:p w14:paraId="3C2FE8D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承包人发现文物后不及时报告或隐瞒不报，致使文物丢失或损坏的，应赔偿损失，并承担相应的法律责任。</w:t>
      </w:r>
    </w:p>
    <w:p w14:paraId="66C44FC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57" w:name="_Toc533863316"/>
      <w:bookmarkStart w:id="158" w:name="_Toc351203505"/>
      <w:r>
        <w:rPr>
          <w:rFonts w:ascii="宋体" w:hAnsi="宋体" w:eastAsia="宋体" w:cs="宋体"/>
          <w:bCs/>
          <w:color w:val="000000" w:themeColor="text1"/>
          <w:kern w:val="0"/>
          <w:szCs w:val="21"/>
          <w:highlight w:val="none"/>
          <w14:textFill>
            <w14:solidFill>
              <w14:schemeClr w14:val="tx1"/>
            </w14:solidFill>
          </w14:textFill>
        </w:rPr>
        <w:t>1</w:t>
      </w:r>
      <w:bookmarkStart w:id="159" w:name="_Toc337558736"/>
      <w:r>
        <w:rPr>
          <w:rFonts w:ascii="宋体" w:hAnsi="宋体" w:eastAsia="宋体" w:cs="宋体"/>
          <w:bCs/>
          <w:color w:val="000000" w:themeColor="text1"/>
          <w:kern w:val="0"/>
          <w:szCs w:val="21"/>
          <w:highlight w:val="none"/>
          <w14:textFill>
            <w14:solidFill>
              <w14:schemeClr w14:val="tx1"/>
            </w14:solidFill>
          </w14:textFill>
        </w:rPr>
        <w:t>.10交通运输</w:t>
      </w:r>
      <w:bookmarkEnd w:id="157"/>
      <w:bookmarkEnd w:id="158"/>
    </w:p>
    <w:bookmarkEnd w:id="159"/>
    <w:p w14:paraId="0CCF41C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1.10.1 </w:t>
      </w:r>
      <w:r>
        <w:rPr>
          <w:rFonts w:hint="eastAsia" w:ascii="宋体" w:hAnsi="宋体" w:eastAsia="宋体" w:cs="宋体"/>
          <w:color w:val="000000" w:themeColor="text1"/>
          <w:kern w:val="0"/>
          <w:szCs w:val="21"/>
          <w:highlight w:val="none"/>
          <w14:textFill>
            <w14:solidFill>
              <w14:schemeClr w14:val="tx1"/>
            </w14:solidFill>
          </w14:textFill>
        </w:rPr>
        <w:t>出入现场的权利</w:t>
      </w:r>
    </w:p>
    <w:p w14:paraId="3EA109C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C6BF2D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承包人应在订立合同前查勘施工现场，并根据工程规模及技术参数合理预见工程施工所需的进出施工现场的方式、手段、路径等。因承包人未合理预见所增加的费用和（或）延误的工期由承包人承担。</w:t>
      </w:r>
    </w:p>
    <w:p w14:paraId="6CC375D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1.10.2 </w:t>
      </w:r>
      <w:r>
        <w:rPr>
          <w:rFonts w:hint="eastAsia" w:ascii="宋体" w:hAnsi="宋体" w:eastAsia="宋体" w:cs="宋体"/>
          <w:color w:val="000000" w:themeColor="text1"/>
          <w:kern w:val="0"/>
          <w:szCs w:val="21"/>
          <w:highlight w:val="none"/>
          <w14:textFill>
            <w14:solidFill>
              <w14:schemeClr w14:val="tx1"/>
            </w14:solidFill>
          </w14:textFill>
        </w:rPr>
        <w:t>场外交通</w:t>
      </w:r>
    </w:p>
    <w:p w14:paraId="6FB8A97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4667BBA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1.10.3</w:t>
      </w:r>
      <w:r>
        <w:rPr>
          <w:rFonts w:hint="eastAsia" w:ascii="宋体" w:hAnsi="宋体" w:eastAsia="宋体" w:cs="宋体"/>
          <w:color w:val="000000" w:themeColor="text1"/>
          <w:kern w:val="0"/>
          <w:szCs w:val="21"/>
          <w:highlight w:val="none"/>
          <w14:textFill>
            <w14:solidFill>
              <w14:schemeClr w14:val="tx1"/>
            </w14:solidFill>
          </w14:textFill>
        </w:rPr>
        <w:t>场内交通</w:t>
      </w:r>
    </w:p>
    <w:p w14:paraId="6A4E9D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36BA24A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405FED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场外交通和场内交通的边界由合同当事人在专用合同条款中约定。</w:t>
      </w:r>
    </w:p>
    <w:p w14:paraId="73A7687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1.10.4 </w:t>
      </w:r>
      <w:r>
        <w:rPr>
          <w:rFonts w:hint="eastAsia" w:ascii="宋体" w:hAnsi="宋体" w:eastAsia="宋体" w:cs="宋体"/>
          <w:color w:val="000000" w:themeColor="text1"/>
          <w:kern w:val="0"/>
          <w:szCs w:val="21"/>
          <w:highlight w:val="none"/>
          <w14:textFill>
            <w14:solidFill>
              <w14:schemeClr w14:val="tx1"/>
            </w14:solidFill>
          </w14:textFill>
        </w:rPr>
        <w:t>超大件和超重件的运输</w:t>
      </w:r>
    </w:p>
    <w:p w14:paraId="32C933B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1164FF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1.10.5 </w:t>
      </w:r>
      <w:r>
        <w:rPr>
          <w:rFonts w:hint="eastAsia" w:ascii="宋体" w:hAnsi="宋体" w:eastAsia="宋体" w:cs="宋体"/>
          <w:color w:val="000000" w:themeColor="text1"/>
          <w:kern w:val="0"/>
          <w:szCs w:val="21"/>
          <w:highlight w:val="none"/>
          <w14:textFill>
            <w14:solidFill>
              <w14:schemeClr w14:val="tx1"/>
            </w14:solidFill>
          </w14:textFill>
        </w:rPr>
        <w:t>道路和桥梁的损坏责任</w:t>
      </w:r>
    </w:p>
    <w:p w14:paraId="3C0938C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因承包人运输造成施工场地内外公共道路和桥梁损坏的，由承包人承担修复损坏的全部费用和可能引起的赔偿。</w:t>
      </w:r>
    </w:p>
    <w:p w14:paraId="628119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1.10.6 </w:t>
      </w:r>
      <w:r>
        <w:rPr>
          <w:rFonts w:hint="eastAsia" w:ascii="宋体" w:hAnsi="宋体" w:eastAsia="宋体" w:cs="宋体"/>
          <w:color w:val="000000" w:themeColor="text1"/>
          <w:kern w:val="0"/>
          <w:szCs w:val="21"/>
          <w:highlight w:val="none"/>
          <w14:textFill>
            <w14:solidFill>
              <w14:schemeClr w14:val="tx1"/>
            </w14:solidFill>
          </w14:textFill>
        </w:rPr>
        <w:t>水路和航空运输</w:t>
      </w:r>
    </w:p>
    <w:p w14:paraId="155D374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本款前述各项的内容适用于水路运输和航空运输，其中</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道路</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一词的涵义包括河道、航线、船闸、机场、码头、堤防以及水路或航空运输中其他相似结构物；</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车辆</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一词的涵义包括船舶和飞机等。</w:t>
      </w:r>
    </w:p>
    <w:p w14:paraId="41737FD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0" w:name="_Toc533863317"/>
      <w:bookmarkStart w:id="161" w:name="_Toc351203506"/>
      <w:r>
        <w:rPr>
          <w:rFonts w:ascii="宋体" w:hAnsi="宋体" w:eastAsia="宋体" w:cs="宋体"/>
          <w:bCs/>
          <w:color w:val="000000" w:themeColor="text1"/>
          <w:kern w:val="0"/>
          <w:szCs w:val="21"/>
          <w:highlight w:val="none"/>
          <w14:textFill>
            <w14:solidFill>
              <w14:schemeClr w14:val="tx1"/>
            </w14:solidFill>
          </w14:textFill>
        </w:rPr>
        <w:t>1</w:t>
      </w:r>
      <w:bookmarkStart w:id="162" w:name="_Toc337558737"/>
      <w:bookmarkStart w:id="163" w:name="_Toc296503037"/>
      <w:bookmarkStart w:id="164" w:name="_Toc296346538"/>
      <w:r>
        <w:rPr>
          <w:rFonts w:ascii="宋体" w:hAnsi="宋体" w:eastAsia="宋体" w:cs="宋体"/>
          <w:bCs/>
          <w:color w:val="000000" w:themeColor="text1"/>
          <w:kern w:val="0"/>
          <w:szCs w:val="21"/>
          <w:highlight w:val="none"/>
          <w14:textFill>
            <w14:solidFill>
              <w14:schemeClr w14:val="tx1"/>
            </w14:solidFill>
          </w14:textFill>
        </w:rPr>
        <w:t>.11知识产权</w:t>
      </w:r>
      <w:bookmarkEnd w:id="160"/>
      <w:bookmarkEnd w:id="161"/>
      <w:r>
        <w:rPr>
          <w:rFonts w:ascii="宋体" w:hAnsi="宋体" w:eastAsia="宋体" w:cs="宋体"/>
          <w:bCs/>
          <w:color w:val="000000" w:themeColor="text1"/>
          <w:kern w:val="0"/>
          <w:szCs w:val="21"/>
          <w:highlight w:val="none"/>
          <w14:textFill>
            <w14:solidFill>
              <w14:schemeClr w14:val="tx1"/>
            </w14:solidFill>
          </w14:textFill>
        </w:rPr>
        <w:t xml:space="preserve"> </w:t>
      </w:r>
      <w:bookmarkEnd w:id="162"/>
    </w:p>
    <w:bookmarkEnd w:id="163"/>
    <w:bookmarkEnd w:id="164"/>
    <w:p w14:paraId="10C83EE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 </w:t>
      </w: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6FC808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1.11.2 </w:t>
      </w: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6A07304">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1.11.3 </w:t>
      </w:r>
      <w:r>
        <w:rPr>
          <w:rFonts w:hint="eastAsia" w:ascii="宋体" w:hAnsi="宋体" w:eastAsia="宋体" w:cs="宋体"/>
          <w:color w:val="000000" w:themeColor="text1"/>
          <w:kern w:val="0"/>
          <w:szCs w:val="21"/>
          <w:highlight w:val="none"/>
          <w14:textFill>
            <w14:solidFill>
              <w14:schemeClr w14:val="tx1"/>
            </w14:solidFill>
          </w14:textFill>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4E1DA9FD">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1.11.4 除专用合同条款另有约定外，承包人在合同签订前和签订时已确定采用的专利、专有技术、技术秘密的使用费已包含在签约合同价中。</w:t>
      </w:r>
    </w:p>
    <w:p w14:paraId="6B0E7438">
      <w:pPr>
        <w:rPr>
          <w:rFonts w:ascii="宋体" w:hAnsi="宋体" w:eastAsia="宋体" w:cs="宋体"/>
          <w:color w:val="000000" w:themeColor="text1"/>
          <w:highlight w:val="none"/>
          <w14:textFill>
            <w14:solidFill>
              <w14:schemeClr w14:val="tx1"/>
            </w14:solidFill>
          </w14:textFill>
        </w:rPr>
      </w:pPr>
    </w:p>
    <w:bookmarkEnd w:id="102"/>
    <w:p w14:paraId="3403334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5" w:name="_Toc533863318"/>
      <w:bookmarkStart w:id="166" w:name="_Toc351203507"/>
      <w:r>
        <w:rPr>
          <w:rFonts w:ascii="宋体" w:hAnsi="宋体" w:eastAsia="宋体" w:cs="宋体"/>
          <w:bCs/>
          <w:color w:val="000000" w:themeColor="text1"/>
          <w:kern w:val="0"/>
          <w:szCs w:val="21"/>
          <w:highlight w:val="none"/>
          <w14:textFill>
            <w14:solidFill>
              <w14:schemeClr w14:val="tx1"/>
            </w14:solidFill>
          </w14:textFill>
        </w:rPr>
        <w:t>1</w:t>
      </w:r>
      <w:bookmarkStart w:id="167" w:name="_Toc337558738"/>
      <w:r>
        <w:rPr>
          <w:rFonts w:ascii="宋体" w:hAnsi="宋体" w:eastAsia="宋体" w:cs="宋体"/>
          <w:bCs/>
          <w:color w:val="000000" w:themeColor="text1"/>
          <w:kern w:val="0"/>
          <w:szCs w:val="21"/>
          <w:highlight w:val="none"/>
          <w14:textFill>
            <w14:solidFill>
              <w14:schemeClr w14:val="tx1"/>
            </w14:solidFill>
          </w14:textFill>
        </w:rPr>
        <w:t>.12保密</w:t>
      </w:r>
      <w:bookmarkEnd w:id="165"/>
      <w:bookmarkEnd w:id="166"/>
    </w:p>
    <w:bookmarkEnd w:id="167"/>
    <w:p w14:paraId="003AB01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除法律规定或合同另有约定外，未经发包人同意，承包人不得将发包人提供的图纸、文件以及声明需要保密的资料信息等商业秘密泄露给第三方。</w:t>
      </w:r>
    </w:p>
    <w:p w14:paraId="6A49335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除法律规定或合同另有约定外，未经承包人同意，发包人不得将承包人提供的技术秘密及声明需要保密的资料信息等商业秘密泄露给第三方。</w:t>
      </w:r>
    </w:p>
    <w:p w14:paraId="2D793E8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8" w:name="_Toc533863319"/>
      <w:bookmarkStart w:id="169" w:name="_Toc351203508"/>
      <w:r>
        <w:rPr>
          <w:rFonts w:ascii="宋体" w:hAnsi="宋体" w:eastAsia="宋体" w:cs="宋体"/>
          <w:bCs/>
          <w:color w:val="000000" w:themeColor="text1"/>
          <w:kern w:val="0"/>
          <w:szCs w:val="21"/>
          <w:highlight w:val="none"/>
          <w14:textFill>
            <w14:solidFill>
              <w14:schemeClr w14:val="tx1"/>
            </w14:solidFill>
          </w14:textFill>
        </w:rPr>
        <w:t>1.13工程量清单错误的修正</w:t>
      </w:r>
      <w:bookmarkEnd w:id="168"/>
      <w:bookmarkEnd w:id="169"/>
    </w:p>
    <w:p w14:paraId="305C17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除专用合同条款另有约定外，发包人提供的工程量清单，应被认为是准确的和完整的。出现下列情形之一时，发包人应予以修正，并相应调整合同价格：</w:t>
      </w:r>
    </w:p>
    <w:p w14:paraId="59E2781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（1）工程量清单存在缺项、漏项的；</w:t>
      </w:r>
    </w:p>
    <w:p w14:paraId="57D815B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（2）工程量清单偏差超出专用合同条款约定的工程量偏差范围的；</w:t>
      </w:r>
    </w:p>
    <w:p w14:paraId="0DC0533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（3）未按照国家现行计量规范强制性规定计量的。</w:t>
      </w:r>
    </w:p>
    <w:p w14:paraId="0B44447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170" w:name="_Toc8087"/>
      <w:bookmarkStart w:id="171" w:name="_Toc533863320"/>
      <w:bookmarkStart w:id="172" w:name="_Toc351203509"/>
      <w:r>
        <w:rPr>
          <w:rFonts w:hint="eastAsia" w:ascii="宋体" w:hAnsi="宋体" w:eastAsia="宋体" w:cs="宋体"/>
          <w:bCs/>
          <w:color w:val="000000" w:themeColor="text1"/>
          <w:szCs w:val="21"/>
          <w:highlight w:val="none"/>
          <w14:textFill>
            <w14:solidFill>
              <w14:schemeClr w14:val="tx1"/>
            </w14:solidFill>
          </w14:textFill>
        </w:rPr>
        <w:t>2</w:t>
      </w:r>
      <w:bookmarkStart w:id="173" w:name="_Toc296503038"/>
      <w:bookmarkStart w:id="174" w:name="_Toc296346539"/>
      <w:bookmarkStart w:id="175" w:name="_Toc337558739"/>
      <w:bookmarkStart w:id="176" w:name="OLE_LINK1"/>
      <w:bookmarkStart w:id="177" w:name="OLE_LINK2"/>
      <w:r>
        <w:rPr>
          <w:rFonts w:hint="eastAsia" w:ascii="宋体" w:hAnsi="宋体" w:eastAsia="宋体" w:cs="宋体"/>
          <w:bCs/>
          <w:color w:val="000000" w:themeColor="text1"/>
          <w:szCs w:val="21"/>
          <w:highlight w:val="none"/>
          <w14:textFill>
            <w14:solidFill>
              <w14:schemeClr w14:val="tx1"/>
            </w14:solidFill>
          </w14:textFill>
        </w:rPr>
        <w:t>. 发包人</w:t>
      </w:r>
      <w:bookmarkEnd w:id="170"/>
      <w:bookmarkEnd w:id="171"/>
      <w:bookmarkEnd w:id="172"/>
    </w:p>
    <w:bookmarkEnd w:id="173"/>
    <w:bookmarkEnd w:id="174"/>
    <w:bookmarkEnd w:id="175"/>
    <w:p w14:paraId="1339662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78" w:name="_Toc351203510"/>
      <w:bookmarkStart w:id="179" w:name="_Toc533863321"/>
      <w:r>
        <w:rPr>
          <w:rFonts w:ascii="宋体" w:hAnsi="宋体" w:eastAsia="宋体" w:cs="宋体"/>
          <w:bCs/>
          <w:color w:val="000000" w:themeColor="text1"/>
          <w:kern w:val="0"/>
          <w:szCs w:val="21"/>
          <w:highlight w:val="none"/>
          <w14:textFill>
            <w14:solidFill>
              <w14:schemeClr w14:val="tx1"/>
            </w14:solidFill>
          </w14:textFill>
        </w:rPr>
        <w:t>2</w:t>
      </w:r>
      <w:bookmarkStart w:id="180" w:name="_Toc296503039"/>
      <w:bookmarkStart w:id="181" w:name="_Toc337558740"/>
      <w:bookmarkStart w:id="182" w:name="_Toc296346540"/>
      <w:r>
        <w:rPr>
          <w:rFonts w:ascii="宋体" w:hAnsi="宋体" w:eastAsia="宋体" w:cs="宋体"/>
          <w:bCs/>
          <w:color w:val="000000" w:themeColor="text1"/>
          <w:kern w:val="0"/>
          <w:szCs w:val="21"/>
          <w:highlight w:val="none"/>
          <w14:textFill>
            <w14:solidFill>
              <w14:schemeClr w14:val="tx1"/>
            </w14:solidFill>
          </w14:textFill>
        </w:rPr>
        <w:t>.1 许可或批准</w:t>
      </w:r>
      <w:bookmarkEnd w:id="178"/>
      <w:bookmarkEnd w:id="179"/>
    </w:p>
    <w:p w14:paraId="5B2031F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ABE358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因发包人原因未能及时办理完毕前述许可、批准或备案，由发包人承担由此增加的费用和（或）延误的工期，并支付承包人合理的利润。</w:t>
      </w:r>
    </w:p>
    <w:p w14:paraId="5E98BF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3" w:name="_Toc351203511"/>
      <w:bookmarkStart w:id="184" w:name="_Toc533863322"/>
      <w:r>
        <w:rPr>
          <w:rFonts w:ascii="宋体" w:hAnsi="宋体" w:eastAsia="宋体" w:cs="宋体"/>
          <w:bCs/>
          <w:color w:val="000000" w:themeColor="text1"/>
          <w:kern w:val="0"/>
          <w:szCs w:val="21"/>
          <w:highlight w:val="none"/>
          <w14:textFill>
            <w14:solidFill>
              <w14:schemeClr w14:val="tx1"/>
            </w14:solidFill>
          </w14:textFill>
        </w:rPr>
        <w:t>2.2 发包人代表</w:t>
      </w:r>
      <w:bookmarkEnd w:id="183"/>
      <w:bookmarkEnd w:id="184"/>
    </w:p>
    <w:p w14:paraId="04887CB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31238CD">
      <w:pPr>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发包人代表不能按照合同约定履行其职责及义务，并导致合同无法继续正常履行的，承包人可以要求发包人撤换发包人代表。</w:t>
      </w:r>
    </w:p>
    <w:p w14:paraId="6A3B9A32">
      <w:pPr>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不属于法定必须监理的工程，监理人的职权可以由发包人代表或发包人指定的其他人员行使。</w:t>
      </w:r>
    </w:p>
    <w:p w14:paraId="5D17C00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5" w:name="_Toc351203512"/>
      <w:bookmarkStart w:id="186" w:name="_Toc533863323"/>
      <w:r>
        <w:rPr>
          <w:rFonts w:ascii="宋体" w:hAnsi="宋体" w:eastAsia="宋体" w:cs="宋体"/>
          <w:bCs/>
          <w:color w:val="000000" w:themeColor="text1"/>
          <w:kern w:val="0"/>
          <w:szCs w:val="21"/>
          <w:highlight w:val="none"/>
          <w14:textFill>
            <w14:solidFill>
              <w14:schemeClr w14:val="tx1"/>
            </w14:solidFill>
          </w14:textFill>
        </w:rPr>
        <w:t>2.3 发包人人员</w:t>
      </w:r>
      <w:bookmarkEnd w:id="185"/>
      <w:bookmarkEnd w:id="186"/>
    </w:p>
    <w:p w14:paraId="3536C2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发包人应要求在施工现场的发包人人员遵守法律及有关安全、质量、环境保护、文明施工等规定，并保障承包人免于承受因发包人人员未遵守上述要求给承包人造成的损失和责任。</w:t>
      </w:r>
    </w:p>
    <w:p w14:paraId="6E51D71F">
      <w:pPr>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发包人人员包括发包人代表及其他由发包人派驻施工现场的人员。</w:t>
      </w:r>
      <w:bookmarkEnd w:id="180"/>
      <w:bookmarkEnd w:id="181"/>
      <w:bookmarkEnd w:id="182"/>
    </w:p>
    <w:p w14:paraId="6352021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7" w:name="_Toc351203513"/>
      <w:bookmarkStart w:id="188" w:name="_Toc533863324"/>
      <w:r>
        <w:rPr>
          <w:rFonts w:ascii="宋体" w:hAnsi="宋体" w:eastAsia="宋体" w:cs="宋体"/>
          <w:bCs/>
          <w:color w:val="000000" w:themeColor="text1"/>
          <w:kern w:val="0"/>
          <w:szCs w:val="21"/>
          <w:highlight w:val="none"/>
          <w14:textFill>
            <w14:solidFill>
              <w14:schemeClr w14:val="tx1"/>
            </w14:solidFill>
          </w14:textFill>
        </w:rPr>
        <w:t>2</w:t>
      </w:r>
      <w:bookmarkStart w:id="189" w:name="_Toc296346541"/>
      <w:bookmarkStart w:id="190" w:name="_Toc337558741"/>
      <w:bookmarkStart w:id="191" w:name="_Toc296503040"/>
      <w:r>
        <w:rPr>
          <w:rFonts w:ascii="宋体" w:hAnsi="宋体" w:eastAsia="宋体" w:cs="宋体"/>
          <w:bCs/>
          <w:color w:val="000000" w:themeColor="text1"/>
          <w:kern w:val="0"/>
          <w:szCs w:val="21"/>
          <w:highlight w:val="none"/>
          <w14:textFill>
            <w14:solidFill>
              <w14:schemeClr w14:val="tx1"/>
            </w14:solidFill>
          </w14:textFill>
        </w:rPr>
        <w:t>.4 施工现场、施工条件和基础资料的提供</w:t>
      </w:r>
      <w:bookmarkEnd w:id="187"/>
      <w:bookmarkEnd w:id="188"/>
      <w:r>
        <w:rPr>
          <w:rFonts w:ascii="宋体" w:hAnsi="宋体" w:eastAsia="宋体" w:cs="宋体"/>
          <w:bCs/>
          <w:color w:val="000000" w:themeColor="text1"/>
          <w:kern w:val="0"/>
          <w:szCs w:val="21"/>
          <w:highlight w:val="none"/>
          <w14:textFill>
            <w14:solidFill>
              <w14:schemeClr w14:val="tx1"/>
            </w14:solidFill>
          </w14:textFill>
        </w:rPr>
        <w:t xml:space="preserve"> </w:t>
      </w:r>
      <w:bookmarkEnd w:id="189"/>
      <w:bookmarkEnd w:id="190"/>
      <w:bookmarkEnd w:id="191"/>
      <w:r>
        <w:rPr>
          <w:rFonts w:ascii="宋体" w:hAnsi="宋体" w:eastAsia="宋体" w:cs="宋体"/>
          <w:bCs/>
          <w:color w:val="000000" w:themeColor="text1"/>
          <w:kern w:val="0"/>
          <w:szCs w:val="21"/>
          <w:highlight w:val="none"/>
          <w14:textFill>
            <w14:solidFill>
              <w14:schemeClr w14:val="tx1"/>
            </w14:solidFill>
          </w14:textFill>
        </w:rPr>
        <w:t xml:space="preserve"> </w:t>
      </w:r>
    </w:p>
    <w:p w14:paraId="2E7463C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2.4.1 提供施工现场</w:t>
      </w:r>
    </w:p>
    <w:p w14:paraId="5DCF5C4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w:t>
      </w:r>
      <w:bookmarkEnd w:id="176"/>
      <w:bookmarkEnd w:id="177"/>
      <w:r>
        <w:rPr>
          <w:rFonts w:hint="eastAsia" w:ascii="宋体" w:hAnsi="宋体" w:eastAsia="宋体" w:cs="宋体"/>
          <w:color w:val="000000" w:themeColor="text1"/>
          <w:kern w:val="0"/>
          <w:szCs w:val="21"/>
          <w:highlight w:val="none"/>
          <w14:textFill>
            <w14:solidFill>
              <w14:schemeClr w14:val="tx1"/>
            </w14:solidFill>
          </w14:textFill>
        </w:rPr>
        <w:t>专用合同条款另有约定外，发包人应最迟于开工日期7天前向承包人移交施工现场。</w:t>
      </w:r>
    </w:p>
    <w:p w14:paraId="12681DB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2.4.2 提供施工条件</w:t>
      </w:r>
    </w:p>
    <w:p w14:paraId="66F9632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除专用合同条款另有约定外，发包人应负责提供施工所需要的条件，包括：</w:t>
      </w:r>
    </w:p>
    <w:p w14:paraId="6D367BE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（1）将施工用水、电力、通讯线路等施工所必需的条件接至施工现场内；</w:t>
      </w:r>
    </w:p>
    <w:p w14:paraId="152BB43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（2）保证向承包人提供正常施工所需要的进入施工现场的交通条件；</w:t>
      </w:r>
    </w:p>
    <w:p w14:paraId="209B2D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（3）协调处理施工现场周围地下管线和邻近建筑物、构筑物、古树名木的保护工作，并承担相关费用；</w:t>
      </w:r>
    </w:p>
    <w:p w14:paraId="101A7B2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（4）按照专用合同条款约定应提供的其他设施和条件。</w:t>
      </w:r>
    </w:p>
    <w:p w14:paraId="3EBC9CB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2.4.3 提供基础资料</w:t>
      </w:r>
    </w:p>
    <w:p w14:paraId="041794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E20C5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按照法律规定确需在开工后方能提供的基础资料，发包人应尽其努力及时地在相应工程施工前的合理期限内提供，合理期限应以不影响承包人的正常施工为限。</w:t>
      </w:r>
    </w:p>
    <w:p w14:paraId="28C0EBE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2.4.4 逾期提供的责任</w:t>
      </w:r>
    </w:p>
    <w:p w14:paraId="63A247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因发包人原因未能按合同约定及时向承包人提供施工现场、施工条件、基础资料的，由发包人承担由此增加的费用和（或）延误的工期。</w:t>
      </w:r>
    </w:p>
    <w:p w14:paraId="186F640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2" w:name="_Toc533863325"/>
      <w:bookmarkStart w:id="193" w:name="_Toc351203514"/>
      <w:r>
        <w:rPr>
          <w:rFonts w:ascii="宋体" w:hAnsi="宋体" w:eastAsia="宋体" w:cs="宋体"/>
          <w:bCs/>
          <w:color w:val="000000" w:themeColor="text1"/>
          <w:kern w:val="0"/>
          <w:szCs w:val="21"/>
          <w:highlight w:val="none"/>
          <w14:textFill>
            <w14:solidFill>
              <w14:schemeClr w14:val="tx1"/>
            </w14:solidFill>
          </w14:textFill>
        </w:rPr>
        <w:t>2</w:t>
      </w:r>
      <w:bookmarkStart w:id="194" w:name="_Toc337558745"/>
      <w:bookmarkStart w:id="195" w:name="_Toc296346543"/>
      <w:bookmarkStart w:id="196" w:name="_Toc296503042"/>
      <w:r>
        <w:rPr>
          <w:rFonts w:ascii="宋体" w:hAnsi="宋体" w:eastAsia="宋体" w:cs="宋体"/>
          <w:bCs/>
          <w:color w:val="000000" w:themeColor="text1"/>
          <w:kern w:val="0"/>
          <w:szCs w:val="21"/>
          <w:highlight w:val="none"/>
          <w14:textFill>
            <w14:solidFill>
              <w14:schemeClr w14:val="tx1"/>
            </w14:solidFill>
          </w14:textFill>
        </w:rPr>
        <w:t>.5 资</w:t>
      </w:r>
      <w:bookmarkEnd w:id="194"/>
      <w:bookmarkEnd w:id="195"/>
      <w:bookmarkEnd w:id="196"/>
      <w:r>
        <w:rPr>
          <w:rFonts w:ascii="宋体" w:hAnsi="宋体" w:eastAsia="宋体" w:cs="宋体"/>
          <w:bCs/>
          <w:color w:val="000000" w:themeColor="text1"/>
          <w:kern w:val="0"/>
          <w:szCs w:val="21"/>
          <w:highlight w:val="none"/>
          <w14:textFill>
            <w14:solidFill>
              <w14:schemeClr w14:val="tx1"/>
            </w14:solidFill>
          </w14:textFill>
        </w:rPr>
        <w:t>金来源证明及支付担保</w:t>
      </w:r>
      <w:bookmarkEnd w:id="192"/>
      <w:bookmarkEnd w:id="193"/>
    </w:p>
    <w:p w14:paraId="7952347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除专用合同条款另有约定外，发包人应在收到承包人要求提供资金来源证明的书面通知后28天内，向承包人提供能够按照合同约定支付合同价款的相应资金来源证明。</w:t>
      </w:r>
    </w:p>
    <w:p w14:paraId="45EFA02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除专用合同条款另有约定外，发包人要求承包人提供履约担保的，发包人应当向承包人提供支付担保。支付担保可以采用银行保函或担保公司担保等形式，具体由合同当事人在专用合同条款中约定。</w:t>
      </w:r>
    </w:p>
    <w:p w14:paraId="7567D63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7" w:name="_Toc351203515"/>
      <w:bookmarkStart w:id="198" w:name="_Toc533863326"/>
      <w:r>
        <w:rPr>
          <w:rFonts w:ascii="宋体" w:hAnsi="宋体" w:eastAsia="宋体" w:cs="宋体"/>
          <w:bCs/>
          <w:color w:val="000000" w:themeColor="text1"/>
          <w:kern w:val="0"/>
          <w:szCs w:val="21"/>
          <w:highlight w:val="none"/>
          <w14:textFill>
            <w14:solidFill>
              <w14:schemeClr w14:val="tx1"/>
            </w14:solidFill>
          </w14:textFill>
        </w:rPr>
        <w:t>2.6 支付合同价款</w:t>
      </w:r>
      <w:bookmarkEnd w:id="197"/>
      <w:bookmarkEnd w:id="198"/>
    </w:p>
    <w:p w14:paraId="72ACD08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发包人应按合同约定向承包人及时支付合同价款。</w:t>
      </w:r>
    </w:p>
    <w:p w14:paraId="588434F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9" w:name="_Toc533863327"/>
      <w:bookmarkStart w:id="200" w:name="_Toc351203516"/>
      <w:r>
        <w:rPr>
          <w:rFonts w:ascii="宋体" w:hAnsi="宋体" w:eastAsia="宋体" w:cs="宋体"/>
          <w:bCs/>
          <w:color w:val="000000" w:themeColor="text1"/>
          <w:kern w:val="0"/>
          <w:szCs w:val="21"/>
          <w:highlight w:val="none"/>
          <w14:textFill>
            <w14:solidFill>
              <w14:schemeClr w14:val="tx1"/>
            </w14:solidFill>
          </w14:textFill>
        </w:rPr>
        <w:t>2.7 组织竣工验收</w:t>
      </w:r>
      <w:bookmarkEnd w:id="199"/>
      <w:bookmarkEnd w:id="200"/>
    </w:p>
    <w:p w14:paraId="045772B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发包人应按合同约定及时组织竣工验收。</w:t>
      </w:r>
    </w:p>
    <w:p w14:paraId="6F93FCD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01" w:name="_Toc351203517"/>
      <w:bookmarkStart w:id="202" w:name="_Toc533863328"/>
      <w:r>
        <w:rPr>
          <w:rFonts w:ascii="宋体" w:hAnsi="宋体" w:eastAsia="宋体" w:cs="宋体"/>
          <w:bCs/>
          <w:color w:val="000000" w:themeColor="text1"/>
          <w:kern w:val="0"/>
          <w:szCs w:val="21"/>
          <w:highlight w:val="none"/>
          <w14:textFill>
            <w14:solidFill>
              <w14:schemeClr w14:val="tx1"/>
            </w14:solidFill>
          </w14:textFill>
        </w:rPr>
        <w:t>2.8 现场统一管理协议</w:t>
      </w:r>
      <w:bookmarkEnd w:id="201"/>
      <w:bookmarkEnd w:id="202"/>
    </w:p>
    <w:p w14:paraId="3A0B2D3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发包人应与承包人、由发包人直接发包的专业工程的承包人签订施工现场统一管理协议，明确各方的权利义务。施工现场统一管理协议作为专用合同条款的附件。</w:t>
      </w:r>
    </w:p>
    <w:p w14:paraId="57E8ED38">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03" w:name="_Toc533863329"/>
      <w:bookmarkStart w:id="204" w:name="_Toc6970"/>
      <w:bookmarkStart w:id="205" w:name="_Toc351203518"/>
      <w:r>
        <w:rPr>
          <w:rFonts w:hint="eastAsia" w:ascii="宋体" w:hAnsi="宋体" w:eastAsia="宋体" w:cs="宋体"/>
          <w:bCs/>
          <w:color w:val="000000" w:themeColor="text1"/>
          <w:szCs w:val="21"/>
          <w:highlight w:val="none"/>
          <w14:textFill>
            <w14:solidFill>
              <w14:schemeClr w14:val="tx1"/>
            </w14:solidFill>
          </w14:textFill>
        </w:rPr>
        <w:t>3</w:t>
      </w:r>
      <w:bookmarkStart w:id="206" w:name="_Toc296346546"/>
      <w:bookmarkStart w:id="207" w:name="_Toc337558746"/>
      <w:bookmarkStart w:id="208" w:name="_Toc296503045"/>
      <w:r>
        <w:rPr>
          <w:rFonts w:hint="eastAsia" w:ascii="宋体" w:hAnsi="宋体" w:eastAsia="宋体" w:cs="宋体"/>
          <w:bCs/>
          <w:color w:val="000000" w:themeColor="text1"/>
          <w:szCs w:val="21"/>
          <w:highlight w:val="none"/>
          <w14:textFill>
            <w14:solidFill>
              <w14:schemeClr w14:val="tx1"/>
            </w14:solidFill>
          </w14:textFill>
        </w:rPr>
        <w:t>. 承包人</w:t>
      </w:r>
      <w:bookmarkEnd w:id="203"/>
      <w:bookmarkEnd w:id="204"/>
      <w:bookmarkEnd w:id="205"/>
    </w:p>
    <w:bookmarkEnd w:id="206"/>
    <w:bookmarkEnd w:id="207"/>
    <w:bookmarkEnd w:id="208"/>
    <w:p w14:paraId="5626642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09" w:name="_Toc351203519"/>
      <w:bookmarkStart w:id="210" w:name="_Toc533863330"/>
      <w:r>
        <w:rPr>
          <w:rFonts w:ascii="宋体" w:hAnsi="宋体" w:eastAsia="宋体" w:cs="宋体"/>
          <w:bCs/>
          <w:color w:val="000000" w:themeColor="text1"/>
          <w:kern w:val="0"/>
          <w:szCs w:val="21"/>
          <w:highlight w:val="none"/>
          <w14:textFill>
            <w14:solidFill>
              <w14:schemeClr w14:val="tx1"/>
            </w14:solidFill>
          </w14:textFill>
        </w:rPr>
        <w:t>3</w:t>
      </w:r>
      <w:bookmarkStart w:id="211" w:name="_Toc337558747"/>
      <w:bookmarkStart w:id="212" w:name="_Toc296503046"/>
      <w:bookmarkStart w:id="213" w:name="_Toc296346547"/>
      <w:r>
        <w:rPr>
          <w:rFonts w:ascii="宋体" w:hAnsi="宋体" w:eastAsia="宋体" w:cs="宋体"/>
          <w:bCs/>
          <w:color w:val="000000" w:themeColor="text1"/>
          <w:kern w:val="0"/>
          <w:szCs w:val="21"/>
          <w:highlight w:val="none"/>
          <w14:textFill>
            <w14:solidFill>
              <w14:schemeClr w14:val="tx1"/>
            </w14:solidFill>
          </w14:textFill>
        </w:rPr>
        <w:t>.1 承包人的一般义务</w:t>
      </w:r>
      <w:bookmarkEnd w:id="209"/>
      <w:bookmarkEnd w:id="210"/>
    </w:p>
    <w:bookmarkEnd w:id="211"/>
    <w:bookmarkEnd w:id="212"/>
    <w:bookmarkEnd w:id="213"/>
    <w:p w14:paraId="72633BD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承包人在履行合同过程中应遵守法律和工程建设标准规范，并履行以下义务：</w:t>
      </w:r>
    </w:p>
    <w:p w14:paraId="0A2E6B47">
      <w:pPr>
        <w:numPr>
          <w:ilvl w:val="0"/>
          <w:numId w:val="1"/>
        </w:num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办理法律规定应由承包人办理的许可和批准，并将办理结果书面报送发包人留存；</w:t>
      </w:r>
    </w:p>
    <w:p w14:paraId="7590D9C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（2）按法律规定和合同约定完成工程，并在保修期内承担保修义务；</w:t>
      </w:r>
    </w:p>
    <w:p w14:paraId="056D0F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（3）按法律规定和合同约定采取施工安全和环境保护措施，办理工伤保险，确保工程及人员、材料、设备和设施的安全；</w:t>
      </w:r>
    </w:p>
    <w:p w14:paraId="096F64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（4）按合同约定的工作内容和施工进度要求，编制施工组织设计和施工措施计划，并对所有施工作业和施工方法的完备性和安全可靠性负责；</w:t>
      </w:r>
    </w:p>
    <w:p w14:paraId="5A0B62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F5BC61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（6）按照第6.3款〔环境保护〕约定负责施工场地及其周边环境与生态的保护工作；</w:t>
      </w:r>
    </w:p>
    <w:p w14:paraId="42C5F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（7）按第6.1款〔安全文明施工〕约定采取施工安全措施，确保工程及其人员、材料、设备和设施的安全，防止因工程施工造成的人身伤害和财产损失；</w:t>
      </w:r>
    </w:p>
    <w:p w14:paraId="7418E0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（8）将发包人按合同约定支付的各项价款专用于合同工程，且应及时支付其雇用人员工资，并及时向分包人支付合同价款；</w:t>
      </w:r>
    </w:p>
    <w:p w14:paraId="428D1EA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（9）按照法律规定和合同约定编制竣工资料，完成竣工资料立卷及归档，并按专用合同条款约定的竣工资料的套数、内容、时间等要求移交发包人；</w:t>
      </w:r>
    </w:p>
    <w:p w14:paraId="67AC42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（10）应履行的其他义务。</w:t>
      </w:r>
    </w:p>
    <w:p w14:paraId="7A1E9A2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14" w:name="_Toc351203520"/>
      <w:bookmarkStart w:id="215" w:name="_Toc533863331"/>
      <w:r>
        <w:rPr>
          <w:rFonts w:ascii="宋体" w:hAnsi="宋体" w:eastAsia="宋体" w:cs="宋体"/>
          <w:bCs/>
          <w:color w:val="000000" w:themeColor="text1"/>
          <w:kern w:val="0"/>
          <w:szCs w:val="21"/>
          <w:highlight w:val="none"/>
          <w14:textFill>
            <w14:solidFill>
              <w14:schemeClr w14:val="tx1"/>
            </w14:solidFill>
          </w14:textFill>
        </w:rPr>
        <w:t>3</w:t>
      </w:r>
      <w:bookmarkStart w:id="216" w:name="_Toc337558748"/>
      <w:bookmarkStart w:id="217" w:name="_Toc296503047"/>
      <w:bookmarkStart w:id="218" w:name="_Toc296346548"/>
      <w:r>
        <w:rPr>
          <w:rFonts w:ascii="宋体" w:hAnsi="宋体" w:eastAsia="宋体" w:cs="宋体"/>
          <w:bCs/>
          <w:color w:val="000000" w:themeColor="text1"/>
          <w:kern w:val="0"/>
          <w:szCs w:val="21"/>
          <w:highlight w:val="none"/>
          <w14:textFill>
            <w14:solidFill>
              <w14:schemeClr w14:val="tx1"/>
            </w14:solidFill>
          </w14:textFill>
        </w:rPr>
        <w:t xml:space="preserve">.2 </w:t>
      </w:r>
      <w:bookmarkEnd w:id="214"/>
      <w:r>
        <w:rPr>
          <w:rFonts w:ascii="宋体" w:hAnsi="宋体" w:eastAsia="宋体" w:cs="宋体"/>
          <w:bCs/>
          <w:color w:val="000000" w:themeColor="text1"/>
          <w:kern w:val="0"/>
          <w:szCs w:val="21"/>
          <w:highlight w:val="none"/>
          <w14:textFill>
            <w14:solidFill>
              <w14:schemeClr w14:val="tx1"/>
            </w14:solidFill>
          </w14:textFill>
        </w:rPr>
        <w:t>项目经理</w:t>
      </w:r>
      <w:bookmarkEnd w:id="215"/>
    </w:p>
    <w:bookmarkEnd w:id="216"/>
    <w:bookmarkEnd w:id="217"/>
    <w:bookmarkEnd w:id="218"/>
    <w:p w14:paraId="7900F68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642625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3F4DF5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承包人违反上述约定的，应按照专用合同条款的约定，承担违约责任。</w:t>
      </w:r>
    </w:p>
    <w:p w14:paraId="3D9261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B41C5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19B183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F8FB6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3.2.5 项目经理因特殊情况授权其下属人员履行其某项工作职责的，该下属人员应具备履行相应职责的能力，并应提前7天将上述人员的姓名和授权范围书面通知监理人，并征得发包人书面同意。</w:t>
      </w:r>
    </w:p>
    <w:p w14:paraId="0715AB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19" w:name="_Toc351203521"/>
      <w:bookmarkStart w:id="220" w:name="_Toc533863332"/>
      <w:r>
        <w:rPr>
          <w:rFonts w:ascii="宋体" w:hAnsi="宋体" w:eastAsia="宋体" w:cs="宋体"/>
          <w:bCs/>
          <w:color w:val="000000" w:themeColor="text1"/>
          <w:kern w:val="0"/>
          <w:szCs w:val="21"/>
          <w:highlight w:val="none"/>
          <w14:textFill>
            <w14:solidFill>
              <w14:schemeClr w14:val="tx1"/>
            </w14:solidFill>
          </w14:textFill>
        </w:rPr>
        <w:t>3</w:t>
      </w:r>
      <w:bookmarkStart w:id="221" w:name="_Toc296346549"/>
      <w:bookmarkStart w:id="222" w:name="_Toc296503048"/>
      <w:bookmarkStart w:id="223" w:name="_Toc337558749"/>
      <w:r>
        <w:rPr>
          <w:rFonts w:ascii="宋体" w:hAnsi="宋体" w:eastAsia="宋体" w:cs="宋体"/>
          <w:bCs/>
          <w:color w:val="000000" w:themeColor="text1"/>
          <w:kern w:val="0"/>
          <w:szCs w:val="21"/>
          <w:highlight w:val="none"/>
          <w14:textFill>
            <w14:solidFill>
              <w14:schemeClr w14:val="tx1"/>
            </w14:solidFill>
          </w14:textFill>
        </w:rPr>
        <w:t xml:space="preserve">.3 </w:t>
      </w:r>
      <w:bookmarkEnd w:id="221"/>
      <w:bookmarkEnd w:id="222"/>
      <w:r>
        <w:rPr>
          <w:rFonts w:ascii="宋体" w:hAnsi="宋体" w:eastAsia="宋体" w:cs="宋体"/>
          <w:bCs/>
          <w:color w:val="000000" w:themeColor="text1"/>
          <w:kern w:val="0"/>
          <w:szCs w:val="21"/>
          <w:highlight w:val="none"/>
          <w14:textFill>
            <w14:solidFill>
              <w14:schemeClr w14:val="tx1"/>
            </w14:solidFill>
          </w14:textFill>
        </w:rPr>
        <w:t>承包人人员</w:t>
      </w:r>
      <w:bookmarkEnd w:id="219"/>
      <w:bookmarkEnd w:id="220"/>
    </w:p>
    <w:bookmarkEnd w:id="223"/>
    <w:p w14:paraId="4A12880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855C51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7C6718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特殊工种作业人员均应持有相应的资格证明，监理人可以随时检查。</w:t>
      </w:r>
    </w:p>
    <w:p w14:paraId="1B10C5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8EA647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670159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3.3.5 承包人擅自更换主要施工管理人员，或前述人员未经监理人或发包人同意擅自离开施工现场的，应按照专用合同条款约定承担违约责任。</w:t>
      </w:r>
    </w:p>
    <w:p w14:paraId="7EA25E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24" w:name="_Toc351203522"/>
      <w:bookmarkStart w:id="225" w:name="_Toc533863333"/>
      <w:r>
        <w:rPr>
          <w:rFonts w:ascii="宋体" w:hAnsi="宋体" w:eastAsia="宋体" w:cs="宋体"/>
          <w:bCs/>
          <w:color w:val="000000" w:themeColor="text1"/>
          <w:kern w:val="0"/>
          <w:szCs w:val="21"/>
          <w:highlight w:val="none"/>
          <w14:textFill>
            <w14:solidFill>
              <w14:schemeClr w14:val="tx1"/>
            </w14:solidFill>
          </w14:textFill>
        </w:rPr>
        <w:t>3</w:t>
      </w:r>
      <w:bookmarkStart w:id="226" w:name="_Toc337558750"/>
      <w:bookmarkStart w:id="227" w:name="_Toc296346551"/>
      <w:bookmarkStart w:id="228" w:name="_Toc296503050"/>
      <w:r>
        <w:rPr>
          <w:rFonts w:ascii="宋体" w:hAnsi="宋体" w:eastAsia="宋体" w:cs="宋体"/>
          <w:bCs/>
          <w:color w:val="000000" w:themeColor="text1"/>
          <w:kern w:val="0"/>
          <w:szCs w:val="21"/>
          <w:highlight w:val="none"/>
          <w14:textFill>
            <w14:solidFill>
              <w14:schemeClr w14:val="tx1"/>
            </w14:solidFill>
          </w14:textFill>
        </w:rPr>
        <w:t>.4 承包人现场查勘</w:t>
      </w:r>
      <w:bookmarkEnd w:id="224"/>
      <w:bookmarkEnd w:id="225"/>
    </w:p>
    <w:bookmarkEnd w:id="226"/>
    <w:bookmarkEnd w:id="227"/>
    <w:bookmarkEnd w:id="228"/>
    <w:p w14:paraId="228B6C66">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承包人应对基于发包人按照第2.4.3项〔提供基础资料〕提交的基础资料所做出的解释和推断负责，但因基础资料存在错误、遗漏导致承包人解释或推断失实的，由发包人承担责任。</w:t>
      </w:r>
    </w:p>
    <w:p w14:paraId="750BED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7B2CA2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29" w:name="_Toc533863334"/>
      <w:bookmarkStart w:id="230" w:name="_Toc351203523"/>
      <w:r>
        <w:rPr>
          <w:rFonts w:ascii="宋体" w:hAnsi="宋体" w:eastAsia="宋体" w:cs="宋体"/>
          <w:bCs/>
          <w:color w:val="000000" w:themeColor="text1"/>
          <w:kern w:val="0"/>
          <w:szCs w:val="21"/>
          <w:highlight w:val="none"/>
          <w14:textFill>
            <w14:solidFill>
              <w14:schemeClr w14:val="tx1"/>
            </w14:solidFill>
          </w14:textFill>
        </w:rPr>
        <w:t>3</w:t>
      </w:r>
      <w:bookmarkStart w:id="231" w:name="_Toc337558751"/>
      <w:bookmarkStart w:id="232" w:name="_Toc296503051"/>
      <w:bookmarkStart w:id="233" w:name="_Toc296346552"/>
      <w:r>
        <w:rPr>
          <w:rFonts w:ascii="宋体" w:hAnsi="宋体" w:eastAsia="宋体" w:cs="宋体"/>
          <w:bCs/>
          <w:color w:val="000000" w:themeColor="text1"/>
          <w:kern w:val="0"/>
          <w:szCs w:val="21"/>
          <w:highlight w:val="none"/>
          <w14:textFill>
            <w14:solidFill>
              <w14:schemeClr w14:val="tx1"/>
            </w14:solidFill>
          </w14:textFill>
        </w:rPr>
        <w:t>.5 分包</w:t>
      </w:r>
      <w:bookmarkEnd w:id="229"/>
      <w:bookmarkEnd w:id="230"/>
    </w:p>
    <w:bookmarkEnd w:id="231"/>
    <w:bookmarkEnd w:id="232"/>
    <w:bookmarkEnd w:id="233"/>
    <w:p w14:paraId="1EFAB8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3.5.1 分包的一般约定</w:t>
      </w:r>
    </w:p>
    <w:p w14:paraId="39A4BB6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F4E79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承包人不得以劳务分包的名义转包或违法分包工程。</w:t>
      </w:r>
    </w:p>
    <w:p w14:paraId="63E573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3.5.2 分包的确定</w:t>
      </w:r>
    </w:p>
    <w:p w14:paraId="0A948E4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2F44A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3.5.3 分包管理</w:t>
      </w:r>
    </w:p>
    <w:p w14:paraId="2BC0076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承包人应向监理人提交分包人的主要施工管理人员表，并对分包人的施工人员进行实名制管理，包括但不限于进出场管理、登记造册以及各种证照的办理。</w:t>
      </w:r>
    </w:p>
    <w:p w14:paraId="218815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3.5.4 分包合同价款</w:t>
      </w:r>
    </w:p>
    <w:p w14:paraId="7A21584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（1）除本项第（2）目约定的情况或专用合同条款另有约定外，分包合同价款由承包人与分包人结算，未经承包人同意，发包人不得向分包人支付分包工程价款；</w:t>
      </w:r>
    </w:p>
    <w:p w14:paraId="65F3740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（2）生效法律文书要求发包人向分包人支付分包合同价款的，发包人有权从应付承包人工程款中扣除该部分款项。</w:t>
      </w:r>
    </w:p>
    <w:p w14:paraId="74FB2AE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3.5.5 分包合同权益的转让</w:t>
      </w:r>
    </w:p>
    <w:p w14:paraId="57B5110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34" w:name="_Toc351203524"/>
    </w:p>
    <w:p w14:paraId="64D9CD2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35" w:name="_Toc533863335"/>
      <w:r>
        <w:rPr>
          <w:rFonts w:ascii="宋体" w:hAnsi="宋体" w:eastAsia="宋体" w:cs="宋体"/>
          <w:bCs/>
          <w:color w:val="000000" w:themeColor="text1"/>
          <w:kern w:val="0"/>
          <w:szCs w:val="21"/>
          <w:highlight w:val="none"/>
          <w14:textFill>
            <w14:solidFill>
              <w14:schemeClr w14:val="tx1"/>
            </w14:solidFill>
          </w14:textFill>
        </w:rPr>
        <w:t>3.6 工程照管与成品、半成品保护</w:t>
      </w:r>
      <w:bookmarkEnd w:id="234"/>
      <w:bookmarkEnd w:id="235"/>
    </w:p>
    <w:p w14:paraId="0BFDCB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（1）除专用合同条款另有约定外，自发包人向承包人移交施工现场之日起，承包人应负责照管工程及工程相关的材料、工程设备，直到颁发工程接收证书之日止。</w:t>
      </w:r>
    </w:p>
    <w:p w14:paraId="7CE0463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（2）在承包人负责照管期间，因承包人原因造成工程、材料、工程设备损坏的，由承包人负责修复或更换，并承担由此增加的费用和（或）延误的工期。</w:t>
      </w:r>
    </w:p>
    <w:p w14:paraId="321741D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（3）对合同内分期完成的成品和半成品，在工程接收证书颁发前，由承包人承担保护责任。因承包人原因造成成品或半成品损坏的，由承包人负责修复或更换，并承担由此增加的费用和（或）延误的工期。</w:t>
      </w:r>
    </w:p>
    <w:p w14:paraId="1E83B5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36" w:name="_Toc533863336"/>
      <w:bookmarkStart w:id="237" w:name="_Toc351203525"/>
      <w:r>
        <w:rPr>
          <w:rFonts w:ascii="宋体" w:hAnsi="宋体" w:eastAsia="宋体" w:cs="宋体"/>
          <w:bCs/>
          <w:color w:val="000000" w:themeColor="text1"/>
          <w:kern w:val="0"/>
          <w:szCs w:val="21"/>
          <w:highlight w:val="none"/>
          <w14:textFill>
            <w14:solidFill>
              <w14:schemeClr w14:val="tx1"/>
            </w14:solidFill>
          </w14:textFill>
        </w:rPr>
        <w:t>3</w:t>
      </w:r>
      <w:bookmarkStart w:id="238" w:name="_Toc337558752"/>
      <w:bookmarkStart w:id="239" w:name="_Toc296346553"/>
      <w:bookmarkStart w:id="240" w:name="_Toc296503052"/>
      <w:r>
        <w:rPr>
          <w:rFonts w:ascii="宋体" w:hAnsi="宋体" w:eastAsia="宋体" w:cs="宋体"/>
          <w:bCs/>
          <w:color w:val="000000" w:themeColor="text1"/>
          <w:kern w:val="0"/>
          <w:szCs w:val="21"/>
          <w:highlight w:val="none"/>
          <w14:textFill>
            <w14:solidFill>
              <w14:schemeClr w14:val="tx1"/>
            </w14:solidFill>
          </w14:textFill>
        </w:rPr>
        <w:t>.7 履约担保</w:t>
      </w:r>
      <w:bookmarkEnd w:id="236"/>
      <w:bookmarkEnd w:id="237"/>
    </w:p>
    <w:bookmarkEnd w:id="238"/>
    <w:bookmarkEnd w:id="239"/>
    <w:bookmarkEnd w:id="240"/>
    <w:p w14:paraId="3DCB334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E9A67A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因承包人原因导致工期延长的，继续提供履约担保所增加的费用由承包人承担；非因承包人原因导致工期延长的，继续提供履约担保所增加的费用由发包人承担。</w:t>
      </w:r>
    </w:p>
    <w:p w14:paraId="776926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41" w:name="_Toc351203526"/>
      <w:bookmarkStart w:id="242" w:name="_Toc533863337"/>
      <w:r>
        <w:rPr>
          <w:rFonts w:ascii="宋体" w:hAnsi="宋体" w:eastAsia="宋体" w:cs="宋体"/>
          <w:bCs/>
          <w:color w:val="000000" w:themeColor="text1"/>
          <w:kern w:val="0"/>
          <w:szCs w:val="21"/>
          <w:highlight w:val="none"/>
          <w14:textFill>
            <w14:solidFill>
              <w14:schemeClr w14:val="tx1"/>
            </w14:solidFill>
          </w14:textFill>
        </w:rPr>
        <w:t>3.8 联合体</w:t>
      </w:r>
      <w:bookmarkEnd w:id="241"/>
      <w:bookmarkEnd w:id="242"/>
    </w:p>
    <w:p w14:paraId="1237F96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3.8.1 联合体各方应共同与发包人签订合同协议书。联合体各方应为履行合同向发包人承担连带责任。</w:t>
      </w:r>
    </w:p>
    <w:p w14:paraId="3DBB2DA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3.8.2 联合体协议经发包人确认后作为合同附件。在履行合同过程中，未经发包人同意，不得修改联合体协议。</w:t>
      </w:r>
    </w:p>
    <w:p w14:paraId="4ABFC36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3.8.3 联合体牵头人负责与发包人和监理人联系，并接受指示，负责组织联合体各成员全面履行合同。</w:t>
      </w:r>
    </w:p>
    <w:p w14:paraId="2F56AAF9">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43" w:name="_Toc351203527"/>
      <w:bookmarkStart w:id="244" w:name="_Toc533863338"/>
      <w:bookmarkStart w:id="245" w:name="_Toc19613"/>
      <w:r>
        <w:rPr>
          <w:rFonts w:hint="eastAsia" w:ascii="宋体" w:hAnsi="宋体" w:eastAsia="宋体" w:cs="宋体"/>
          <w:bCs/>
          <w:color w:val="000000" w:themeColor="text1"/>
          <w:szCs w:val="21"/>
          <w:highlight w:val="none"/>
          <w14:textFill>
            <w14:solidFill>
              <w14:schemeClr w14:val="tx1"/>
            </w14:solidFill>
          </w14:textFill>
        </w:rPr>
        <w:t>4</w:t>
      </w:r>
      <w:bookmarkStart w:id="246" w:name="_Toc296346554"/>
      <w:bookmarkStart w:id="247" w:name="_Toc296503053"/>
      <w:bookmarkStart w:id="248" w:name="_Toc337558753"/>
      <w:r>
        <w:rPr>
          <w:rFonts w:hint="eastAsia" w:ascii="宋体" w:hAnsi="宋体" w:eastAsia="宋体" w:cs="宋体"/>
          <w:bCs/>
          <w:color w:val="000000" w:themeColor="text1"/>
          <w:szCs w:val="21"/>
          <w:highlight w:val="none"/>
          <w14:textFill>
            <w14:solidFill>
              <w14:schemeClr w14:val="tx1"/>
            </w14:solidFill>
          </w14:textFill>
        </w:rPr>
        <w:t>. 监</w:t>
      </w:r>
      <w:bookmarkEnd w:id="246"/>
      <w:bookmarkEnd w:id="247"/>
      <w:r>
        <w:rPr>
          <w:rFonts w:hint="eastAsia" w:ascii="宋体" w:hAnsi="宋体" w:eastAsia="宋体" w:cs="宋体"/>
          <w:bCs/>
          <w:color w:val="000000" w:themeColor="text1"/>
          <w:szCs w:val="21"/>
          <w:highlight w:val="none"/>
          <w14:textFill>
            <w14:solidFill>
              <w14:schemeClr w14:val="tx1"/>
            </w14:solidFill>
          </w14:textFill>
        </w:rPr>
        <w:t>理人</w:t>
      </w:r>
      <w:bookmarkEnd w:id="243"/>
      <w:bookmarkEnd w:id="244"/>
      <w:bookmarkEnd w:id="245"/>
    </w:p>
    <w:bookmarkEnd w:id="248"/>
    <w:p w14:paraId="5CDDF6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49" w:name="_Toc533863339"/>
      <w:bookmarkStart w:id="250" w:name="_Toc351203528"/>
      <w:r>
        <w:rPr>
          <w:rFonts w:ascii="宋体" w:hAnsi="宋体" w:eastAsia="宋体" w:cs="宋体"/>
          <w:bCs/>
          <w:color w:val="000000" w:themeColor="text1"/>
          <w:kern w:val="0"/>
          <w:szCs w:val="21"/>
          <w:highlight w:val="none"/>
          <w14:textFill>
            <w14:solidFill>
              <w14:schemeClr w14:val="tx1"/>
            </w14:solidFill>
          </w14:textFill>
        </w:rPr>
        <w:t>4</w:t>
      </w:r>
      <w:bookmarkStart w:id="251" w:name="_Toc296503054"/>
      <w:bookmarkStart w:id="252" w:name="_Toc337558754"/>
      <w:bookmarkStart w:id="253" w:name="_Toc296346555"/>
      <w:r>
        <w:rPr>
          <w:rFonts w:ascii="宋体" w:hAnsi="宋体" w:eastAsia="宋体" w:cs="宋体"/>
          <w:bCs/>
          <w:color w:val="000000" w:themeColor="text1"/>
          <w:kern w:val="0"/>
          <w:szCs w:val="21"/>
          <w:highlight w:val="none"/>
          <w14:textFill>
            <w14:solidFill>
              <w14:schemeClr w14:val="tx1"/>
            </w14:solidFill>
          </w14:textFill>
        </w:rPr>
        <w:t>.1监理人的一般规定</w:t>
      </w:r>
      <w:bookmarkEnd w:id="249"/>
      <w:bookmarkEnd w:id="250"/>
    </w:p>
    <w:bookmarkEnd w:id="251"/>
    <w:bookmarkEnd w:id="252"/>
    <w:bookmarkEnd w:id="253"/>
    <w:p w14:paraId="08468D7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1F90B41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除专用合同条款另有约定外，监理人在施工现场的办公场所、生活场所由承包人提供，所发生的费用由发包人承担。</w:t>
      </w:r>
    </w:p>
    <w:p w14:paraId="02528F7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54" w:name="_Toc533863340"/>
      <w:bookmarkStart w:id="255" w:name="_Toc351203529"/>
      <w:r>
        <w:rPr>
          <w:rFonts w:ascii="宋体" w:hAnsi="宋体" w:eastAsia="宋体" w:cs="宋体"/>
          <w:bCs/>
          <w:color w:val="000000" w:themeColor="text1"/>
          <w:kern w:val="0"/>
          <w:szCs w:val="21"/>
          <w:highlight w:val="none"/>
          <w14:textFill>
            <w14:solidFill>
              <w14:schemeClr w14:val="tx1"/>
            </w14:solidFill>
          </w14:textFill>
        </w:rPr>
        <w:t>4</w:t>
      </w:r>
      <w:bookmarkStart w:id="256" w:name="_Toc337558755"/>
      <w:r>
        <w:rPr>
          <w:rFonts w:ascii="宋体" w:hAnsi="宋体" w:eastAsia="宋体" w:cs="宋体"/>
          <w:bCs/>
          <w:color w:val="000000" w:themeColor="text1"/>
          <w:kern w:val="0"/>
          <w:szCs w:val="21"/>
          <w:highlight w:val="none"/>
          <w14:textFill>
            <w14:solidFill>
              <w14:schemeClr w14:val="tx1"/>
            </w14:solidFill>
          </w14:textFill>
        </w:rPr>
        <w:t>.2监理人员</w:t>
      </w:r>
      <w:bookmarkEnd w:id="254"/>
      <w:bookmarkEnd w:id="255"/>
    </w:p>
    <w:bookmarkEnd w:id="256"/>
    <w:p w14:paraId="6BDA646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6B39ACA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57" w:name="_Toc533863341"/>
      <w:bookmarkStart w:id="258" w:name="_Toc351203530"/>
      <w:r>
        <w:rPr>
          <w:rFonts w:ascii="宋体" w:hAnsi="宋体" w:eastAsia="宋体" w:cs="宋体"/>
          <w:bCs/>
          <w:color w:val="000000" w:themeColor="text1"/>
          <w:kern w:val="0"/>
          <w:szCs w:val="21"/>
          <w:highlight w:val="none"/>
          <w14:textFill>
            <w14:solidFill>
              <w14:schemeClr w14:val="tx1"/>
            </w14:solidFill>
          </w14:textFill>
        </w:rPr>
        <w:t>4</w:t>
      </w:r>
      <w:bookmarkStart w:id="259" w:name="_Toc296346556"/>
      <w:bookmarkStart w:id="260" w:name="_Toc296503055"/>
      <w:bookmarkStart w:id="261" w:name="_Toc337558756"/>
      <w:r>
        <w:rPr>
          <w:rFonts w:ascii="宋体" w:hAnsi="宋体" w:eastAsia="宋体" w:cs="宋体"/>
          <w:bCs/>
          <w:color w:val="000000" w:themeColor="text1"/>
          <w:kern w:val="0"/>
          <w:szCs w:val="21"/>
          <w:highlight w:val="none"/>
          <w14:textFill>
            <w14:solidFill>
              <w14:schemeClr w14:val="tx1"/>
            </w14:solidFill>
          </w14:textFill>
        </w:rPr>
        <w:t>.3</w:t>
      </w:r>
      <w:bookmarkEnd w:id="259"/>
      <w:bookmarkEnd w:id="260"/>
      <w:r>
        <w:rPr>
          <w:rFonts w:ascii="宋体" w:hAnsi="宋体" w:eastAsia="宋体" w:cs="宋体"/>
          <w:bCs/>
          <w:color w:val="000000" w:themeColor="text1"/>
          <w:kern w:val="0"/>
          <w:szCs w:val="21"/>
          <w:highlight w:val="none"/>
          <w14:textFill>
            <w14:solidFill>
              <w14:schemeClr w14:val="tx1"/>
            </w14:solidFill>
          </w14:textFill>
        </w:rPr>
        <w:t>监理人的指</w:t>
      </w:r>
      <w:bookmarkEnd w:id="261"/>
      <w:r>
        <w:rPr>
          <w:rFonts w:ascii="宋体" w:hAnsi="宋体" w:eastAsia="宋体" w:cs="宋体"/>
          <w:bCs/>
          <w:color w:val="000000" w:themeColor="text1"/>
          <w:kern w:val="0"/>
          <w:szCs w:val="21"/>
          <w:highlight w:val="none"/>
          <w14:textFill>
            <w14:solidFill>
              <w14:schemeClr w14:val="tx1"/>
            </w14:solidFill>
          </w14:textFill>
        </w:rPr>
        <w:t>示</w:t>
      </w:r>
      <w:bookmarkEnd w:id="257"/>
      <w:bookmarkEnd w:id="258"/>
    </w:p>
    <w:p w14:paraId="47A9BDE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049B85C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EE217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承包人对监理人发出的指示有疑问的，应向监理人提出书面异议，监理人应在48小时内对该指示予以确认、更改或撤销，监理人逾期未回复的，承包人有权拒绝执行上述指示。</w:t>
      </w:r>
    </w:p>
    <w:p w14:paraId="5BD1CA5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监理人对承包人的任何工作、工程或其采用的材料和工程设备未在约定的或合理期限内提出意见的，视为批准，但不免除或减轻承包人对该工作、工程、材料、工程设备等应承担的责任和义务。</w:t>
      </w:r>
    </w:p>
    <w:p w14:paraId="0B79729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62" w:name="_Toc533863342"/>
      <w:bookmarkStart w:id="263" w:name="_Toc351203531"/>
      <w:r>
        <w:rPr>
          <w:rFonts w:ascii="宋体" w:hAnsi="宋体" w:eastAsia="宋体" w:cs="宋体"/>
          <w:bCs/>
          <w:color w:val="000000" w:themeColor="text1"/>
          <w:kern w:val="0"/>
          <w:szCs w:val="21"/>
          <w:highlight w:val="none"/>
          <w14:textFill>
            <w14:solidFill>
              <w14:schemeClr w14:val="tx1"/>
            </w14:solidFill>
          </w14:textFill>
        </w:rPr>
        <w:t>4</w:t>
      </w:r>
      <w:bookmarkStart w:id="264" w:name="_Toc296346558"/>
      <w:bookmarkStart w:id="265" w:name="_Toc296503057"/>
      <w:bookmarkStart w:id="266" w:name="_Toc337558757"/>
      <w:r>
        <w:rPr>
          <w:rFonts w:ascii="宋体" w:hAnsi="宋体" w:eastAsia="宋体" w:cs="宋体"/>
          <w:bCs/>
          <w:color w:val="000000" w:themeColor="text1"/>
          <w:kern w:val="0"/>
          <w:szCs w:val="21"/>
          <w:highlight w:val="none"/>
          <w14:textFill>
            <w14:solidFill>
              <w14:schemeClr w14:val="tx1"/>
            </w14:solidFill>
          </w14:textFill>
        </w:rPr>
        <w:t>.4 商定或确定</w:t>
      </w:r>
      <w:bookmarkEnd w:id="262"/>
      <w:bookmarkEnd w:id="263"/>
    </w:p>
    <w:bookmarkEnd w:id="264"/>
    <w:bookmarkEnd w:id="265"/>
    <w:bookmarkEnd w:id="266"/>
    <w:p w14:paraId="4D8579D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合同当事人进行商定或确定时，总监理工程师应当会同合同当事人尽量通过协商达成一致，不能达成一致的，由总监理工程师按照合同约定审慎做出公正的确定。</w:t>
      </w:r>
    </w:p>
    <w:p w14:paraId="47D3FA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F84CCC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67" w:name="_Toc192"/>
      <w:bookmarkStart w:id="268" w:name="_Toc351203532"/>
      <w:bookmarkStart w:id="269" w:name="_Toc533863343"/>
      <w:r>
        <w:rPr>
          <w:rFonts w:hint="eastAsia" w:ascii="宋体" w:hAnsi="宋体" w:eastAsia="宋体" w:cs="宋体"/>
          <w:bCs/>
          <w:color w:val="000000" w:themeColor="text1"/>
          <w:szCs w:val="21"/>
          <w:highlight w:val="none"/>
          <w14:textFill>
            <w14:solidFill>
              <w14:schemeClr w14:val="tx1"/>
            </w14:solidFill>
          </w14:textFill>
        </w:rPr>
        <w:t>5</w:t>
      </w:r>
      <w:bookmarkStart w:id="270" w:name="_Toc337558758"/>
      <w:r>
        <w:rPr>
          <w:rFonts w:hint="eastAsia" w:ascii="宋体" w:hAnsi="宋体" w:eastAsia="宋体" w:cs="宋体"/>
          <w:bCs/>
          <w:color w:val="000000" w:themeColor="text1"/>
          <w:szCs w:val="21"/>
          <w:highlight w:val="none"/>
          <w14:textFill>
            <w14:solidFill>
              <w14:schemeClr w14:val="tx1"/>
            </w14:solidFill>
          </w14:textFill>
        </w:rPr>
        <w:t>. 工程质量</w:t>
      </w:r>
      <w:bookmarkEnd w:id="267"/>
      <w:bookmarkEnd w:id="268"/>
      <w:bookmarkEnd w:id="269"/>
    </w:p>
    <w:bookmarkEnd w:id="270"/>
    <w:p w14:paraId="2A9AA3E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1" w:name="_Toc533863344"/>
      <w:bookmarkStart w:id="272" w:name="_Toc351203533"/>
      <w:r>
        <w:rPr>
          <w:rFonts w:ascii="宋体" w:hAnsi="宋体" w:eastAsia="宋体" w:cs="宋体"/>
          <w:bCs/>
          <w:color w:val="000000" w:themeColor="text1"/>
          <w:kern w:val="0"/>
          <w:szCs w:val="21"/>
          <w:highlight w:val="none"/>
          <w14:textFill>
            <w14:solidFill>
              <w14:schemeClr w14:val="tx1"/>
            </w14:solidFill>
          </w14:textFill>
        </w:rPr>
        <w:t>5</w:t>
      </w:r>
      <w:bookmarkStart w:id="273" w:name="_Toc337558759"/>
      <w:r>
        <w:rPr>
          <w:rFonts w:ascii="宋体" w:hAnsi="宋体" w:eastAsia="宋体" w:cs="宋体"/>
          <w:bCs/>
          <w:color w:val="000000" w:themeColor="text1"/>
          <w:kern w:val="0"/>
          <w:szCs w:val="21"/>
          <w:highlight w:val="none"/>
          <w14:textFill>
            <w14:solidFill>
              <w14:schemeClr w14:val="tx1"/>
            </w14:solidFill>
          </w14:textFill>
        </w:rPr>
        <w:t>.1质量要求</w:t>
      </w:r>
      <w:bookmarkEnd w:id="271"/>
      <w:bookmarkEnd w:id="272"/>
    </w:p>
    <w:bookmarkEnd w:id="273"/>
    <w:p w14:paraId="532BD86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5.1.1 工程质量标准必须符合现行国家有关工程施工质量验收规范和标准的要求。有关工程质量的特殊标准或要求由合同当事人在专用合同条款中约定。</w:t>
      </w:r>
    </w:p>
    <w:p w14:paraId="3DD348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5.1.2 因发包人原因造成工程质量未达到合同约定标准的，由发包人承担由此增加的费用和（或）延误的工期，并支付承包人合理的利润。</w:t>
      </w:r>
    </w:p>
    <w:p w14:paraId="3C8389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5.1.3 因承包人原因造成工程质量未达到合同约定标准的，发包人有权要求承包人返工直至工程质量达到合同约定的标准为止，并由承包人承担由此增加的费用和（或）延误的工期。</w:t>
      </w:r>
    </w:p>
    <w:p w14:paraId="7A9DAB4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4" w:name="_Toc533863345"/>
      <w:bookmarkStart w:id="275" w:name="_Toc351203534"/>
      <w:r>
        <w:rPr>
          <w:rFonts w:ascii="宋体" w:hAnsi="宋体" w:eastAsia="宋体" w:cs="宋体"/>
          <w:bCs/>
          <w:color w:val="000000" w:themeColor="text1"/>
          <w:kern w:val="0"/>
          <w:szCs w:val="21"/>
          <w:highlight w:val="none"/>
          <w14:textFill>
            <w14:solidFill>
              <w14:schemeClr w14:val="tx1"/>
            </w14:solidFill>
          </w14:textFill>
        </w:rPr>
        <w:t>5</w:t>
      </w:r>
      <w:bookmarkStart w:id="276" w:name="_Toc337558760"/>
      <w:r>
        <w:rPr>
          <w:rFonts w:ascii="宋体" w:hAnsi="宋体" w:eastAsia="宋体" w:cs="宋体"/>
          <w:bCs/>
          <w:color w:val="000000" w:themeColor="text1"/>
          <w:kern w:val="0"/>
          <w:szCs w:val="21"/>
          <w:highlight w:val="none"/>
          <w14:textFill>
            <w14:solidFill>
              <w14:schemeClr w14:val="tx1"/>
            </w14:solidFill>
          </w14:textFill>
        </w:rPr>
        <w:t>.2质量保证措施</w:t>
      </w:r>
      <w:bookmarkEnd w:id="274"/>
      <w:bookmarkEnd w:id="275"/>
    </w:p>
    <w:bookmarkEnd w:id="276"/>
    <w:p w14:paraId="17FFF99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5.2.1 发包人的质量管理</w:t>
      </w:r>
    </w:p>
    <w:p w14:paraId="790C28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发包人应按照法律规定及合同约定完成与工程质量有关的各项工作。</w:t>
      </w:r>
    </w:p>
    <w:p w14:paraId="160CED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5.2.2 承包人的质量管理</w:t>
      </w:r>
    </w:p>
    <w:p w14:paraId="2609EC0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267464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承包人应对施工人员进行质量教育和技术培训，定期考核施工人员的劳动技能，严格执行施工规范和操作规程。</w:t>
      </w:r>
    </w:p>
    <w:p w14:paraId="50841B9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DD89FC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5.2.3 监理人的质量检查和检验</w:t>
      </w:r>
    </w:p>
    <w:p w14:paraId="55F630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52E39A4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37BCD5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7" w:name="_Toc533863346"/>
      <w:bookmarkStart w:id="278" w:name="_Toc351203535"/>
      <w:r>
        <w:rPr>
          <w:rFonts w:ascii="宋体" w:hAnsi="宋体" w:eastAsia="宋体" w:cs="宋体"/>
          <w:bCs/>
          <w:color w:val="000000" w:themeColor="text1"/>
          <w:kern w:val="0"/>
          <w:szCs w:val="21"/>
          <w:highlight w:val="none"/>
          <w14:textFill>
            <w14:solidFill>
              <w14:schemeClr w14:val="tx1"/>
            </w14:solidFill>
          </w14:textFill>
        </w:rPr>
        <w:t>5</w:t>
      </w:r>
      <w:bookmarkStart w:id="279" w:name="_Toc337558761"/>
      <w:r>
        <w:rPr>
          <w:rFonts w:ascii="宋体" w:hAnsi="宋体" w:eastAsia="宋体" w:cs="宋体"/>
          <w:bCs/>
          <w:color w:val="000000" w:themeColor="text1"/>
          <w:kern w:val="0"/>
          <w:szCs w:val="21"/>
          <w:highlight w:val="none"/>
          <w14:textFill>
            <w14:solidFill>
              <w14:schemeClr w14:val="tx1"/>
            </w14:solidFill>
          </w14:textFill>
        </w:rPr>
        <w:t>.3 隐蔽工程检查</w:t>
      </w:r>
      <w:bookmarkEnd w:id="277"/>
      <w:bookmarkEnd w:id="278"/>
    </w:p>
    <w:bookmarkEnd w:id="279"/>
    <w:p w14:paraId="1CE87DE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5.3.1承包人自检</w:t>
      </w:r>
    </w:p>
    <w:p w14:paraId="22F93E7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承包人应当对工程隐蔽部位进行自检，并经自检确认是否具备覆盖条件。</w:t>
      </w:r>
    </w:p>
    <w:p w14:paraId="24F691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5.3.2检查程序</w:t>
      </w:r>
    </w:p>
    <w:p w14:paraId="0522101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C37C8D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A642EC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E86B21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5.3.3 重新检查</w:t>
      </w:r>
    </w:p>
    <w:p w14:paraId="7B4119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C1D8DC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5.3.4 承包人私自覆盖</w:t>
      </w:r>
    </w:p>
    <w:p w14:paraId="4FAA7A5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承包人未通知监理人到场检查，私自将工程隐蔽部位覆盖的，监理人有权指示承包人钻孔探测或揭开检查，无论工程隐蔽部位质量是否合格，由此增加的费用和（或）延误的工期均由承包人承担。</w:t>
      </w:r>
    </w:p>
    <w:p w14:paraId="0C7B537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0" w:name="_Toc351203536"/>
      <w:bookmarkStart w:id="281" w:name="_Toc533863347"/>
      <w:r>
        <w:rPr>
          <w:rFonts w:ascii="宋体" w:hAnsi="宋体" w:eastAsia="宋体" w:cs="宋体"/>
          <w:bCs/>
          <w:color w:val="000000" w:themeColor="text1"/>
          <w:kern w:val="0"/>
          <w:szCs w:val="21"/>
          <w:highlight w:val="none"/>
          <w14:textFill>
            <w14:solidFill>
              <w14:schemeClr w14:val="tx1"/>
            </w14:solidFill>
          </w14:textFill>
        </w:rPr>
        <w:t>5</w:t>
      </w:r>
      <w:bookmarkStart w:id="282" w:name="_Toc337558762"/>
      <w:r>
        <w:rPr>
          <w:rFonts w:ascii="宋体" w:hAnsi="宋体" w:eastAsia="宋体" w:cs="宋体"/>
          <w:bCs/>
          <w:color w:val="000000" w:themeColor="text1"/>
          <w:kern w:val="0"/>
          <w:szCs w:val="21"/>
          <w:highlight w:val="none"/>
          <w14:textFill>
            <w14:solidFill>
              <w14:schemeClr w14:val="tx1"/>
            </w14:solidFill>
          </w14:textFill>
        </w:rPr>
        <w:t>.4不合格工程的处理</w:t>
      </w:r>
      <w:bookmarkEnd w:id="280"/>
      <w:bookmarkEnd w:id="281"/>
    </w:p>
    <w:bookmarkEnd w:id="282"/>
    <w:p w14:paraId="05C1797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6FAE555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5.4.2 因发包人原因造成工程不合格的，由此增加的费用和（或）延误的工期由发包人承担，并支付承包人合理的利润。</w:t>
      </w:r>
    </w:p>
    <w:p w14:paraId="27A88A6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3" w:name="_Toc351203537"/>
      <w:bookmarkStart w:id="284" w:name="_Toc533863348"/>
      <w:r>
        <w:rPr>
          <w:rFonts w:ascii="宋体" w:hAnsi="宋体" w:eastAsia="宋体" w:cs="宋体"/>
          <w:bCs/>
          <w:color w:val="000000" w:themeColor="text1"/>
          <w:kern w:val="0"/>
          <w:szCs w:val="21"/>
          <w:highlight w:val="none"/>
          <w14:textFill>
            <w14:solidFill>
              <w14:schemeClr w14:val="tx1"/>
            </w14:solidFill>
          </w14:textFill>
        </w:rPr>
        <w:t>5.5 质量争议检测</w:t>
      </w:r>
      <w:bookmarkEnd w:id="283"/>
      <w:bookmarkEnd w:id="284"/>
    </w:p>
    <w:p w14:paraId="126CD79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合同当事人对工程质量有争议的，由双方协商确定的工程质量检测机构鉴定，由此产生的费用及因此造成的损失，由责任方承担。</w:t>
      </w:r>
    </w:p>
    <w:p w14:paraId="20A919D7">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合同当事人均有责任的，由双方根据其责任分别承担。合同当事人无法达成一致的，按照第4.4款〔商定或确定〕执行。</w:t>
      </w:r>
    </w:p>
    <w:p w14:paraId="2139B62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85" w:name="_Toc351203538"/>
      <w:bookmarkStart w:id="286" w:name="_Toc11232"/>
      <w:bookmarkStart w:id="287" w:name="_Toc533863349"/>
      <w:r>
        <w:rPr>
          <w:rFonts w:hint="eastAsia" w:ascii="宋体" w:hAnsi="宋体" w:eastAsia="宋体" w:cs="宋体"/>
          <w:bCs/>
          <w:color w:val="000000" w:themeColor="text1"/>
          <w:szCs w:val="21"/>
          <w:highlight w:val="none"/>
          <w14:textFill>
            <w14:solidFill>
              <w14:schemeClr w14:val="tx1"/>
            </w14:solidFill>
          </w14:textFill>
        </w:rPr>
        <w:t>6</w:t>
      </w:r>
      <w:bookmarkStart w:id="288" w:name="_Toc337558763"/>
      <w:r>
        <w:rPr>
          <w:rFonts w:hint="eastAsia" w:ascii="宋体" w:hAnsi="宋体" w:eastAsia="宋体" w:cs="宋体"/>
          <w:bCs/>
          <w:color w:val="000000" w:themeColor="text1"/>
          <w:szCs w:val="21"/>
          <w:highlight w:val="none"/>
          <w14:textFill>
            <w14:solidFill>
              <w14:schemeClr w14:val="tx1"/>
            </w14:solidFill>
          </w14:textFill>
        </w:rPr>
        <w:t>. 安全文明施工与环境保护</w:t>
      </w:r>
      <w:bookmarkEnd w:id="285"/>
      <w:bookmarkEnd w:id="286"/>
      <w:bookmarkEnd w:id="287"/>
    </w:p>
    <w:bookmarkEnd w:id="288"/>
    <w:p w14:paraId="1BF21C7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9" w:name="_Toc533863350"/>
      <w:bookmarkStart w:id="290" w:name="_Toc351203539"/>
      <w:r>
        <w:rPr>
          <w:rFonts w:ascii="宋体" w:hAnsi="宋体" w:eastAsia="宋体" w:cs="宋体"/>
          <w:bCs/>
          <w:color w:val="000000" w:themeColor="text1"/>
          <w:kern w:val="0"/>
          <w:szCs w:val="21"/>
          <w:highlight w:val="none"/>
          <w14:textFill>
            <w14:solidFill>
              <w14:schemeClr w14:val="tx1"/>
            </w14:solidFill>
          </w14:textFill>
        </w:rPr>
        <w:t>6</w:t>
      </w:r>
      <w:bookmarkStart w:id="291" w:name="_Toc337558764"/>
      <w:r>
        <w:rPr>
          <w:rFonts w:ascii="宋体" w:hAnsi="宋体" w:eastAsia="宋体" w:cs="宋体"/>
          <w:bCs/>
          <w:color w:val="000000" w:themeColor="text1"/>
          <w:kern w:val="0"/>
          <w:szCs w:val="21"/>
          <w:highlight w:val="none"/>
          <w14:textFill>
            <w14:solidFill>
              <w14:schemeClr w14:val="tx1"/>
            </w14:solidFill>
          </w14:textFill>
        </w:rPr>
        <w:t>.1安全文明施工</w:t>
      </w:r>
      <w:bookmarkEnd w:id="289"/>
      <w:bookmarkEnd w:id="290"/>
    </w:p>
    <w:bookmarkEnd w:id="291"/>
    <w:p w14:paraId="0567392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6.1.1安全生产要求</w:t>
      </w:r>
    </w:p>
    <w:p w14:paraId="2D2AC86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06B9BC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000000" w:themeColor="text1"/>
          <w:kern w:val="0"/>
          <w:szCs w:val="21"/>
          <w:highlight w:val="none"/>
          <w14:textFill>
            <w14:solidFill>
              <w14:schemeClr w14:val="tx1"/>
            </w14:solidFill>
          </w14:textFill>
        </w:rPr>
        <w:t>政府有关行政管理部门</w:t>
      </w:r>
      <w:r>
        <w:rPr>
          <w:rFonts w:hint="eastAsia" w:ascii="宋体" w:hAnsi="宋体" w:eastAsia="宋体" w:cs="宋体"/>
          <w:color w:val="000000" w:themeColor="text1"/>
          <w:szCs w:val="21"/>
          <w:highlight w:val="none"/>
          <w14:textFill>
            <w14:solidFill>
              <w14:schemeClr w14:val="tx1"/>
            </w14:solidFill>
          </w14:textFill>
        </w:rPr>
        <w:t>采取应急措施。</w:t>
      </w:r>
    </w:p>
    <w:p w14:paraId="620E2F4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因安全生产需要暂停施工的，按照第7.8款〔暂停施工〕的约定执行。</w:t>
      </w:r>
    </w:p>
    <w:p w14:paraId="2DDBD69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 安全生产保证措施</w:t>
      </w:r>
    </w:p>
    <w:p w14:paraId="64BB94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承包人应当按照有关</w:t>
      </w:r>
      <w:r>
        <w:rPr>
          <w:rFonts w:hint="eastAsia" w:ascii="宋体" w:hAnsi="宋体" w:eastAsia="宋体" w:cs="宋体"/>
          <w:color w:val="000000" w:themeColor="text1"/>
          <w:kern w:val="0"/>
          <w:szCs w:val="21"/>
          <w:highlight w:val="none"/>
          <w14:textFill>
            <w14:solidFill>
              <w14:schemeClr w14:val="tx1"/>
            </w14:solidFill>
          </w14:textFill>
        </w:rPr>
        <w:t>规定编制安全技术措施或者专项施工方案，</w:t>
      </w:r>
      <w:r>
        <w:rPr>
          <w:rFonts w:hint="eastAsia" w:ascii="宋体" w:hAnsi="宋体" w:eastAsia="宋体" w:cs="宋体"/>
          <w:color w:val="000000" w:themeColor="text1"/>
          <w:szCs w:val="21"/>
          <w:highlight w:val="none"/>
          <w14:textFill>
            <w14:solidFill>
              <w14:schemeClr w14:val="tx1"/>
            </w14:solidFill>
          </w14:textFill>
        </w:rPr>
        <w:t>建立安全生产责任制度、治安保卫制度及安全生产教育培训制度，并</w:t>
      </w:r>
      <w:r>
        <w:rPr>
          <w:rFonts w:hint="eastAsia" w:ascii="宋体" w:hAnsi="宋体" w:eastAsia="宋体" w:cs="宋体"/>
          <w:color w:val="000000" w:themeColor="text1"/>
          <w:kern w:val="0"/>
          <w:szCs w:val="21"/>
          <w:highlight w:val="none"/>
          <w14:textFill>
            <w14:solidFill>
              <w14:schemeClr w14:val="tx1"/>
            </w14:solidFill>
          </w14:textFill>
        </w:rPr>
        <w:t>按安全生产法律规定及合同约定履行安全职责，如实</w:t>
      </w:r>
      <w:r>
        <w:rPr>
          <w:rFonts w:hint="eastAsia" w:ascii="宋体" w:hAnsi="宋体" w:eastAsia="宋体" w:cs="宋体"/>
          <w:color w:val="000000" w:themeColor="text1"/>
          <w:szCs w:val="21"/>
          <w:highlight w:val="none"/>
          <w14:textFill>
            <w14:solidFill>
              <w14:schemeClr w14:val="tx1"/>
            </w14:solidFill>
          </w14:textFill>
        </w:rPr>
        <w:t>编制工程安全生产的有关记录，</w:t>
      </w:r>
      <w:r>
        <w:rPr>
          <w:rFonts w:hint="eastAsia" w:ascii="宋体" w:hAnsi="宋体" w:eastAsia="宋体" w:cs="宋体"/>
          <w:color w:val="000000" w:themeColor="text1"/>
          <w:kern w:val="0"/>
          <w:szCs w:val="21"/>
          <w:highlight w:val="none"/>
          <w14:textFill>
            <w14:solidFill>
              <w14:schemeClr w14:val="tx1"/>
            </w14:solidFill>
          </w14:textFill>
        </w:rPr>
        <w:t>接受发包人、监理人及政府安全监督部门的检查与监督。</w:t>
      </w:r>
    </w:p>
    <w:p w14:paraId="12F57BD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6.1.3特别安全生产事项</w:t>
      </w:r>
    </w:p>
    <w:p w14:paraId="7E45A4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FAD159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承包人在动力设备、输电线路、地下管道、密封防震车间、易燃易爆地段以及临街交通要道附近施工时，施工开始前应向发包人和监理人提出安全防护措施，经发包人认可后实施。 </w:t>
      </w:r>
    </w:p>
    <w:p w14:paraId="4CDC38B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实施爆破作业，在放射、毒害性环境中施工（含储存、运输、使用）及使用毒害性、腐蚀性物品施工时，承包人应在施工前7天以书面通知发包人和监理人，并报送相应的安全防护措施，经发包人认可后实施。</w:t>
      </w:r>
    </w:p>
    <w:p w14:paraId="35336A3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需单独编制危险性较大分部分项专项工程施工方案的，及要求进行专家论证的超过一定规模的危险性较大的分部分项工程，承包人应及时编制和组织论证。</w:t>
      </w:r>
    </w:p>
    <w:p w14:paraId="4EA2BE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 治安保卫</w:t>
      </w:r>
    </w:p>
    <w:p w14:paraId="49FAAD9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除专用合同条款另有约定外，发包人应与当地公安部门协商，在现场建立治安管理机构或联防组织，统一管理施工场地的治安保卫事项，履行合同工程的治安保卫职责。</w:t>
      </w:r>
    </w:p>
    <w:p w14:paraId="33CB736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发包人和承包人除应协助现场治安管理机构或联防组织维护施工场地的社会治安外，还应做好包括生活区在内的各自管辖区的治安保卫工作。</w:t>
      </w:r>
    </w:p>
    <w:p w14:paraId="6E34213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7D948E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6.1.5 文明施工</w:t>
      </w:r>
    </w:p>
    <w:p w14:paraId="7A30F23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226413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0C2E4F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6.1.6 安全文明施工费</w:t>
      </w:r>
    </w:p>
    <w:p w14:paraId="146096E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安全文明施工费由发包人承担，发包人不得以任何形式扣减该部分费用。因基准日期后合同所适用的法律或政府有关规定发生变化，增加的安全文明施工费由发包人承担。</w:t>
      </w:r>
    </w:p>
    <w:p w14:paraId="18AB0DB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289D02C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1105695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6A79A7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6.1.7 紧急情况处理</w:t>
      </w:r>
    </w:p>
    <w:p w14:paraId="316199D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BD58F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6.1.8 事故处理</w:t>
      </w:r>
    </w:p>
    <w:p w14:paraId="06BBC3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B61950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 安全生产责任</w:t>
      </w:r>
    </w:p>
    <w:p w14:paraId="23BE3FE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6.1.9.1 发包人的安全责任</w:t>
      </w:r>
    </w:p>
    <w:p w14:paraId="1C6DC15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发包人应负责赔偿以下各种情况造成的损失：</w:t>
      </w:r>
    </w:p>
    <w:p w14:paraId="10DCE2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（1）工程或工程的任何部分对土地的占用所造成的第三者财产损失；</w:t>
      </w:r>
    </w:p>
    <w:p w14:paraId="08EBF45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（2）由于发包人原因在施工场地及其毗邻地带造成的第三者人身伤亡和财产损失；</w:t>
      </w:r>
    </w:p>
    <w:p w14:paraId="1A1D65E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（3）由于发包人原因对承包人、监理人造成的人员人身伤亡和财产损失；</w:t>
      </w:r>
    </w:p>
    <w:p w14:paraId="0470438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（4）由于发包人原因造成的发包人自身人员的人身伤害以及财产损失。</w:t>
      </w:r>
    </w:p>
    <w:p w14:paraId="0A85A5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6.1.9.2 承包人的安全责任</w:t>
      </w:r>
    </w:p>
    <w:p w14:paraId="49FA2192">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由于承包人原因在施工场地内及其毗邻地带造成的发包人、监理人以及第三者人员伤亡和财产损失，由承包人负责赔偿。</w:t>
      </w:r>
    </w:p>
    <w:p w14:paraId="19D91C8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92" w:name="_Toc533863351"/>
      <w:bookmarkStart w:id="293" w:name="_Toc351203540"/>
      <w:r>
        <w:rPr>
          <w:rFonts w:ascii="宋体" w:hAnsi="宋体" w:eastAsia="宋体" w:cs="宋体"/>
          <w:bCs/>
          <w:color w:val="000000" w:themeColor="text1"/>
          <w:kern w:val="0"/>
          <w:szCs w:val="21"/>
          <w:highlight w:val="none"/>
          <w14:textFill>
            <w14:solidFill>
              <w14:schemeClr w14:val="tx1"/>
            </w14:solidFill>
          </w14:textFill>
        </w:rPr>
        <w:t>6</w:t>
      </w:r>
      <w:bookmarkStart w:id="294" w:name="_Toc337558765"/>
      <w:r>
        <w:rPr>
          <w:rFonts w:ascii="宋体" w:hAnsi="宋体" w:eastAsia="宋体" w:cs="宋体"/>
          <w:bCs/>
          <w:color w:val="000000" w:themeColor="text1"/>
          <w:kern w:val="0"/>
          <w:szCs w:val="21"/>
          <w:highlight w:val="none"/>
          <w14:textFill>
            <w14:solidFill>
              <w14:schemeClr w14:val="tx1"/>
            </w14:solidFill>
          </w14:textFill>
        </w:rPr>
        <w:t>.2 职业健康</w:t>
      </w:r>
      <w:bookmarkEnd w:id="292"/>
      <w:bookmarkEnd w:id="293"/>
    </w:p>
    <w:bookmarkEnd w:id="294"/>
    <w:p w14:paraId="6F37B7D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6.2.1 劳动保护</w:t>
      </w:r>
    </w:p>
    <w:p w14:paraId="15F88C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A79319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65E50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承包人应按法律规定安排工作时间，保证其雇佣人员享有休息和休假的权利。因工程施工的特殊需要占用休假日或延长工作时间的，应不超过法律规定的限度，并按法律规定给予补休或付酬。</w:t>
      </w:r>
    </w:p>
    <w:p w14:paraId="6A06105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6.2.2 生活条件</w:t>
      </w:r>
    </w:p>
    <w:p w14:paraId="3C0E0A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6A1661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95" w:name="_Toc533863352"/>
      <w:bookmarkStart w:id="296" w:name="_Toc351203541"/>
      <w:r>
        <w:rPr>
          <w:rFonts w:ascii="宋体" w:hAnsi="宋体" w:eastAsia="宋体" w:cs="宋体"/>
          <w:bCs/>
          <w:color w:val="000000" w:themeColor="text1"/>
          <w:kern w:val="0"/>
          <w:szCs w:val="21"/>
          <w:highlight w:val="none"/>
          <w14:textFill>
            <w14:solidFill>
              <w14:schemeClr w14:val="tx1"/>
            </w14:solidFill>
          </w14:textFill>
        </w:rPr>
        <w:t>6</w:t>
      </w:r>
      <w:bookmarkStart w:id="297" w:name="_Toc337558766"/>
      <w:r>
        <w:rPr>
          <w:rFonts w:ascii="宋体" w:hAnsi="宋体" w:eastAsia="宋体" w:cs="宋体"/>
          <w:bCs/>
          <w:color w:val="000000" w:themeColor="text1"/>
          <w:kern w:val="0"/>
          <w:szCs w:val="21"/>
          <w:highlight w:val="none"/>
          <w14:textFill>
            <w14:solidFill>
              <w14:schemeClr w14:val="tx1"/>
            </w14:solidFill>
          </w14:textFill>
        </w:rPr>
        <w:t>.3 环境保护</w:t>
      </w:r>
      <w:bookmarkEnd w:id="295"/>
      <w:bookmarkEnd w:id="296"/>
    </w:p>
    <w:bookmarkEnd w:id="297"/>
    <w:p w14:paraId="0B8B826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DBB78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承包人应当承担因其原因引起的环境污染侵权损害赔偿责任，因上述环境污染引起纠纷而导致暂停施工的，由此增加的费用和（或）延误的工期由承包人承担。</w:t>
      </w:r>
    </w:p>
    <w:p w14:paraId="208F9A24">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98" w:name="_Toc12951"/>
      <w:bookmarkStart w:id="299" w:name="_Toc351203542"/>
      <w:bookmarkStart w:id="300" w:name="_Toc533863353"/>
      <w:r>
        <w:rPr>
          <w:rFonts w:hint="eastAsia" w:ascii="宋体" w:hAnsi="宋体" w:eastAsia="宋体" w:cs="宋体"/>
          <w:bCs/>
          <w:color w:val="000000" w:themeColor="text1"/>
          <w:szCs w:val="21"/>
          <w:highlight w:val="none"/>
          <w14:textFill>
            <w14:solidFill>
              <w14:schemeClr w14:val="tx1"/>
            </w14:solidFill>
          </w14:textFill>
        </w:rPr>
        <w:t>7</w:t>
      </w:r>
      <w:bookmarkStart w:id="301" w:name="_Toc337558767"/>
      <w:r>
        <w:rPr>
          <w:rFonts w:hint="eastAsia" w:ascii="宋体" w:hAnsi="宋体" w:eastAsia="宋体" w:cs="宋体"/>
          <w:bCs/>
          <w:color w:val="000000" w:themeColor="text1"/>
          <w:szCs w:val="21"/>
          <w:highlight w:val="none"/>
          <w14:textFill>
            <w14:solidFill>
              <w14:schemeClr w14:val="tx1"/>
            </w14:solidFill>
          </w14:textFill>
        </w:rPr>
        <w:t>. 工期和进度</w:t>
      </w:r>
      <w:bookmarkEnd w:id="298"/>
      <w:bookmarkEnd w:id="299"/>
      <w:bookmarkEnd w:id="300"/>
    </w:p>
    <w:bookmarkEnd w:id="301"/>
    <w:p w14:paraId="5626951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02" w:name="_Toc351203543"/>
      <w:bookmarkStart w:id="303" w:name="_Toc533863354"/>
      <w:r>
        <w:rPr>
          <w:rFonts w:ascii="宋体" w:hAnsi="宋体" w:eastAsia="宋体" w:cs="宋体"/>
          <w:bCs/>
          <w:color w:val="000000" w:themeColor="text1"/>
          <w:kern w:val="0"/>
          <w:szCs w:val="21"/>
          <w:highlight w:val="none"/>
          <w14:textFill>
            <w14:solidFill>
              <w14:schemeClr w14:val="tx1"/>
            </w14:solidFill>
          </w14:textFill>
        </w:rPr>
        <w:t>7</w:t>
      </w:r>
      <w:bookmarkStart w:id="304" w:name="_Toc337558768"/>
      <w:bookmarkStart w:id="305" w:name="_Toc296346567"/>
      <w:bookmarkStart w:id="306" w:name="_Toc296503066"/>
      <w:r>
        <w:rPr>
          <w:rFonts w:ascii="宋体" w:hAnsi="宋体" w:eastAsia="宋体" w:cs="宋体"/>
          <w:bCs/>
          <w:color w:val="000000" w:themeColor="text1"/>
          <w:kern w:val="0"/>
          <w:szCs w:val="21"/>
          <w:highlight w:val="none"/>
          <w14:textFill>
            <w14:solidFill>
              <w14:schemeClr w14:val="tx1"/>
            </w14:solidFill>
          </w14:textFill>
        </w:rPr>
        <w:t>.1施工组织设计</w:t>
      </w:r>
      <w:bookmarkEnd w:id="302"/>
      <w:bookmarkEnd w:id="303"/>
    </w:p>
    <w:bookmarkEnd w:id="304"/>
    <w:p w14:paraId="7B8921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7.1.1 </w:t>
      </w:r>
      <w:r>
        <w:rPr>
          <w:rFonts w:hint="eastAsia" w:ascii="宋体" w:hAnsi="宋体" w:eastAsia="宋体" w:cs="宋体"/>
          <w:color w:val="000000" w:themeColor="text1"/>
          <w:kern w:val="0"/>
          <w:szCs w:val="21"/>
          <w:highlight w:val="none"/>
          <w14:textFill>
            <w14:solidFill>
              <w14:schemeClr w14:val="tx1"/>
            </w14:solidFill>
          </w14:textFill>
        </w:rPr>
        <w:t>施工组织设计的内容</w:t>
      </w:r>
    </w:p>
    <w:p w14:paraId="4DCAC30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施工组织设计应包含以下内容：</w:t>
      </w:r>
    </w:p>
    <w:p w14:paraId="12FE37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（1）施工方案； </w:t>
      </w:r>
    </w:p>
    <w:p w14:paraId="48BA86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（2）施工现场平面布置图；</w:t>
      </w:r>
    </w:p>
    <w:p w14:paraId="38A5C0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（3）施工进度计划和保证措施； </w:t>
      </w:r>
    </w:p>
    <w:p w14:paraId="7F38C96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（4）劳动力及材料供应计划；</w:t>
      </w:r>
    </w:p>
    <w:p w14:paraId="6FFDA8F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（5）施工机械设备的选用；</w:t>
      </w:r>
    </w:p>
    <w:p w14:paraId="60ACF12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（6）质量保证体系及措施；</w:t>
      </w:r>
    </w:p>
    <w:p w14:paraId="703305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（7）安全生产、文明施工措施；</w:t>
      </w:r>
    </w:p>
    <w:p w14:paraId="32F487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（8）环境保护、成本控制措施；</w:t>
      </w:r>
    </w:p>
    <w:p w14:paraId="61B8FD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（9）合同当事人约定的其他内容。</w:t>
      </w:r>
    </w:p>
    <w:p w14:paraId="0F0A80A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7.1.2 </w:t>
      </w:r>
      <w:r>
        <w:rPr>
          <w:rFonts w:hint="eastAsia" w:ascii="宋体" w:hAnsi="宋体" w:eastAsia="宋体" w:cs="宋体"/>
          <w:color w:val="000000" w:themeColor="text1"/>
          <w:kern w:val="0"/>
          <w:szCs w:val="21"/>
          <w:highlight w:val="none"/>
          <w14:textFill>
            <w14:solidFill>
              <w14:schemeClr w14:val="tx1"/>
            </w14:solidFill>
          </w14:textFill>
        </w:rPr>
        <w:t>施工组织设计的提交和修改</w:t>
      </w:r>
    </w:p>
    <w:p w14:paraId="6D1BAF9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1C1B49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施工进度计划的编制和修改按照第7.2款〔施工进度计划〕执行。</w:t>
      </w:r>
    </w:p>
    <w:p w14:paraId="7CBECD8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07" w:name="_Toc351203544"/>
      <w:bookmarkStart w:id="308" w:name="_Toc533863355"/>
      <w:r>
        <w:rPr>
          <w:rFonts w:ascii="宋体" w:hAnsi="宋体" w:eastAsia="宋体" w:cs="宋体"/>
          <w:bCs/>
          <w:color w:val="000000" w:themeColor="text1"/>
          <w:kern w:val="0"/>
          <w:szCs w:val="21"/>
          <w:highlight w:val="none"/>
          <w14:textFill>
            <w14:solidFill>
              <w14:schemeClr w14:val="tx1"/>
            </w14:solidFill>
          </w14:textFill>
        </w:rPr>
        <w:t>7</w:t>
      </w:r>
      <w:bookmarkStart w:id="309" w:name="_Toc337558769"/>
      <w:r>
        <w:rPr>
          <w:rFonts w:ascii="宋体" w:hAnsi="宋体" w:eastAsia="宋体" w:cs="宋体"/>
          <w:bCs/>
          <w:color w:val="000000" w:themeColor="text1"/>
          <w:kern w:val="0"/>
          <w:szCs w:val="21"/>
          <w:highlight w:val="none"/>
          <w14:textFill>
            <w14:solidFill>
              <w14:schemeClr w14:val="tx1"/>
            </w14:solidFill>
          </w14:textFill>
        </w:rPr>
        <w:t>.2 施工进度计划</w:t>
      </w:r>
      <w:bookmarkEnd w:id="307"/>
      <w:bookmarkEnd w:id="308"/>
    </w:p>
    <w:bookmarkEnd w:id="309"/>
    <w:p w14:paraId="5E3DE3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7.2.1 施工进度计划的编制</w:t>
      </w:r>
    </w:p>
    <w:p w14:paraId="5C44A7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A10E7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 施工进度计划的修订</w:t>
      </w:r>
    </w:p>
    <w:p w14:paraId="419ECB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931565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0" w:name="_Toc533863356"/>
      <w:bookmarkStart w:id="311" w:name="_Toc351203545"/>
      <w:r>
        <w:rPr>
          <w:rFonts w:ascii="宋体" w:hAnsi="宋体" w:eastAsia="宋体" w:cs="宋体"/>
          <w:bCs/>
          <w:color w:val="000000" w:themeColor="text1"/>
          <w:kern w:val="0"/>
          <w:szCs w:val="21"/>
          <w:highlight w:val="none"/>
          <w14:textFill>
            <w14:solidFill>
              <w14:schemeClr w14:val="tx1"/>
            </w14:solidFill>
          </w14:textFill>
        </w:rPr>
        <w:t>7</w:t>
      </w:r>
      <w:bookmarkStart w:id="312" w:name="_Toc337558770"/>
      <w:r>
        <w:rPr>
          <w:rFonts w:ascii="宋体" w:hAnsi="宋体" w:eastAsia="宋体" w:cs="宋体"/>
          <w:bCs/>
          <w:color w:val="000000" w:themeColor="text1"/>
          <w:kern w:val="0"/>
          <w:szCs w:val="21"/>
          <w:highlight w:val="none"/>
          <w14:textFill>
            <w14:solidFill>
              <w14:schemeClr w14:val="tx1"/>
            </w14:solidFill>
          </w14:textFill>
        </w:rPr>
        <w:t>.3 开工</w:t>
      </w:r>
      <w:bookmarkEnd w:id="310"/>
      <w:bookmarkEnd w:id="311"/>
    </w:p>
    <w:p w14:paraId="644C3C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7.3.1 开工准备</w:t>
      </w:r>
    </w:p>
    <w:p w14:paraId="556E8B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640C06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除专用合同条款另有约定外，合同当事人应按约定完成开工准备工作。</w:t>
      </w:r>
    </w:p>
    <w:p w14:paraId="27720DC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7.3.2 开工通知</w:t>
      </w:r>
    </w:p>
    <w:bookmarkEnd w:id="312"/>
    <w:p w14:paraId="2A6C968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6BC70BE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40CE70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3" w:name="_Toc533863357"/>
      <w:bookmarkStart w:id="314" w:name="_Toc351203546"/>
      <w:r>
        <w:rPr>
          <w:rFonts w:ascii="宋体" w:hAnsi="宋体" w:eastAsia="宋体" w:cs="宋体"/>
          <w:bCs/>
          <w:color w:val="000000" w:themeColor="text1"/>
          <w:kern w:val="0"/>
          <w:szCs w:val="21"/>
          <w:highlight w:val="none"/>
          <w14:textFill>
            <w14:solidFill>
              <w14:schemeClr w14:val="tx1"/>
            </w14:solidFill>
          </w14:textFill>
        </w:rPr>
        <w:t>7.4测量放线</w:t>
      </w:r>
      <w:bookmarkEnd w:id="313"/>
      <w:bookmarkEnd w:id="314"/>
    </w:p>
    <w:p w14:paraId="2D9E94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64DEA8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D9C71B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19842D0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施工过程中对施工现场内水准点等测量标志物的保护工作由承包人负责。</w:t>
      </w:r>
      <w:bookmarkStart w:id="315" w:name="_Toc351203547"/>
    </w:p>
    <w:p w14:paraId="6F05331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6" w:name="_Toc533863358"/>
      <w:r>
        <w:rPr>
          <w:rFonts w:ascii="宋体" w:hAnsi="宋体" w:eastAsia="宋体" w:cs="宋体"/>
          <w:bCs/>
          <w:color w:val="000000" w:themeColor="text1"/>
          <w:kern w:val="0"/>
          <w:szCs w:val="21"/>
          <w:highlight w:val="none"/>
          <w14:textFill>
            <w14:solidFill>
              <w14:schemeClr w14:val="tx1"/>
            </w14:solidFill>
          </w14:textFill>
        </w:rPr>
        <w:t>7</w:t>
      </w:r>
      <w:bookmarkEnd w:id="305"/>
      <w:bookmarkEnd w:id="306"/>
      <w:bookmarkStart w:id="317" w:name="_Toc337558772"/>
      <w:bookmarkStart w:id="318" w:name="_Toc296346574"/>
      <w:bookmarkStart w:id="319" w:name="_Toc296503073"/>
      <w:r>
        <w:rPr>
          <w:rFonts w:ascii="宋体" w:hAnsi="宋体" w:eastAsia="宋体" w:cs="宋体"/>
          <w:bCs/>
          <w:color w:val="000000" w:themeColor="text1"/>
          <w:kern w:val="0"/>
          <w:szCs w:val="21"/>
          <w:highlight w:val="none"/>
          <w14:textFill>
            <w14:solidFill>
              <w14:schemeClr w14:val="tx1"/>
            </w14:solidFill>
          </w14:textFill>
        </w:rPr>
        <w:t>.5 工期延误</w:t>
      </w:r>
      <w:bookmarkEnd w:id="315"/>
      <w:bookmarkEnd w:id="316"/>
    </w:p>
    <w:bookmarkEnd w:id="317"/>
    <w:bookmarkEnd w:id="318"/>
    <w:bookmarkEnd w:id="319"/>
    <w:p w14:paraId="22D068F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7.5.1 因发包人原因导致工期延误</w:t>
      </w:r>
    </w:p>
    <w:p w14:paraId="42C5E09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在合同履行过程中，因下列情况导致工期延误和（或）费用增加的，由发包人承担由此延误的工期和（或）增加的费用，且发包人应支付承包人合理的利润： </w:t>
      </w:r>
    </w:p>
    <w:p w14:paraId="4CF1126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（1）发包人未能按合同约定提供图纸或所提供图纸不符合合同约定的；</w:t>
      </w:r>
    </w:p>
    <w:p w14:paraId="00481D4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（2）发包人未能按合同约定提供施工现场、施工条件、基础资料、许可、批准等开工条件的；</w:t>
      </w:r>
    </w:p>
    <w:p w14:paraId="443742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（3）发包人提供的测量基准点、基准线和水准点及其书面资料存在错误或疏漏的；</w:t>
      </w:r>
    </w:p>
    <w:p w14:paraId="1B11A3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（4）发包人未能在计划开工日期之日起7天内同意下达开工通知的；</w:t>
      </w:r>
    </w:p>
    <w:p w14:paraId="4E42AB3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（5）发包人未能按合同约定日期支付工程预付款、进度款或竣工结算款的；</w:t>
      </w:r>
    </w:p>
    <w:p w14:paraId="7E4662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（6）监理人未按合同约定发出指示、批准等文件的；</w:t>
      </w:r>
    </w:p>
    <w:p w14:paraId="44BCD17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（7）专用合同条款中约定的其他情形。</w:t>
      </w:r>
    </w:p>
    <w:p w14:paraId="2A41D88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1AFD152F">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7.5.2 因承包人原因导致工期延误</w:t>
      </w:r>
    </w:p>
    <w:p w14:paraId="1CE35C7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bookmarkStart w:id="320" w:name="_Toc296503076"/>
      <w:bookmarkStart w:id="321" w:name="_Toc296346577"/>
      <w:r>
        <w:rPr>
          <w:rFonts w:hint="eastAsia" w:ascii="宋体" w:hAnsi="宋体" w:eastAsia="宋体" w:cs="宋体"/>
          <w:color w:val="000000" w:themeColor="text1"/>
          <w:kern w:val="0"/>
          <w:szCs w:val="21"/>
          <w:highlight w:val="none"/>
          <w14:textFill>
            <w14:solidFill>
              <w14:schemeClr w14:val="tx1"/>
            </w14:solidFill>
          </w14:textFill>
        </w:rPr>
        <w:t>因</w:t>
      </w:r>
      <w:bookmarkEnd w:id="320"/>
      <w:bookmarkEnd w:id="321"/>
      <w:r>
        <w:rPr>
          <w:rFonts w:hint="eastAsia" w:ascii="宋体" w:hAnsi="宋体" w:eastAsia="宋体" w:cs="宋体"/>
          <w:color w:val="000000" w:themeColor="text1"/>
          <w:kern w:val="0"/>
          <w:szCs w:val="21"/>
          <w:highlight w:val="none"/>
          <w14:textFill>
            <w14:solidFill>
              <w14:schemeClr w14:val="tx1"/>
            </w14:solidFill>
          </w14:textFill>
        </w:rPr>
        <w:t>承包人原因造成工期延误的，可以在专用合同条款中约定逾期竣工违约金的计算方法和逾期竣工违约金的上限。承包人支付逾期竣工违约金后，不免除承包人继续完成工程及修补缺陷的义务。</w:t>
      </w:r>
    </w:p>
    <w:p w14:paraId="581A3D0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22" w:name="_Toc351203548"/>
      <w:bookmarkStart w:id="323" w:name="_Toc533863359"/>
      <w:r>
        <w:rPr>
          <w:rFonts w:ascii="宋体" w:hAnsi="宋体" w:eastAsia="宋体" w:cs="宋体"/>
          <w:bCs/>
          <w:color w:val="000000" w:themeColor="text1"/>
          <w:kern w:val="0"/>
          <w:szCs w:val="21"/>
          <w:highlight w:val="none"/>
          <w14:textFill>
            <w14:solidFill>
              <w14:schemeClr w14:val="tx1"/>
            </w14:solidFill>
          </w14:textFill>
        </w:rPr>
        <w:t>7</w:t>
      </w:r>
      <w:bookmarkStart w:id="324" w:name="_Toc296503074"/>
      <w:bookmarkStart w:id="325" w:name="_Toc296346575"/>
      <w:bookmarkStart w:id="326" w:name="_Toc337558773"/>
      <w:bookmarkStart w:id="327" w:name="_Toc296503077"/>
      <w:bookmarkStart w:id="328" w:name="_Toc296346578"/>
      <w:r>
        <w:rPr>
          <w:rFonts w:ascii="宋体" w:hAnsi="宋体" w:eastAsia="宋体" w:cs="宋体"/>
          <w:bCs/>
          <w:color w:val="000000" w:themeColor="text1"/>
          <w:kern w:val="0"/>
          <w:szCs w:val="21"/>
          <w:highlight w:val="none"/>
          <w14:textFill>
            <w14:solidFill>
              <w14:schemeClr w14:val="tx1"/>
            </w14:solidFill>
          </w14:textFill>
        </w:rPr>
        <w:t>.6 不利物质条件</w:t>
      </w:r>
      <w:bookmarkEnd w:id="322"/>
      <w:bookmarkEnd w:id="323"/>
    </w:p>
    <w:bookmarkEnd w:id="324"/>
    <w:bookmarkEnd w:id="325"/>
    <w:bookmarkEnd w:id="326"/>
    <w:p w14:paraId="632B05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DBCC2A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6197FEA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29" w:name="_Toc351203549"/>
      <w:bookmarkStart w:id="330" w:name="_Toc533863360"/>
      <w:r>
        <w:rPr>
          <w:rFonts w:ascii="宋体" w:hAnsi="宋体" w:eastAsia="宋体" w:cs="宋体"/>
          <w:bCs/>
          <w:color w:val="000000" w:themeColor="text1"/>
          <w:kern w:val="0"/>
          <w:szCs w:val="21"/>
          <w:highlight w:val="none"/>
          <w14:textFill>
            <w14:solidFill>
              <w14:schemeClr w14:val="tx1"/>
            </w14:solidFill>
          </w14:textFill>
        </w:rPr>
        <w:t>7</w:t>
      </w:r>
      <w:bookmarkStart w:id="331" w:name="_Toc296503075"/>
      <w:bookmarkStart w:id="332" w:name="_Toc296346576"/>
      <w:bookmarkStart w:id="333" w:name="_Toc337558774"/>
      <w:r>
        <w:rPr>
          <w:rFonts w:ascii="宋体" w:hAnsi="宋体" w:eastAsia="宋体" w:cs="宋体"/>
          <w:bCs/>
          <w:color w:val="000000" w:themeColor="text1"/>
          <w:kern w:val="0"/>
          <w:szCs w:val="21"/>
          <w:highlight w:val="none"/>
          <w14:textFill>
            <w14:solidFill>
              <w14:schemeClr w14:val="tx1"/>
            </w14:solidFill>
          </w14:textFill>
        </w:rPr>
        <w:t>.7 异常恶劣的气候条件</w:t>
      </w:r>
      <w:bookmarkEnd w:id="329"/>
      <w:bookmarkEnd w:id="330"/>
    </w:p>
    <w:bookmarkEnd w:id="331"/>
    <w:bookmarkEnd w:id="332"/>
    <w:bookmarkEnd w:id="333"/>
    <w:p w14:paraId="3BC3DA7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F8055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34" w:name="_Toc351203550"/>
    </w:p>
    <w:p w14:paraId="01248D74">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335" w:name="_Toc533863361"/>
      <w:r>
        <w:rPr>
          <w:rFonts w:ascii="宋体" w:hAnsi="宋体" w:eastAsia="宋体" w:cs="宋体"/>
          <w:b/>
          <w:bCs/>
          <w:color w:val="000000" w:themeColor="text1"/>
          <w:kern w:val="0"/>
          <w:szCs w:val="21"/>
          <w:highlight w:val="none"/>
          <w14:textFill>
            <w14:solidFill>
              <w14:schemeClr w14:val="tx1"/>
            </w14:solidFill>
          </w14:textFill>
        </w:rPr>
        <w:t>7</w:t>
      </w:r>
      <w:bookmarkStart w:id="336" w:name="_Toc337558775"/>
      <w:r>
        <w:rPr>
          <w:rFonts w:ascii="宋体" w:hAnsi="宋体" w:eastAsia="宋体" w:cs="宋体"/>
          <w:b/>
          <w:bCs/>
          <w:color w:val="000000" w:themeColor="text1"/>
          <w:kern w:val="0"/>
          <w:szCs w:val="21"/>
          <w:highlight w:val="none"/>
          <w14:textFill>
            <w14:solidFill>
              <w14:schemeClr w14:val="tx1"/>
            </w14:solidFill>
          </w14:textFill>
        </w:rPr>
        <w:t>.8 暂停施工</w:t>
      </w:r>
      <w:bookmarkEnd w:id="334"/>
      <w:bookmarkEnd w:id="335"/>
    </w:p>
    <w:bookmarkEnd w:id="327"/>
    <w:bookmarkEnd w:id="328"/>
    <w:bookmarkEnd w:id="336"/>
    <w:p w14:paraId="63DE4E4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7.8.1发包人原因引起的暂停施工</w:t>
      </w:r>
    </w:p>
    <w:p w14:paraId="75226AB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因发包人原因引起暂停施工的，监理人经发包人同意后，应及时下达暂停施工指示。情况紧急且监理人未及时下达暂停施工指示的，按照第7.8.4项〔紧急情况下的暂停施工〕执行。</w:t>
      </w:r>
    </w:p>
    <w:p w14:paraId="781B2BF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因发包人原因引起的暂停施工，发包人应承担由此增加的费用和（或）延误的工期，并支付承包人合理的利润。</w:t>
      </w:r>
    </w:p>
    <w:p w14:paraId="1869634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7.8.2 承包人原因引起的暂停施工</w:t>
      </w:r>
    </w:p>
    <w:p w14:paraId="6F2389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4F10D9A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7.8.3 指示暂停施工</w:t>
      </w:r>
    </w:p>
    <w:p w14:paraId="4A0E13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监理人认为有必要时，并经发包人批准后，可向承包人作出暂停施工的指示，承包人应按监理人指示暂停施工。</w:t>
      </w:r>
    </w:p>
    <w:p w14:paraId="15DB4C3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7.8.4 紧急情况下的暂停施工</w:t>
      </w:r>
    </w:p>
    <w:p w14:paraId="5599E9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8454BC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7.8.5 暂停施工后的复工</w:t>
      </w:r>
    </w:p>
    <w:p w14:paraId="2717DA3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855435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承包人无故拖延和拒绝复工的，承包人承担由此增加的费用和（或）延误的工期；因发包人原因无法按时复工的，按照第7.5.1项〔因发包人原因导致工期延误〕约定办理。</w:t>
      </w:r>
    </w:p>
    <w:p w14:paraId="7D967B4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7.8.6 暂停施工持续56天以上</w:t>
      </w:r>
    </w:p>
    <w:p w14:paraId="1F5B5D48">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733CB9EB">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09AB5FD4">
      <w:pPr>
        <w:spacing w:line="360" w:lineRule="auto"/>
        <w:ind w:left="16"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7.8.7 暂停施工期间的工程照管</w:t>
      </w:r>
    </w:p>
    <w:p w14:paraId="039C1C1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暂停施工期间，承包人应负责妥善照管工程并提供安全保障，由此增加的费用由责任方承担。</w:t>
      </w:r>
    </w:p>
    <w:p w14:paraId="26D688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7.8.8 暂停施工的措施</w:t>
      </w:r>
    </w:p>
    <w:p w14:paraId="107DBD9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暂停施工期间，发包人和承包人均应采取必要的措施确保工程质量及安全，防止因暂停施工扩大损失。</w:t>
      </w:r>
    </w:p>
    <w:p w14:paraId="40F7854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37" w:name="_Toc533863362"/>
      <w:bookmarkStart w:id="338" w:name="_Toc351203551"/>
      <w:r>
        <w:rPr>
          <w:rFonts w:ascii="宋体" w:hAnsi="宋体" w:eastAsia="宋体" w:cs="宋体"/>
          <w:bCs/>
          <w:color w:val="000000" w:themeColor="text1"/>
          <w:kern w:val="0"/>
          <w:szCs w:val="21"/>
          <w:highlight w:val="none"/>
          <w14:textFill>
            <w14:solidFill>
              <w14:schemeClr w14:val="tx1"/>
            </w14:solidFill>
          </w14:textFill>
        </w:rPr>
        <w:t>7.9提前竣工</w:t>
      </w:r>
      <w:bookmarkEnd w:id="337"/>
      <w:bookmarkEnd w:id="338"/>
    </w:p>
    <w:p w14:paraId="69640F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B44391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7.9.2 发包人要求承包人提前竣工，或承包人提出提前竣工的建议能够给发包人带来效益的，合同当事人可以在专用合同条款中约定提前竣工的奖励。</w:t>
      </w:r>
    </w:p>
    <w:p w14:paraId="4FEBD482">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39" w:name="_Toc351203552"/>
      <w:bookmarkStart w:id="340" w:name="_Toc533863363"/>
      <w:bookmarkStart w:id="341" w:name="_Toc10777"/>
      <w:r>
        <w:rPr>
          <w:rFonts w:hint="eastAsia" w:ascii="宋体" w:hAnsi="宋体" w:eastAsia="宋体" w:cs="宋体"/>
          <w:bCs/>
          <w:color w:val="000000" w:themeColor="text1"/>
          <w:szCs w:val="21"/>
          <w:highlight w:val="none"/>
          <w14:textFill>
            <w14:solidFill>
              <w14:schemeClr w14:val="tx1"/>
            </w14:solidFill>
          </w14:textFill>
        </w:rPr>
        <w:t>8</w:t>
      </w:r>
      <w:bookmarkStart w:id="342" w:name="_Toc296346559"/>
      <w:bookmarkStart w:id="343" w:name="_Toc296503058"/>
      <w:bookmarkStart w:id="344" w:name="_Toc337558776"/>
      <w:r>
        <w:rPr>
          <w:rFonts w:hint="eastAsia" w:ascii="宋体" w:hAnsi="宋体" w:eastAsia="宋体" w:cs="宋体"/>
          <w:bCs/>
          <w:color w:val="000000" w:themeColor="text1"/>
          <w:szCs w:val="21"/>
          <w:highlight w:val="none"/>
          <w14:textFill>
            <w14:solidFill>
              <w14:schemeClr w14:val="tx1"/>
            </w14:solidFill>
          </w14:textFill>
        </w:rPr>
        <w:t>. 材料与设备</w:t>
      </w:r>
      <w:bookmarkEnd w:id="339"/>
      <w:bookmarkEnd w:id="340"/>
      <w:bookmarkEnd w:id="341"/>
    </w:p>
    <w:bookmarkEnd w:id="342"/>
    <w:bookmarkEnd w:id="343"/>
    <w:bookmarkEnd w:id="344"/>
    <w:p w14:paraId="5B87347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45" w:name="_Toc533863364"/>
      <w:bookmarkStart w:id="346" w:name="_Toc351203553"/>
      <w:r>
        <w:rPr>
          <w:rFonts w:ascii="宋体" w:hAnsi="宋体" w:eastAsia="宋体" w:cs="宋体"/>
          <w:bCs/>
          <w:color w:val="000000" w:themeColor="text1"/>
          <w:kern w:val="0"/>
          <w:szCs w:val="21"/>
          <w:highlight w:val="none"/>
          <w14:textFill>
            <w14:solidFill>
              <w14:schemeClr w14:val="tx1"/>
            </w14:solidFill>
          </w14:textFill>
        </w:rPr>
        <w:t>8</w:t>
      </w:r>
      <w:bookmarkStart w:id="347" w:name="_Toc337558777"/>
      <w:bookmarkStart w:id="348" w:name="_Toc296346560"/>
      <w:bookmarkStart w:id="349" w:name="_Toc296503059"/>
      <w:bookmarkStart w:id="350" w:name="_Toc468936960"/>
      <w:r>
        <w:rPr>
          <w:rFonts w:ascii="宋体" w:hAnsi="宋体" w:eastAsia="宋体" w:cs="宋体"/>
          <w:bCs/>
          <w:color w:val="000000" w:themeColor="text1"/>
          <w:kern w:val="0"/>
          <w:szCs w:val="21"/>
          <w:highlight w:val="none"/>
          <w14:textFill>
            <w14:solidFill>
              <w14:schemeClr w14:val="tx1"/>
            </w14:solidFill>
          </w14:textFill>
        </w:rPr>
        <w:t>.1发包人供应材料与工程设备</w:t>
      </w:r>
      <w:bookmarkEnd w:id="345"/>
      <w:bookmarkEnd w:id="346"/>
    </w:p>
    <w:bookmarkEnd w:id="347"/>
    <w:bookmarkEnd w:id="348"/>
    <w:bookmarkEnd w:id="349"/>
    <w:p w14:paraId="278223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发包人自行供应材料、工程设备的，应在签订合同时在专用合同条款的附件《发包人供应材料设备一览表》中明确材料、工程设备的品种、规格、型号、数量、单价、质量等级和送达地点。</w:t>
      </w:r>
    </w:p>
    <w:p w14:paraId="0A49210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731507D2">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351" w:name="_Toc351203554"/>
      <w:bookmarkStart w:id="352" w:name="_Toc533863365"/>
      <w:r>
        <w:rPr>
          <w:rFonts w:ascii="宋体" w:hAnsi="宋体" w:eastAsia="宋体" w:cs="宋体"/>
          <w:bCs/>
          <w:color w:val="000000" w:themeColor="text1"/>
          <w:kern w:val="0"/>
          <w:szCs w:val="21"/>
          <w:highlight w:val="none"/>
          <w14:textFill>
            <w14:solidFill>
              <w14:schemeClr w14:val="tx1"/>
            </w14:solidFill>
          </w14:textFill>
        </w:rPr>
        <w:t>8</w:t>
      </w:r>
      <w:bookmarkStart w:id="353" w:name="_Toc296503060"/>
      <w:bookmarkStart w:id="354" w:name="_Toc337558778"/>
      <w:bookmarkStart w:id="355" w:name="_Toc296346561"/>
      <w:r>
        <w:rPr>
          <w:rFonts w:ascii="宋体" w:hAnsi="宋体" w:eastAsia="宋体" w:cs="宋体"/>
          <w:bCs/>
          <w:color w:val="000000" w:themeColor="text1"/>
          <w:kern w:val="0"/>
          <w:szCs w:val="21"/>
          <w:highlight w:val="none"/>
          <w14:textFill>
            <w14:solidFill>
              <w14:schemeClr w14:val="tx1"/>
            </w14:solidFill>
          </w14:textFill>
        </w:rPr>
        <w:t>.2承包人采购材料与工程设备</w:t>
      </w:r>
      <w:bookmarkEnd w:id="351"/>
      <w:bookmarkEnd w:id="352"/>
    </w:p>
    <w:bookmarkEnd w:id="353"/>
    <w:bookmarkEnd w:id="354"/>
    <w:bookmarkEnd w:id="355"/>
    <w:p w14:paraId="480E646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D4455F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56" w:name="_Toc351203555"/>
      <w:bookmarkStart w:id="357" w:name="_Toc533863366"/>
      <w:r>
        <w:rPr>
          <w:rFonts w:ascii="宋体" w:hAnsi="宋体" w:eastAsia="宋体" w:cs="宋体"/>
          <w:bCs/>
          <w:color w:val="000000" w:themeColor="text1"/>
          <w:kern w:val="0"/>
          <w:szCs w:val="21"/>
          <w:highlight w:val="none"/>
          <w14:textFill>
            <w14:solidFill>
              <w14:schemeClr w14:val="tx1"/>
            </w14:solidFill>
          </w14:textFill>
        </w:rPr>
        <w:t>8</w:t>
      </w:r>
      <w:bookmarkStart w:id="358" w:name="_Toc296346562"/>
      <w:bookmarkStart w:id="359" w:name="_Toc296503061"/>
      <w:bookmarkStart w:id="360" w:name="_Toc337558779"/>
      <w:r>
        <w:rPr>
          <w:rFonts w:ascii="宋体" w:hAnsi="宋体" w:eastAsia="宋体" w:cs="宋体"/>
          <w:bCs/>
          <w:color w:val="000000" w:themeColor="text1"/>
          <w:kern w:val="0"/>
          <w:szCs w:val="21"/>
          <w:highlight w:val="none"/>
          <w14:textFill>
            <w14:solidFill>
              <w14:schemeClr w14:val="tx1"/>
            </w14:solidFill>
          </w14:textFill>
        </w:rPr>
        <w:t>.3材料与工程设备的接收与拒收</w:t>
      </w:r>
      <w:bookmarkEnd w:id="356"/>
      <w:bookmarkEnd w:id="357"/>
    </w:p>
    <w:bookmarkEnd w:id="358"/>
    <w:bookmarkEnd w:id="359"/>
    <w:bookmarkEnd w:id="360"/>
    <w:p w14:paraId="266D02C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3A841B3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发包人提供的材料和工程设备的规格、数量或质量不符合合同约定的，或因发包人原因导致交货日期延误或交货地点变更等情况的，按照第16.1款〔发包人违约〕约定办理。</w:t>
      </w:r>
    </w:p>
    <w:p w14:paraId="0609CDE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8.3.2 承包人采购的材料和工程设备，应保证产品质量合格，承包人应在材料和工程设备到货前24小时通知监理人检验。承</w:t>
      </w:r>
      <w:bookmarkStart w:id="361" w:name="_Toc250655469"/>
      <w:r>
        <w:rPr>
          <w:rFonts w:hint="eastAsia" w:ascii="宋体" w:hAnsi="宋体" w:eastAsia="宋体" w:cs="宋体"/>
          <w:color w:val="000000" w:themeColor="text1"/>
          <w:kern w:val="0"/>
          <w:szCs w:val="21"/>
          <w:highlight w:val="none"/>
          <w14:textFill>
            <w14:solidFill>
              <w14:schemeClr w14:val="tx1"/>
            </w14:solidFill>
          </w14:textFill>
        </w:rPr>
        <w:t>包人进行永久设备、材料的制造和生产的，应符合相关质量标准，并向监理人提交材料的样本以及有关资料，并应在使用该材料或工程设备之前获得监理人同意。</w:t>
      </w:r>
    </w:p>
    <w:bookmarkEnd w:id="361"/>
    <w:p w14:paraId="4261C10D">
      <w:pPr>
        <w:autoSpaceDE w:val="0"/>
        <w:autoSpaceDN w:val="0"/>
        <w:adjustRightInd w:val="0"/>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B4D895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2" w:name="_Toc351203556"/>
      <w:bookmarkStart w:id="363" w:name="_Toc533863367"/>
      <w:r>
        <w:rPr>
          <w:rFonts w:ascii="宋体" w:hAnsi="宋体" w:eastAsia="宋体" w:cs="宋体"/>
          <w:bCs/>
          <w:color w:val="000000" w:themeColor="text1"/>
          <w:kern w:val="0"/>
          <w:szCs w:val="21"/>
          <w:highlight w:val="none"/>
          <w14:textFill>
            <w14:solidFill>
              <w14:schemeClr w14:val="tx1"/>
            </w14:solidFill>
          </w14:textFill>
        </w:rPr>
        <w:t>8</w:t>
      </w:r>
      <w:bookmarkStart w:id="364" w:name="_Toc296503062"/>
      <w:bookmarkStart w:id="365" w:name="_Toc337558780"/>
      <w:bookmarkStart w:id="366" w:name="_Toc296346563"/>
      <w:r>
        <w:rPr>
          <w:rFonts w:ascii="宋体" w:hAnsi="宋体" w:eastAsia="宋体" w:cs="宋体"/>
          <w:bCs/>
          <w:color w:val="000000" w:themeColor="text1"/>
          <w:kern w:val="0"/>
          <w:szCs w:val="21"/>
          <w:highlight w:val="none"/>
          <w14:textFill>
            <w14:solidFill>
              <w14:schemeClr w14:val="tx1"/>
            </w14:solidFill>
          </w14:textFill>
        </w:rPr>
        <w:t>.4材料与工程设备的保管与使用</w:t>
      </w:r>
      <w:bookmarkEnd w:id="362"/>
      <w:bookmarkEnd w:id="363"/>
    </w:p>
    <w:bookmarkEnd w:id="364"/>
    <w:bookmarkEnd w:id="365"/>
    <w:bookmarkEnd w:id="366"/>
    <w:p w14:paraId="70B68C4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8.4.1 发包人供应</w:t>
      </w:r>
      <w:r>
        <w:rPr>
          <w:rFonts w:hint="eastAsia" w:ascii="宋体" w:hAnsi="宋体" w:eastAsia="宋体" w:cs="宋体"/>
          <w:color w:val="000000" w:themeColor="text1"/>
          <w:szCs w:val="21"/>
          <w:highlight w:val="none"/>
          <w14:textFill>
            <w14:solidFill>
              <w14:schemeClr w14:val="tx1"/>
            </w14:solidFill>
          </w14:textFill>
        </w:rPr>
        <w:t>材料与</w:t>
      </w:r>
      <w:r>
        <w:rPr>
          <w:rFonts w:hint="eastAsia" w:ascii="宋体" w:hAnsi="宋体" w:eastAsia="宋体" w:cs="宋体"/>
          <w:color w:val="000000" w:themeColor="text1"/>
          <w:kern w:val="0"/>
          <w:szCs w:val="21"/>
          <w:highlight w:val="none"/>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设备的保管与使用</w:t>
      </w:r>
    </w:p>
    <w:p w14:paraId="6F6B12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B6F6E2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发包人供应的材料和工程设备使用前，由承包人负责检验，检验费用由发包人承担，不合格的不得使用。</w:t>
      </w:r>
    </w:p>
    <w:p w14:paraId="73CB95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8.4.2 承包人采购</w:t>
      </w:r>
      <w:r>
        <w:rPr>
          <w:rFonts w:hint="eastAsia" w:ascii="宋体" w:hAnsi="宋体" w:eastAsia="宋体" w:cs="宋体"/>
          <w:color w:val="000000" w:themeColor="text1"/>
          <w:szCs w:val="21"/>
          <w:highlight w:val="none"/>
          <w14:textFill>
            <w14:solidFill>
              <w14:schemeClr w14:val="tx1"/>
            </w14:solidFill>
          </w14:textFill>
        </w:rPr>
        <w:t>材料与</w:t>
      </w:r>
      <w:r>
        <w:rPr>
          <w:rFonts w:hint="eastAsia" w:ascii="宋体" w:hAnsi="宋体" w:eastAsia="宋体" w:cs="宋体"/>
          <w:color w:val="000000" w:themeColor="text1"/>
          <w:kern w:val="0"/>
          <w:szCs w:val="21"/>
          <w:highlight w:val="none"/>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设备的保管与使用</w:t>
      </w:r>
    </w:p>
    <w:p w14:paraId="3C859EC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C0745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发包人或监理人发现承包人使用不符合设计或有关标准要求的材料和工程设备时，有权要求承包人进行修复、拆除或重新采购，由此增加的费用和（或）延误的工期，由承包人承担。</w:t>
      </w:r>
    </w:p>
    <w:p w14:paraId="498306A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7" w:name="_Toc533863368"/>
      <w:bookmarkStart w:id="368" w:name="_Toc351203557"/>
      <w:r>
        <w:rPr>
          <w:rFonts w:ascii="宋体" w:hAnsi="宋体" w:eastAsia="宋体" w:cs="宋体"/>
          <w:bCs/>
          <w:color w:val="000000" w:themeColor="text1"/>
          <w:kern w:val="0"/>
          <w:szCs w:val="21"/>
          <w:highlight w:val="none"/>
          <w14:textFill>
            <w14:solidFill>
              <w14:schemeClr w14:val="tx1"/>
            </w14:solidFill>
          </w14:textFill>
        </w:rPr>
        <w:t>8.5禁止使用不合格的材料和工程设备</w:t>
      </w:r>
      <w:bookmarkEnd w:id="367"/>
      <w:bookmarkEnd w:id="368"/>
    </w:p>
    <w:p w14:paraId="28B11FB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8.5.1 监理人有权拒绝承包人提供的不合格材料或工程设备，并要求承包人立即进行更换。监理人应在更换后再次进行检查和检验，由此增加的费用和（或）延误的工期由承包人承担。</w:t>
      </w:r>
    </w:p>
    <w:p w14:paraId="21C1B1C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8.5.2 监理人发现承包人使用了不合格的材料和工程设备，承包人应按照监理人的指示立即改正，并禁止在工程中继续使用不合格的材料和工程设备。</w:t>
      </w:r>
    </w:p>
    <w:p w14:paraId="211A92E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8.5.3 发包人提供的材料或工程设备不符合合同要求的，承包人有权拒绝，并可要求发包人更换，由此增加的费用和（或）延误的工期由发包人承担，并支付承包人合理的利润。</w:t>
      </w:r>
    </w:p>
    <w:p w14:paraId="0D16B36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9" w:name="_Toc533863369"/>
      <w:bookmarkStart w:id="370" w:name="_Toc351203558"/>
      <w:r>
        <w:rPr>
          <w:rFonts w:ascii="宋体" w:hAnsi="宋体" w:eastAsia="宋体" w:cs="宋体"/>
          <w:bCs/>
          <w:color w:val="000000" w:themeColor="text1"/>
          <w:kern w:val="0"/>
          <w:szCs w:val="21"/>
          <w:highlight w:val="none"/>
          <w14:textFill>
            <w14:solidFill>
              <w14:schemeClr w14:val="tx1"/>
            </w14:solidFill>
          </w14:textFill>
        </w:rPr>
        <w:t>8.6 样品</w:t>
      </w:r>
      <w:bookmarkEnd w:id="369"/>
      <w:bookmarkEnd w:id="370"/>
    </w:p>
    <w:p w14:paraId="18F2507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8.6.1</w:t>
      </w:r>
      <w:r>
        <w:rPr>
          <w:rFonts w:hint="eastAsia" w:ascii="宋体" w:hAnsi="宋体" w:eastAsia="宋体" w:cs="宋体"/>
          <w:color w:val="000000" w:themeColor="text1"/>
          <w:kern w:val="0"/>
          <w:szCs w:val="21"/>
          <w:highlight w:val="none"/>
          <w14:textFill>
            <w14:solidFill>
              <w14:schemeClr w14:val="tx1"/>
            </w14:solidFill>
          </w14:textFill>
        </w:rPr>
        <w:tab/>
      </w:r>
      <w:r>
        <w:rPr>
          <w:rFonts w:hint="eastAsia" w:ascii="宋体" w:hAnsi="宋体" w:eastAsia="宋体" w:cs="宋体"/>
          <w:color w:val="000000" w:themeColor="text1"/>
          <w:kern w:val="0"/>
          <w:szCs w:val="21"/>
          <w:highlight w:val="none"/>
          <w14:textFill>
            <w14:solidFill>
              <w14:schemeClr w14:val="tx1"/>
            </w14:solidFill>
          </w14:textFill>
        </w:rPr>
        <w:t>样品的报送与封存</w:t>
      </w:r>
    </w:p>
    <w:p w14:paraId="05AB72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需要承包人报送样品的材料或工程设备，样品的种类、名称、规格、数量等要求均应在专用合同条款中约定。样品的报送程序如下：</w:t>
      </w:r>
    </w:p>
    <w:p w14:paraId="02A24E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D020AF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5ECC24B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（3）经发包人和监理人审批确认的样品应按约定的方法封样，封存的样品作为检验工程相关部分的标准之一。承包人在施工过程中不得使用与样品不符的材料或工程设备。</w:t>
      </w:r>
    </w:p>
    <w:p w14:paraId="5C0E4A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773C7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8.6.2 样品的保管</w:t>
      </w:r>
    </w:p>
    <w:p w14:paraId="1FCA1D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经批准的样品应由监理人负责封存于现场，承包人应在现场为保存样品提供适当和固定的场所并保持适当和良好的存储环境条件。</w:t>
      </w:r>
    </w:p>
    <w:p w14:paraId="2FA5493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1" w:name="_Toc351203559"/>
      <w:bookmarkStart w:id="372" w:name="_Toc533863370"/>
      <w:r>
        <w:rPr>
          <w:rFonts w:ascii="宋体" w:hAnsi="宋体" w:eastAsia="宋体" w:cs="宋体"/>
          <w:bCs/>
          <w:color w:val="000000" w:themeColor="text1"/>
          <w:kern w:val="0"/>
          <w:szCs w:val="21"/>
          <w:highlight w:val="none"/>
          <w14:textFill>
            <w14:solidFill>
              <w14:schemeClr w14:val="tx1"/>
            </w14:solidFill>
          </w14:textFill>
        </w:rPr>
        <w:t>8.7材料与工程设备的替代</w:t>
      </w:r>
      <w:bookmarkEnd w:id="371"/>
      <w:bookmarkEnd w:id="372"/>
    </w:p>
    <w:p w14:paraId="6DA318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8.7.1 出现下列情况需要使用替代材料和工程设备的，承包人应按照第8.7.2项约定的程序执行：</w:t>
      </w:r>
    </w:p>
    <w:p w14:paraId="63F298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（1）基准日期后生效的法律规定禁止使用的；</w:t>
      </w:r>
    </w:p>
    <w:p w14:paraId="3E7368C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（2）发包人要求使用替代品的；</w:t>
      </w:r>
    </w:p>
    <w:p w14:paraId="0CCF0B1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（3）因其他原因必须使用替代品的。</w:t>
      </w:r>
    </w:p>
    <w:p w14:paraId="5CA83B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8.7.2 承包人应在使用替代材料和工程设备28天前书面通知监理人，并附下列文件：</w:t>
      </w:r>
    </w:p>
    <w:p w14:paraId="33CC234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（1）被替代的材料和工程设备的名称、数量、规格、型号、品牌、性能、价格及其他相关资料；</w:t>
      </w:r>
    </w:p>
    <w:p w14:paraId="412A0E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（2）替代品的名称、数量、规格、型号、品牌、性能、价格及其他相关资料；</w:t>
      </w:r>
    </w:p>
    <w:p w14:paraId="0255A1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（3）替代品与被替代产品之间的差异以及使用替代品可能对工程产生的影响；</w:t>
      </w:r>
    </w:p>
    <w:p w14:paraId="6AE2E5F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（4）替代品与被替代产品的价格差异；</w:t>
      </w:r>
    </w:p>
    <w:p w14:paraId="10CAAAF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（5）使用替代品的理由和原因说明；</w:t>
      </w:r>
    </w:p>
    <w:p w14:paraId="0253B89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（6）监理人要求的其他文件。</w:t>
      </w:r>
    </w:p>
    <w:p w14:paraId="17560C8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监理人应在收到通知后14天内向承包人发出经发包人签认的书面指示；监理人逾期发出书面指示的，视为发包人和监理人同意使用替代品。</w:t>
      </w:r>
    </w:p>
    <w:p w14:paraId="3D145C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332285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3" w:name="_Toc351203560"/>
      <w:bookmarkStart w:id="374" w:name="_Toc533863371"/>
      <w:r>
        <w:rPr>
          <w:rFonts w:ascii="宋体" w:hAnsi="宋体" w:eastAsia="宋体" w:cs="宋体"/>
          <w:bCs/>
          <w:color w:val="000000" w:themeColor="text1"/>
          <w:kern w:val="0"/>
          <w:szCs w:val="21"/>
          <w:highlight w:val="none"/>
          <w14:textFill>
            <w14:solidFill>
              <w14:schemeClr w14:val="tx1"/>
            </w14:solidFill>
          </w14:textFill>
        </w:rPr>
        <w:t>8.8施工设备和临时设施</w:t>
      </w:r>
      <w:bookmarkEnd w:id="373"/>
      <w:bookmarkEnd w:id="374"/>
    </w:p>
    <w:p w14:paraId="7312C4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8.8.1 承包人提供的施工设备和临时设施</w:t>
      </w:r>
    </w:p>
    <w:p w14:paraId="6C61F4E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承包人应按合同进度计划的要求，及时配置施工设备和修建临时设施。进入施工场地的承包人设备需经监理人核查后才能投入使用。承包人更换合同约定的承包人设备的，应报监理人批准。</w:t>
      </w:r>
    </w:p>
    <w:p w14:paraId="1FCAA2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除专用合同条款另有约定外，承包人应自行承担修建临时设施的费用，需要临时占地的，应由发包人办理申请手续并承担相应费用。</w:t>
      </w:r>
    </w:p>
    <w:p w14:paraId="5CA638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8.8.2发包人提供的施工设备和临时设施</w:t>
      </w:r>
    </w:p>
    <w:p w14:paraId="5C3082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发包人提供的施工设备或临时设施在专用合同条款中约定。</w:t>
      </w:r>
    </w:p>
    <w:p w14:paraId="25B7C50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8.8.3要求承包人增加或更换施工设备</w:t>
      </w:r>
    </w:p>
    <w:p w14:paraId="5D5585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承包人使用的施工设备不能满足合同进度计划和（或）质量要求时，监理人有权要求承包人增加或更换施工设备，承包人应及时增加或更换，由此增加的费用和（或）延误的工期由承包人承担。</w:t>
      </w:r>
    </w:p>
    <w:p w14:paraId="1912AF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5" w:name="_Toc351203561"/>
      <w:bookmarkStart w:id="376" w:name="_Toc533863372"/>
      <w:r>
        <w:rPr>
          <w:rFonts w:ascii="宋体" w:hAnsi="宋体" w:eastAsia="宋体" w:cs="宋体"/>
          <w:bCs/>
          <w:color w:val="000000" w:themeColor="text1"/>
          <w:kern w:val="0"/>
          <w:szCs w:val="21"/>
          <w:highlight w:val="none"/>
          <w14:textFill>
            <w14:solidFill>
              <w14:schemeClr w14:val="tx1"/>
            </w14:solidFill>
          </w14:textFill>
        </w:rPr>
        <w:t>8</w:t>
      </w:r>
      <w:bookmarkStart w:id="377" w:name="_Toc296503063"/>
      <w:bookmarkStart w:id="378" w:name="_Toc296346564"/>
      <w:bookmarkStart w:id="379" w:name="_Toc337558781"/>
      <w:r>
        <w:rPr>
          <w:rFonts w:ascii="宋体" w:hAnsi="宋体" w:eastAsia="宋体" w:cs="宋体"/>
          <w:bCs/>
          <w:color w:val="000000" w:themeColor="text1"/>
          <w:kern w:val="0"/>
          <w:szCs w:val="21"/>
          <w:highlight w:val="none"/>
          <w14:textFill>
            <w14:solidFill>
              <w14:schemeClr w14:val="tx1"/>
            </w14:solidFill>
          </w14:textFill>
        </w:rPr>
        <w:t>.9材料与设备专用</w:t>
      </w:r>
      <w:bookmarkEnd w:id="375"/>
      <w:r>
        <w:rPr>
          <w:rFonts w:ascii="宋体" w:hAnsi="宋体" w:eastAsia="宋体" w:cs="宋体"/>
          <w:bCs/>
          <w:color w:val="000000" w:themeColor="text1"/>
          <w:kern w:val="0"/>
          <w:szCs w:val="21"/>
          <w:highlight w:val="none"/>
          <w14:textFill>
            <w14:solidFill>
              <w14:schemeClr w14:val="tx1"/>
            </w14:solidFill>
          </w14:textFill>
        </w:rPr>
        <w:t>要求</w:t>
      </w:r>
      <w:bookmarkEnd w:id="376"/>
    </w:p>
    <w:bookmarkEnd w:id="377"/>
    <w:bookmarkEnd w:id="378"/>
    <w:bookmarkEnd w:id="379"/>
    <w:p w14:paraId="6A64E13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承包人运入施工现场的材料、工程设备、施工设备以及在施工场地建设的临时设施，包括备品备件、安装工具与资料，必须专用于工程。未经发包人批准，承包人不得运出施工现场或挪作他用；</w:t>
      </w:r>
      <w:bookmarkEnd w:id="350"/>
      <w:r>
        <w:rPr>
          <w:rFonts w:hint="eastAsia" w:ascii="宋体" w:hAnsi="宋体" w:eastAsia="宋体" w:cs="宋体"/>
          <w:color w:val="000000" w:themeColor="text1"/>
          <w:kern w:val="0"/>
          <w:szCs w:val="21"/>
          <w:highlight w:val="none"/>
          <w14:textFill>
            <w14:solidFill>
              <w14:schemeClr w14:val="tx1"/>
            </w14:solidFill>
          </w14:textFill>
        </w:rPr>
        <w:t>经发包人批准，承包人可以根据施工进度计划撤走闲置的施工设备和其他物品。</w:t>
      </w:r>
    </w:p>
    <w:p w14:paraId="7A7E2311">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80" w:name="_Toc533863373"/>
      <w:bookmarkStart w:id="381" w:name="_Toc351203562"/>
      <w:bookmarkStart w:id="382" w:name="_Toc29903"/>
      <w:r>
        <w:rPr>
          <w:rFonts w:hint="eastAsia" w:ascii="宋体" w:hAnsi="宋体" w:eastAsia="宋体" w:cs="宋体"/>
          <w:bCs/>
          <w:color w:val="000000" w:themeColor="text1"/>
          <w:szCs w:val="21"/>
          <w:highlight w:val="none"/>
          <w14:textFill>
            <w14:solidFill>
              <w14:schemeClr w14:val="tx1"/>
            </w14:solidFill>
          </w14:textFill>
        </w:rPr>
        <w:t>9</w:t>
      </w:r>
      <w:bookmarkStart w:id="383" w:name="_Toc337558782"/>
      <w:bookmarkStart w:id="384" w:name="_Toc296503083"/>
      <w:bookmarkStart w:id="385" w:name="_Toc296346584"/>
      <w:r>
        <w:rPr>
          <w:rFonts w:hint="eastAsia" w:ascii="宋体" w:hAnsi="宋体" w:eastAsia="宋体" w:cs="宋体"/>
          <w:bCs/>
          <w:color w:val="000000" w:themeColor="text1"/>
          <w:szCs w:val="21"/>
          <w:highlight w:val="none"/>
          <w14:textFill>
            <w14:solidFill>
              <w14:schemeClr w14:val="tx1"/>
            </w14:solidFill>
          </w14:textFill>
        </w:rPr>
        <w:t>. 试验与检验</w:t>
      </w:r>
      <w:bookmarkEnd w:id="380"/>
      <w:bookmarkEnd w:id="381"/>
      <w:bookmarkEnd w:id="382"/>
    </w:p>
    <w:bookmarkEnd w:id="383"/>
    <w:p w14:paraId="399C002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86" w:name="_Toc351203563"/>
      <w:bookmarkStart w:id="387" w:name="_Toc533863374"/>
      <w:r>
        <w:rPr>
          <w:rFonts w:ascii="宋体" w:hAnsi="宋体" w:eastAsia="宋体" w:cs="宋体"/>
          <w:bCs/>
          <w:color w:val="000000" w:themeColor="text1"/>
          <w:kern w:val="0"/>
          <w:szCs w:val="21"/>
          <w:highlight w:val="none"/>
          <w14:textFill>
            <w14:solidFill>
              <w14:schemeClr w14:val="tx1"/>
            </w14:solidFill>
          </w14:textFill>
        </w:rPr>
        <w:t>9</w:t>
      </w:r>
      <w:bookmarkStart w:id="388" w:name="_Toc337558783"/>
      <w:r>
        <w:rPr>
          <w:rFonts w:ascii="宋体" w:hAnsi="宋体" w:eastAsia="宋体" w:cs="宋体"/>
          <w:bCs/>
          <w:color w:val="000000" w:themeColor="text1"/>
          <w:kern w:val="0"/>
          <w:szCs w:val="21"/>
          <w:highlight w:val="none"/>
          <w14:textFill>
            <w14:solidFill>
              <w14:schemeClr w14:val="tx1"/>
            </w14:solidFill>
          </w14:textFill>
        </w:rPr>
        <w:t>.1试验设备与试验人员</w:t>
      </w:r>
      <w:bookmarkEnd w:id="386"/>
      <w:bookmarkEnd w:id="387"/>
    </w:p>
    <w:bookmarkEnd w:id="388"/>
    <w:p w14:paraId="2AC5341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75CDC6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9.1.2 承包人应按专用合同条款的约定提供试验设备、取样装置、试验场所和试验条件，并向监理人提交相应进场计划表。</w:t>
      </w:r>
    </w:p>
    <w:p w14:paraId="596D7C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承包人配置的试验设备要符合相应试验规程的要求并经过具有资质的检测单位检测，且在正式使用该试验设备前，需要经过监理人与承包人共同校定。</w:t>
      </w:r>
    </w:p>
    <w:p w14:paraId="4B97CAE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9.1.3 承包人应向监理人提交试验人员的名单及其岗位、资格等证明资料，试验人员必须能够熟练进行相应的检测试验，承包人对试验人员的试验程序和试验结果的正确性负责。</w:t>
      </w:r>
    </w:p>
    <w:p w14:paraId="6D2596E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89" w:name="_Toc351203564"/>
      <w:bookmarkStart w:id="390" w:name="_Toc533863375"/>
      <w:r>
        <w:rPr>
          <w:rFonts w:ascii="宋体" w:hAnsi="宋体" w:eastAsia="宋体" w:cs="宋体"/>
          <w:bCs/>
          <w:color w:val="000000" w:themeColor="text1"/>
          <w:kern w:val="0"/>
          <w:szCs w:val="21"/>
          <w:highlight w:val="none"/>
          <w14:textFill>
            <w14:solidFill>
              <w14:schemeClr w14:val="tx1"/>
            </w14:solidFill>
          </w14:textFill>
        </w:rPr>
        <w:t>9</w:t>
      </w:r>
      <w:bookmarkStart w:id="391" w:name="_Toc337558784"/>
      <w:r>
        <w:rPr>
          <w:rFonts w:ascii="宋体" w:hAnsi="宋体" w:eastAsia="宋体" w:cs="宋体"/>
          <w:bCs/>
          <w:color w:val="000000" w:themeColor="text1"/>
          <w:kern w:val="0"/>
          <w:szCs w:val="21"/>
          <w:highlight w:val="none"/>
          <w14:textFill>
            <w14:solidFill>
              <w14:schemeClr w14:val="tx1"/>
            </w14:solidFill>
          </w14:textFill>
        </w:rPr>
        <w:t>.2取样</w:t>
      </w:r>
      <w:bookmarkEnd w:id="389"/>
      <w:bookmarkEnd w:id="390"/>
    </w:p>
    <w:bookmarkEnd w:id="391"/>
    <w:p w14:paraId="210BD9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试验属于自检性质的，承包人可以单独取样。试验属于监理人抽检性质的，可由监理人取样，也可由承包人的试验人员在监理人的监督下取样。</w:t>
      </w:r>
    </w:p>
    <w:p w14:paraId="21FEF3D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92" w:name="_Toc533863376"/>
      <w:bookmarkStart w:id="393" w:name="_Toc351203565"/>
      <w:r>
        <w:rPr>
          <w:rFonts w:ascii="宋体" w:hAnsi="宋体" w:eastAsia="宋体" w:cs="宋体"/>
          <w:bCs/>
          <w:color w:val="000000" w:themeColor="text1"/>
          <w:kern w:val="0"/>
          <w:szCs w:val="21"/>
          <w:highlight w:val="none"/>
          <w14:textFill>
            <w14:solidFill>
              <w14:schemeClr w14:val="tx1"/>
            </w14:solidFill>
          </w14:textFill>
        </w:rPr>
        <w:t>9</w:t>
      </w:r>
      <w:bookmarkStart w:id="394" w:name="_Toc337558785"/>
      <w:r>
        <w:rPr>
          <w:rFonts w:ascii="宋体" w:hAnsi="宋体" w:eastAsia="宋体" w:cs="宋体"/>
          <w:bCs/>
          <w:color w:val="000000" w:themeColor="text1"/>
          <w:kern w:val="0"/>
          <w:szCs w:val="21"/>
          <w:highlight w:val="none"/>
          <w14:textFill>
            <w14:solidFill>
              <w14:schemeClr w14:val="tx1"/>
            </w14:solidFill>
          </w14:textFill>
        </w:rPr>
        <w:t>.3材料、工程设备和工程的试验和检验</w:t>
      </w:r>
      <w:bookmarkEnd w:id="392"/>
      <w:bookmarkEnd w:id="393"/>
    </w:p>
    <w:bookmarkEnd w:id="394"/>
    <w:p w14:paraId="4DB2A1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09A800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AB07A1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07E824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95" w:name="_Toc351203566"/>
      <w:bookmarkStart w:id="396" w:name="_Toc533863377"/>
      <w:r>
        <w:rPr>
          <w:rFonts w:ascii="宋体" w:hAnsi="宋体" w:eastAsia="宋体" w:cs="宋体"/>
          <w:bCs/>
          <w:color w:val="000000" w:themeColor="text1"/>
          <w:kern w:val="0"/>
          <w:szCs w:val="21"/>
          <w:highlight w:val="none"/>
          <w14:textFill>
            <w14:solidFill>
              <w14:schemeClr w14:val="tx1"/>
            </w14:solidFill>
          </w14:textFill>
        </w:rPr>
        <w:t>9</w:t>
      </w:r>
      <w:bookmarkStart w:id="397" w:name="_Toc337558786"/>
      <w:r>
        <w:rPr>
          <w:rFonts w:ascii="宋体" w:hAnsi="宋体" w:eastAsia="宋体" w:cs="宋体"/>
          <w:bCs/>
          <w:color w:val="000000" w:themeColor="text1"/>
          <w:kern w:val="0"/>
          <w:szCs w:val="21"/>
          <w:highlight w:val="none"/>
          <w14:textFill>
            <w14:solidFill>
              <w14:schemeClr w14:val="tx1"/>
            </w14:solidFill>
          </w14:textFill>
        </w:rPr>
        <w:t>.4现场工艺试验</w:t>
      </w:r>
      <w:bookmarkEnd w:id="395"/>
      <w:bookmarkEnd w:id="396"/>
    </w:p>
    <w:bookmarkEnd w:id="397"/>
    <w:p w14:paraId="738B27E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承包人应按合同约定或监理人指示进行现场工艺试验。对大型的现场工艺试验，监理人认为必要时，承包人应根据监理人提出的工艺试验要求，编制工艺试验措施计划，报送监理人审查。</w:t>
      </w:r>
    </w:p>
    <w:p w14:paraId="00CADB7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98" w:name="_Toc351203567"/>
      <w:bookmarkStart w:id="399" w:name="_Toc17519"/>
      <w:bookmarkStart w:id="400" w:name="_Toc533863378"/>
      <w:r>
        <w:rPr>
          <w:rFonts w:hint="eastAsia" w:ascii="宋体" w:hAnsi="宋体" w:eastAsia="宋体" w:cs="宋体"/>
          <w:bCs/>
          <w:color w:val="000000" w:themeColor="text1"/>
          <w:szCs w:val="21"/>
          <w:highlight w:val="none"/>
          <w14:textFill>
            <w14:solidFill>
              <w14:schemeClr w14:val="tx1"/>
            </w14:solidFill>
          </w14:textFill>
        </w:rPr>
        <w:t>1</w:t>
      </w:r>
      <w:bookmarkStart w:id="401" w:name="_Toc337558787"/>
      <w:r>
        <w:rPr>
          <w:rFonts w:hint="eastAsia" w:ascii="宋体" w:hAnsi="宋体" w:eastAsia="宋体" w:cs="宋体"/>
          <w:bCs/>
          <w:color w:val="000000" w:themeColor="text1"/>
          <w:szCs w:val="21"/>
          <w:highlight w:val="none"/>
          <w14:textFill>
            <w14:solidFill>
              <w14:schemeClr w14:val="tx1"/>
            </w14:solidFill>
          </w14:textFill>
        </w:rPr>
        <w:t>0. 变更</w:t>
      </w:r>
      <w:bookmarkEnd w:id="384"/>
      <w:bookmarkEnd w:id="385"/>
      <w:bookmarkEnd w:id="398"/>
      <w:bookmarkEnd w:id="399"/>
      <w:bookmarkEnd w:id="400"/>
    </w:p>
    <w:bookmarkEnd w:id="401"/>
    <w:p w14:paraId="556EDAA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02" w:name="_Toc533863379"/>
      <w:bookmarkStart w:id="403" w:name="_Toc351203568"/>
      <w:r>
        <w:rPr>
          <w:rFonts w:ascii="宋体" w:hAnsi="宋体" w:eastAsia="宋体" w:cs="宋体"/>
          <w:bCs/>
          <w:color w:val="000000" w:themeColor="text1"/>
          <w:kern w:val="0"/>
          <w:szCs w:val="21"/>
          <w:highlight w:val="none"/>
          <w14:textFill>
            <w14:solidFill>
              <w14:schemeClr w14:val="tx1"/>
            </w14:solidFill>
          </w14:textFill>
        </w:rPr>
        <w:t>1</w:t>
      </w:r>
      <w:bookmarkStart w:id="404" w:name="_Toc296346585"/>
      <w:bookmarkStart w:id="405" w:name="_Toc296503084"/>
      <w:bookmarkStart w:id="406" w:name="_Toc337558788"/>
      <w:r>
        <w:rPr>
          <w:rFonts w:ascii="宋体" w:hAnsi="宋体" w:eastAsia="宋体" w:cs="宋体"/>
          <w:bCs/>
          <w:color w:val="000000" w:themeColor="text1"/>
          <w:kern w:val="0"/>
          <w:szCs w:val="21"/>
          <w:highlight w:val="none"/>
          <w14:textFill>
            <w14:solidFill>
              <w14:schemeClr w14:val="tx1"/>
            </w14:solidFill>
          </w14:textFill>
        </w:rPr>
        <w:t>0.1变更的范围</w:t>
      </w:r>
      <w:bookmarkEnd w:id="402"/>
      <w:bookmarkEnd w:id="403"/>
    </w:p>
    <w:bookmarkEnd w:id="404"/>
    <w:bookmarkEnd w:id="405"/>
    <w:bookmarkEnd w:id="406"/>
    <w:p w14:paraId="22314DF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除专用合同条款另有约定外，合同履行过程中发生以下情形的，应按照本条约定进行变更：</w:t>
      </w:r>
    </w:p>
    <w:p w14:paraId="721001B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（1）增加或减少合同中任何工作，或追加额外的工作；</w:t>
      </w:r>
    </w:p>
    <w:p w14:paraId="5687FB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（2）取消合同中任何工作，但转由他人实施的工作除外；</w:t>
      </w:r>
    </w:p>
    <w:p w14:paraId="2B4301D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（3）改变合同中任何工作的质量标准或其他特性；</w:t>
      </w:r>
    </w:p>
    <w:p w14:paraId="3243D8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（4）改变工程的基线、标高、位置和尺寸；</w:t>
      </w:r>
    </w:p>
    <w:p w14:paraId="70BD98A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（5）改变工程的时间安排或实施顺序。</w:t>
      </w:r>
    </w:p>
    <w:p w14:paraId="031164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07" w:name="_Toc533863380"/>
      <w:bookmarkStart w:id="408" w:name="_Toc351203569"/>
      <w:r>
        <w:rPr>
          <w:rFonts w:ascii="宋体" w:hAnsi="宋体" w:eastAsia="宋体" w:cs="宋体"/>
          <w:bCs/>
          <w:color w:val="000000" w:themeColor="text1"/>
          <w:kern w:val="0"/>
          <w:szCs w:val="21"/>
          <w:highlight w:val="none"/>
          <w14:textFill>
            <w14:solidFill>
              <w14:schemeClr w14:val="tx1"/>
            </w14:solidFill>
          </w14:textFill>
        </w:rPr>
        <w:t>1</w:t>
      </w:r>
      <w:bookmarkStart w:id="409" w:name="_Toc296346586"/>
      <w:bookmarkStart w:id="410" w:name="_Toc337558789"/>
      <w:bookmarkStart w:id="411" w:name="_Toc296503085"/>
      <w:r>
        <w:rPr>
          <w:rFonts w:ascii="宋体" w:hAnsi="宋体" w:eastAsia="宋体" w:cs="宋体"/>
          <w:bCs/>
          <w:color w:val="000000" w:themeColor="text1"/>
          <w:kern w:val="0"/>
          <w:szCs w:val="21"/>
          <w:highlight w:val="none"/>
          <w14:textFill>
            <w14:solidFill>
              <w14:schemeClr w14:val="tx1"/>
            </w14:solidFill>
          </w14:textFill>
        </w:rPr>
        <w:t>0.2变更权</w:t>
      </w:r>
      <w:bookmarkEnd w:id="407"/>
      <w:bookmarkEnd w:id="408"/>
    </w:p>
    <w:bookmarkEnd w:id="409"/>
    <w:bookmarkEnd w:id="410"/>
    <w:bookmarkEnd w:id="411"/>
    <w:p w14:paraId="2E70CF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D13B70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涉及设计变更的，应由设计人提供变更后的图纸和说明。如变更超过原设计标准或批准的建设规模时，发包人应及时办理规划、设计变更等审批手续。</w:t>
      </w:r>
    </w:p>
    <w:p w14:paraId="06067C4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12" w:name="_Toc351203570"/>
      <w:bookmarkStart w:id="413" w:name="_Toc533863381"/>
      <w:r>
        <w:rPr>
          <w:rFonts w:ascii="宋体" w:hAnsi="宋体" w:eastAsia="宋体" w:cs="宋体"/>
          <w:bCs/>
          <w:color w:val="000000" w:themeColor="text1"/>
          <w:kern w:val="0"/>
          <w:szCs w:val="21"/>
          <w:highlight w:val="none"/>
          <w14:textFill>
            <w14:solidFill>
              <w14:schemeClr w14:val="tx1"/>
            </w14:solidFill>
          </w14:textFill>
        </w:rPr>
        <w:t>1</w:t>
      </w:r>
      <w:bookmarkStart w:id="414" w:name="_Toc296503086"/>
      <w:bookmarkStart w:id="415" w:name="_Toc296346587"/>
      <w:bookmarkStart w:id="416" w:name="_Toc337558790"/>
      <w:r>
        <w:rPr>
          <w:rFonts w:ascii="宋体" w:hAnsi="宋体" w:eastAsia="宋体" w:cs="宋体"/>
          <w:bCs/>
          <w:color w:val="000000" w:themeColor="text1"/>
          <w:kern w:val="0"/>
          <w:szCs w:val="21"/>
          <w:highlight w:val="none"/>
          <w14:textFill>
            <w14:solidFill>
              <w14:schemeClr w14:val="tx1"/>
            </w14:solidFill>
          </w14:textFill>
        </w:rPr>
        <w:t>0.3变更程序</w:t>
      </w:r>
      <w:bookmarkEnd w:id="412"/>
      <w:bookmarkEnd w:id="413"/>
    </w:p>
    <w:bookmarkEnd w:id="414"/>
    <w:bookmarkEnd w:id="415"/>
    <w:bookmarkEnd w:id="416"/>
    <w:p w14:paraId="6D73D4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kern w:val="0"/>
          <w:szCs w:val="21"/>
          <w:highlight w:val="none"/>
          <w14:textFill>
            <w14:solidFill>
              <w14:schemeClr w14:val="tx1"/>
            </w14:solidFill>
          </w14:textFill>
        </w:rPr>
        <w:t>.3.1 发包人提出变更</w:t>
      </w:r>
    </w:p>
    <w:p w14:paraId="748C982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发包人提出变更的，应通过监理人向承包人发出变更指示，变更指示应说明计划变更的工程范围和变更的内容。</w:t>
      </w:r>
    </w:p>
    <w:p w14:paraId="7267819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kern w:val="0"/>
          <w:szCs w:val="21"/>
          <w:highlight w:val="none"/>
          <w14:textFill>
            <w14:solidFill>
              <w14:schemeClr w14:val="tx1"/>
            </w14:solidFill>
          </w14:textFill>
        </w:rPr>
        <w:t>.3.2 监理人提出变更建议</w:t>
      </w:r>
    </w:p>
    <w:p w14:paraId="798622B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F826C55">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10.3.3 变更执行</w:t>
      </w:r>
    </w:p>
    <w:p w14:paraId="0FE2DC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659E435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17" w:name="_Toc351203571"/>
      <w:bookmarkStart w:id="418" w:name="_Toc533863382"/>
      <w:r>
        <w:rPr>
          <w:rFonts w:ascii="宋体" w:hAnsi="宋体" w:eastAsia="宋体" w:cs="宋体"/>
          <w:bCs/>
          <w:color w:val="000000" w:themeColor="text1"/>
          <w:kern w:val="0"/>
          <w:szCs w:val="21"/>
          <w:highlight w:val="none"/>
          <w14:textFill>
            <w14:solidFill>
              <w14:schemeClr w14:val="tx1"/>
            </w14:solidFill>
          </w14:textFill>
        </w:rPr>
        <w:t>1</w:t>
      </w:r>
      <w:bookmarkStart w:id="419" w:name="_Toc296346588"/>
      <w:bookmarkStart w:id="420" w:name="_Toc337558791"/>
      <w:bookmarkStart w:id="421" w:name="_Toc296503087"/>
      <w:r>
        <w:rPr>
          <w:rFonts w:ascii="宋体" w:hAnsi="宋体" w:eastAsia="宋体" w:cs="宋体"/>
          <w:bCs/>
          <w:color w:val="000000" w:themeColor="text1"/>
          <w:kern w:val="0"/>
          <w:szCs w:val="21"/>
          <w:highlight w:val="none"/>
          <w14:textFill>
            <w14:solidFill>
              <w14:schemeClr w14:val="tx1"/>
            </w14:solidFill>
          </w14:textFill>
        </w:rPr>
        <w:t>0.4变更估价</w:t>
      </w:r>
      <w:bookmarkEnd w:id="417"/>
      <w:bookmarkEnd w:id="418"/>
    </w:p>
    <w:bookmarkEnd w:id="419"/>
    <w:bookmarkEnd w:id="420"/>
    <w:bookmarkEnd w:id="421"/>
    <w:p w14:paraId="5AED440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10.4.1 变更估价原则</w:t>
      </w:r>
    </w:p>
    <w:p w14:paraId="7AB68C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除专用合同条款另有约定外，变更估价按照本款约定处理：</w:t>
      </w:r>
    </w:p>
    <w:p w14:paraId="7AA0CC7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（1）已标价工程量清单或预算书有相同项目的，按照相同项目单价认定；</w:t>
      </w:r>
    </w:p>
    <w:p w14:paraId="6AF33C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（2）已标价工程量清单或预算书中无相同项目，但有类似项目的，参照类似项目的单价认定；</w:t>
      </w:r>
    </w:p>
    <w:p w14:paraId="6A011D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3A5F35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10.4.2 变更估价程序</w:t>
      </w:r>
    </w:p>
    <w:p w14:paraId="1B15B5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1016D0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因变更引起的价格调整应计入最近一期的进度款中支付。</w:t>
      </w:r>
    </w:p>
    <w:p w14:paraId="3AE22F6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22" w:name="_Toc351203572"/>
      <w:bookmarkStart w:id="423" w:name="_Toc533863383"/>
      <w:r>
        <w:rPr>
          <w:rFonts w:ascii="宋体" w:hAnsi="宋体" w:eastAsia="宋体" w:cs="宋体"/>
          <w:bCs/>
          <w:color w:val="000000" w:themeColor="text1"/>
          <w:kern w:val="0"/>
          <w:szCs w:val="21"/>
          <w:highlight w:val="none"/>
          <w14:textFill>
            <w14:solidFill>
              <w14:schemeClr w14:val="tx1"/>
            </w14:solidFill>
          </w14:textFill>
        </w:rPr>
        <w:t>1</w:t>
      </w:r>
      <w:bookmarkStart w:id="424" w:name="_Toc296503094"/>
      <w:bookmarkStart w:id="425" w:name="_Toc296346595"/>
      <w:bookmarkStart w:id="426" w:name="_Toc337558792"/>
      <w:r>
        <w:rPr>
          <w:rFonts w:ascii="宋体" w:hAnsi="宋体" w:eastAsia="宋体" w:cs="宋体"/>
          <w:bCs/>
          <w:color w:val="000000" w:themeColor="text1"/>
          <w:kern w:val="0"/>
          <w:szCs w:val="21"/>
          <w:highlight w:val="none"/>
          <w14:textFill>
            <w14:solidFill>
              <w14:schemeClr w14:val="tx1"/>
            </w14:solidFill>
          </w14:textFill>
        </w:rPr>
        <w:t>0.5承包人的合理化建议</w:t>
      </w:r>
      <w:bookmarkEnd w:id="422"/>
      <w:bookmarkEnd w:id="423"/>
    </w:p>
    <w:bookmarkEnd w:id="424"/>
    <w:bookmarkEnd w:id="425"/>
    <w:bookmarkEnd w:id="426"/>
    <w:p w14:paraId="6DA3966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承包人提出合理化建议的，应向监理人提交合理化建议说明，说明建议的内容和理由，以及实施该建议对合同价格和工期的影响。</w:t>
      </w:r>
    </w:p>
    <w:p w14:paraId="53C923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739B2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合理化建议降低了合同价格或者提高了工程经济效益的，发包人可对承包人给予奖励，奖励的方法和金额在专用合同条款中约定。</w:t>
      </w:r>
    </w:p>
    <w:p w14:paraId="05882074">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427" w:name="_Toc533863384"/>
      <w:bookmarkStart w:id="428" w:name="_Toc351203573"/>
      <w:r>
        <w:rPr>
          <w:rFonts w:ascii="宋体" w:hAnsi="宋体" w:eastAsia="宋体" w:cs="宋体"/>
          <w:bCs/>
          <w:color w:val="000000" w:themeColor="text1"/>
          <w:kern w:val="0"/>
          <w:szCs w:val="21"/>
          <w:highlight w:val="none"/>
          <w14:textFill>
            <w14:solidFill>
              <w14:schemeClr w14:val="tx1"/>
            </w14:solidFill>
          </w14:textFill>
        </w:rPr>
        <w:t>1</w:t>
      </w:r>
      <w:bookmarkStart w:id="429" w:name="_Toc337558793"/>
      <w:r>
        <w:rPr>
          <w:rFonts w:ascii="宋体" w:hAnsi="宋体" w:eastAsia="宋体" w:cs="宋体"/>
          <w:bCs/>
          <w:color w:val="000000" w:themeColor="text1"/>
          <w:kern w:val="0"/>
          <w:szCs w:val="21"/>
          <w:highlight w:val="none"/>
          <w14:textFill>
            <w14:solidFill>
              <w14:schemeClr w14:val="tx1"/>
            </w14:solidFill>
          </w14:textFill>
        </w:rPr>
        <w:t>0.6变更引起的工期调整</w:t>
      </w:r>
      <w:bookmarkEnd w:id="427"/>
      <w:bookmarkEnd w:id="428"/>
      <w:r>
        <w:rPr>
          <w:rFonts w:ascii="宋体" w:hAnsi="宋体" w:eastAsia="宋体" w:cs="宋体"/>
          <w:bCs/>
          <w:color w:val="000000" w:themeColor="text1"/>
          <w:kern w:val="0"/>
          <w:szCs w:val="21"/>
          <w:highlight w:val="none"/>
          <w14:textFill>
            <w14:solidFill>
              <w14:schemeClr w14:val="tx1"/>
            </w14:solidFill>
          </w14:textFill>
        </w:rPr>
        <w:t xml:space="preserve"> </w:t>
      </w:r>
      <w:bookmarkEnd w:id="429"/>
      <w:r>
        <w:rPr>
          <w:rFonts w:ascii="宋体" w:hAnsi="宋体" w:eastAsia="宋体" w:cs="宋体"/>
          <w:bCs/>
          <w:color w:val="000000" w:themeColor="text1"/>
          <w:kern w:val="0"/>
          <w:szCs w:val="21"/>
          <w:highlight w:val="none"/>
          <w14:textFill>
            <w14:solidFill>
              <w14:schemeClr w14:val="tx1"/>
            </w14:solidFill>
          </w14:textFill>
        </w:rPr>
        <w:t xml:space="preserve"> </w:t>
      </w:r>
      <w:r>
        <w:rPr>
          <w:rFonts w:ascii="宋体" w:hAnsi="宋体" w:eastAsia="宋体" w:cs="宋体"/>
          <w:b/>
          <w:bCs/>
          <w:color w:val="000000" w:themeColor="text1"/>
          <w:kern w:val="0"/>
          <w:szCs w:val="21"/>
          <w:highlight w:val="none"/>
          <w14:textFill>
            <w14:solidFill>
              <w14:schemeClr w14:val="tx1"/>
            </w14:solidFill>
          </w14:textFill>
        </w:rPr>
        <w:t xml:space="preserve"> </w:t>
      </w:r>
    </w:p>
    <w:p w14:paraId="14C627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因变更引起工期变化的，合同当事人均可要求调整合同工期，由合同当事人按照第4.4款〔商定或确定〕并参考工程所在地的工期定额标准确定增减工期天数。</w:t>
      </w:r>
    </w:p>
    <w:p w14:paraId="26FE29D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0" w:name="_Toc533863385"/>
      <w:bookmarkStart w:id="431" w:name="_Toc351203574"/>
      <w:r>
        <w:rPr>
          <w:rFonts w:ascii="宋体" w:hAnsi="宋体" w:eastAsia="宋体" w:cs="宋体"/>
          <w:bCs/>
          <w:color w:val="000000" w:themeColor="text1"/>
          <w:kern w:val="0"/>
          <w:szCs w:val="21"/>
          <w:highlight w:val="none"/>
          <w14:textFill>
            <w14:solidFill>
              <w14:schemeClr w14:val="tx1"/>
            </w14:solidFill>
          </w14:textFill>
        </w:rPr>
        <w:t>10.7暂估价</w:t>
      </w:r>
      <w:bookmarkEnd w:id="430"/>
      <w:bookmarkEnd w:id="431"/>
    </w:p>
    <w:p w14:paraId="28814B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暂估价专业分包工程、服务、材料和工程设备的明细由合同当事人在专用合同条款中约定。</w:t>
      </w:r>
    </w:p>
    <w:p w14:paraId="526293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10.7.1</w:t>
      </w:r>
      <w:r>
        <w:rPr>
          <w:rFonts w:hint="eastAsia" w:ascii="宋体" w:hAnsi="宋体" w:eastAsia="宋体" w:cs="宋体"/>
          <w:color w:val="000000" w:themeColor="text1"/>
          <w:kern w:val="0"/>
          <w:szCs w:val="21"/>
          <w:highlight w:val="none"/>
          <w14:textFill>
            <w14:solidFill>
              <w14:schemeClr w14:val="tx1"/>
            </w14:solidFill>
          </w14:textFill>
        </w:rPr>
        <w:t xml:space="preserve"> 依法必须招标的暂估价项目</w:t>
      </w:r>
    </w:p>
    <w:p w14:paraId="3F575E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对于依法必须招标的暂估价项目，采取以下第1种方式确定。合同当事人也可以在专用合同条款中选择其他招标方式。</w:t>
      </w:r>
    </w:p>
    <w:p w14:paraId="3CAD32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第1种方式：对于依法必须招标的暂估价项目，由承包人招标，对该暂估价项目的确认和批准按照以下约定执行：</w:t>
      </w:r>
    </w:p>
    <w:p w14:paraId="3BB9DB6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2A34838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864F485">
      <w:pPr>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6117A66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B7DE8D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10.7.2</w:t>
      </w:r>
      <w:r>
        <w:rPr>
          <w:rFonts w:hint="eastAsia" w:ascii="宋体" w:hAnsi="宋体" w:eastAsia="宋体" w:cs="宋体"/>
          <w:color w:val="000000" w:themeColor="text1"/>
          <w:kern w:val="0"/>
          <w:szCs w:val="21"/>
          <w:highlight w:val="none"/>
          <w14:textFill>
            <w14:solidFill>
              <w14:schemeClr w14:val="tx1"/>
            </w14:solidFill>
          </w14:textFill>
        </w:rPr>
        <w:t>不属于依法必须招标的暂估价项目</w:t>
      </w:r>
    </w:p>
    <w:p w14:paraId="5C8692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除专用合同条款另有约定外，对于不属于依法必须招标的暂估价项目，采取以下第1种方式确定： </w:t>
      </w:r>
    </w:p>
    <w:p w14:paraId="149BE4C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第1种方式：对于不属于依法必须招标的暂估价项目，按本项约定确认和批准：</w:t>
      </w:r>
    </w:p>
    <w:p w14:paraId="46244F4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3BF5A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w:t>
      </w:r>
    </w:p>
    <w:p w14:paraId="38B3164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（3）承包人应当在签订暂估价合同后7天内，将暂估价合同副本报送发包人留存。</w:t>
      </w:r>
    </w:p>
    <w:p w14:paraId="3B7F5F6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第2种方式：承包人按照第10.7.1项〔依法必须招标的暂估价项目〕约定的第1种方式确定暂估价项目。</w:t>
      </w:r>
    </w:p>
    <w:p w14:paraId="708D073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第3种方式：</w:t>
      </w:r>
      <w:r>
        <w:rPr>
          <w:rFonts w:hint="eastAsia" w:ascii="宋体" w:hAnsi="宋体" w:eastAsia="宋体" w:cs="宋体"/>
          <w:color w:val="000000" w:themeColor="text1"/>
          <w:kern w:val="0"/>
          <w:szCs w:val="21"/>
          <w:highlight w:val="none"/>
          <w14:textFill>
            <w14:solidFill>
              <w14:schemeClr w14:val="tx1"/>
            </w14:solidFill>
          </w14:textFill>
        </w:rPr>
        <w:t>承包人直接实施的暂估价项目</w:t>
      </w:r>
    </w:p>
    <w:p w14:paraId="1BCD837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承包人具备实施暂估价项目的资格和条件的，经发包人和承包人协商一致后，可由承包人自行实施暂估价项目，合同当事人可以在专用合同条款约定具体事项。</w:t>
      </w:r>
    </w:p>
    <w:p w14:paraId="10C3DB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7A46C106">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2" w:name="_Toc533863386"/>
      <w:bookmarkStart w:id="433" w:name="_Toc351203575"/>
      <w:r>
        <w:rPr>
          <w:rFonts w:ascii="宋体" w:hAnsi="宋体" w:eastAsia="宋体" w:cs="宋体"/>
          <w:bCs/>
          <w:color w:val="000000" w:themeColor="text1"/>
          <w:kern w:val="0"/>
          <w:szCs w:val="21"/>
          <w:highlight w:val="none"/>
          <w14:textFill>
            <w14:solidFill>
              <w14:schemeClr w14:val="tx1"/>
            </w14:solidFill>
          </w14:textFill>
        </w:rPr>
        <w:t>1</w:t>
      </w:r>
      <w:bookmarkStart w:id="434" w:name="_Toc337558794"/>
      <w:bookmarkStart w:id="435" w:name="_Toc296503090"/>
      <w:bookmarkStart w:id="436" w:name="_Toc322522561"/>
      <w:bookmarkStart w:id="437" w:name="_Toc296346591"/>
      <w:r>
        <w:rPr>
          <w:rFonts w:ascii="宋体" w:hAnsi="宋体" w:eastAsia="宋体" w:cs="宋体"/>
          <w:bCs/>
          <w:color w:val="000000" w:themeColor="text1"/>
          <w:kern w:val="0"/>
          <w:szCs w:val="21"/>
          <w:highlight w:val="none"/>
          <w14:textFill>
            <w14:solidFill>
              <w14:schemeClr w14:val="tx1"/>
            </w14:solidFill>
          </w14:textFill>
        </w:rPr>
        <w:t>0.8暂列金额</w:t>
      </w:r>
      <w:bookmarkEnd w:id="432"/>
      <w:bookmarkEnd w:id="433"/>
    </w:p>
    <w:bookmarkEnd w:id="434"/>
    <w:p w14:paraId="6A3580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暂列金额应按照发包人的要求使用，发包人的要求应通过监理人发出。合同当事人可以在专用合同条款中协商确定有关事项。</w:t>
      </w:r>
    </w:p>
    <w:bookmarkEnd w:id="435"/>
    <w:bookmarkEnd w:id="436"/>
    <w:bookmarkEnd w:id="437"/>
    <w:p w14:paraId="3E17C4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8" w:name="_Toc533863387"/>
      <w:bookmarkStart w:id="439" w:name="_Toc351203576"/>
      <w:r>
        <w:rPr>
          <w:rFonts w:ascii="宋体" w:hAnsi="宋体" w:eastAsia="宋体" w:cs="宋体"/>
          <w:bCs/>
          <w:color w:val="000000" w:themeColor="text1"/>
          <w:kern w:val="0"/>
          <w:szCs w:val="21"/>
          <w:highlight w:val="none"/>
          <w14:textFill>
            <w14:solidFill>
              <w14:schemeClr w14:val="tx1"/>
            </w14:solidFill>
          </w14:textFill>
        </w:rPr>
        <w:t>1</w:t>
      </w:r>
      <w:bookmarkStart w:id="440" w:name="_Toc296503091"/>
      <w:bookmarkStart w:id="441" w:name="_Toc296346592"/>
      <w:bookmarkStart w:id="442" w:name="_Toc337558796"/>
      <w:r>
        <w:rPr>
          <w:rFonts w:ascii="宋体" w:hAnsi="宋体" w:eastAsia="宋体" w:cs="宋体"/>
          <w:bCs/>
          <w:color w:val="000000" w:themeColor="text1"/>
          <w:kern w:val="0"/>
          <w:szCs w:val="21"/>
          <w:highlight w:val="none"/>
          <w14:textFill>
            <w14:solidFill>
              <w14:schemeClr w14:val="tx1"/>
            </w14:solidFill>
          </w14:textFill>
        </w:rPr>
        <w:t>0.9计日工</w:t>
      </w:r>
      <w:bookmarkEnd w:id="438"/>
      <w:bookmarkEnd w:id="439"/>
      <w:r>
        <w:rPr>
          <w:rFonts w:ascii="宋体" w:hAnsi="宋体" w:eastAsia="宋体" w:cs="宋体"/>
          <w:bCs/>
          <w:color w:val="000000" w:themeColor="text1"/>
          <w:kern w:val="0"/>
          <w:szCs w:val="21"/>
          <w:highlight w:val="none"/>
          <w14:textFill>
            <w14:solidFill>
              <w14:schemeClr w14:val="tx1"/>
            </w14:solidFill>
          </w14:textFill>
        </w:rPr>
        <w:t xml:space="preserve"> </w:t>
      </w:r>
      <w:bookmarkEnd w:id="440"/>
      <w:bookmarkEnd w:id="441"/>
      <w:bookmarkEnd w:id="442"/>
    </w:p>
    <w:p w14:paraId="47FAD41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0B32D2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采用计日工计价的任何一项工作，承包人应在该项工作实施过程中，每天提交以下报表和有关凭证报送监理人审查：</w:t>
      </w:r>
    </w:p>
    <w:p w14:paraId="0105FE12">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（1）工作名称、内容和数量；</w:t>
      </w:r>
    </w:p>
    <w:p w14:paraId="37453FD5">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（2）投入该工作的所有人员的姓名、专业、工种、级别和耗用工时；</w:t>
      </w:r>
    </w:p>
    <w:p w14:paraId="777D75CD">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（3）投入该工作的材料类别和数量；</w:t>
      </w:r>
    </w:p>
    <w:p w14:paraId="0D3EAFD1">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（4）投入该工作的施工设备型号、台数和耗用台时；</w:t>
      </w:r>
    </w:p>
    <w:p w14:paraId="0149AE38">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（5）其他有关资料和凭证。</w:t>
      </w:r>
    </w:p>
    <w:p w14:paraId="4C672F55">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计日工由承包人汇总后，列入最近一期进度付款申请单，由监理人审查并经发包人批准后列入进度付款。</w:t>
      </w:r>
    </w:p>
    <w:p w14:paraId="4234264E">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43" w:name="_Toc533863388"/>
      <w:bookmarkStart w:id="444" w:name="_Toc351203577"/>
      <w:bookmarkStart w:id="445" w:name="_Toc15353"/>
      <w:r>
        <w:rPr>
          <w:rFonts w:hint="eastAsia" w:ascii="宋体" w:hAnsi="宋体" w:eastAsia="宋体" w:cs="宋体"/>
          <w:bCs/>
          <w:color w:val="000000" w:themeColor="text1"/>
          <w:szCs w:val="21"/>
          <w:highlight w:val="none"/>
          <w14:textFill>
            <w14:solidFill>
              <w14:schemeClr w14:val="tx1"/>
            </w14:solidFill>
          </w14:textFill>
        </w:rPr>
        <w:t>11. 价格调整</w:t>
      </w:r>
      <w:bookmarkEnd w:id="443"/>
      <w:bookmarkEnd w:id="444"/>
      <w:bookmarkEnd w:id="445"/>
    </w:p>
    <w:p w14:paraId="66D8965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46" w:name="_Toc351203578"/>
      <w:bookmarkStart w:id="447" w:name="_Toc533863389"/>
      <w:bookmarkStart w:id="448" w:name="_Toc296346593"/>
      <w:bookmarkStart w:id="449" w:name="_Toc337558797"/>
      <w:bookmarkStart w:id="450" w:name="_Toc296503092"/>
      <w:r>
        <w:rPr>
          <w:rFonts w:ascii="宋体" w:hAnsi="宋体" w:eastAsia="宋体" w:cs="宋体"/>
          <w:bCs/>
          <w:color w:val="000000" w:themeColor="text1"/>
          <w:kern w:val="0"/>
          <w:szCs w:val="21"/>
          <w:highlight w:val="none"/>
          <w14:textFill>
            <w14:solidFill>
              <w14:schemeClr w14:val="tx1"/>
            </w14:solidFill>
          </w14:textFill>
        </w:rPr>
        <w:t>11.1市场价格波动引起的调整</w:t>
      </w:r>
      <w:bookmarkEnd w:id="446"/>
      <w:bookmarkEnd w:id="447"/>
    </w:p>
    <w:bookmarkEnd w:id="448"/>
    <w:bookmarkEnd w:id="449"/>
    <w:bookmarkEnd w:id="450"/>
    <w:p w14:paraId="16DF31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除专用合同条款另有约定外，市场价格波动超过合同当事人约定的范围，合同价格应当调整。合同当事人可以在专用合同条款中约定选择以下一种方式对合同价格进行调整：</w:t>
      </w:r>
    </w:p>
    <w:p w14:paraId="0CA1E5C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第1种方式：采用价格指数进行价格调整。</w:t>
      </w:r>
    </w:p>
    <w:p w14:paraId="086872B8">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（1）价格调整公式</w:t>
      </w:r>
    </w:p>
    <w:p w14:paraId="6D0C067B">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因人工、材料和设备等价格波动影响合同价格时，根据专用合同条款中约定的数据，按以下公式计算差额并调整合同价格：</w:t>
      </w:r>
    </w:p>
    <w:p w14:paraId="44DC3F7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30"/>
          <w:szCs w:val="21"/>
          <w:highlight w:val="none"/>
          <w14:textFill>
            <w14:solidFill>
              <w14:schemeClr w14:val="tx1"/>
            </w14:solidFill>
          </w14:textFill>
        </w:rPr>
        <w:object>
          <v:shape id="_x0000_i1025" o:spt="75" type="#_x0000_t75" style="height:44.3pt;width:360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p w14:paraId="482D10EA">
      <w:pPr>
        <w:tabs>
          <w:tab w:val="left" w:pos="0"/>
          <w:tab w:val="left" w:pos="360"/>
          <w:tab w:val="left" w:pos="540"/>
        </w:tabs>
        <w:spacing w:line="360" w:lineRule="auto"/>
        <w:ind w:firstLine="64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公式中：ΔP——需调整的价格差额；</w:t>
      </w:r>
    </w:p>
    <w:p w14:paraId="2215015C">
      <w:pPr>
        <w:tabs>
          <w:tab w:val="left" w:pos="0"/>
          <w:tab w:val="left" w:pos="360"/>
          <w:tab w:val="left" w:pos="540"/>
        </w:tabs>
        <w:spacing w:line="360" w:lineRule="auto"/>
        <w:ind w:firstLine="1260" w:firstLineChars="6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6"/>
          <w:szCs w:val="21"/>
          <w:highlight w:val="none"/>
          <w14:textFill>
            <w14:solidFill>
              <w14:schemeClr w14:val="tx1"/>
            </w14:solidFill>
          </w14:textFill>
        </w:rPr>
        <w:object>
          <v:shape id="_x0000_i1026" o:spt="75" type="#_x0000_t75" style="height:18pt;width:18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——约定的付款证书中承包人应得到的已完成工程量的金额。此项金额应不包括价格调整、不计质量保证金的扣留和支付、预付款的支付和扣回。约定的变更及其他金额已按现行价格计价的，也不计在内；</w:t>
      </w:r>
    </w:p>
    <w:p w14:paraId="05E096E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A——定值权重（即不调部分的权重）；</w:t>
      </w:r>
    </w:p>
    <w:p w14:paraId="26B5DD7D">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7" o:spt="75" type="#_x0000_t75" style="height:21pt;width:101.25pt;" o:ole="t" filled="f" o:preferrelative="t" stroked="f" coordsize="21600,21600">
            <v:path/>
            <v:fill on="f" focussize="0,0"/>
            <v:stroke on="f" joinstyle="miter"/>
            <v:imagedata r:id="rId18" o:title=""/>
            <o:lock v:ext="edit" aspectratio="t"/>
            <w10:wrap type="none"/>
            <w10:anchorlock/>
          </v:shape>
          <o:OLEObject Type="Embed" ProgID="Equation.3" ShapeID="_x0000_i1027" DrawAspect="Content" ObjectID="_1468075727" r:id="rId17">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——各可调因子的变值权重（即可调部分的权重），为各可调因子在签约合同价中所占的比例；</w:t>
      </w:r>
    </w:p>
    <w:p w14:paraId="67A93DD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8" o:spt="75" type="#_x0000_t75" style="height:20.25pt;width:102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19">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——各可调因子的现行价格指数，指约定的付款证书相关周期最后一天的前42天的各可调因子的价格指数；</w:t>
      </w:r>
    </w:p>
    <w:p w14:paraId="12733515">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9" o:spt="75" type="#_x0000_t75" style="height:20.25pt;width:108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1">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——各可调因子的基本价格指数，指基准日期的各可调因子的价格指数。</w:t>
      </w:r>
    </w:p>
    <w:p w14:paraId="55180891">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D0C86C2">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（2）暂时确定调整差额</w:t>
      </w:r>
    </w:p>
    <w:p w14:paraId="0D84482C">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在计算调整差额时无现行价格指数的，合同当事人同意暂用前次价格指数计算。实际价格指数有调整的，合同当事人进行相应调整。</w:t>
      </w:r>
    </w:p>
    <w:p w14:paraId="5FE3F7BA">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（3）权重的调整</w:t>
      </w:r>
    </w:p>
    <w:p w14:paraId="31A40A81">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因变更导致合同约定的权重不合理时，按照第4.4款〔商定或确定〕执行。</w:t>
      </w:r>
    </w:p>
    <w:p w14:paraId="360CAD8F">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（4）因承包人原因工期延误后的价格调整</w:t>
      </w:r>
    </w:p>
    <w:p w14:paraId="544083DF">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因承包人原因未按期竣工的，对合同约定的竣工日期后继续施工的工程，在使用价格调整公式时，应采用计划竣工日期与实际竣工日期的两个价格指数中较低的一个作为现行价格指数。</w:t>
      </w:r>
    </w:p>
    <w:p w14:paraId="6B93955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第2种方式：采用造价信息进行价格调整。</w:t>
      </w:r>
    </w:p>
    <w:p w14:paraId="7548200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DF2BF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46F15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（2）材料、工程设备价格变化的价款调整按照发包人提供的基准价格，按以下风险范围规定执行:</w:t>
      </w:r>
    </w:p>
    <w:p w14:paraId="015DA7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53CF1D4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7D1E391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③承包人在已标价工程量清单或预算书中载明材料单价等于基准价格的：除专用合同条款另有约定外，合同履行期间材料单价涨跌幅以基准价格为基础超过±5%时，其超过部分据实调整。</w:t>
      </w:r>
    </w:p>
    <w:p w14:paraId="0E44176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B878DB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bookmarkStart w:id="451" w:name="OLE_LINK3"/>
      <w:r>
        <w:rPr>
          <w:rFonts w:hint="eastAsia" w:ascii="宋体" w:hAnsi="宋体" w:eastAsia="宋体" w:cs="宋体"/>
          <w:color w:val="000000" w:themeColor="text1"/>
          <w:szCs w:val="21"/>
          <w:highlight w:val="none"/>
          <w14:textFill>
            <w14:solidFill>
              <w14:schemeClr w14:val="tx1"/>
            </w14:solidFill>
          </w14:textFill>
        </w:rPr>
        <w:t>前述基准价格是指由发包人在招标文件或专用合同条款中给定的材料、工程设备的价格，该价格原则上应当按照省级或行业建设主管部门或其授权的工程造价管理机构发布的信息价编制。</w:t>
      </w:r>
    </w:p>
    <w:p w14:paraId="483E698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（3）施工机械台班单价或施工机械使用费发生变化超过省级或行业建设主管部门或其授权的工程造价管理机构规定的范围时，按规定调整合同价格。</w:t>
      </w:r>
    </w:p>
    <w:p w14:paraId="6745EDE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第3种方式：专用合同条款约定的其他方式。</w:t>
      </w:r>
    </w:p>
    <w:p w14:paraId="2638930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52" w:name="_Toc533863390"/>
      <w:bookmarkStart w:id="453" w:name="_Toc351203579"/>
      <w:bookmarkStart w:id="454" w:name="_Toc296346594"/>
      <w:bookmarkStart w:id="455" w:name="_Toc337558798"/>
      <w:bookmarkStart w:id="456" w:name="_Toc296503093"/>
      <w:r>
        <w:rPr>
          <w:rFonts w:ascii="宋体" w:hAnsi="宋体" w:eastAsia="宋体" w:cs="宋体"/>
          <w:bCs/>
          <w:color w:val="000000" w:themeColor="text1"/>
          <w:kern w:val="0"/>
          <w:szCs w:val="21"/>
          <w:highlight w:val="none"/>
          <w14:textFill>
            <w14:solidFill>
              <w14:schemeClr w14:val="tx1"/>
            </w14:solidFill>
          </w14:textFill>
        </w:rPr>
        <w:t>11.2法律变化引起的调整</w:t>
      </w:r>
      <w:bookmarkEnd w:id="452"/>
      <w:bookmarkEnd w:id="453"/>
    </w:p>
    <w:bookmarkEnd w:id="454"/>
    <w:bookmarkEnd w:id="455"/>
    <w:bookmarkEnd w:id="456"/>
    <w:p w14:paraId="7088662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E3EA8A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因法律变化引起的合同价格和工期调整，合同当事人无法达成一致的，由总监理工程师按第4.4款〔商定或确定〕的约定处理。</w:t>
      </w:r>
    </w:p>
    <w:p w14:paraId="079EE06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因承包人原因造成工期延误，在工期延误期间出现法律变化的，由此增加的费用和（或）延误的工期由承包人承担。</w:t>
      </w:r>
    </w:p>
    <w:p w14:paraId="55FE7877">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57" w:name="_Toc351203580"/>
      <w:bookmarkStart w:id="458" w:name="_Toc533863391"/>
      <w:bookmarkStart w:id="459" w:name="_Toc266"/>
      <w:bookmarkStart w:id="460" w:name="_Toc337558799"/>
      <w:bookmarkStart w:id="461" w:name="_Toc296503096"/>
      <w:bookmarkStart w:id="462" w:name="_Toc296346597"/>
      <w:r>
        <w:rPr>
          <w:rFonts w:hint="eastAsia" w:ascii="宋体" w:hAnsi="宋体" w:eastAsia="宋体" w:cs="宋体"/>
          <w:bCs/>
          <w:color w:val="000000" w:themeColor="text1"/>
          <w:szCs w:val="21"/>
          <w:highlight w:val="none"/>
          <w14:textFill>
            <w14:solidFill>
              <w14:schemeClr w14:val="tx1"/>
            </w14:solidFill>
          </w14:textFill>
        </w:rPr>
        <w:t>12. 合同价格、计量与支付</w:t>
      </w:r>
      <w:bookmarkEnd w:id="457"/>
      <w:bookmarkEnd w:id="458"/>
      <w:bookmarkEnd w:id="459"/>
    </w:p>
    <w:bookmarkEnd w:id="460"/>
    <w:p w14:paraId="3C765C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63" w:name="_Toc533863392"/>
      <w:bookmarkStart w:id="464" w:name="_Toc351203581"/>
      <w:bookmarkStart w:id="465" w:name="_Toc337558800"/>
      <w:r>
        <w:rPr>
          <w:rFonts w:ascii="宋体" w:hAnsi="宋体" w:eastAsia="宋体" w:cs="宋体"/>
          <w:bCs/>
          <w:color w:val="000000" w:themeColor="text1"/>
          <w:kern w:val="0"/>
          <w:szCs w:val="21"/>
          <w:highlight w:val="none"/>
          <w14:textFill>
            <w14:solidFill>
              <w14:schemeClr w14:val="tx1"/>
            </w14:solidFill>
          </w14:textFill>
        </w:rPr>
        <w:t>12.1 合同价</w:t>
      </w:r>
      <w:bookmarkEnd w:id="461"/>
      <w:bookmarkEnd w:id="462"/>
      <w:r>
        <w:rPr>
          <w:rFonts w:ascii="宋体" w:hAnsi="宋体" w:eastAsia="宋体" w:cs="宋体"/>
          <w:bCs/>
          <w:color w:val="000000" w:themeColor="text1"/>
          <w:kern w:val="0"/>
          <w:szCs w:val="21"/>
          <w:highlight w:val="none"/>
          <w14:textFill>
            <w14:solidFill>
              <w14:schemeClr w14:val="tx1"/>
            </w14:solidFill>
          </w14:textFill>
        </w:rPr>
        <w:t>格形式</w:t>
      </w:r>
      <w:bookmarkEnd w:id="463"/>
      <w:bookmarkEnd w:id="464"/>
    </w:p>
    <w:bookmarkEnd w:id="465"/>
    <w:p w14:paraId="4F446C1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发包人和承包人应在合同协议书中选择下列一种合同价格形式： </w:t>
      </w:r>
    </w:p>
    <w:p w14:paraId="723D85F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1.单价合同</w:t>
      </w:r>
    </w:p>
    <w:p w14:paraId="2097C55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单价合同是指合同当事人约定以工程量清单及其综合单价进行合同价格计算、调整和确认的建设工程施工合同，</w:t>
      </w:r>
      <w:r>
        <w:rPr>
          <w:rFonts w:hint="eastAsia" w:ascii="宋体" w:hAnsi="宋体" w:eastAsia="宋体" w:cs="宋体"/>
          <w:color w:val="000000" w:themeColor="text1"/>
          <w:szCs w:val="21"/>
          <w:highlight w:val="none"/>
          <w14:textFill>
            <w14:solidFill>
              <w14:schemeClr w14:val="tx1"/>
            </w14:solidFill>
          </w14:textFill>
        </w:rPr>
        <w:t>在约定的范围内合同单价不作调整</w:t>
      </w:r>
      <w:r>
        <w:rPr>
          <w:rFonts w:hint="eastAsia" w:ascii="宋体" w:hAnsi="宋体" w:eastAsia="宋体" w:cs="宋体"/>
          <w:color w:val="000000" w:themeColor="text1"/>
          <w:kern w:val="0"/>
          <w:szCs w:val="21"/>
          <w:highlight w:val="none"/>
          <w14:textFill>
            <w14:solidFill>
              <w14:schemeClr w14:val="tx1"/>
            </w14:solidFill>
          </w14:textFill>
        </w:rPr>
        <w:t>。合同当事人应在专用合同条款中约定综合单价包含的风险范围和风险费用的计算方法</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并约定风险范围以外的合同价格的调整方法，其中因市场价格波动引起的调整按第11.1款〔市场价格波动引起的调整〕约定执行。</w:t>
      </w:r>
    </w:p>
    <w:p w14:paraId="13351F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w:t>
      </w:r>
    </w:p>
    <w:p w14:paraId="3A4299B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总价合同是指合同当事人约定以施工图、已标价工程量清单或预算书及有关条件进行合同价格计算、调整和确认的建设工程施工合同，</w:t>
      </w:r>
      <w:r>
        <w:rPr>
          <w:rFonts w:hint="eastAsia" w:ascii="宋体" w:hAnsi="宋体" w:eastAsia="宋体" w:cs="宋体"/>
          <w:color w:val="000000" w:themeColor="text1"/>
          <w:szCs w:val="21"/>
          <w:highlight w:val="none"/>
          <w14:textFill>
            <w14:solidFill>
              <w14:schemeClr w14:val="tx1"/>
            </w14:solidFill>
          </w14:textFill>
        </w:rPr>
        <w:t>在约定的范围内合同总价不作调整</w:t>
      </w:r>
      <w:r>
        <w:rPr>
          <w:rFonts w:hint="eastAsia" w:ascii="宋体" w:hAnsi="宋体" w:eastAsia="宋体" w:cs="宋体"/>
          <w:color w:val="000000" w:themeColor="text1"/>
          <w:kern w:val="0"/>
          <w:szCs w:val="21"/>
          <w:highlight w:val="none"/>
          <w14:textFill>
            <w14:solidFill>
              <w14:schemeClr w14:val="tx1"/>
            </w14:solidFill>
          </w14:textFill>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38F4DD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3.其它价格形式</w:t>
      </w:r>
    </w:p>
    <w:p w14:paraId="1985B9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合同当事人可在专用合同条款中约定其他合同价格形式。</w:t>
      </w:r>
    </w:p>
    <w:p w14:paraId="48FE35E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66" w:name="_Toc296503097"/>
      <w:bookmarkStart w:id="467" w:name="_Toc296346598"/>
      <w:bookmarkStart w:id="468" w:name="_Toc351203582"/>
      <w:bookmarkStart w:id="469" w:name="_Toc533863393"/>
      <w:bookmarkStart w:id="470" w:name="_Toc337558801"/>
      <w:r>
        <w:rPr>
          <w:rFonts w:ascii="宋体" w:hAnsi="宋体" w:eastAsia="宋体" w:cs="宋体"/>
          <w:bCs/>
          <w:color w:val="000000" w:themeColor="text1"/>
          <w:kern w:val="0"/>
          <w:szCs w:val="21"/>
          <w:highlight w:val="none"/>
          <w14:textFill>
            <w14:solidFill>
              <w14:schemeClr w14:val="tx1"/>
            </w14:solidFill>
          </w14:textFill>
        </w:rPr>
        <w:t>12.2预</w:t>
      </w:r>
      <w:bookmarkEnd w:id="466"/>
      <w:bookmarkEnd w:id="467"/>
      <w:bookmarkStart w:id="471" w:name="_Toc296503100"/>
      <w:bookmarkStart w:id="472" w:name="_Toc296346601"/>
      <w:r>
        <w:rPr>
          <w:rFonts w:ascii="宋体" w:hAnsi="宋体" w:eastAsia="宋体" w:cs="宋体"/>
          <w:bCs/>
          <w:color w:val="000000" w:themeColor="text1"/>
          <w:kern w:val="0"/>
          <w:szCs w:val="21"/>
          <w:highlight w:val="none"/>
          <w14:textFill>
            <w14:solidFill>
              <w14:schemeClr w14:val="tx1"/>
            </w14:solidFill>
          </w14:textFill>
        </w:rPr>
        <w:t>付款</w:t>
      </w:r>
      <w:bookmarkEnd w:id="468"/>
      <w:bookmarkEnd w:id="469"/>
    </w:p>
    <w:bookmarkEnd w:id="470"/>
    <w:bookmarkEnd w:id="471"/>
    <w:bookmarkEnd w:id="472"/>
    <w:p w14:paraId="2148F7C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w:t>
      </w:r>
      <w:r>
        <w:rPr>
          <w:rFonts w:hint="eastAsia" w:ascii="宋体" w:hAnsi="宋体" w:eastAsia="宋体" w:cs="宋体"/>
          <w:color w:val="000000" w:themeColor="text1"/>
          <w:kern w:val="0"/>
          <w:szCs w:val="21"/>
          <w:highlight w:val="none"/>
          <w14:textFill>
            <w14:solidFill>
              <w14:schemeClr w14:val="tx1"/>
            </w14:solidFill>
          </w14:textFill>
        </w:rPr>
        <w:t>1预付款的支付</w:t>
      </w:r>
    </w:p>
    <w:p w14:paraId="23FC884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预付款的支付按照专用合同条款约定执行，但至迟应在开工通知载明的开工日期7天前支付。预付款应当用于材料、工程设备、施工设备的采购及修建临时工程、组织施工队伍进场等。</w:t>
      </w:r>
    </w:p>
    <w:p w14:paraId="344D73B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除专用合同条款另有约定外，预付款在进度付款中同比例扣回。</w:t>
      </w:r>
      <w:bookmarkEnd w:id="451"/>
      <w:r>
        <w:rPr>
          <w:rFonts w:hint="eastAsia" w:ascii="宋体" w:hAnsi="宋体" w:eastAsia="宋体" w:cs="宋体"/>
          <w:color w:val="000000" w:themeColor="text1"/>
          <w:kern w:val="0"/>
          <w:szCs w:val="21"/>
          <w:highlight w:val="none"/>
          <w14:textFill>
            <w14:solidFill>
              <w14:schemeClr w14:val="tx1"/>
            </w14:solidFill>
          </w14:textFill>
        </w:rPr>
        <w:t>在颁发工程接收证书前，提前解除合同的，尚未扣完的预付款应与合同价款一并结算。</w:t>
      </w:r>
    </w:p>
    <w:p w14:paraId="100E5CA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发包人逾期支付预付款超过7天的，承包人有权向发包人发出要求预付的催告通知，发包人收到通知后7天内仍未支付的，承包人有权暂停施工，并按第16.1.1项〔发包人违约的情形〕执行。</w:t>
      </w:r>
    </w:p>
    <w:p w14:paraId="7628031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12.2.2 预付款担保</w:t>
      </w:r>
    </w:p>
    <w:p w14:paraId="3759DB5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0622A45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发包人在工程款中逐期扣回预付款后，预付款担保额度应相应减少，但剩余的预付款担保金额不得低于未被扣回的预付款金额。</w:t>
      </w:r>
    </w:p>
    <w:p w14:paraId="3886387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73" w:name="_Toc533863394"/>
      <w:bookmarkStart w:id="474" w:name="_Toc351203583"/>
      <w:bookmarkStart w:id="475" w:name="_Toc337558802"/>
      <w:r>
        <w:rPr>
          <w:rFonts w:ascii="宋体" w:hAnsi="宋体" w:eastAsia="宋体" w:cs="宋体"/>
          <w:bCs/>
          <w:color w:val="000000" w:themeColor="text1"/>
          <w:kern w:val="0"/>
          <w:szCs w:val="21"/>
          <w:highlight w:val="none"/>
          <w14:textFill>
            <w14:solidFill>
              <w14:schemeClr w14:val="tx1"/>
            </w14:solidFill>
          </w14:textFill>
        </w:rPr>
        <w:t>12.3计量</w:t>
      </w:r>
      <w:bookmarkEnd w:id="473"/>
      <w:bookmarkEnd w:id="474"/>
    </w:p>
    <w:bookmarkEnd w:id="475"/>
    <w:p w14:paraId="25CB3C3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12.3.1 计量原则</w:t>
      </w:r>
    </w:p>
    <w:p w14:paraId="1017813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工程量计量按照合同约定的工程量计算规则、图纸及变更指示等进行计量。工程量计算规则应以相关的国家标准、行业标准等为依据，由合同当事人在专用合同条款中约定。</w:t>
      </w:r>
    </w:p>
    <w:p w14:paraId="052448D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12.3.2 计量周期</w:t>
      </w:r>
    </w:p>
    <w:p w14:paraId="134BB78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除专用合同条款另有约定外，工程量的计量按月进行。</w:t>
      </w:r>
    </w:p>
    <w:p w14:paraId="2CCD88C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12.3.3 单价合同的计量</w:t>
      </w:r>
    </w:p>
    <w:p w14:paraId="678169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除专用合同条款另有约定外，单价合同的计量按照本项约定执行：</w:t>
      </w:r>
    </w:p>
    <w:p w14:paraId="6F87466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488F435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41B74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（3）监理人未在收到承包人提交的工程量报表后的7天内完成审核的，承包人报送的工程量报告中的工程量视为承包人实际完成的工程量，据此计算工程价款。</w:t>
      </w:r>
    </w:p>
    <w:p w14:paraId="0AB598E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12.3.4 总价合同的计量</w:t>
      </w:r>
    </w:p>
    <w:p w14:paraId="552D7DD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除专用合同条款另有约定外，按月计量支付的总价合同，按照本项约定执行：</w:t>
      </w:r>
    </w:p>
    <w:p w14:paraId="3D2377D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5B1AEC9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6DDA911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（3）监理人未在收到承包人提交的工程量报表后的7天内完成复核的，承包人提交的工程量报告中的工程量视为承包人实际完成的工程量。</w:t>
      </w:r>
    </w:p>
    <w:p w14:paraId="1F206C9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12.3.5 总价合同采用支付分解表计量支付的，可以按照第12.3.4项〔总价合同的计量〕约定进行计量，但合同价款按照支付分解表进行支付。</w:t>
      </w:r>
    </w:p>
    <w:p w14:paraId="09069E1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12.3.6 其他价格形式合同的计量</w:t>
      </w:r>
    </w:p>
    <w:p w14:paraId="2155EA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合同当事人可在专用合同条款中约定其他价格形式合同的计量方式和程序。</w:t>
      </w:r>
    </w:p>
    <w:p w14:paraId="66FF2D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76" w:name="_Toc296346602"/>
      <w:bookmarkStart w:id="477" w:name="_Toc296503101"/>
      <w:bookmarkStart w:id="478" w:name="_Toc351203584"/>
      <w:bookmarkStart w:id="479" w:name="_Toc533863395"/>
      <w:bookmarkStart w:id="480" w:name="_Toc337558803"/>
      <w:r>
        <w:rPr>
          <w:rFonts w:ascii="宋体" w:hAnsi="宋体" w:eastAsia="宋体" w:cs="宋体"/>
          <w:bCs/>
          <w:color w:val="000000" w:themeColor="text1"/>
          <w:kern w:val="0"/>
          <w:szCs w:val="21"/>
          <w:highlight w:val="none"/>
          <w14:textFill>
            <w14:solidFill>
              <w14:schemeClr w14:val="tx1"/>
            </w14:solidFill>
          </w14:textFill>
        </w:rPr>
        <w:t>12.4工程进度款支</w:t>
      </w:r>
      <w:bookmarkEnd w:id="476"/>
      <w:bookmarkEnd w:id="477"/>
      <w:r>
        <w:rPr>
          <w:rFonts w:ascii="宋体" w:hAnsi="宋体" w:eastAsia="宋体" w:cs="宋体"/>
          <w:bCs/>
          <w:color w:val="000000" w:themeColor="text1"/>
          <w:kern w:val="0"/>
          <w:szCs w:val="21"/>
          <w:highlight w:val="none"/>
          <w14:textFill>
            <w14:solidFill>
              <w14:schemeClr w14:val="tx1"/>
            </w14:solidFill>
          </w14:textFill>
        </w:rPr>
        <w:t>付</w:t>
      </w:r>
      <w:bookmarkEnd w:id="478"/>
      <w:bookmarkEnd w:id="479"/>
    </w:p>
    <w:bookmarkEnd w:id="480"/>
    <w:p w14:paraId="3CE7A4A4">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12.4.1 付款周期</w:t>
      </w:r>
    </w:p>
    <w:p w14:paraId="5244D74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除专用合同条款另有约定外，付款周期应按照第12.3.2项〔计量周期〕的约定与计量周期保持一致。</w:t>
      </w:r>
    </w:p>
    <w:p w14:paraId="2A2C8762">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12.4.2 进度付款申请单的编制</w:t>
      </w:r>
    </w:p>
    <w:p w14:paraId="50720C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除专用合同条款另有约定外，进度付款申请单应包括下列内容：</w:t>
      </w:r>
    </w:p>
    <w:p w14:paraId="1B9A664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（1）截至本次付款周期已完成工作对应的金额；</w:t>
      </w:r>
    </w:p>
    <w:p w14:paraId="318BB4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（2）根据第10条〔变更〕应增加和扣减的变更金额；</w:t>
      </w:r>
    </w:p>
    <w:p w14:paraId="6461A02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（3）根据第12.2款〔预付款〕约定应支付的预付款和扣减的返还预付款；</w:t>
      </w:r>
    </w:p>
    <w:p w14:paraId="6AA7AC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（4）根据第15.3款〔质量保证金〕约定应扣减的质量保证金；</w:t>
      </w:r>
    </w:p>
    <w:p w14:paraId="0C0F10F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（5）根据第19条〔索赔〕应增加和扣减的索赔金额；</w:t>
      </w:r>
    </w:p>
    <w:p w14:paraId="654DF4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（6）对已签发的进度款支付证书中出现错误的修正，应在本次进度付款中支付或扣除的金额；</w:t>
      </w:r>
    </w:p>
    <w:p w14:paraId="51E61B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（7）根据合同约定应增加和扣减的其他金额。</w:t>
      </w:r>
    </w:p>
    <w:p w14:paraId="4253DAA9">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12.4.3 进度付款申请单的提交</w:t>
      </w:r>
    </w:p>
    <w:p w14:paraId="5539AC1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（1）单价合同进度付款申请单的提交</w:t>
      </w:r>
    </w:p>
    <w:p w14:paraId="40A1FAC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012BE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（2）总价合同进度付款申请单的提交</w:t>
      </w:r>
    </w:p>
    <w:p w14:paraId="494196A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总价合同按月计量支付的，承包人按照第12.3.4项〔总价合同的计量〕约定的时间按月向监理人提交进度付款申请单，并附上已完成工程量报表和有关资料。</w:t>
      </w:r>
    </w:p>
    <w:p w14:paraId="52608AF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总价合同按支付分解表支付的，承包人应按照第12.4.6项〔支付分解表〕及第12.4.2项〔进度付款申请单的编制〕的约定向监理人提交进度付款申请单。</w:t>
      </w:r>
    </w:p>
    <w:p w14:paraId="4555CB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（3）其他价格形式合同的进度付款申请单的提交</w:t>
      </w:r>
    </w:p>
    <w:p w14:paraId="6695EDE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合同当事人可在专用合同条款中约定其他价格形式合同的进度付款申请单的编制和提交程序。</w:t>
      </w:r>
    </w:p>
    <w:p w14:paraId="51852C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12.4</w:t>
      </w:r>
      <w:r>
        <w:rPr>
          <w:rFonts w:hint="eastAsia" w:ascii="宋体" w:hAnsi="宋体" w:eastAsia="宋体" w:cs="宋体"/>
          <w:color w:val="000000" w:themeColor="text1"/>
          <w:kern w:val="0"/>
          <w:szCs w:val="21"/>
          <w:highlight w:val="none"/>
          <w14:textFill>
            <w14:solidFill>
              <w14:schemeClr w14:val="tx1"/>
            </w14:solidFill>
          </w14:textFill>
        </w:rPr>
        <w:t>.4 进度款审核和支付</w:t>
      </w:r>
    </w:p>
    <w:p w14:paraId="01952C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1D7105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C9BD35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（2）除专用合同条款另有约定外，发包人应在进度款支付证书或临时进度款支付证书签发后14天内完成支付，发包人逾期支付进度款的，应按照中国人民银行发布的同期同类贷款基准利率支付违约金。</w:t>
      </w:r>
    </w:p>
    <w:p w14:paraId="5C69B01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（3）发包人签发进度款支付证书或临时进度款支付证书，不表明发包人已同意、批准或接受了承包人完成的相应部分的工作。</w:t>
      </w:r>
    </w:p>
    <w:p w14:paraId="2E5870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12.4.5 进度付款的修正</w:t>
      </w:r>
    </w:p>
    <w:p w14:paraId="3241BE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在对已签发的进度款支付证书进行阶段汇总和复核中发现错误、遗漏或重复的，发包人和承包人均有权提出修正申请。经发包人和承包人同意的修正，应在下期进度付款中支付或扣除。</w:t>
      </w:r>
    </w:p>
    <w:p w14:paraId="18325D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12.4.6 支付分解表</w:t>
      </w:r>
    </w:p>
    <w:p w14:paraId="1147794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1.支付分解表的编制要求</w:t>
      </w:r>
    </w:p>
    <w:p w14:paraId="026FED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（1）支付分解表中所列的每期付款金额，应为第12.4.2项〔进度付款申请单的编制〕第（1）目的估算金额；</w:t>
      </w:r>
    </w:p>
    <w:p w14:paraId="6A7F0BC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（2）实际进度与施工进度计划不一致的，合同当事人可按照第4.4款〔商定或确定〕修改支付分解表；</w:t>
      </w:r>
    </w:p>
    <w:p w14:paraId="2D0A1F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（3）不采用支付分解表的，承包人应向发包人和监理人提交按季度编制的支付估算分解表，用于支付参考。</w:t>
      </w:r>
    </w:p>
    <w:p w14:paraId="7A56712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2.总价合同支付分解表的编制与审批</w:t>
      </w:r>
    </w:p>
    <w:p w14:paraId="39A2FD2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245E5F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（2）监理人应在收到支付分解表后7天内完成审核并报送发包人。发包人应在收到经监理人审核的支付分解表后7天内完成审批，经发包人批准的支付分解表为有约束力的支付分解表。</w:t>
      </w:r>
    </w:p>
    <w:p w14:paraId="3786F7DF">
      <w:pPr>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（3）发包人逾期未完成支付分解表审批的，也未及时要求承包人进行修正和提供补充资料的，则承包人提交的支付分解表视为已经获得发包人批准。</w:t>
      </w:r>
    </w:p>
    <w:p w14:paraId="24A41AC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3.单价合同的总价项目支付分解表的编制与审批</w:t>
      </w:r>
    </w:p>
    <w:p w14:paraId="38143B6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2680C30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81" w:name="_Toc351203585"/>
      <w:bookmarkStart w:id="482" w:name="_Toc533863396"/>
      <w:r>
        <w:rPr>
          <w:rFonts w:ascii="宋体" w:hAnsi="宋体" w:eastAsia="宋体" w:cs="宋体"/>
          <w:bCs/>
          <w:color w:val="000000" w:themeColor="text1"/>
          <w:kern w:val="0"/>
          <w:szCs w:val="21"/>
          <w:highlight w:val="none"/>
          <w14:textFill>
            <w14:solidFill>
              <w14:schemeClr w14:val="tx1"/>
            </w14:solidFill>
          </w14:textFill>
        </w:rPr>
        <w:t>12.5支付账户</w:t>
      </w:r>
      <w:bookmarkEnd w:id="481"/>
      <w:bookmarkEnd w:id="482"/>
    </w:p>
    <w:p w14:paraId="0668510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发包人应将合同价款支付至合同协议书中约定的承包人账户。</w:t>
      </w:r>
    </w:p>
    <w:p w14:paraId="20E8475F">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83" w:name="_Toc351203586"/>
      <w:bookmarkStart w:id="484" w:name="_Toc20987"/>
      <w:bookmarkStart w:id="485" w:name="_Toc533863397"/>
      <w:bookmarkStart w:id="486" w:name="_Toc296346607"/>
      <w:bookmarkStart w:id="487" w:name="_Toc296503106"/>
      <w:bookmarkStart w:id="488" w:name="_Toc337558804"/>
      <w:bookmarkStart w:id="489" w:name="_Toc322522574"/>
      <w:r>
        <w:rPr>
          <w:rFonts w:hint="eastAsia" w:ascii="宋体" w:hAnsi="宋体" w:eastAsia="宋体" w:cs="宋体"/>
          <w:bCs/>
          <w:color w:val="000000" w:themeColor="text1"/>
          <w:szCs w:val="21"/>
          <w:highlight w:val="none"/>
          <w14:textFill>
            <w14:solidFill>
              <w14:schemeClr w14:val="tx1"/>
            </w14:solidFill>
          </w14:textFill>
        </w:rPr>
        <w:t>13. 验收和工程试车</w:t>
      </w:r>
      <w:bookmarkEnd w:id="483"/>
      <w:bookmarkEnd w:id="484"/>
      <w:bookmarkEnd w:id="485"/>
    </w:p>
    <w:bookmarkEnd w:id="486"/>
    <w:bookmarkEnd w:id="487"/>
    <w:bookmarkEnd w:id="488"/>
    <w:bookmarkEnd w:id="489"/>
    <w:p w14:paraId="7EDF9FB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0" w:name="_Toc533863398"/>
      <w:bookmarkStart w:id="491" w:name="_Toc351203587"/>
      <w:bookmarkStart w:id="492" w:name="_Toc337558805"/>
      <w:bookmarkStart w:id="493" w:name="_Toc296346611"/>
      <w:bookmarkStart w:id="494" w:name="_Toc296503110"/>
      <w:r>
        <w:rPr>
          <w:rFonts w:ascii="宋体" w:hAnsi="宋体" w:eastAsia="宋体" w:cs="宋体"/>
          <w:bCs/>
          <w:color w:val="000000" w:themeColor="text1"/>
          <w:kern w:val="0"/>
          <w:szCs w:val="21"/>
          <w:highlight w:val="none"/>
          <w14:textFill>
            <w14:solidFill>
              <w14:schemeClr w14:val="tx1"/>
            </w14:solidFill>
          </w14:textFill>
        </w:rPr>
        <w:t>13.1分部分项工程验收</w:t>
      </w:r>
      <w:bookmarkEnd w:id="490"/>
      <w:bookmarkEnd w:id="491"/>
    </w:p>
    <w:bookmarkEnd w:id="492"/>
    <w:p w14:paraId="30004B2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13.1.1 分部分项工程质量应符合国家有关工程施工验收规范、标准及合同约定，承包人应按照施工组织设计的要求完成分部分项工程施工。</w:t>
      </w:r>
    </w:p>
    <w:p w14:paraId="610F21B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13.1.2 除专用合同条款另有约定外，分部分项工程经承包人自检合格并具备验收条件的，承包人应提前48小时通知监理人进行验收。</w:t>
      </w:r>
      <w:r>
        <w:rPr>
          <w:rFonts w:hint="eastAsia" w:ascii="宋体" w:hAnsi="宋体" w:eastAsia="宋体" w:cs="宋体"/>
          <w:color w:val="000000" w:themeColor="text1"/>
          <w:kern w:val="0"/>
          <w:szCs w:val="21"/>
          <w:highlight w:val="none"/>
          <w14:textFill>
            <w14:solidFill>
              <w14:schemeClr w14:val="tx1"/>
            </w14:solidFill>
          </w14:textFill>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000000" w:themeColor="text1"/>
          <w:szCs w:val="21"/>
          <w:highlight w:val="none"/>
          <w14:textFill>
            <w14:solidFill>
              <w14:schemeClr w14:val="tx1"/>
            </w14:solidFill>
          </w14:textFill>
        </w:rPr>
        <w:t>分部分项工程未经验收的，不得进入下一道工序施工。</w:t>
      </w:r>
    </w:p>
    <w:p w14:paraId="2B58FD6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分部分项工程的验收资料应当作为竣工资料的组成部分。</w:t>
      </w:r>
    </w:p>
    <w:p w14:paraId="3CB85AB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5" w:name="_Toc351203588"/>
      <w:bookmarkStart w:id="496" w:name="_Toc533863399"/>
      <w:bookmarkStart w:id="497" w:name="_Toc337558806"/>
      <w:r>
        <w:rPr>
          <w:rFonts w:ascii="宋体" w:hAnsi="宋体" w:eastAsia="宋体" w:cs="宋体"/>
          <w:bCs/>
          <w:color w:val="000000" w:themeColor="text1"/>
          <w:kern w:val="0"/>
          <w:szCs w:val="21"/>
          <w:highlight w:val="none"/>
          <w14:textFill>
            <w14:solidFill>
              <w14:schemeClr w14:val="tx1"/>
            </w14:solidFill>
          </w14:textFill>
        </w:rPr>
        <w:t>13.2竣工验收</w:t>
      </w:r>
      <w:bookmarkEnd w:id="495"/>
      <w:bookmarkEnd w:id="496"/>
    </w:p>
    <w:bookmarkEnd w:id="493"/>
    <w:bookmarkEnd w:id="494"/>
    <w:bookmarkEnd w:id="497"/>
    <w:p w14:paraId="162D1ADC">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13.2.1竣工验收条件</w:t>
      </w:r>
    </w:p>
    <w:p w14:paraId="40CB7EB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工程具备以下条件的，承包人可以申请竣工验收：</w:t>
      </w:r>
    </w:p>
    <w:p w14:paraId="11A051F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（1）除发包人同意的甩项工作和缺陷修补工作外，合同范围内的全部工程以及有关工作，包括合同要求的试验、试运行以及检验均已完成，并符合合同要求；</w:t>
      </w:r>
    </w:p>
    <w:p w14:paraId="3540D06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（2）已按合同约定编制了甩项工作和缺陷修补工作清单以及相应的施工计划；</w:t>
      </w:r>
    </w:p>
    <w:p w14:paraId="1CC3B14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（3）已按合同约定的内容和份数备齐竣工资料。</w:t>
      </w:r>
    </w:p>
    <w:p w14:paraId="019F7B6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13.2.2竣工验收程序</w:t>
      </w:r>
    </w:p>
    <w:p w14:paraId="1905927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除专用合同条款另有约定外，承包人申请竣工验收的，应当按照以下程序进行：</w:t>
      </w:r>
    </w:p>
    <w:p w14:paraId="4B015B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19D23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726A54F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（3）竣工验收合格的，发包人应在验收合格后14天内向承包人签发工程接收证书。发包人无正当理由逾期不颁发工程接收证书的，自验收合格后第15天起视为已颁发工程接收证书。</w:t>
      </w:r>
    </w:p>
    <w:p w14:paraId="2871E1C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C954A6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354C29A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除专用合同条款另有约定外，发包人不按照本项约定组织竣工验收、颁发工程接收证书的，每逾期一天，应以签约合同价为基数，按照中国人民银行发布的同期同类贷款基准利率支付违约金。</w:t>
      </w:r>
    </w:p>
    <w:p w14:paraId="40A5B20E">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13.2.3竣工日期</w:t>
      </w:r>
    </w:p>
    <w:p w14:paraId="3C921B4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98" w:name="#go14"/>
      <w:bookmarkEnd w:id="498"/>
      <w:r>
        <w:rPr>
          <w:rFonts w:hint="eastAsia" w:ascii="宋体" w:hAnsi="宋体" w:eastAsia="宋体" w:cs="宋体"/>
          <w:color w:val="000000" w:themeColor="text1"/>
          <w:kern w:val="0"/>
          <w:szCs w:val="21"/>
          <w:highlight w:val="none"/>
          <w14:textFill>
            <w14:solidFill>
              <w14:schemeClr w14:val="tx1"/>
            </w14:solidFill>
          </w14:textFill>
        </w:rPr>
        <w:t>收申请报告的日期为实际竣工日期；工程未经竣工验收，发包人擅自使用的，以转移占有工程之日为实际竣工日期。</w:t>
      </w:r>
    </w:p>
    <w:p w14:paraId="59B8645C">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13.2.4 拒绝接收全部或部分工程</w:t>
      </w:r>
    </w:p>
    <w:p w14:paraId="1917D84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7D6F6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13.2.5 移交、接收全部与部分工程</w:t>
      </w:r>
    </w:p>
    <w:p w14:paraId="35FB937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除专用合同条款另有约定外，合同当事人应当在颁发工程接收证书后7天内完成工程的移交。</w:t>
      </w:r>
    </w:p>
    <w:p w14:paraId="69D6B57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发包人无正当理由不接收工程的，发包人自应当接收工程之日起，承担工程照管、成品保护、保管等与工程有关的各项费用，合同当事人可以在专用合同条款中另行约定发包人逾期接收工程的违约责任。</w:t>
      </w:r>
    </w:p>
    <w:p w14:paraId="2259734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承包人无正当理由不移交工程的，承包人应承担工程照管、成品保护、保管等与工程有关的各项费用，合同当事人可以在专用合同条款中另行约定承包人无正当理由不移交工程的违约责任。</w:t>
      </w:r>
    </w:p>
    <w:p w14:paraId="5AA1707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9" w:name="_Toc533863400"/>
      <w:bookmarkStart w:id="500" w:name="_Toc351203589"/>
      <w:bookmarkStart w:id="501" w:name="_Toc296503111"/>
      <w:bookmarkStart w:id="502" w:name="_Toc296346612"/>
      <w:bookmarkStart w:id="503" w:name="_Toc337558807"/>
      <w:r>
        <w:rPr>
          <w:rFonts w:ascii="宋体" w:hAnsi="宋体" w:eastAsia="宋体" w:cs="宋体"/>
          <w:bCs/>
          <w:color w:val="000000" w:themeColor="text1"/>
          <w:kern w:val="0"/>
          <w:szCs w:val="21"/>
          <w:highlight w:val="none"/>
          <w14:textFill>
            <w14:solidFill>
              <w14:schemeClr w14:val="tx1"/>
            </w14:solidFill>
          </w14:textFill>
        </w:rPr>
        <w:t>13.3工程试车</w:t>
      </w:r>
      <w:bookmarkEnd w:id="499"/>
      <w:bookmarkEnd w:id="500"/>
    </w:p>
    <w:bookmarkEnd w:id="501"/>
    <w:bookmarkEnd w:id="502"/>
    <w:bookmarkEnd w:id="503"/>
    <w:p w14:paraId="50080B9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13.3.1试车程序</w:t>
      </w:r>
    </w:p>
    <w:p w14:paraId="7765518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工程需要试车的，除专用合同条款另有约定外，试车内容应与承包人承包范围相一致，试车费用由承包人承担。工程试车应按如下程序进行：</w:t>
      </w:r>
    </w:p>
    <w:p w14:paraId="7C1E874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163D55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262CFD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779EB8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13.3.2 试车中的责任</w:t>
      </w:r>
    </w:p>
    <w:p w14:paraId="129C42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25BB470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4D02B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13.3.3 投料试车</w:t>
      </w:r>
    </w:p>
    <w:p w14:paraId="040E2CF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如需进行投料试车的，发包人应在工程竣工验收后组织投料试车。发包人要求在工程竣工验收前进行或需要承包人配合时，应征得承包人同意，并在专用合同条款中约定有关事项。</w:t>
      </w:r>
    </w:p>
    <w:p w14:paraId="7685FC3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557638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4" w:name="_Toc351203590"/>
      <w:bookmarkStart w:id="505" w:name="_Toc533863401"/>
      <w:bookmarkStart w:id="506" w:name="_Toc337558808"/>
      <w:r>
        <w:rPr>
          <w:rFonts w:ascii="宋体" w:hAnsi="宋体" w:eastAsia="宋体" w:cs="宋体"/>
          <w:bCs/>
          <w:color w:val="000000" w:themeColor="text1"/>
          <w:kern w:val="0"/>
          <w:szCs w:val="21"/>
          <w:highlight w:val="none"/>
          <w14:textFill>
            <w14:solidFill>
              <w14:schemeClr w14:val="tx1"/>
            </w14:solidFill>
          </w14:textFill>
        </w:rPr>
        <w:t>13.4提前交付单位工程的验收</w:t>
      </w:r>
      <w:bookmarkEnd w:id="504"/>
      <w:bookmarkEnd w:id="505"/>
    </w:p>
    <w:bookmarkEnd w:id="506"/>
    <w:p w14:paraId="03E6003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13.4.1 发包人需要在工程竣工前使用单位工程的，或承包人提出提前交付已经竣工的单位工程且经发包人同意的，可进行单位工程验收，验收的程序按照第13.2款〔竣工验收〕的约定进行。</w:t>
      </w:r>
    </w:p>
    <w:p w14:paraId="564956A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验收合格后，由监理人向承包人出具经发包人签认的单位工程接收证书。已签发单位工程接收证书的单位工程由发包人负责照管。单位工程的验收成果和结论作为整体工程竣工验收申请报告的附件。</w:t>
      </w:r>
    </w:p>
    <w:p w14:paraId="27A7317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13.4.2 发包人要求在工程竣工前交付单位工程，由此导致承包人费用增加和（或）工期延误的，由发包人承担由此增加的费用和（或）延误的工期，并支付承包人合理的利润。</w:t>
      </w:r>
    </w:p>
    <w:p w14:paraId="2D65617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7" w:name="_Toc351203591"/>
      <w:bookmarkStart w:id="508" w:name="_Toc533863402"/>
      <w:r>
        <w:rPr>
          <w:rFonts w:ascii="宋体" w:hAnsi="宋体" w:eastAsia="宋体" w:cs="宋体"/>
          <w:bCs/>
          <w:color w:val="000000" w:themeColor="text1"/>
          <w:kern w:val="0"/>
          <w:szCs w:val="21"/>
          <w:highlight w:val="none"/>
          <w14:textFill>
            <w14:solidFill>
              <w14:schemeClr w14:val="tx1"/>
            </w14:solidFill>
          </w14:textFill>
        </w:rPr>
        <w:t>13.5 施工期运行</w:t>
      </w:r>
      <w:bookmarkEnd w:id="507"/>
      <w:bookmarkEnd w:id="508"/>
    </w:p>
    <w:p w14:paraId="478E198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BE204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13.5.2 在施工期运行中发现工程或工程设备损坏或存在缺陷的，由承包人按第15.2款〔缺陷责任期〕约定进行修复。</w:t>
      </w:r>
    </w:p>
    <w:p w14:paraId="759F62C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9" w:name="_Toc296346613"/>
      <w:bookmarkStart w:id="510" w:name="_Toc296503112"/>
      <w:bookmarkStart w:id="511" w:name="_Toc533863403"/>
      <w:bookmarkStart w:id="512" w:name="_Toc351203592"/>
      <w:bookmarkStart w:id="513" w:name="_Toc337558809"/>
      <w:r>
        <w:rPr>
          <w:rFonts w:ascii="宋体" w:hAnsi="宋体" w:eastAsia="宋体" w:cs="宋体"/>
          <w:bCs/>
          <w:color w:val="000000" w:themeColor="text1"/>
          <w:kern w:val="0"/>
          <w:szCs w:val="21"/>
          <w:highlight w:val="none"/>
          <w14:textFill>
            <w14:solidFill>
              <w14:schemeClr w14:val="tx1"/>
            </w14:solidFill>
          </w14:textFill>
        </w:rPr>
        <w:t>13.6 竣工退</w:t>
      </w:r>
      <w:bookmarkEnd w:id="509"/>
      <w:bookmarkEnd w:id="510"/>
      <w:r>
        <w:rPr>
          <w:rFonts w:ascii="宋体" w:hAnsi="宋体" w:eastAsia="宋体" w:cs="宋体"/>
          <w:bCs/>
          <w:color w:val="000000" w:themeColor="text1"/>
          <w:kern w:val="0"/>
          <w:szCs w:val="21"/>
          <w:highlight w:val="none"/>
          <w14:textFill>
            <w14:solidFill>
              <w14:schemeClr w14:val="tx1"/>
            </w14:solidFill>
          </w14:textFill>
        </w:rPr>
        <w:t>场</w:t>
      </w:r>
      <w:bookmarkEnd w:id="511"/>
      <w:bookmarkEnd w:id="512"/>
    </w:p>
    <w:bookmarkEnd w:id="513"/>
    <w:p w14:paraId="5A24A49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13.6.1 竣工退场</w:t>
      </w:r>
    </w:p>
    <w:p w14:paraId="046F53E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颁发工程接收证书后，承包人应按以下要求对施工现场进行清理：</w:t>
      </w:r>
    </w:p>
    <w:p w14:paraId="4B3D9A2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（1）施工现场内残留的垃圾已全部清除出场；</w:t>
      </w:r>
    </w:p>
    <w:p w14:paraId="6A6295B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（2）临时工程已拆除，场地已进行清理、平整或复原；</w:t>
      </w:r>
    </w:p>
    <w:p w14:paraId="348EFD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（3）按合同约定应撤离的人员、承包人施工设备和剩余的材料，包括废弃的施工设备和材料，已按计划撤离施工现场；</w:t>
      </w:r>
    </w:p>
    <w:p w14:paraId="3B2C0CB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（4）施工现场周边及其附近道路、河道的施工堆积物，已全部清理；</w:t>
      </w:r>
    </w:p>
    <w:p w14:paraId="3B097F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（5）施工现场其他场地清理工作已全部完成。</w:t>
      </w:r>
    </w:p>
    <w:p w14:paraId="34A58D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21EAAEF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13.6.2 地表还原</w:t>
      </w:r>
    </w:p>
    <w:p w14:paraId="5C6CED2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承包人应按发包人要求恢复临时占地及清理场地，承包人未按发包人的要求恢复临时占地，或者场地清理未达到合同约定要求的，发包人有权委托其他人恢复或清理，所发生的费用由承包人承担。</w:t>
      </w:r>
    </w:p>
    <w:p w14:paraId="3DBB7285">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14" w:name="_Toc351203593"/>
      <w:bookmarkStart w:id="515" w:name="_Toc21807"/>
      <w:bookmarkStart w:id="516" w:name="_Toc533863404"/>
      <w:bookmarkStart w:id="517" w:name="_Toc337558810"/>
      <w:bookmarkStart w:id="518" w:name="_Toc296503113"/>
      <w:bookmarkStart w:id="519" w:name="_Toc296346614"/>
      <w:r>
        <w:rPr>
          <w:rFonts w:hint="eastAsia" w:ascii="宋体" w:hAnsi="宋体" w:eastAsia="宋体" w:cs="宋体"/>
          <w:bCs/>
          <w:color w:val="000000" w:themeColor="text1"/>
          <w:szCs w:val="21"/>
          <w:highlight w:val="none"/>
          <w14:textFill>
            <w14:solidFill>
              <w14:schemeClr w14:val="tx1"/>
            </w14:solidFill>
          </w14:textFill>
        </w:rPr>
        <w:t>14. 竣工结算</w:t>
      </w:r>
      <w:bookmarkEnd w:id="514"/>
      <w:bookmarkEnd w:id="515"/>
      <w:bookmarkEnd w:id="516"/>
    </w:p>
    <w:bookmarkEnd w:id="517"/>
    <w:p w14:paraId="356D881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0" w:name="_Toc533863405"/>
      <w:bookmarkStart w:id="521" w:name="_Toc351203594"/>
      <w:bookmarkStart w:id="522" w:name="_Toc337558811"/>
      <w:r>
        <w:rPr>
          <w:rFonts w:ascii="宋体" w:hAnsi="宋体" w:eastAsia="宋体" w:cs="宋体"/>
          <w:bCs/>
          <w:color w:val="000000" w:themeColor="text1"/>
          <w:kern w:val="0"/>
          <w:szCs w:val="21"/>
          <w:highlight w:val="none"/>
          <w14:textFill>
            <w14:solidFill>
              <w14:schemeClr w14:val="tx1"/>
            </w14:solidFill>
          </w14:textFill>
        </w:rPr>
        <w:t>14.1 竣工结算申请</w:t>
      </w:r>
      <w:bookmarkEnd w:id="520"/>
      <w:bookmarkEnd w:id="521"/>
    </w:p>
    <w:bookmarkEnd w:id="522"/>
    <w:p w14:paraId="269D48A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w:t>
      </w:r>
      <w:r>
        <w:rPr>
          <w:rFonts w:hint="eastAsia" w:ascii="宋体" w:hAnsi="宋体" w:eastAsia="宋体" w:cs="宋体"/>
          <w:color w:val="000000" w:themeColor="text1"/>
          <w:szCs w:val="21"/>
          <w:highlight w:val="none"/>
          <w14:textFill>
            <w14:solidFill>
              <w14:schemeClr w14:val="tx1"/>
            </w14:solidFill>
          </w14:textFill>
        </w:rPr>
        <w:t>承包人应在工程竣工验收合格后28天内向发包人和监理人提交竣工结算申请单，并提交完整的结算资料，有关竣工结算申请单的资料清单和份数等要求由合同当事人在专用合同条款中约定。</w:t>
      </w:r>
    </w:p>
    <w:p w14:paraId="1002A36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除专用合同条款另有约定外，竣工结算申请单应包括以下内容：</w:t>
      </w:r>
    </w:p>
    <w:p w14:paraId="0C87E95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（1）竣工结算合同价格；</w:t>
      </w:r>
    </w:p>
    <w:p w14:paraId="21597E5D">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（2）发包人已支付承包人的款项；</w:t>
      </w:r>
    </w:p>
    <w:p w14:paraId="0FF7833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（3）应扣留的质量保证金。已缴纳履约保证金的或提供其他工程质量担保方式的除外； </w:t>
      </w:r>
    </w:p>
    <w:p w14:paraId="74660447">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（4）发包人应支付承包人的合同价款。</w:t>
      </w:r>
    </w:p>
    <w:p w14:paraId="3E44D56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3" w:name="_Toc533863406"/>
      <w:bookmarkStart w:id="524" w:name="_Toc351203595"/>
      <w:bookmarkStart w:id="525" w:name="_Toc337558812"/>
      <w:r>
        <w:rPr>
          <w:rFonts w:ascii="宋体" w:hAnsi="宋体" w:eastAsia="宋体" w:cs="宋体"/>
          <w:bCs/>
          <w:color w:val="000000" w:themeColor="text1"/>
          <w:kern w:val="0"/>
          <w:szCs w:val="21"/>
          <w:highlight w:val="none"/>
          <w14:textFill>
            <w14:solidFill>
              <w14:schemeClr w14:val="tx1"/>
            </w14:solidFill>
          </w14:textFill>
        </w:rPr>
        <w:t>14.2 竣工结算审核</w:t>
      </w:r>
      <w:bookmarkEnd w:id="523"/>
      <w:bookmarkEnd w:id="524"/>
    </w:p>
    <w:bookmarkEnd w:id="525"/>
    <w:p w14:paraId="5241BF7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000000" w:themeColor="text1"/>
          <w:szCs w:val="21"/>
          <w:highlight w:val="none"/>
          <w14:textFill>
            <w14:solidFill>
              <w14:schemeClr w14:val="tx1"/>
            </w14:solidFill>
          </w14:textFill>
        </w:rPr>
        <w:t>发包人对竣工</w:t>
      </w:r>
      <w:r>
        <w:rPr>
          <w:rFonts w:hint="eastAsia" w:ascii="宋体" w:hAnsi="宋体" w:eastAsia="宋体" w:cs="宋体"/>
          <w:color w:val="000000" w:themeColor="text1"/>
          <w:kern w:val="0"/>
          <w:szCs w:val="21"/>
          <w:highlight w:val="none"/>
          <w14:textFill>
            <w14:solidFill>
              <w14:schemeClr w14:val="tx1"/>
            </w14:solidFill>
          </w14:textFill>
        </w:rPr>
        <w:t>结算</w:t>
      </w:r>
      <w:r>
        <w:rPr>
          <w:rFonts w:hint="eastAsia" w:ascii="宋体" w:hAnsi="宋体" w:eastAsia="宋体" w:cs="宋体"/>
          <w:color w:val="000000" w:themeColor="text1"/>
          <w:szCs w:val="21"/>
          <w:highlight w:val="none"/>
          <w14:textFill>
            <w14:solidFill>
              <w14:schemeClr w14:val="tx1"/>
            </w14:solidFill>
          </w14:textFill>
        </w:rPr>
        <w:t>申请单有异议的，有权要求承包人进行修正和提供补充资料，承包人应提交修正后的竣工</w:t>
      </w:r>
      <w:r>
        <w:rPr>
          <w:rFonts w:hint="eastAsia" w:ascii="宋体" w:hAnsi="宋体" w:eastAsia="宋体" w:cs="宋体"/>
          <w:color w:val="000000" w:themeColor="text1"/>
          <w:kern w:val="0"/>
          <w:szCs w:val="21"/>
          <w:highlight w:val="none"/>
          <w14:textFill>
            <w14:solidFill>
              <w14:schemeClr w14:val="tx1"/>
            </w14:solidFill>
          </w14:textFill>
        </w:rPr>
        <w:t>结算</w:t>
      </w:r>
      <w:r>
        <w:rPr>
          <w:rFonts w:hint="eastAsia" w:ascii="宋体" w:hAnsi="宋体" w:eastAsia="宋体" w:cs="宋体"/>
          <w:color w:val="000000" w:themeColor="text1"/>
          <w:szCs w:val="21"/>
          <w:highlight w:val="none"/>
          <w14:textFill>
            <w14:solidFill>
              <w14:schemeClr w14:val="tx1"/>
            </w14:solidFill>
          </w14:textFill>
        </w:rPr>
        <w:t>申请单。</w:t>
      </w:r>
    </w:p>
    <w:p w14:paraId="107793A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E137AA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5B9B82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6D13190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6" w:name="_Toc351203596"/>
      <w:bookmarkStart w:id="527" w:name="_Toc533863407"/>
      <w:bookmarkStart w:id="528" w:name="_Toc337558813"/>
      <w:r>
        <w:rPr>
          <w:rFonts w:ascii="宋体" w:hAnsi="宋体" w:eastAsia="宋体" w:cs="宋体"/>
          <w:bCs/>
          <w:color w:val="000000" w:themeColor="text1"/>
          <w:kern w:val="0"/>
          <w:szCs w:val="21"/>
          <w:highlight w:val="none"/>
          <w14:textFill>
            <w14:solidFill>
              <w14:schemeClr w14:val="tx1"/>
            </w14:solidFill>
          </w14:textFill>
        </w:rPr>
        <w:t>14.3 甩项竣工协议</w:t>
      </w:r>
      <w:bookmarkEnd w:id="526"/>
      <w:bookmarkEnd w:id="527"/>
    </w:p>
    <w:bookmarkEnd w:id="528"/>
    <w:p w14:paraId="6F4174AD">
      <w:pPr>
        <w:autoSpaceDE w:val="0"/>
        <w:autoSpaceDN w:val="0"/>
        <w:adjustRightInd w:val="0"/>
        <w:spacing w:line="360" w:lineRule="auto"/>
        <w:ind w:firstLine="411" w:firstLineChars="196"/>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要求甩项竣工的，合同当事人应签订甩项竣工协议。在甩项竣工协议中应明确，合同当事人按照第14.1款〔竣工结算申请〕及14.2款〔竣工结算审核〕的约定，对已完合格工程进行结算，并支付相应合同价款。</w:t>
      </w:r>
    </w:p>
    <w:p w14:paraId="6DF3826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9" w:name="_Toc351203597"/>
      <w:bookmarkStart w:id="530" w:name="_Toc533863408"/>
      <w:bookmarkStart w:id="531" w:name="_Toc337558814"/>
      <w:r>
        <w:rPr>
          <w:rFonts w:ascii="宋体" w:hAnsi="宋体" w:eastAsia="宋体" w:cs="宋体"/>
          <w:bCs/>
          <w:color w:val="000000" w:themeColor="text1"/>
          <w:kern w:val="0"/>
          <w:szCs w:val="21"/>
          <w:highlight w:val="none"/>
          <w14:textFill>
            <w14:solidFill>
              <w14:schemeClr w14:val="tx1"/>
            </w14:solidFill>
          </w14:textFill>
        </w:rPr>
        <w:t>14.4 最终结清</w:t>
      </w:r>
      <w:bookmarkEnd w:id="529"/>
      <w:bookmarkEnd w:id="530"/>
    </w:p>
    <w:bookmarkEnd w:id="531"/>
    <w:p w14:paraId="404E5B6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14.4.1 最终结清申请单</w:t>
      </w:r>
    </w:p>
    <w:p w14:paraId="5D2DDFD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（1）除专用合同条款另有约定外，承包人应在缺陷责任期终止证书颁发后7天内，按专用合同条款约定的份数向发包人提交最终结清申请单，并提供相关证明材料。</w:t>
      </w:r>
    </w:p>
    <w:p w14:paraId="64A12490">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w:t>
      </w:r>
      <w:r>
        <w:rPr>
          <w:rFonts w:hint="eastAsia" w:ascii="宋体" w:hAnsi="宋体" w:eastAsia="宋体" w:cs="宋体"/>
          <w:color w:val="000000" w:themeColor="text1"/>
          <w:kern w:val="0"/>
          <w:szCs w:val="21"/>
          <w:highlight w:val="none"/>
          <w14:textFill>
            <w14:solidFill>
              <w14:schemeClr w14:val="tx1"/>
            </w14:solidFill>
          </w14:textFill>
        </w:rPr>
        <w:t>最终结清申请单</w:t>
      </w:r>
      <w:r>
        <w:rPr>
          <w:rFonts w:hint="eastAsia" w:ascii="宋体" w:hAnsi="宋体" w:eastAsia="宋体" w:cs="宋体"/>
          <w:color w:val="000000" w:themeColor="text1"/>
          <w:szCs w:val="21"/>
          <w:highlight w:val="none"/>
          <w14:textFill>
            <w14:solidFill>
              <w14:schemeClr w14:val="tx1"/>
            </w14:solidFill>
          </w14:textFill>
        </w:rPr>
        <w:t>应列明质量保证金、应扣除的质量保证金、缺陷责任期内发生的增减费用。</w:t>
      </w:r>
    </w:p>
    <w:p w14:paraId="297B4F3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（2）发包人对最终结清申请单内容有异议的，有权要求承包人进行修正和提供补充资料，承包人应向发包人提交修正后的最终结清申请单。</w:t>
      </w:r>
    </w:p>
    <w:p w14:paraId="07AF037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14.4.2 最终结清证书和支付</w:t>
      </w:r>
    </w:p>
    <w:p w14:paraId="25A2AE2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FE495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93221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（3）承包人对发包人颁发的最终结清证书有异议的，按第20条〔争议解决〕的约定办理。</w:t>
      </w:r>
    </w:p>
    <w:p w14:paraId="0A2AAA1B">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32" w:name="_Toc351203598"/>
      <w:bookmarkStart w:id="533" w:name="_Toc9773"/>
      <w:bookmarkStart w:id="534" w:name="_Toc533863409"/>
      <w:bookmarkStart w:id="535" w:name="_Toc337558815"/>
      <w:r>
        <w:rPr>
          <w:rFonts w:hint="eastAsia" w:ascii="宋体" w:hAnsi="宋体" w:eastAsia="宋体" w:cs="宋体"/>
          <w:bCs/>
          <w:color w:val="000000" w:themeColor="text1"/>
          <w:szCs w:val="21"/>
          <w:highlight w:val="none"/>
          <w14:textFill>
            <w14:solidFill>
              <w14:schemeClr w14:val="tx1"/>
            </w14:solidFill>
          </w14:textFill>
        </w:rPr>
        <w:t>15. 缺陷责任与保修</w:t>
      </w:r>
      <w:bookmarkEnd w:id="532"/>
      <w:bookmarkEnd w:id="533"/>
      <w:bookmarkEnd w:id="534"/>
    </w:p>
    <w:bookmarkEnd w:id="518"/>
    <w:bookmarkEnd w:id="519"/>
    <w:bookmarkEnd w:id="535"/>
    <w:p w14:paraId="1401BFB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36" w:name="_Toc533863410"/>
      <w:bookmarkStart w:id="537" w:name="_Toc351203599"/>
      <w:bookmarkStart w:id="538" w:name="_Toc337558816"/>
      <w:bookmarkStart w:id="539" w:name="_Toc296346615"/>
      <w:bookmarkStart w:id="540" w:name="_Toc296503114"/>
      <w:r>
        <w:rPr>
          <w:rFonts w:ascii="宋体" w:hAnsi="宋体" w:eastAsia="宋体" w:cs="宋体"/>
          <w:bCs/>
          <w:color w:val="000000" w:themeColor="text1"/>
          <w:kern w:val="0"/>
          <w:szCs w:val="21"/>
          <w:highlight w:val="none"/>
          <w14:textFill>
            <w14:solidFill>
              <w14:schemeClr w14:val="tx1"/>
            </w14:solidFill>
          </w14:textFill>
        </w:rPr>
        <w:t>15.1 工程保修的原则</w:t>
      </w:r>
      <w:bookmarkEnd w:id="536"/>
      <w:bookmarkEnd w:id="537"/>
    </w:p>
    <w:bookmarkEnd w:id="538"/>
    <w:p w14:paraId="0C86A6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在工程移交发包人后，因承包人原因产生的质量缺陷，承包人应承担质量缺陷责任和保修义务。缺陷责任期届满，承包人仍应按合同约定的工程各部位保修年限承担保修义务。</w:t>
      </w:r>
    </w:p>
    <w:p w14:paraId="3981C80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41" w:name="_Toc533863411"/>
      <w:bookmarkStart w:id="542" w:name="_Toc351203600"/>
      <w:bookmarkStart w:id="543" w:name="_Toc337558817"/>
      <w:r>
        <w:rPr>
          <w:rFonts w:ascii="宋体" w:hAnsi="宋体" w:eastAsia="宋体" w:cs="宋体"/>
          <w:bCs/>
          <w:color w:val="000000" w:themeColor="text1"/>
          <w:kern w:val="0"/>
          <w:szCs w:val="21"/>
          <w:highlight w:val="none"/>
          <w14:textFill>
            <w14:solidFill>
              <w14:schemeClr w14:val="tx1"/>
            </w14:solidFill>
          </w14:textFill>
        </w:rPr>
        <w:t>15.2 缺陷责任期</w:t>
      </w:r>
      <w:bookmarkEnd w:id="539"/>
      <w:bookmarkEnd w:id="540"/>
      <w:bookmarkEnd w:id="541"/>
      <w:bookmarkEnd w:id="542"/>
    </w:p>
    <w:bookmarkEnd w:id="543"/>
    <w:p w14:paraId="2D5283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15.2.1 缺陷责任期从工程通过竣工验收之日起计算，合同当事人应在专用合同条款约定缺陷责任期的具体期限，但该期限最长不超过24个月。</w:t>
      </w:r>
    </w:p>
    <w:p w14:paraId="76382E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2E7012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bCs/>
          <w:color w:val="000000" w:themeColor="text1"/>
          <w:szCs w:val="21"/>
          <w:highlight w:val="none"/>
          <w14:textFill>
            <w14:solidFill>
              <w14:schemeClr w14:val="tx1"/>
            </w14:solidFill>
          </w14:textFill>
        </w:rPr>
        <w:t>包人延长缺陷责任期，</w:t>
      </w:r>
      <w:r>
        <w:rPr>
          <w:rFonts w:hint="eastAsia" w:ascii="宋体" w:hAnsi="宋体" w:eastAsia="宋体" w:cs="宋体"/>
          <w:color w:val="000000" w:themeColor="text1"/>
          <w:kern w:val="0"/>
          <w:szCs w:val="21"/>
          <w:highlight w:val="none"/>
          <w14:textFill>
            <w14:solidFill>
              <w14:schemeClr w14:val="tx1"/>
            </w14:solidFill>
          </w14:textFill>
        </w:rPr>
        <w:t>并应在原缺陷责任期届满前发出延长通知。</w:t>
      </w:r>
      <w:r>
        <w:rPr>
          <w:rFonts w:hint="eastAsia" w:ascii="宋体" w:hAnsi="宋体" w:eastAsia="宋体" w:cs="宋体"/>
          <w:bCs/>
          <w:color w:val="000000" w:themeColor="text1"/>
          <w:szCs w:val="21"/>
          <w:highlight w:val="none"/>
          <w14:textFill>
            <w14:solidFill>
              <w14:schemeClr w14:val="tx1"/>
            </w14:solidFill>
          </w14:textFill>
        </w:rPr>
        <w:t>但缺陷责任期（含延长部分）最长</w:t>
      </w:r>
      <w:r>
        <w:rPr>
          <w:rFonts w:hint="eastAsia" w:ascii="宋体" w:hAnsi="宋体" w:eastAsia="宋体" w:cs="宋体"/>
          <w:color w:val="000000" w:themeColor="text1"/>
          <w:kern w:val="0"/>
          <w:szCs w:val="21"/>
          <w:highlight w:val="none"/>
          <w14:textFill>
            <w14:solidFill>
              <w14:schemeClr w14:val="tx1"/>
            </w14:solidFill>
          </w14:textFill>
        </w:rPr>
        <w:t>不能超过24个月。</w:t>
      </w:r>
    </w:p>
    <w:p w14:paraId="77BAE8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由他人原因造成的缺陷，发包人负责组织维修，承包人不承担费用，且发包人不得从保证金中扣除费用。</w:t>
      </w:r>
    </w:p>
    <w:p w14:paraId="1DDF8D7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15.2.3 任何一项缺陷或损坏修复后，经检查证明其影响了工程或工程设备的使用性能，承包人应重新进行合同约定的试验和试运行，试验和试运行的全部费用应由责任方承担。</w:t>
      </w:r>
    </w:p>
    <w:p w14:paraId="67C3B3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483435C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44" w:name="_Toc351203601"/>
      <w:bookmarkStart w:id="545" w:name="_Toc533863412"/>
      <w:bookmarkStart w:id="546" w:name="_Toc337558818"/>
      <w:bookmarkStart w:id="547" w:name="_Toc296346616"/>
      <w:bookmarkStart w:id="548" w:name="_Toc296503115"/>
      <w:r>
        <w:rPr>
          <w:rFonts w:ascii="宋体" w:hAnsi="宋体" w:eastAsia="宋体" w:cs="宋体"/>
          <w:bCs/>
          <w:color w:val="000000" w:themeColor="text1"/>
          <w:kern w:val="0"/>
          <w:szCs w:val="21"/>
          <w:highlight w:val="none"/>
          <w14:textFill>
            <w14:solidFill>
              <w14:schemeClr w14:val="tx1"/>
            </w14:solidFill>
          </w14:textFill>
        </w:rPr>
        <w:t>15.3 质量保证金</w:t>
      </w:r>
      <w:bookmarkEnd w:id="544"/>
      <w:bookmarkEnd w:id="545"/>
    </w:p>
    <w:bookmarkEnd w:id="546"/>
    <w:p w14:paraId="05DB3D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经合同当事人协商一致扣留质量保证金的，应在专用合同条款中予以明确。</w:t>
      </w:r>
    </w:p>
    <w:p w14:paraId="61F9C73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在工程项目竣工前，承包人已经提供履约担保的，发包人不得同时预留工程质量保证金。</w:t>
      </w:r>
    </w:p>
    <w:p w14:paraId="54134A6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15.3.1 承包人提供质量保证金的方式</w:t>
      </w:r>
    </w:p>
    <w:p w14:paraId="5F6AC60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承包人提供质量保证金有以下三种方式：</w:t>
      </w:r>
    </w:p>
    <w:p w14:paraId="2DD279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（1）质量保证金保函； </w:t>
      </w:r>
    </w:p>
    <w:p w14:paraId="56EA2E1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（2）相应比例的工程款；</w:t>
      </w:r>
    </w:p>
    <w:p w14:paraId="6F85021D">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（3）双方约定的其他方式。</w:t>
      </w:r>
    </w:p>
    <w:p w14:paraId="697864A4">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竣工结算经有关部门结算审定后，承包人向发包人提供经发包人认可的银行出具的、金额为审计结算价3%的质量保证金保函后。缺陷责任期(12个月)满后，无工程缺陷的，保函自行失效</w:t>
      </w:r>
      <w:r>
        <w:rPr>
          <w:rFonts w:hint="eastAsia" w:ascii="宋体" w:hAnsi="宋体" w:eastAsia="宋体" w:cs="宋体"/>
          <w:color w:val="000000" w:themeColor="text1"/>
          <w:kern w:val="0"/>
          <w:szCs w:val="21"/>
          <w:highlight w:val="none"/>
          <w14:textFill>
            <w14:solidFill>
              <w14:schemeClr w14:val="tx1"/>
            </w14:solidFill>
          </w14:textFill>
        </w:rPr>
        <w:t>。</w:t>
      </w:r>
    </w:p>
    <w:p w14:paraId="573345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除专用合同条款另有约定外，质量保证金原则上采用上述第（</w:t>
      </w:r>
      <w:r>
        <w:rPr>
          <w:rFonts w:hint="eastAsia" w:ascii="宋体" w:hAnsi="宋体" w:eastAsia="宋体" w:cs="宋体"/>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）种方式。</w:t>
      </w:r>
    </w:p>
    <w:p w14:paraId="522DDF7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15.3.2 质量保证金的扣留</w:t>
      </w:r>
    </w:p>
    <w:p w14:paraId="63832A5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质量保证金的扣留有以下三种方式：</w:t>
      </w:r>
    </w:p>
    <w:p w14:paraId="3C6667F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（1）在支付工程进度款时逐次扣留，在此情形下，质量保证金的计算基数不包括预付款的支付、扣回以及价格调整的金额；</w:t>
      </w:r>
    </w:p>
    <w:p w14:paraId="757D369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（2）工</w:t>
      </w:r>
      <w:bookmarkStart w:id="549" w:name="#go6"/>
      <w:bookmarkEnd w:id="549"/>
      <w:r>
        <w:rPr>
          <w:rFonts w:hint="eastAsia" w:ascii="宋体" w:hAnsi="宋体" w:eastAsia="宋体" w:cs="宋体"/>
          <w:color w:val="000000" w:themeColor="text1"/>
          <w:kern w:val="0"/>
          <w:szCs w:val="21"/>
          <w:highlight w:val="none"/>
          <w14:textFill>
            <w14:solidFill>
              <w14:schemeClr w14:val="tx1"/>
            </w14:solidFill>
          </w14:textFill>
        </w:rPr>
        <w:t>程竣工结算时一次性扣留质量保证金；</w:t>
      </w:r>
    </w:p>
    <w:p w14:paraId="3EEE4F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（3）双方约定的其他扣留方式</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工程款支付至结算总价的100%。缺陷责任期(12个月)满后，无工程缺陷的，保函自行失效。</w:t>
      </w:r>
    </w:p>
    <w:p w14:paraId="163A394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除专用合同条款另有约定外，质量保证金的扣留原则上采用上述第（</w:t>
      </w:r>
      <w:r>
        <w:rPr>
          <w:rFonts w:hint="eastAsia" w:ascii="宋体" w:hAnsi="宋体" w:eastAsia="宋体" w:cs="宋体"/>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）种方式。</w:t>
      </w:r>
    </w:p>
    <w:p w14:paraId="17939A7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w:t>
      </w:r>
      <w:bookmarkStart w:id="550" w:name="#go4"/>
      <w:bookmarkEnd w:id="550"/>
      <w:r>
        <w:rPr>
          <w:rFonts w:hint="eastAsia" w:ascii="宋体" w:hAnsi="宋体" w:eastAsia="宋体" w:cs="宋体"/>
          <w:color w:val="000000" w:themeColor="text1"/>
          <w:kern w:val="0"/>
          <w:szCs w:val="21"/>
          <w:highlight w:val="none"/>
          <w14:textFill>
            <w14:solidFill>
              <w14:schemeClr w14:val="tx1"/>
            </w14:solidFill>
          </w14:textFill>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05E46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发包人在退还质量保证金的同时按照中国人民银行发布的同期同类贷款基准利率支付利息。</w:t>
      </w:r>
    </w:p>
    <w:p w14:paraId="50D8C5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15.3.3 </w:t>
      </w:r>
      <w:r>
        <w:rPr>
          <w:rFonts w:hint="eastAsia" w:ascii="宋体" w:hAnsi="宋体" w:eastAsia="宋体" w:cs="宋体"/>
          <w:color w:val="000000" w:themeColor="text1"/>
          <w:szCs w:val="21"/>
          <w:highlight w:val="none"/>
          <w14:textFill>
            <w14:solidFill>
              <w14:schemeClr w14:val="tx1"/>
            </w14:solidFill>
          </w14:textFill>
        </w:rPr>
        <w:t>质量保证金</w:t>
      </w:r>
      <w:r>
        <w:rPr>
          <w:rFonts w:hint="eastAsia" w:ascii="宋体" w:hAnsi="宋体" w:eastAsia="宋体" w:cs="宋体"/>
          <w:color w:val="000000" w:themeColor="text1"/>
          <w:kern w:val="0"/>
          <w:szCs w:val="21"/>
          <w:highlight w:val="none"/>
          <w14:textFill>
            <w14:solidFill>
              <w14:schemeClr w14:val="tx1"/>
            </w14:solidFill>
          </w14:textFill>
        </w:rPr>
        <w:t>的退还</w:t>
      </w:r>
    </w:p>
    <w:p w14:paraId="750BDB7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缺陷责任期内，承包人认真履行合同约定的责任，到期后，承包人可向发包人申请返还保证金。</w:t>
      </w:r>
    </w:p>
    <w:p w14:paraId="05E11A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2878DD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发包人和承包人对保证金预留、返还以及工程维修质量、费用有争议的，按本合同第20条约定的争议和纠纷解决程序处理。</w:t>
      </w:r>
    </w:p>
    <w:p w14:paraId="034C38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51" w:name="_Toc351203602"/>
      <w:bookmarkStart w:id="552" w:name="_Toc533863413"/>
      <w:bookmarkStart w:id="553" w:name="_Toc337558819"/>
      <w:r>
        <w:rPr>
          <w:rFonts w:ascii="宋体" w:hAnsi="宋体" w:eastAsia="宋体" w:cs="宋体"/>
          <w:bCs/>
          <w:color w:val="000000" w:themeColor="text1"/>
          <w:kern w:val="0"/>
          <w:szCs w:val="21"/>
          <w:highlight w:val="none"/>
          <w14:textFill>
            <w14:solidFill>
              <w14:schemeClr w14:val="tx1"/>
            </w14:solidFill>
          </w14:textFill>
        </w:rPr>
        <w:t>15.4 保修</w:t>
      </w:r>
      <w:bookmarkEnd w:id="551"/>
      <w:bookmarkEnd w:id="552"/>
    </w:p>
    <w:bookmarkEnd w:id="547"/>
    <w:bookmarkEnd w:id="548"/>
    <w:bookmarkEnd w:id="553"/>
    <w:p w14:paraId="3638CE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15.4.1保修责任</w:t>
      </w:r>
    </w:p>
    <w:p w14:paraId="44C7271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0569322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发包人未经竣工验收擅自使用工程的，保修期自</w:t>
      </w:r>
      <w:r>
        <w:rPr>
          <w:rFonts w:hint="eastAsia" w:ascii="宋体" w:hAnsi="宋体" w:eastAsia="宋体" w:cs="宋体"/>
          <w:color w:val="000000" w:themeColor="text1"/>
          <w:kern w:val="0"/>
          <w:szCs w:val="21"/>
          <w:highlight w:val="none"/>
          <w14:textFill>
            <w14:solidFill>
              <w14:schemeClr w14:val="tx1"/>
            </w14:solidFill>
          </w14:textFill>
        </w:rPr>
        <w:t>转移占有之日起算</w:t>
      </w:r>
      <w:r>
        <w:rPr>
          <w:rFonts w:hint="eastAsia" w:ascii="宋体" w:hAnsi="宋体" w:eastAsia="宋体" w:cs="宋体"/>
          <w:color w:val="000000" w:themeColor="text1"/>
          <w:szCs w:val="21"/>
          <w:highlight w:val="none"/>
          <w14:textFill>
            <w14:solidFill>
              <w14:schemeClr w14:val="tx1"/>
            </w14:solidFill>
          </w14:textFill>
        </w:rPr>
        <w:t>。</w:t>
      </w:r>
    </w:p>
    <w:p w14:paraId="64349A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15.4.2 修复费用</w:t>
      </w:r>
    </w:p>
    <w:p w14:paraId="615C297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保修期内，修复的费用按照以下约定处理：</w:t>
      </w:r>
    </w:p>
    <w:p w14:paraId="51685B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（1）保修期内，因承包人原因造成工程的缺陷、损坏，承包人应负责修复，并承担修复的费用以及因工程的缺陷、损坏造成的人身伤害和财产损失；</w:t>
      </w:r>
    </w:p>
    <w:p w14:paraId="356543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（2）保修期内，因发包人使用不当造成工程的缺陷、损坏，可以委托承包人修复，但发包人应承担修复的费用，并支付承包人合理利润；</w:t>
      </w:r>
    </w:p>
    <w:p w14:paraId="087F6C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（3）因其他原因造成工程的缺陷、损坏，可以委托承包人修复，发包人应承担修复的费用，并支付承包人合理的利润，因工程的缺陷、损坏造成的人身伤害和财产损失由责任方承担。</w:t>
      </w:r>
    </w:p>
    <w:p w14:paraId="0EB1A63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15.4.3 修复通知</w:t>
      </w:r>
    </w:p>
    <w:p w14:paraId="344F7DA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27A69D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15.4.4 未能修复</w:t>
      </w:r>
    </w:p>
    <w:p w14:paraId="7056A8B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3D34D95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15.4.5 承包人出入权</w:t>
      </w:r>
    </w:p>
    <w:p w14:paraId="19D294A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bookmarkStart w:id="554" w:name="_Toc351203603"/>
      <w:bookmarkStart w:id="555" w:name="_Toc533863414"/>
      <w:bookmarkStart w:id="556" w:name="_Toc337558820"/>
    </w:p>
    <w:p w14:paraId="58CB6E57">
      <w:pPr>
        <w:spacing w:line="360" w:lineRule="auto"/>
        <w:ind w:firstLine="422" w:firstLineChars="200"/>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 违约</w:t>
      </w:r>
      <w:bookmarkEnd w:id="554"/>
      <w:bookmarkEnd w:id="555"/>
    </w:p>
    <w:bookmarkEnd w:id="556"/>
    <w:p w14:paraId="0AFE509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57" w:name="_Toc296346630"/>
      <w:bookmarkStart w:id="558" w:name="_Toc296503129"/>
      <w:bookmarkStart w:id="559" w:name="_Toc533863415"/>
      <w:bookmarkStart w:id="560" w:name="_Toc351203604"/>
      <w:bookmarkStart w:id="561" w:name="_Toc337558821"/>
      <w:r>
        <w:rPr>
          <w:rFonts w:ascii="宋体" w:hAnsi="宋体" w:eastAsia="宋体" w:cs="宋体"/>
          <w:bCs/>
          <w:color w:val="000000" w:themeColor="text1"/>
          <w:kern w:val="0"/>
          <w:szCs w:val="21"/>
          <w:highlight w:val="none"/>
          <w14:textFill>
            <w14:solidFill>
              <w14:schemeClr w14:val="tx1"/>
            </w14:solidFill>
          </w14:textFill>
        </w:rPr>
        <w:t>16.1 发</w:t>
      </w:r>
      <w:bookmarkEnd w:id="557"/>
      <w:bookmarkEnd w:id="558"/>
      <w:r>
        <w:rPr>
          <w:rFonts w:ascii="宋体" w:hAnsi="宋体" w:eastAsia="宋体" w:cs="宋体"/>
          <w:bCs/>
          <w:color w:val="000000" w:themeColor="text1"/>
          <w:kern w:val="0"/>
          <w:szCs w:val="21"/>
          <w:highlight w:val="none"/>
          <w14:textFill>
            <w14:solidFill>
              <w14:schemeClr w14:val="tx1"/>
            </w14:solidFill>
          </w14:textFill>
        </w:rPr>
        <w:t>包人违约</w:t>
      </w:r>
      <w:bookmarkEnd w:id="559"/>
      <w:bookmarkEnd w:id="560"/>
    </w:p>
    <w:bookmarkEnd w:id="561"/>
    <w:p w14:paraId="05A8E267">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16.1.1 发包人违约的情形</w:t>
      </w:r>
    </w:p>
    <w:p w14:paraId="21DDD01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在合同履行过程中发生的下列情形，属于发包人违约：</w:t>
      </w:r>
    </w:p>
    <w:p w14:paraId="38C00F5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（1）因发包人原因未能在计划开工日期前7天内下达开工通知的；</w:t>
      </w:r>
    </w:p>
    <w:p w14:paraId="1FD0134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（2）因发包人原因未能按合同约定支付合同价款的；</w:t>
      </w:r>
    </w:p>
    <w:p w14:paraId="42F9CA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（3）发包人违反第10.1款〔变更的范围〕第（2）项约定，自行实施被取消的工作或转由他人实施的；</w:t>
      </w:r>
    </w:p>
    <w:p w14:paraId="636A1C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（4）发包人提供的材料、工程设备的规格、数量或质量不符合合同约定，或因发包人原因导致交货日期延误或交货地点变更等情况的；</w:t>
      </w:r>
    </w:p>
    <w:p w14:paraId="12C589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（5）因发包人违反合同约定造成暂停施工的；</w:t>
      </w:r>
    </w:p>
    <w:p w14:paraId="68A0DC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（6）发包人无正当理由没有在约定期限内发出复工指示，导致承包人无法复工的；</w:t>
      </w:r>
    </w:p>
    <w:p w14:paraId="7CDF599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（7）发包人明确表示或者以其行为表明不履行合同主要义务的；</w:t>
      </w:r>
    </w:p>
    <w:p w14:paraId="62A01B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（8）发包人未能按照合同约定履行其他义务的。</w:t>
      </w:r>
    </w:p>
    <w:p w14:paraId="6010C2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425AD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16.1.2 发包人违约的责任</w:t>
      </w:r>
    </w:p>
    <w:p w14:paraId="11D5A8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发包人应承担因其违约给承包人增加的费用和（或）延误的工期，并支付承包人合理的利润。此外，合同当事人可在专用合同条款中另行约定发包人违约责任的承担方式和计算方法。</w:t>
      </w:r>
    </w:p>
    <w:p w14:paraId="5662765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16.1.3 因发包人违约解除合同</w:t>
      </w:r>
    </w:p>
    <w:p w14:paraId="7454491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4513B061">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16.1.4 因发包人违约解除合同后的付款</w:t>
      </w:r>
    </w:p>
    <w:p w14:paraId="05979AE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承包人按照本款约定解除合同的，发包人应在解除合同后28天内支付下列款项，并解除履约担保：</w:t>
      </w:r>
    </w:p>
    <w:p w14:paraId="341EFFA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（1）合同解除前所完成工作的价款；</w:t>
      </w:r>
    </w:p>
    <w:p w14:paraId="0D69112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（2）承包人为工程施工订购并已付款的材料、工程设备和其他物品的价款；</w:t>
      </w:r>
    </w:p>
    <w:p w14:paraId="259ADA9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（3）承包人撤离施工现场以及遣散承包人人员的款项；</w:t>
      </w:r>
    </w:p>
    <w:p w14:paraId="6B619CF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（4）按照合同约定在合同解除前应支付的违约金；</w:t>
      </w:r>
    </w:p>
    <w:p w14:paraId="530C716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（5）按照合同约定应当支付给承包人的其他款项；</w:t>
      </w:r>
    </w:p>
    <w:p w14:paraId="21F9654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（6）按照合同约定应退还的质量保证金；</w:t>
      </w:r>
    </w:p>
    <w:p w14:paraId="4144B52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（7）因解除合同给承包人造成的损失。</w:t>
      </w:r>
    </w:p>
    <w:p w14:paraId="6C19D79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合同当事人未能就解除合同后的结清达成一致的，按照第20条〔争议解决〕的约定处理。</w:t>
      </w:r>
    </w:p>
    <w:p w14:paraId="284629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承包人应妥善做好已完工程和与工程有关的已购材料、工程设备的保护和移交工作，并将施工设备和人员撤出施工现场，发包人应为承包人撤出提供必要条件。</w:t>
      </w:r>
    </w:p>
    <w:p w14:paraId="03734E9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62" w:name="_Toc351203605"/>
      <w:bookmarkStart w:id="563" w:name="_Toc533863416"/>
      <w:bookmarkStart w:id="564" w:name="_Toc337558822"/>
      <w:bookmarkStart w:id="565" w:name="_Toc296503131"/>
      <w:bookmarkStart w:id="566" w:name="_Toc296346632"/>
      <w:r>
        <w:rPr>
          <w:rFonts w:ascii="宋体" w:hAnsi="宋体" w:eastAsia="宋体" w:cs="宋体"/>
          <w:bCs/>
          <w:color w:val="000000" w:themeColor="text1"/>
          <w:kern w:val="0"/>
          <w:szCs w:val="21"/>
          <w:highlight w:val="none"/>
          <w14:textFill>
            <w14:solidFill>
              <w14:schemeClr w14:val="tx1"/>
            </w14:solidFill>
          </w14:textFill>
        </w:rPr>
        <w:t>16.2 承包人违约</w:t>
      </w:r>
      <w:bookmarkEnd w:id="562"/>
      <w:bookmarkEnd w:id="563"/>
    </w:p>
    <w:bookmarkEnd w:id="564"/>
    <w:bookmarkEnd w:id="565"/>
    <w:bookmarkEnd w:id="566"/>
    <w:p w14:paraId="68EB34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16.2.1 承包人违约的情形</w:t>
      </w:r>
    </w:p>
    <w:p w14:paraId="3D7DB3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在合同履行过程中发生的下列情形，属于承包人违约：</w:t>
      </w:r>
    </w:p>
    <w:p w14:paraId="0AC2528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（1）承包人违反合同约定进行转包或违法分包的；</w:t>
      </w:r>
    </w:p>
    <w:p w14:paraId="076DBD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（2）承包人违反合同约定采购和使用不合格的材料和工程设备的；</w:t>
      </w:r>
    </w:p>
    <w:p w14:paraId="4EBFB3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（3）因承包人原因导致工程质量不符合合同要求的； </w:t>
      </w:r>
    </w:p>
    <w:p w14:paraId="3150ECD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（4）承包人违反第8.9款〔材料与设备专用要求〕的约定，未经批准，私自将已按照合同约定进入施工现场的材料或设备撤离施工现场的；</w:t>
      </w:r>
    </w:p>
    <w:p w14:paraId="24098B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（5）承包人未能按施工进度计划及时完成合同约定的工作，造成工期延误的；</w:t>
      </w:r>
    </w:p>
    <w:p w14:paraId="3EAB961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（6）承包人在缺陷责任期及保修期内，未能在合理期限对工程缺陷进行修复，或拒绝按发包人要求进行修复的；</w:t>
      </w:r>
    </w:p>
    <w:p w14:paraId="4F26863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（7）承包人明确表示或者以其行为表明不履行合同主要义务的；</w:t>
      </w:r>
    </w:p>
    <w:p w14:paraId="1F9265E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（8）承包人未能按照合同约定履行其他义务的。</w:t>
      </w:r>
    </w:p>
    <w:p w14:paraId="1BE8A7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承包人发生除本项第（7）目约定以外的其他违约情况时，监理人可向承包人发出整改通知，要求其在指定的期限内改正。</w:t>
      </w:r>
    </w:p>
    <w:p w14:paraId="2C6A5E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16.2.2 承包人违约的责任</w:t>
      </w:r>
    </w:p>
    <w:p w14:paraId="35B3AAC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承包人应承担因其违约行为而增加的费用和（或）延误的工期。此外，合同当事人可在专用合同条款中另行约定承包人违约责任的承担方式和计算方法。</w:t>
      </w:r>
    </w:p>
    <w:p w14:paraId="24449A2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16.2.3 因承包人违约解除合同</w:t>
      </w:r>
    </w:p>
    <w:p w14:paraId="36DDE97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77B3EC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16.2.4因承包人违约解除合同后的处理</w:t>
      </w:r>
    </w:p>
    <w:p w14:paraId="196B5C3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因承包人原因导致合同解除的，则合同当事人应在合同解除后28天内完成估价、付款和清算，并按以下约定执行：</w:t>
      </w:r>
    </w:p>
    <w:p w14:paraId="00502BC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（1）合同解除后，按第4.4款〔商定或确定〕商定或确定承包人实际完成工作对应的合同价款，以及承包人已提供的材料、工程设备、施工设备和临时工程等的价值；</w:t>
      </w:r>
    </w:p>
    <w:p w14:paraId="3688B18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（2）合同解除后，承包人应支付的违约金；</w:t>
      </w:r>
    </w:p>
    <w:p w14:paraId="499800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（3）合同解除后，因解除合同给发包人造成的损失；</w:t>
      </w:r>
    </w:p>
    <w:p w14:paraId="72C40A8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（4）合同解除后，承包人应按照发包人要求和监理人的指示完成现场的清理和撤离；</w:t>
      </w:r>
    </w:p>
    <w:p w14:paraId="1A0D55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（5）发包人和承包人应在合同解除后进行清算，出具最终结清付款证书，结清全部款项。</w:t>
      </w:r>
    </w:p>
    <w:p w14:paraId="4414D26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因承包人违约解除合同的，发包人有权暂停对承包人的付款，查清各项付款和已扣款项。发包人和承包人未能就合同解除后的清算和款项支付达成一致的，按照第20条〔争议解决〕的约定处理。</w:t>
      </w:r>
    </w:p>
    <w:p w14:paraId="3AA411A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16.2.5采购合同权益转让</w:t>
      </w:r>
    </w:p>
    <w:p w14:paraId="6C80806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E6E3E1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67" w:name="_Toc533863417"/>
      <w:bookmarkStart w:id="568" w:name="_Toc351203606"/>
      <w:r>
        <w:rPr>
          <w:rFonts w:ascii="宋体" w:hAnsi="宋体" w:eastAsia="宋体" w:cs="宋体"/>
          <w:bCs/>
          <w:color w:val="000000" w:themeColor="text1"/>
          <w:kern w:val="0"/>
          <w:szCs w:val="21"/>
          <w:highlight w:val="none"/>
          <w14:textFill>
            <w14:solidFill>
              <w14:schemeClr w14:val="tx1"/>
            </w14:solidFill>
          </w14:textFill>
        </w:rPr>
        <w:t>16.3 第三人造成的违约</w:t>
      </w:r>
      <w:bookmarkEnd w:id="567"/>
      <w:bookmarkEnd w:id="568"/>
    </w:p>
    <w:p w14:paraId="4A7FE9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16CB0513">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69" w:name="_Toc11606"/>
      <w:bookmarkStart w:id="570" w:name="_Toc533863418"/>
      <w:bookmarkStart w:id="571" w:name="_Toc351203607"/>
      <w:bookmarkStart w:id="572" w:name="_Toc296346617"/>
      <w:bookmarkStart w:id="573" w:name="_Toc337558823"/>
      <w:bookmarkStart w:id="574" w:name="_Toc296503116"/>
      <w:r>
        <w:rPr>
          <w:rFonts w:hint="eastAsia" w:ascii="宋体" w:hAnsi="宋体" w:eastAsia="宋体" w:cs="宋体"/>
          <w:bCs/>
          <w:color w:val="000000" w:themeColor="text1"/>
          <w:szCs w:val="21"/>
          <w:highlight w:val="none"/>
          <w14:textFill>
            <w14:solidFill>
              <w14:schemeClr w14:val="tx1"/>
            </w14:solidFill>
          </w14:textFill>
        </w:rPr>
        <w:t>17. 不可抗力</w:t>
      </w:r>
      <w:bookmarkEnd w:id="569"/>
      <w:bookmarkEnd w:id="570"/>
      <w:bookmarkEnd w:id="571"/>
      <w:r>
        <w:rPr>
          <w:rFonts w:hint="eastAsia" w:ascii="宋体" w:hAnsi="宋体" w:eastAsia="宋体" w:cs="宋体"/>
          <w:bCs/>
          <w:color w:val="000000" w:themeColor="text1"/>
          <w:szCs w:val="21"/>
          <w:highlight w:val="none"/>
          <w14:textFill>
            <w14:solidFill>
              <w14:schemeClr w14:val="tx1"/>
            </w14:solidFill>
          </w14:textFill>
        </w:rPr>
        <w:t xml:space="preserve"> </w:t>
      </w:r>
      <w:bookmarkEnd w:id="572"/>
      <w:bookmarkEnd w:id="573"/>
      <w:bookmarkEnd w:id="574"/>
    </w:p>
    <w:p w14:paraId="24D6B56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75" w:name="_Toc533863419"/>
      <w:bookmarkStart w:id="576" w:name="_Toc351203608"/>
      <w:bookmarkStart w:id="577" w:name="_Toc296346618"/>
      <w:bookmarkStart w:id="578" w:name="_Toc337558824"/>
      <w:bookmarkStart w:id="579" w:name="_Toc296503117"/>
      <w:r>
        <w:rPr>
          <w:rFonts w:ascii="宋体" w:hAnsi="宋体" w:eastAsia="宋体" w:cs="宋体"/>
          <w:bCs/>
          <w:color w:val="000000" w:themeColor="text1"/>
          <w:kern w:val="0"/>
          <w:szCs w:val="21"/>
          <w:highlight w:val="none"/>
          <w14:textFill>
            <w14:solidFill>
              <w14:schemeClr w14:val="tx1"/>
            </w14:solidFill>
          </w14:textFill>
        </w:rPr>
        <w:t>17.1 不可抗力的确认</w:t>
      </w:r>
      <w:bookmarkEnd w:id="575"/>
      <w:bookmarkEnd w:id="576"/>
    </w:p>
    <w:bookmarkEnd w:id="577"/>
    <w:bookmarkEnd w:id="578"/>
    <w:bookmarkEnd w:id="579"/>
    <w:p w14:paraId="53A810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6BB147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80F8A5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80" w:name="_Toc533863420"/>
      <w:bookmarkStart w:id="581" w:name="_Toc351203609"/>
      <w:bookmarkStart w:id="582" w:name="_Toc337558825"/>
      <w:bookmarkStart w:id="583" w:name="_Toc296503118"/>
      <w:bookmarkStart w:id="584" w:name="_Toc296346619"/>
      <w:r>
        <w:rPr>
          <w:rFonts w:ascii="宋体" w:hAnsi="宋体" w:eastAsia="宋体" w:cs="宋体"/>
          <w:bCs/>
          <w:color w:val="000000" w:themeColor="text1"/>
          <w:kern w:val="0"/>
          <w:szCs w:val="21"/>
          <w:highlight w:val="none"/>
          <w14:textFill>
            <w14:solidFill>
              <w14:schemeClr w14:val="tx1"/>
            </w14:solidFill>
          </w14:textFill>
        </w:rPr>
        <w:t>17.2 不可抗力的通知</w:t>
      </w:r>
      <w:bookmarkEnd w:id="580"/>
      <w:bookmarkEnd w:id="581"/>
    </w:p>
    <w:bookmarkEnd w:id="582"/>
    <w:bookmarkEnd w:id="583"/>
    <w:bookmarkEnd w:id="584"/>
    <w:p w14:paraId="4E965DA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合同一方当事人遇到不可抗力事件，使其履行合同义务受到阻碍时，应立即通知合同另一方当事人和监理人，书面说明不可抗力和受阻碍的详细情况，并提供必要的证明。</w:t>
      </w:r>
    </w:p>
    <w:p w14:paraId="595CFB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不可抗力持续发生的，合同一方当事人应及时向合同另一方当事人和监理人提交中间报告，说明不可抗力和履行合同受阻的情况，并于不可抗力事件结束后28天内提交最终报告及有关资料。</w:t>
      </w:r>
    </w:p>
    <w:p w14:paraId="5DB300E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85" w:name="_Toc351203610"/>
      <w:bookmarkStart w:id="586" w:name="_Toc533863421"/>
      <w:bookmarkStart w:id="587" w:name="_Toc337558826"/>
      <w:bookmarkStart w:id="588" w:name="_Toc296346620"/>
      <w:bookmarkStart w:id="589" w:name="_Toc296503119"/>
      <w:r>
        <w:rPr>
          <w:rFonts w:ascii="宋体" w:hAnsi="宋体" w:eastAsia="宋体" w:cs="宋体"/>
          <w:bCs/>
          <w:color w:val="000000" w:themeColor="text1"/>
          <w:kern w:val="0"/>
          <w:szCs w:val="21"/>
          <w:highlight w:val="none"/>
          <w14:textFill>
            <w14:solidFill>
              <w14:schemeClr w14:val="tx1"/>
            </w14:solidFill>
          </w14:textFill>
        </w:rPr>
        <w:t>17.3 不可抗力后果的承担</w:t>
      </w:r>
      <w:bookmarkEnd w:id="585"/>
      <w:bookmarkEnd w:id="586"/>
    </w:p>
    <w:bookmarkEnd w:id="587"/>
    <w:bookmarkEnd w:id="588"/>
    <w:bookmarkEnd w:id="589"/>
    <w:p w14:paraId="2616A13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17.3.1 不可抗力引起的后果及造成的损失由合同当事人按照法律规定及合同约定各自承担。不可抗力发生前已完成的工程应当按照合同约定进行计量支付。</w:t>
      </w:r>
    </w:p>
    <w:p w14:paraId="5F6E20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17.3.2 不可抗力导致的人员伤亡、财产损失、费用增加和（或）工期延误等后果，由合同当事人按以下原则承担：</w:t>
      </w:r>
    </w:p>
    <w:p w14:paraId="360998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（1）永久工程、已运至施工现场的材料和工程设备的损坏，以及因工程损坏造成的第三人人员伤亡和财产损失由发包人承担；</w:t>
      </w:r>
    </w:p>
    <w:p w14:paraId="1F18459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（2）承包人施工设备的损坏由承包人承担；</w:t>
      </w:r>
    </w:p>
    <w:p w14:paraId="6821E6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（3）发包人和承包人承担各自人员伤亡和财产的损失；</w:t>
      </w:r>
    </w:p>
    <w:p w14:paraId="36EFE8D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（4）因不可抗力影响承包人履行合同约定的义务，已经引起或将引起工期延误的，应当顺延工期，由此导致承包人停工的费用损失由发包人和承包人合理分担，停工期间必须支付的工人工资由发包人承担；</w:t>
      </w:r>
    </w:p>
    <w:p w14:paraId="231871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（5）因不可抗力引起或将引起工期延误，发包人要求赶工的，由此增加的赶工费用由发包人承担；</w:t>
      </w:r>
    </w:p>
    <w:p w14:paraId="26746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（6）承包人在停工期间按照发包人要求照管、清理和修复工程的费用由发包人承担。</w:t>
      </w:r>
    </w:p>
    <w:p w14:paraId="2043F0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5905E8D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因合同一方迟延履行合同义务，在迟延履行期间遭遇不可抗力的，不免除其违约责任。</w:t>
      </w:r>
    </w:p>
    <w:p w14:paraId="259D20E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90" w:name="_Toc533863422"/>
      <w:bookmarkStart w:id="591" w:name="_Toc351203611"/>
      <w:bookmarkStart w:id="592" w:name="_Toc337558827"/>
      <w:r>
        <w:rPr>
          <w:rFonts w:ascii="宋体" w:hAnsi="宋体" w:eastAsia="宋体" w:cs="宋体"/>
          <w:bCs/>
          <w:color w:val="000000" w:themeColor="text1"/>
          <w:kern w:val="0"/>
          <w:szCs w:val="21"/>
          <w:highlight w:val="none"/>
          <w14:textFill>
            <w14:solidFill>
              <w14:schemeClr w14:val="tx1"/>
            </w14:solidFill>
          </w14:textFill>
        </w:rPr>
        <w:t>17.4 因不可抗力解除合同</w:t>
      </w:r>
      <w:bookmarkEnd w:id="590"/>
      <w:bookmarkEnd w:id="591"/>
    </w:p>
    <w:bookmarkEnd w:id="592"/>
    <w:p w14:paraId="3B88C09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因不可抗力导致合同无法履行连续超过84天或累计超过140天的，发包人和承包人均有权解除合同。合同解除后，由双方当事人按照第4.4款〔商定或确定〕商定或确定发包人应支付的款项，该款项包括：</w:t>
      </w:r>
    </w:p>
    <w:p w14:paraId="7D61A22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（1）合同解除前承包人已完成工作的价款；</w:t>
      </w:r>
    </w:p>
    <w:p w14:paraId="1BAB6A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（2）承包人为工程订购的并已交付给承包人，或承包人有责任接受交付的材料、工程设备和其他物品的价款；</w:t>
      </w:r>
    </w:p>
    <w:p w14:paraId="6468718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（3）发包人要求承包人退货或解除订货合同而产生的费用，或因不能退货或解除合同而产生的损失；</w:t>
      </w:r>
    </w:p>
    <w:p w14:paraId="2C60B4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（4）承包人撤离施工现场以及遣散承包人人员的费用；</w:t>
      </w:r>
    </w:p>
    <w:p w14:paraId="2096956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（5）按照合同约定在合同解除前应支付给承包人的其他款项；</w:t>
      </w:r>
    </w:p>
    <w:p w14:paraId="38841AD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（6）扣减承包人按照合同约定应向发包人支付的款项；</w:t>
      </w:r>
    </w:p>
    <w:p w14:paraId="6EEB394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（7）双方商定或确定的其他款项。</w:t>
      </w:r>
    </w:p>
    <w:p w14:paraId="665D2C3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除专用合同条款另有约定外，合同解除后，发包人应在商定或确定上述款项后28天内完成上述款项的支付。</w:t>
      </w:r>
    </w:p>
    <w:p w14:paraId="1B9D899B">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93" w:name="_Toc533863423"/>
      <w:bookmarkStart w:id="594" w:name="_Toc19361"/>
      <w:bookmarkStart w:id="595" w:name="_Toc351203612"/>
      <w:bookmarkStart w:id="596" w:name="_Toc296503120"/>
      <w:bookmarkStart w:id="597" w:name="_Toc296346621"/>
      <w:bookmarkStart w:id="598" w:name="_Toc337558828"/>
      <w:r>
        <w:rPr>
          <w:rFonts w:hint="eastAsia" w:ascii="宋体" w:hAnsi="宋体" w:eastAsia="宋体" w:cs="宋体"/>
          <w:bCs/>
          <w:color w:val="000000" w:themeColor="text1"/>
          <w:szCs w:val="21"/>
          <w:highlight w:val="none"/>
          <w14:textFill>
            <w14:solidFill>
              <w14:schemeClr w14:val="tx1"/>
            </w14:solidFill>
          </w14:textFill>
        </w:rPr>
        <w:t>18. 保险</w:t>
      </w:r>
      <w:bookmarkEnd w:id="593"/>
      <w:bookmarkEnd w:id="594"/>
      <w:bookmarkEnd w:id="595"/>
    </w:p>
    <w:bookmarkEnd w:id="596"/>
    <w:bookmarkEnd w:id="597"/>
    <w:bookmarkEnd w:id="598"/>
    <w:p w14:paraId="61CF11C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99" w:name="_Toc533863424"/>
      <w:bookmarkStart w:id="600" w:name="_Toc351203613"/>
      <w:bookmarkStart w:id="601" w:name="_Toc337558829"/>
      <w:bookmarkStart w:id="602" w:name="_Toc296346622"/>
      <w:bookmarkStart w:id="603" w:name="_Toc296503121"/>
      <w:r>
        <w:rPr>
          <w:rFonts w:ascii="宋体" w:hAnsi="宋体" w:eastAsia="宋体" w:cs="宋体"/>
          <w:bCs/>
          <w:color w:val="000000" w:themeColor="text1"/>
          <w:kern w:val="0"/>
          <w:szCs w:val="21"/>
          <w:highlight w:val="none"/>
          <w14:textFill>
            <w14:solidFill>
              <w14:schemeClr w14:val="tx1"/>
            </w14:solidFill>
          </w14:textFill>
        </w:rPr>
        <w:t>18.1 工程保险</w:t>
      </w:r>
      <w:bookmarkEnd w:id="599"/>
      <w:bookmarkEnd w:id="600"/>
    </w:p>
    <w:bookmarkEnd w:id="601"/>
    <w:bookmarkEnd w:id="602"/>
    <w:bookmarkEnd w:id="603"/>
    <w:p w14:paraId="591CAD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除专用合同条款另有约定外，发包人应投保建筑工程一切险或安装工程一切险；发包人委托承包人投保的，因投保产生的保险费和其他相关费用由发包人承担。</w:t>
      </w:r>
    </w:p>
    <w:p w14:paraId="640BFA2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04" w:name="_Toc533863425"/>
      <w:bookmarkStart w:id="605" w:name="_Toc351203614"/>
      <w:bookmarkStart w:id="606" w:name="_Toc337558830"/>
      <w:bookmarkStart w:id="607" w:name="_Toc296503122"/>
      <w:bookmarkStart w:id="608" w:name="_Toc296346623"/>
      <w:r>
        <w:rPr>
          <w:rFonts w:ascii="宋体" w:hAnsi="宋体" w:eastAsia="宋体" w:cs="宋体"/>
          <w:bCs/>
          <w:color w:val="000000" w:themeColor="text1"/>
          <w:kern w:val="0"/>
          <w:szCs w:val="21"/>
          <w:highlight w:val="none"/>
          <w14:textFill>
            <w14:solidFill>
              <w14:schemeClr w14:val="tx1"/>
            </w14:solidFill>
          </w14:textFill>
        </w:rPr>
        <w:t>18.2 工伤保险</w:t>
      </w:r>
      <w:bookmarkEnd w:id="604"/>
      <w:bookmarkEnd w:id="605"/>
    </w:p>
    <w:bookmarkEnd w:id="606"/>
    <w:bookmarkEnd w:id="607"/>
    <w:bookmarkEnd w:id="608"/>
    <w:p w14:paraId="1690951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18.2.1 发包人应依照法律规定参加工伤保险，并为在施工现场的全部员工办理工伤保险，缴纳工伤保险费，并要求监理人及由发包人为履行合同聘请的第三方依法参加工伤保险。</w:t>
      </w:r>
    </w:p>
    <w:p w14:paraId="1BA1697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18.2.2 承包人应依照法律规定参加工伤保险，并为其履行合同的全部员工办理工伤保险，缴纳工伤保险费，并要求分包人及由承包人为履行合同聘请的第三方依法参加工伤保险。</w:t>
      </w:r>
    </w:p>
    <w:p w14:paraId="30B3778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09" w:name="_Toc351203615"/>
      <w:bookmarkStart w:id="610" w:name="_Toc533863426"/>
      <w:bookmarkStart w:id="611" w:name="_Toc296346626"/>
      <w:bookmarkStart w:id="612" w:name="_Toc296503125"/>
      <w:bookmarkStart w:id="613" w:name="_Toc337558831"/>
      <w:r>
        <w:rPr>
          <w:rFonts w:ascii="宋体" w:hAnsi="宋体" w:eastAsia="宋体" w:cs="宋体"/>
          <w:bCs/>
          <w:color w:val="000000" w:themeColor="text1"/>
          <w:kern w:val="0"/>
          <w:szCs w:val="21"/>
          <w:highlight w:val="none"/>
          <w14:textFill>
            <w14:solidFill>
              <w14:schemeClr w14:val="tx1"/>
            </w14:solidFill>
          </w14:textFill>
        </w:rPr>
        <w:t>18.3其他保险</w:t>
      </w:r>
      <w:bookmarkEnd w:id="609"/>
      <w:bookmarkEnd w:id="610"/>
    </w:p>
    <w:bookmarkEnd w:id="611"/>
    <w:bookmarkEnd w:id="612"/>
    <w:bookmarkEnd w:id="613"/>
    <w:p w14:paraId="2585B5C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发包人和承包人可以为其施工现场的全部人员办理意外伤害保险并支付保险费，包括其员工及为履行合同聘请的第三方的人员，具体事项由合同当事人在专用合同条款约定。</w:t>
      </w:r>
    </w:p>
    <w:p w14:paraId="0208C1C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除专用合同条款另有约定外，承包人应为其施工设备等办理财产保险。</w:t>
      </w:r>
    </w:p>
    <w:p w14:paraId="5A8AC69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14" w:name="_Toc533863427"/>
      <w:bookmarkStart w:id="615" w:name="_Toc351203616"/>
      <w:r>
        <w:rPr>
          <w:rFonts w:ascii="宋体" w:hAnsi="宋体" w:eastAsia="宋体" w:cs="宋体"/>
          <w:bCs/>
          <w:color w:val="000000" w:themeColor="text1"/>
          <w:kern w:val="0"/>
          <w:szCs w:val="21"/>
          <w:highlight w:val="none"/>
          <w14:textFill>
            <w14:solidFill>
              <w14:schemeClr w14:val="tx1"/>
            </w14:solidFill>
          </w14:textFill>
        </w:rPr>
        <w:t>18.4持续保险</w:t>
      </w:r>
      <w:bookmarkEnd w:id="614"/>
      <w:bookmarkEnd w:id="615"/>
    </w:p>
    <w:p w14:paraId="2449239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合同当事人应与保险人保持联系，使保险人能够随时了解工程实施中的变动，并确保按保险合同条款要求持续保险。</w:t>
      </w:r>
    </w:p>
    <w:p w14:paraId="56DD9CA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16" w:name="_Toc351203617"/>
      <w:bookmarkStart w:id="617" w:name="_Toc533863428"/>
      <w:bookmarkStart w:id="618" w:name="_Toc296346627"/>
      <w:bookmarkStart w:id="619" w:name="_Toc296503126"/>
      <w:bookmarkStart w:id="620" w:name="_Toc337558832"/>
      <w:r>
        <w:rPr>
          <w:rFonts w:ascii="宋体" w:hAnsi="宋体" w:eastAsia="宋体" w:cs="宋体"/>
          <w:bCs/>
          <w:color w:val="000000" w:themeColor="text1"/>
          <w:kern w:val="0"/>
          <w:szCs w:val="21"/>
          <w:highlight w:val="none"/>
          <w14:textFill>
            <w14:solidFill>
              <w14:schemeClr w14:val="tx1"/>
            </w14:solidFill>
          </w14:textFill>
        </w:rPr>
        <w:t>18.5 保险凭证</w:t>
      </w:r>
      <w:bookmarkEnd w:id="616"/>
      <w:bookmarkEnd w:id="617"/>
    </w:p>
    <w:bookmarkEnd w:id="618"/>
    <w:bookmarkEnd w:id="619"/>
    <w:bookmarkEnd w:id="620"/>
    <w:p w14:paraId="4E31195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合同当事人应及时向另一方当事人提交其已投保的各项保险的凭证和保险单复印件。</w:t>
      </w:r>
    </w:p>
    <w:p w14:paraId="645C1796">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21" w:name="_Toc533863429"/>
      <w:bookmarkStart w:id="622" w:name="_Toc351203618"/>
      <w:bookmarkStart w:id="623" w:name="_Toc296503127"/>
      <w:bookmarkStart w:id="624" w:name="_Toc337558833"/>
      <w:bookmarkStart w:id="625" w:name="_Toc296346628"/>
      <w:r>
        <w:rPr>
          <w:rFonts w:ascii="宋体" w:hAnsi="宋体" w:eastAsia="宋体" w:cs="宋体"/>
          <w:bCs/>
          <w:color w:val="000000" w:themeColor="text1"/>
          <w:kern w:val="0"/>
          <w:szCs w:val="21"/>
          <w:highlight w:val="none"/>
          <w14:textFill>
            <w14:solidFill>
              <w14:schemeClr w14:val="tx1"/>
            </w14:solidFill>
          </w14:textFill>
        </w:rPr>
        <w:t>18.6 未按约定投保的补救</w:t>
      </w:r>
      <w:bookmarkEnd w:id="621"/>
      <w:bookmarkEnd w:id="622"/>
    </w:p>
    <w:bookmarkEnd w:id="623"/>
    <w:bookmarkEnd w:id="624"/>
    <w:bookmarkEnd w:id="625"/>
    <w:p w14:paraId="55BCD9D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18.6.1发包人未按合同约定办理保险，或未能使保险持续有效的，则承包人可代为办理，所需费用由发包人承担。发包人未按合同约定办理保险，导致未能得到足额赔偿的，由发包人负责补足。</w:t>
      </w:r>
    </w:p>
    <w:p w14:paraId="74EF273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18.6.2承包人未按合同约定办理保险，或未能使保险持续有效的，则发包人可代为办理，所需费用由承包人承担。承包人未按合同约定办理保险，导致未能得到足额赔偿的，由承包人负责补足。</w:t>
      </w:r>
    </w:p>
    <w:p w14:paraId="453E1FB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26" w:name="_Toc351203619"/>
      <w:bookmarkStart w:id="627" w:name="_Toc533863430"/>
      <w:bookmarkStart w:id="628" w:name="_Toc337558834"/>
      <w:r>
        <w:rPr>
          <w:rFonts w:ascii="宋体" w:hAnsi="宋体" w:eastAsia="宋体" w:cs="宋体"/>
          <w:bCs/>
          <w:color w:val="000000" w:themeColor="text1"/>
          <w:kern w:val="0"/>
          <w:szCs w:val="21"/>
          <w:highlight w:val="none"/>
          <w14:textFill>
            <w14:solidFill>
              <w14:schemeClr w14:val="tx1"/>
            </w14:solidFill>
          </w14:textFill>
        </w:rPr>
        <w:t>18.7 通知义务</w:t>
      </w:r>
      <w:bookmarkEnd w:id="626"/>
      <w:bookmarkEnd w:id="627"/>
    </w:p>
    <w:bookmarkEnd w:id="628"/>
    <w:p w14:paraId="52DBF2C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除专用合同条款另有约定外，发包人变更除工伤保险之外的保险合同时，应事先征得承包人同意，并通知监理人；承包人变更除工伤保险之外的保险合同时，应事先征得发包人同意，并通知监理人。</w:t>
      </w:r>
    </w:p>
    <w:p w14:paraId="68E6A8F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保险事故发生时，投保人应按照保险合同规定的条件和期限及时向保险人报告。发包人和承包人应当在知道保险事故发生后及时通知对方。</w:t>
      </w:r>
    </w:p>
    <w:p w14:paraId="280F798F">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29" w:name="_Toc533863431"/>
      <w:bookmarkStart w:id="630" w:name="_Toc11994"/>
      <w:bookmarkStart w:id="631" w:name="_Toc351203620"/>
      <w:bookmarkStart w:id="632" w:name="_Toc337558835"/>
      <w:bookmarkStart w:id="633" w:name="_Toc296346641"/>
      <w:bookmarkStart w:id="634" w:name="_Toc296503140"/>
      <w:r>
        <w:rPr>
          <w:rFonts w:hint="eastAsia" w:ascii="宋体" w:hAnsi="宋体" w:eastAsia="宋体" w:cs="宋体"/>
          <w:bCs/>
          <w:color w:val="000000" w:themeColor="text1"/>
          <w:szCs w:val="21"/>
          <w:highlight w:val="none"/>
          <w14:textFill>
            <w14:solidFill>
              <w14:schemeClr w14:val="tx1"/>
            </w14:solidFill>
          </w14:textFill>
        </w:rPr>
        <w:t>19. 索赔</w:t>
      </w:r>
      <w:bookmarkEnd w:id="629"/>
      <w:bookmarkEnd w:id="630"/>
      <w:bookmarkEnd w:id="631"/>
    </w:p>
    <w:bookmarkEnd w:id="632"/>
    <w:bookmarkEnd w:id="633"/>
    <w:bookmarkEnd w:id="634"/>
    <w:p w14:paraId="2D0C1A9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35" w:name="_Toc351203621"/>
      <w:bookmarkStart w:id="636" w:name="_Toc533863432"/>
      <w:bookmarkStart w:id="637" w:name="_Toc337558836"/>
      <w:bookmarkStart w:id="638" w:name="_Toc296503141"/>
      <w:bookmarkStart w:id="639" w:name="_Toc296346642"/>
      <w:r>
        <w:rPr>
          <w:rFonts w:ascii="宋体" w:hAnsi="宋体" w:eastAsia="宋体" w:cs="宋体"/>
          <w:bCs/>
          <w:color w:val="000000" w:themeColor="text1"/>
          <w:kern w:val="0"/>
          <w:szCs w:val="21"/>
          <w:highlight w:val="none"/>
          <w14:textFill>
            <w14:solidFill>
              <w14:schemeClr w14:val="tx1"/>
            </w14:solidFill>
          </w14:textFill>
        </w:rPr>
        <w:t>19.1承包人的索赔</w:t>
      </w:r>
      <w:bookmarkEnd w:id="635"/>
      <w:bookmarkEnd w:id="636"/>
    </w:p>
    <w:bookmarkEnd w:id="637"/>
    <w:bookmarkEnd w:id="638"/>
    <w:bookmarkEnd w:id="639"/>
    <w:p w14:paraId="6AB9DE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根据合同约定，承包人认为有权得到追加付款和（或）延长工期的，应按以下程序向发包人提出索赔：</w:t>
      </w:r>
    </w:p>
    <w:p w14:paraId="63D26FF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24799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（2）承包人应在发出索赔意向通知书后28天内，向监理人正式递交索赔报告；索赔报告应详细说明索赔理由以及要求追加的付款金额和（或）延长的工期，并附必要的记录和证明材料；</w:t>
      </w:r>
    </w:p>
    <w:p w14:paraId="1595026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（3）索赔事件具有持续影响的，承包人应按合理时间间隔继续递交延续索赔通知，说明持续影响的实际情况和记录，列出累计的追加付款金额和（或）工期延长天数；</w:t>
      </w:r>
    </w:p>
    <w:p w14:paraId="47C8E2D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（4）在索赔事件影响结束后28天内，承包人应向监理人递交最终索赔报告，说明最终要求索赔的追加付款金额和（或）延长的工期，并附必要的记录和证明材料。</w:t>
      </w:r>
    </w:p>
    <w:p w14:paraId="7B07F01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40" w:name="_Toc351203622"/>
      <w:bookmarkStart w:id="641" w:name="_Toc533863433"/>
      <w:bookmarkStart w:id="642" w:name="_Toc296346643"/>
      <w:bookmarkStart w:id="643" w:name="_Toc296503142"/>
      <w:bookmarkStart w:id="644" w:name="_Toc337558837"/>
      <w:r>
        <w:rPr>
          <w:rFonts w:ascii="宋体" w:hAnsi="宋体" w:eastAsia="宋体" w:cs="宋体"/>
          <w:bCs/>
          <w:color w:val="000000" w:themeColor="text1"/>
          <w:kern w:val="0"/>
          <w:szCs w:val="21"/>
          <w:highlight w:val="none"/>
          <w14:textFill>
            <w14:solidFill>
              <w14:schemeClr w14:val="tx1"/>
            </w14:solidFill>
          </w14:textFill>
        </w:rPr>
        <w:t>19.2 对承包人索赔的处理</w:t>
      </w:r>
      <w:bookmarkEnd w:id="640"/>
      <w:bookmarkEnd w:id="641"/>
    </w:p>
    <w:bookmarkEnd w:id="642"/>
    <w:bookmarkEnd w:id="643"/>
    <w:bookmarkEnd w:id="644"/>
    <w:p w14:paraId="1AC1ED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对承包人索赔的处理如下：</w:t>
      </w:r>
    </w:p>
    <w:p w14:paraId="763411F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（1）监理人应在收到索赔报告后14天内完成审查并报送发包人。监理人对索赔报告存在异议的，有权要求承包人提交全部原始记录副本；</w:t>
      </w:r>
    </w:p>
    <w:p w14:paraId="0413B67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（2）发包人应在监理人收到索赔报告或有关索赔的进一步证明材料后的28天内，由监理人向承包人出具经发包人签认的索赔处理结果。发包人逾期答复的，则视为认可承包人的索赔要求；</w:t>
      </w:r>
    </w:p>
    <w:p w14:paraId="1F7C8DB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（3）承包人接受索赔处理结果的，索赔款项在当期进度款中进行支付；承包人不接受索赔处理结果的，按照第20条〔争议解决〕约定处理。</w:t>
      </w:r>
    </w:p>
    <w:p w14:paraId="2E200FB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45" w:name="_Toc533863434"/>
      <w:bookmarkStart w:id="646" w:name="_Toc351203623"/>
      <w:bookmarkStart w:id="647" w:name="_Toc296503143"/>
      <w:bookmarkStart w:id="648" w:name="_Toc337558838"/>
      <w:bookmarkStart w:id="649" w:name="_Toc296346644"/>
      <w:r>
        <w:rPr>
          <w:rFonts w:ascii="宋体" w:hAnsi="宋体" w:eastAsia="宋体" w:cs="宋体"/>
          <w:bCs/>
          <w:color w:val="000000" w:themeColor="text1"/>
          <w:kern w:val="0"/>
          <w:szCs w:val="21"/>
          <w:highlight w:val="none"/>
          <w14:textFill>
            <w14:solidFill>
              <w14:schemeClr w14:val="tx1"/>
            </w14:solidFill>
          </w14:textFill>
        </w:rPr>
        <w:t>19.3发包人的索赔</w:t>
      </w:r>
      <w:bookmarkEnd w:id="645"/>
      <w:bookmarkEnd w:id="646"/>
    </w:p>
    <w:bookmarkEnd w:id="647"/>
    <w:bookmarkEnd w:id="648"/>
    <w:bookmarkEnd w:id="649"/>
    <w:p w14:paraId="2699D46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根据合同约定，发包人认为有权得到赔付金额和（或）延长缺陷责任期的，监理人应向承包人发出通知并附有详细的证明。</w:t>
      </w:r>
    </w:p>
    <w:p w14:paraId="317E47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416065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50" w:name="_Toc533863435"/>
      <w:bookmarkStart w:id="651" w:name="_Toc351203624"/>
      <w:bookmarkStart w:id="652" w:name="_Toc296346645"/>
      <w:bookmarkStart w:id="653" w:name="_Toc337558839"/>
      <w:bookmarkStart w:id="654" w:name="_Toc296503144"/>
      <w:r>
        <w:rPr>
          <w:rFonts w:ascii="宋体" w:hAnsi="宋体" w:eastAsia="宋体" w:cs="宋体"/>
          <w:bCs/>
          <w:color w:val="000000" w:themeColor="text1"/>
          <w:kern w:val="0"/>
          <w:szCs w:val="21"/>
          <w:highlight w:val="none"/>
          <w14:textFill>
            <w14:solidFill>
              <w14:schemeClr w14:val="tx1"/>
            </w14:solidFill>
          </w14:textFill>
        </w:rPr>
        <w:t>19.4 对发包人索赔的处理</w:t>
      </w:r>
      <w:bookmarkEnd w:id="650"/>
      <w:bookmarkEnd w:id="651"/>
    </w:p>
    <w:bookmarkEnd w:id="652"/>
    <w:bookmarkEnd w:id="653"/>
    <w:bookmarkEnd w:id="654"/>
    <w:p w14:paraId="5014181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对发包人索赔的处理如下：</w:t>
      </w:r>
    </w:p>
    <w:p w14:paraId="30EE3F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（1）承包人收到发包人提交的索赔报告后，应及时审查索赔报告的内容、查验发包人证明材料；</w:t>
      </w:r>
    </w:p>
    <w:p w14:paraId="020F0C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（2）承包人应在收到索赔报告或有关索赔的进一步证明材料后28天内，将索赔处理结果答复发包人。如果承包人未在上述期限内作出答复的，则视为对发包人索赔要求的认可；</w:t>
      </w:r>
    </w:p>
    <w:p w14:paraId="04420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（3）承包人接受索赔处理结果的，发包人可从应支付给承包人的合同价款中扣除赔付的金额或延长缺陷责任期；发包人不接受索赔处理结果的，按第20条〔争议解决〕约定处理。</w:t>
      </w:r>
    </w:p>
    <w:p w14:paraId="4D216AD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55" w:name="_Toc533863436"/>
      <w:bookmarkStart w:id="656" w:name="_Toc351203625"/>
      <w:r>
        <w:rPr>
          <w:rFonts w:ascii="宋体" w:hAnsi="宋体" w:eastAsia="宋体" w:cs="宋体"/>
          <w:bCs/>
          <w:color w:val="000000" w:themeColor="text1"/>
          <w:kern w:val="0"/>
          <w:szCs w:val="21"/>
          <w:highlight w:val="none"/>
          <w14:textFill>
            <w14:solidFill>
              <w14:schemeClr w14:val="tx1"/>
            </w14:solidFill>
          </w14:textFill>
        </w:rPr>
        <w:t>19.5 提出索赔的期限</w:t>
      </w:r>
      <w:bookmarkEnd w:id="655"/>
      <w:bookmarkEnd w:id="656"/>
    </w:p>
    <w:p w14:paraId="44815E9E">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（1）承包人按第14.2款〔竣工结算审核〕约定接收竣工付款证书后，应被视为已无权再提出在工程接收证书颁发前所发生的任何索赔。</w:t>
      </w:r>
    </w:p>
    <w:p w14:paraId="273F92E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（2）承包人按第14.4款〔最终结清〕提交的最终结清申请单中，只限于提出工程接收证书颁发后发生的索赔。提出索赔的期限自接受最终结清证书时终止。</w:t>
      </w:r>
    </w:p>
    <w:p w14:paraId="413A2CFE">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57" w:name="_Toc533863437"/>
      <w:bookmarkStart w:id="658" w:name="_Toc351203626"/>
      <w:bookmarkStart w:id="659" w:name="_Toc32402"/>
      <w:r>
        <w:rPr>
          <w:rFonts w:hint="eastAsia" w:ascii="宋体" w:hAnsi="宋体" w:eastAsia="宋体" w:cs="宋体"/>
          <w:bCs/>
          <w:color w:val="000000" w:themeColor="text1"/>
          <w:szCs w:val="21"/>
          <w:highlight w:val="none"/>
          <w14:textFill>
            <w14:solidFill>
              <w14:schemeClr w14:val="tx1"/>
            </w14:solidFill>
          </w14:textFill>
        </w:rPr>
        <w:t>20</w:t>
      </w:r>
      <w:bookmarkStart w:id="660" w:name="_Toc337558840"/>
      <w:bookmarkStart w:id="661" w:name="_Toc296503146"/>
      <w:bookmarkStart w:id="662" w:name="_Toc296346647"/>
      <w:r>
        <w:rPr>
          <w:rFonts w:hint="eastAsia" w:ascii="宋体" w:hAnsi="宋体" w:eastAsia="宋体" w:cs="宋体"/>
          <w:bCs/>
          <w:color w:val="000000" w:themeColor="text1"/>
          <w:szCs w:val="21"/>
          <w:highlight w:val="none"/>
          <w14:textFill>
            <w14:solidFill>
              <w14:schemeClr w14:val="tx1"/>
            </w14:solidFill>
          </w14:textFill>
        </w:rPr>
        <w:t>. 争议解决</w:t>
      </w:r>
      <w:bookmarkEnd w:id="657"/>
      <w:bookmarkEnd w:id="658"/>
      <w:bookmarkEnd w:id="659"/>
      <w:bookmarkEnd w:id="660"/>
      <w:bookmarkEnd w:id="661"/>
      <w:bookmarkEnd w:id="662"/>
      <w:bookmarkStart w:id="663" w:name="_Toc351203627"/>
      <w:bookmarkStart w:id="664" w:name="_Toc533863438"/>
      <w:bookmarkStart w:id="665" w:name="_Toc296346648"/>
      <w:bookmarkStart w:id="666" w:name="_Toc296503147"/>
      <w:bookmarkStart w:id="667" w:name="_Toc337558841"/>
    </w:p>
    <w:p w14:paraId="64E5AB77">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68" w:name="_Toc18478"/>
      <w:r>
        <w:rPr>
          <w:rFonts w:hint="eastAsia" w:ascii="宋体" w:hAnsi="宋体" w:eastAsia="宋体" w:cs="宋体"/>
          <w:bCs/>
          <w:color w:val="000000" w:themeColor="text1"/>
          <w:szCs w:val="21"/>
          <w:highlight w:val="none"/>
          <w14:textFill>
            <w14:solidFill>
              <w14:schemeClr w14:val="tx1"/>
            </w14:solidFill>
          </w14:textFill>
        </w:rPr>
        <w:t>20.1和解</w:t>
      </w:r>
      <w:bookmarkEnd w:id="663"/>
      <w:bookmarkEnd w:id="664"/>
      <w:bookmarkEnd w:id="668"/>
    </w:p>
    <w:bookmarkEnd w:id="665"/>
    <w:bookmarkEnd w:id="666"/>
    <w:bookmarkEnd w:id="667"/>
    <w:p w14:paraId="1006014C">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合同当事人可以就争议自行和解，自行和解达成协议的经双方签字并盖章后作为合同补充文件，双方均应遵照执行。</w:t>
      </w:r>
    </w:p>
    <w:p w14:paraId="481F089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69" w:name="_Toc351203628"/>
      <w:bookmarkStart w:id="670" w:name="_Toc533863439"/>
      <w:r>
        <w:rPr>
          <w:rFonts w:ascii="宋体" w:hAnsi="宋体" w:eastAsia="宋体" w:cs="宋体"/>
          <w:bCs/>
          <w:color w:val="000000" w:themeColor="text1"/>
          <w:kern w:val="0"/>
          <w:szCs w:val="21"/>
          <w:highlight w:val="none"/>
          <w14:textFill>
            <w14:solidFill>
              <w14:schemeClr w14:val="tx1"/>
            </w14:solidFill>
          </w14:textFill>
        </w:rPr>
        <w:t>20</w:t>
      </w:r>
      <w:bookmarkStart w:id="671" w:name="_Toc296346649"/>
      <w:bookmarkStart w:id="672" w:name="_Toc296503148"/>
      <w:bookmarkStart w:id="673" w:name="_Toc337558842"/>
      <w:r>
        <w:rPr>
          <w:rFonts w:ascii="宋体" w:hAnsi="宋体" w:eastAsia="宋体" w:cs="宋体"/>
          <w:bCs/>
          <w:color w:val="000000" w:themeColor="text1"/>
          <w:kern w:val="0"/>
          <w:szCs w:val="21"/>
          <w:highlight w:val="none"/>
          <w14:textFill>
            <w14:solidFill>
              <w14:schemeClr w14:val="tx1"/>
            </w14:solidFill>
          </w14:textFill>
        </w:rPr>
        <w:t>.2调解</w:t>
      </w:r>
      <w:bookmarkEnd w:id="669"/>
      <w:bookmarkEnd w:id="670"/>
    </w:p>
    <w:bookmarkEnd w:id="671"/>
    <w:bookmarkEnd w:id="672"/>
    <w:bookmarkEnd w:id="673"/>
    <w:p w14:paraId="2061F5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合同当事人可以就争议请求建设行政主管部门、行业协会或其他第三方进行调解，调解达成协议的，经双方签字并盖章后作为合同补充文件，双方均应遵照执行。</w:t>
      </w:r>
    </w:p>
    <w:p w14:paraId="0C60AA1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74" w:name="_Toc533863440"/>
      <w:bookmarkStart w:id="675" w:name="_Toc351203629"/>
      <w:bookmarkStart w:id="676" w:name="_Toc337558843"/>
      <w:bookmarkStart w:id="677" w:name="_Toc296346650"/>
      <w:bookmarkStart w:id="678" w:name="_Toc296503149"/>
      <w:r>
        <w:rPr>
          <w:rFonts w:ascii="宋体" w:hAnsi="宋体" w:eastAsia="宋体" w:cs="宋体"/>
          <w:bCs/>
          <w:color w:val="000000" w:themeColor="text1"/>
          <w:kern w:val="0"/>
          <w:szCs w:val="21"/>
          <w:highlight w:val="none"/>
          <w14:textFill>
            <w14:solidFill>
              <w14:schemeClr w14:val="tx1"/>
            </w14:solidFill>
          </w14:textFill>
        </w:rPr>
        <w:t>20.3争议评审</w:t>
      </w:r>
      <w:bookmarkEnd w:id="674"/>
      <w:bookmarkEnd w:id="675"/>
    </w:p>
    <w:bookmarkEnd w:id="676"/>
    <w:bookmarkEnd w:id="677"/>
    <w:bookmarkEnd w:id="678"/>
    <w:p w14:paraId="63F0B27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合同当事人在专用合同条款中约定采取争议评审方式解决争议以及评审规则，并按下列约定执行： </w:t>
      </w:r>
    </w:p>
    <w:p w14:paraId="702056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20.3.1 争议评审小组的确定</w:t>
      </w:r>
    </w:p>
    <w:p w14:paraId="03CA729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合同当事人可以共同选择一名或三名争议评审员，组成争议评审小组。除专用合同条款另有约定外，合同当事人应当自合同签订后28天内，或者争议发生后14天内，选定争议评审员。</w:t>
      </w:r>
    </w:p>
    <w:p w14:paraId="7566E6A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A627A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除专用合同条款另有约定外，评审员报酬由发包人和承包人各承担一半。</w:t>
      </w:r>
    </w:p>
    <w:p w14:paraId="161BD4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20.3.2 争议评审小组的决定</w:t>
      </w:r>
    </w:p>
    <w:p w14:paraId="7FBB92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2712EA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20.3.3 争议评审小组决定的效力</w:t>
      </w:r>
    </w:p>
    <w:p w14:paraId="26DA64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争议评审小组作出的书面决定经合同当事人签字确认后，对双方具有约束力，双方应遵照执行。</w:t>
      </w:r>
    </w:p>
    <w:p w14:paraId="7FB2EB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任何一方当事人不接受争议评审小组决定或不履行争议评审小组决定的，双方可选择采用其他争议解决方式。</w:t>
      </w:r>
    </w:p>
    <w:p w14:paraId="6B8667C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79" w:name="_Toc351203630"/>
      <w:bookmarkStart w:id="680" w:name="_Toc533863441"/>
      <w:bookmarkStart w:id="681" w:name="_Toc337558844"/>
      <w:bookmarkStart w:id="682" w:name="_Toc296503150"/>
      <w:bookmarkStart w:id="683" w:name="_Toc296346651"/>
      <w:r>
        <w:rPr>
          <w:rFonts w:ascii="宋体" w:hAnsi="宋体" w:eastAsia="宋体" w:cs="宋体"/>
          <w:bCs/>
          <w:color w:val="000000" w:themeColor="text1"/>
          <w:kern w:val="0"/>
          <w:szCs w:val="21"/>
          <w:highlight w:val="none"/>
          <w14:textFill>
            <w14:solidFill>
              <w14:schemeClr w14:val="tx1"/>
            </w14:solidFill>
          </w14:textFill>
        </w:rPr>
        <w:t>20.4仲裁或诉讼</w:t>
      </w:r>
      <w:bookmarkEnd w:id="679"/>
      <w:bookmarkEnd w:id="680"/>
    </w:p>
    <w:bookmarkEnd w:id="681"/>
    <w:bookmarkEnd w:id="682"/>
    <w:bookmarkEnd w:id="683"/>
    <w:p w14:paraId="666F661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因合同及合同有关事项产生的争议，合同当事人可以在专用合同条款中约定以下一种方式解决争议：</w:t>
      </w:r>
    </w:p>
    <w:p w14:paraId="764480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（1）向约定的仲裁委员会申请仲裁；</w:t>
      </w:r>
    </w:p>
    <w:p w14:paraId="408920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（2）向有管辖权的人民法院起诉。</w:t>
      </w:r>
    </w:p>
    <w:p w14:paraId="1B3702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84" w:name="_Toc533863442"/>
      <w:bookmarkStart w:id="685" w:name="_Toc351203631"/>
      <w:bookmarkStart w:id="686" w:name="_Toc296346653"/>
      <w:bookmarkStart w:id="687" w:name="_Toc296503152"/>
      <w:bookmarkStart w:id="688" w:name="_Toc337558845"/>
      <w:r>
        <w:rPr>
          <w:rFonts w:ascii="宋体" w:hAnsi="宋体" w:eastAsia="宋体" w:cs="宋体"/>
          <w:bCs/>
          <w:color w:val="000000" w:themeColor="text1"/>
          <w:kern w:val="0"/>
          <w:szCs w:val="21"/>
          <w:highlight w:val="none"/>
          <w14:textFill>
            <w14:solidFill>
              <w14:schemeClr w14:val="tx1"/>
            </w14:solidFill>
          </w14:textFill>
        </w:rPr>
        <w:t>20.5争议解决条款效力</w:t>
      </w:r>
      <w:bookmarkEnd w:id="684"/>
      <w:bookmarkEnd w:id="685"/>
    </w:p>
    <w:bookmarkEnd w:id="686"/>
    <w:bookmarkEnd w:id="687"/>
    <w:bookmarkEnd w:id="688"/>
    <w:p w14:paraId="7A3CD99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合同有关争议解决的条款独立存在，合同的变更、解除、终止、无效或者被撤销均不影响其效力。 </w:t>
      </w:r>
    </w:p>
    <w:p w14:paraId="769C1255">
      <w:pPr>
        <w:rPr>
          <w:rFonts w:ascii="宋体" w:hAnsi="宋体" w:eastAsia="宋体" w:cs="宋体"/>
          <w:color w:val="000000" w:themeColor="text1"/>
          <w:highlight w:val="none"/>
          <w14:textFill>
            <w14:solidFill>
              <w14:schemeClr w14:val="tx1"/>
            </w14:solidFill>
          </w14:textFill>
        </w:rPr>
      </w:pPr>
    </w:p>
    <w:p w14:paraId="10AEB81F">
      <w:pPr>
        <w:rPr>
          <w:rFonts w:ascii="宋体" w:hAnsi="宋体" w:eastAsia="宋体" w:cs="宋体"/>
          <w:color w:val="000000" w:themeColor="text1"/>
          <w:szCs w:val="32"/>
          <w:highlight w:val="none"/>
          <w14:textFill>
            <w14:solidFill>
              <w14:schemeClr w14:val="tx1"/>
            </w14:solidFill>
          </w14:textFill>
        </w:rPr>
      </w:pPr>
      <w:bookmarkStart w:id="689" w:name="_Toc533863443"/>
    </w:p>
    <w:p w14:paraId="432DDAFE">
      <w:pPr>
        <w:rPr>
          <w:color w:val="000000" w:themeColor="text1"/>
          <w:highlight w:val="none"/>
          <w14:textFill>
            <w14:solidFill>
              <w14:schemeClr w14:val="tx1"/>
            </w14:solidFill>
          </w14:textFill>
        </w:rPr>
      </w:pPr>
    </w:p>
    <w:p w14:paraId="3C8339B7">
      <w:pPr>
        <w:rPr>
          <w:rFonts w:ascii="宋体" w:hAnsi="宋体" w:eastAsia="宋体" w:cs="宋体"/>
          <w:color w:val="000000" w:themeColor="text1"/>
          <w:szCs w:val="32"/>
          <w:highlight w:val="none"/>
          <w14:textFill>
            <w14:solidFill>
              <w14:schemeClr w14:val="tx1"/>
            </w14:solidFill>
          </w14:textFill>
        </w:rPr>
      </w:pPr>
    </w:p>
    <w:p w14:paraId="0A09EA9A">
      <w:pPr>
        <w:rPr>
          <w:rFonts w:ascii="宋体" w:hAnsi="宋体" w:eastAsia="宋体" w:cs="宋体"/>
          <w:color w:val="000000" w:themeColor="text1"/>
          <w:szCs w:val="32"/>
          <w:highlight w:val="none"/>
          <w14:textFill>
            <w14:solidFill>
              <w14:schemeClr w14:val="tx1"/>
            </w14:solidFill>
          </w14:textFill>
        </w:rPr>
      </w:pPr>
    </w:p>
    <w:p w14:paraId="4969D85B">
      <w:pPr>
        <w:rPr>
          <w:rFonts w:ascii="宋体" w:hAnsi="宋体" w:eastAsia="宋体" w:cs="宋体"/>
          <w:color w:val="000000" w:themeColor="text1"/>
          <w:szCs w:val="32"/>
          <w:highlight w:val="none"/>
          <w14:textFill>
            <w14:solidFill>
              <w14:schemeClr w14:val="tx1"/>
            </w14:solidFill>
          </w14:textFill>
        </w:rPr>
      </w:pPr>
    </w:p>
    <w:p w14:paraId="48538DCA">
      <w:pPr>
        <w:widowControl/>
        <w:jc w:val="left"/>
        <w:rPr>
          <w:rFonts w:ascii="宋体" w:hAnsi="宋体" w:eastAsia="宋体" w:cs="宋体"/>
          <w:b/>
          <w:bCs/>
          <w:color w:val="000000" w:themeColor="text1"/>
          <w:kern w:val="44"/>
          <w:sz w:val="32"/>
          <w:szCs w:val="32"/>
          <w:highlight w:val="none"/>
          <w14:textFill>
            <w14:solidFill>
              <w14:schemeClr w14:val="tx1"/>
            </w14:solidFill>
          </w14:textFill>
        </w:rPr>
      </w:pPr>
      <w:r>
        <w:rPr>
          <w:rFonts w:ascii="宋体" w:hAnsi="宋体" w:eastAsia="宋体" w:cs="宋体"/>
          <w:b/>
          <w:bCs/>
          <w:color w:val="000000" w:themeColor="text1"/>
          <w:kern w:val="44"/>
          <w:sz w:val="32"/>
          <w:szCs w:val="32"/>
          <w:highlight w:val="none"/>
          <w14:textFill>
            <w14:solidFill>
              <w14:schemeClr w14:val="tx1"/>
            </w14:solidFill>
          </w14:textFill>
        </w:rPr>
        <w:br w:type="page"/>
      </w:r>
    </w:p>
    <w:p w14:paraId="2CC34312">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bookmarkStart w:id="690" w:name="_Toc8137"/>
      <w:bookmarkStart w:id="691" w:name="_Toc4673"/>
      <w:bookmarkStart w:id="692" w:name="_Toc32372"/>
      <w:bookmarkStart w:id="693" w:name="_Toc3509"/>
      <w:bookmarkStart w:id="694" w:name="_Toc9161"/>
      <w:r>
        <w:rPr>
          <w:rFonts w:hint="eastAsia" w:ascii="宋体" w:hAnsi="宋体" w:eastAsia="宋体" w:cs="宋体"/>
          <w:b/>
          <w:bCs/>
          <w:color w:val="000000" w:themeColor="text1"/>
          <w:kern w:val="44"/>
          <w:sz w:val="32"/>
          <w:szCs w:val="32"/>
          <w:highlight w:val="none"/>
          <w14:textFill>
            <w14:solidFill>
              <w14:schemeClr w14:val="tx1"/>
            </w14:solidFill>
          </w14:textFill>
        </w:rPr>
        <w:t>第三部分 专用合同条款</w:t>
      </w:r>
      <w:bookmarkEnd w:id="689"/>
      <w:bookmarkEnd w:id="690"/>
      <w:bookmarkEnd w:id="691"/>
      <w:bookmarkEnd w:id="692"/>
      <w:bookmarkEnd w:id="693"/>
      <w:bookmarkEnd w:id="694"/>
    </w:p>
    <w:p w14:paraId="66BE71E3">
      <w:pPr>
        <w:keepNext/>
        <w:keepLines/>
        <w:spacing w:before="260" w:after="260" w:line="360" w:lineRule="auto"/>
        <w:outlineLvl w:val="1"/>
        <w:rPr>
          <w:rFonts w:ascii="宋体" w:hAnsi="宋体" w:eastAsia="宋体" w:cs="宋体"/>
          <w:b/>
          <w:bCs/>
          <w:color w:val="000000" w:themeColor="text1"/>
          <w:szCs w:val="21"/>
          <w:highlight w:val="none"/>
          <w14:textFill>
            <w14:solidFill>
              <w14:schemeClr w14:val="tx1"/>
            </w14:solidFill>
          </w14:textFill>
        </w:rPr>
      </w:pPr>
      <w:bookmarkStart w:id="695" w:name="_Toc3008"/>
      <w:bookmarkStart w:id="696" w:name="_Toc351203633"/>
      <w:bookmarkStart w:id="697" w:name="_Toc533863444"/>
      <w:r>
        <w:rPr>
          <w:rFonts w:hint="eastAsia" w:ascii="宋体" w:hAnsi="宋体" w:eastAsia="宋体" w:cs="宋体"/>
          <w:b/>
          <w:bCs/>
          <w:color w:val="000000" w:themeColor="text1"/>
          <w:szCs w:val="21"/>
          <w:highlight w:val="none"/>
          <w14:textFill>
            <w14:solidFill>
              <w14:schemeClr w14:val="tx1"/>
            </w14:solidFill>
          </w14:textFill>
        </w:rPr>
        <w:t>1</w:t>
      </w:r>
      <w:bookmarkStart w:id="698" w:name="_Toc296891196"/>
      <w:bookmarkStart w:id="699" w:name="_Toc296503156"/>
      <w:bookmarkStart w:id="700" w:name="_Toc296347155"/>
      <w:bookmarkStart w:id="701" w:name="_Toc296890984"/>
      <w:bookmarkStart w:id="702" w:name="_Toc292559866"/>
      <w:bookmarkStart w:id="703" w:name="_Toc297048342"/>
      <w:bookmarkStart w:id="704" w:name="_Toc296346657"/>
      <w:bookmarkStart w:id="705" w:name="_Toc297120456"/>
      <w:bookmarkStart w:id="706" w:name="_Toc292559361"/>
      <w:bookmarkStart w:id="707" w:name="_Toc296944495"/>
      <w:r>
        <w:rPr>
          <w:rFonts w:hint="eastAsia" w:ascii="宋体" w:hAnsi="宋体" w:eastAsia="宋体" w:cs="宋体"/>
          <w:b/>
          <w:bCs/>
          <w:color w:val="000000" w:themeColor="text1"/>
          <w:szCs w:val="21"/>
          <w:highlight w:val="none"/>
          <w14:textFill>
            <w14:solidFill>
              <w14:schemeClr w14:val="tx1"/>
            </w14:solidFill>
          </w14:textFill>
        </w:rPr>
        <w:t>. 一般约定</w:t>
      </w:r>
      <w:bookmarkEnd w:id="695"/>
      <w:bookmarkEnd w:id="696"/>
      <w:bookmarkEnd w:id="697"/>
    </w:p>
    <w:bookmarkEnd w:id="698"/>
    <w:bookmarkEnd w:id="699"/>
    <w:bookmarkEnd w:id="700"/>
    <w:bookmarkEnd w:id="701"/>
    <w:bookmarkEnd w:id="702"/>
    <w:bookmarkEnd w:id="703"/>
    <w:bookmarkEnd w:id="704"/>
    <w:bookmarkEnd w:id="705"/>
    <w:bookmarkEnd w:id="706"/>
    <w:bookmarkEnd w:id="707"/>
    <w:p w14:paraId="1F1907BA">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08" w:name="_Toc533863445"/>
      <w:r>
        <w:rPr>
          <w:rFonts w:hint="eastAsia" w:ascii="宋体" w:hAnsi="宋体" w:eastAsia="宋体" w:cs="宋体"/>
          <w:b/>
          <w:bCs/>
          <w:color w:val="000000" w:themeColor="text1"/>
          <w:szCs w:val="21"/>
          <w:highlight w:val="none"/>
          <w14:textFill>
            <w14:solidFill>
              <w14:schemeClr w14:val="tx1"/>
            </w14:solidFill>
          </w14:textFill>
        </w:rPr>
        <w:t>1.1 词语定义</w:t>
      </w:r>
      <w:bookmarkEnd w:id="708"/>
    </w:p>
    <w:p w14:paraId="33FAF94B">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1.1.1合同</w:t>
      </w:r>
    </w:p>
    <w:p w14:paraId="4DF1697B">
      <w:pPr>
        <w:spacing w:line="360" w:lineRule="auto"/>
        <w:ind w:left="1155" w:hanging="1155" w:hangingChars="55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1.1.1.10其他合同文件包括：</w:t>
      </w:r>
      <w:r>
        <w:rPr>
          <w:rFonts w:hint="eastAsia" w:ascii="宋体" w:hAnsi="宋体" w:eastAsia="宋体" w:cs="宋体"/>
          <w:color w:val="000000" w:themeColor="text1"/>
          <w:szCs w:val="21"/>
          <w:highlight w:val="none"/>
          <w:u w:val="single"/>
          <w14:textFill>
            <w14:solidFill>
              <w14:schemeClr w14:val="tx1"/>
            </w14:solidFill>
          </w14:textFill>
        </w:rPr>
        <w:t>履行合同过程中双方总经理以上管理者（或双方工地代表人）书面确认的对合同内容有实质性影响的会议纪要、签证、设计变更等资料</w:t>
      </w:r>
      <w:r>
        <w:rPr>
          <w:rFonts w:hint="eastAsia" w:ascii="宋体" w:hAnsi="宋体" w:eastAsia="宋体" w:cs="宋体"/>
          <w:color w:val="000000" w:themeColor="text1"/>
          <w:szCs w:val="21"/>
          <w:highlight w:val="none"/>
          <w14:textFill>
            <w14:solidFill>
              <w14:schemeClr w14:val="tx1"/>
            </w14:solidFill>
          </w14:textFill>
        </w:rPr>
        <w:t>。</w:t>
      </w:r>
    </w:p>
    <w:p w14:paraId="34493B8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 合同当事人及其他相关方</w:t>
      </w:r>
    </w:p>
    <w:p w14:paraId="2009C3C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1.1.2.4监理人：</w:t>
      </w:r>
    </w:p>
    <w:p w14:paraId="66850ED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51E02B6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资质类别和等级：</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55A51C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387E998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w:t>
      </w:r>
    </w:p>
    <w:p w14:paraId="738360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通信地址：</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613EE51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1.1.2.5 设计人：</w:t>
      </w:r>
    </w:p>
    <w:p w14:paraId="20D9CF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05D13E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资质类别和等级：</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1821781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10CA96A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69B020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通信地址：</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2F79062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 工程和设备</w:t>
      </w:r>
    </w:p>
    <w:p w14:paraId="4B49860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1.1.3.7 作为施工现场组成部分的其他场所包括：</w:t>
      </w:r>
      <w:r>
        <w:rPr>
          <w:rFonts w:hint="eastAsia" w:ascii="宋体" w:hAnsi="宋体" w:eastAsia="宋体" w:cs="宋体"/>
          <w:color w:val="000000" w:themeColor="text1"/>
          <w:szCs w:val="21"/>
          <w:highlight w:val="none"/>
          <w:u w:val="single"/>
          <w14:textFill>
            <w14:solidFill>
              <w14:schemeClr w14:val="tx1"/>
            </w14:solidFill>
          </w14:textFill>
        </w:rPr>
        <w:t>符合通用条款规定的发包方提供的施工场地</w:t>
      </w:r>
      <w:r>
        <w:rPr>
          <w:rFonts w:hint="eastAsia" w:ascii="宋体" w:hAnsi="宋体" w:eastAsia="宋体" w:cs="宋体"/>
          <w:color w:val="000000" w:themeColor="text1"/>
          <w:szCs w:val="21"/>
          <w:highlight w:val="none"/>
          <w14:textFill>
            <w14:solidFill>
              <w14:schemeClr w14:val="tx1"/>
            </w14:solidFill>
          </w14:textFill>
        </w:rPr>
        <w:t>。</w:t>
      </w:r>
    </w:p>
    <w:p w14:paraId="071A5829">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1.1.3.9 永久占地包括：</w:t>
      </w:r>
      <w:r>
        <w:rPr>
          <w:rFonts w:hint="eastAsia" w:ascii="宋体" w:hAnsi="宋体" w:eastAsia="宋体" w:cs="宋体"/>
          <w:color w:val="000000" w:themeColor="text1"/>
          <w:szCs w:val="21"/>
          <w:highlight w:val="none"/>
          <w:u w:val="single"/>
          <w14:textFill>
            <w14:solidFill>
              <w14:schemeClr w14:val="tx1"/>
            </w14:solidFill>
          </w14:textFill>
        </w:rPr>
        <w:t>建筑占地、道路用地、绿化用地</w:t>
      </w:r>
    </w:p>
    <w:p w14:paraId="21C8E27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1.1.3.10 临时占地包括：</w:t>
      </w:r>
      <w:r>
        <w:rPr>
          <w:rFonts w:hint="eastAsia" w:ascii="宋体" w:hAnsi="宋体" w:eastAsia="宋体" w:cs="宋体"/>
          <w:color w:val="000000" w:themeColor="text1"/>
          <w:szCs w:val="21"/>
          <w:highlight w:val="none"/>
          <w:u w:val="single"/>
          <w14:textFill>
            <w14:solidFill>
              <w14:schemeClr w14:val="tx1"/>
            </w14:solidFill>
          </w14:textFill>
        </w:rPr>
        <w:t>临时工人宿舍、实验室、材料堆放场、材料加工场及施工便道用地等</w:t>
      </w:r>
      <w:r>
        <w:rPr>
          <w:rFonts w:hint="eastAsia" w:ascii="宋体" w:hAnsi="宋体" w:eastAsia="宋体" w:cs="宋体"/>
          <w:color w:val="000000" w:themeColor="text1"/>
          <w:kern w:val="0"/>
          <w:szCs w:val="21"/>
          <w:highlight w:val="none"/>
          <w14:textFill>
            <w14:solidFill>
              <w14:schemeClr w14:val="tx1"/>
            </w14:solidFill>
          </w14:textFill>
        </w:rPr>
        <w:t>。</w:t>
      </w:r>
    </w:p>
    <w:p w14:paraId="109F9F81">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09" w:name="_Toc533863446"/>
      <w:r>
        <w:rPr>
          <w:rFonts w:hint="eastAsia" w:ascii="宋体" w:hAnsi="宋体" w:eastAsia="宋体" w:cs="宋体"/>
          <w:b/>
          <w:bCs/>
          <w:color w:val="000000" w:themeColor="text1"/>
          <w:szCs w:val="21"/>
          <w:highlight w:val="none"/>
          <w14:textFill>
            <w14:solidFill>
              <w14:schemeClr w14:val="tx1"/>
            </w14:solidFill>
          </w14:textFill>
        </w:rPr>
        <w:t>1.3法律</w:t>
      </w:r>
      <w:bookmarkEnd w:id="709"/>
      <w:r>
        <w:rPr>
          <w:rFonts w:hint="eastAsia" w:ascii="宋体" w:hAnsi="宋体" w:eastAsia="宋体" w:cs="宋体"/>
          <w:b/>
          <w:bCs/>
          <w:color w:val="000000" w:themeColor="text1"/>
          <w:szCs w:val="21"/>
          <w:highlight w:val="none"/>
          <w14:textFill>
            <w14:solidFill>
              <w14:schemeClr w14:val="tx1"/>
            </w14:solidFill>
          </w14:textFill>
        </w:rPr>
        <w:t xml:space="preserve"> </w:t>
      </w:r>
    </w:p>
    <w:p w14:paraId="5E3ABE0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适用于合同的其他规范性文件：</w:t>
      </w:r>
      <w:r>
        <w:rPr>
          <w:rFonts w:hint="eastAsia" w:ascii="宋体" w:hAnsi="宋体" w:eastAsia="宋体" w:cs="宋体"/>
          <w:color w:val="000000" w:themeColor="text1"/>
          <w:szCs w:val="21"/>
          <w:highlight w:val="none"/>
          <w:u w:val="single"/>
          <w14:textFill>
            <w14:solidFill>
              <w14:schemeClr w14:val="tx1"/>
            </w14:solidFill>
          </w14:textFill>
        </w:rPr>
        <w:t>现行《中华人民共和国建筑法》、《中华人民共和国民法典》、《中华人民共和国招标投标法》、《建筑施工合同管理办法》及省市地方建设工程的法律、法规等。</w:t>
      </w:r>
    </w:p>
    <w:p w14:paraId="2E173C56">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0" w:name="_Toc533863447"/>
      <w:r>
        <w:rPr>
          <w:rFonts w:hint="eastAsia" w:ascii="宋体" w:hAnsi="宋体" w:eastAsia="宋体" w:cs="宋体"/>
          <w:b/>
          <w:bCs/>
          <w:color w:val="000000" w:themeColor="text1"/>
          <w:szCs w:val="21"/>
          <w:highlight w:val="none"/>
          <w14:textFill>
            <w14:solidFill>
              <w14:schemeClr w14:val="tx1"/>
            </w14:solidFill>
          </w14:textFill>
        </w:rPr>
        <w:t>1.4 标准和规范</w:t>
      </w:r>
      <w:bookmarkEnd w:id="710"/>
    </w:p>
    <w:p w14:paraId="5A1F1F1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1.4.1适用于工程的标准规范包括：</w:t>
      </w:r>
      <w:r>
        <w:rPr>
          <w:rFonts w:hint="eastAsia" w:ascii="宋体" w:hAnsi="宋体" w:eastAsia="宋体" w:cs="宋体"/>
          <w:color w:val="000000" w:themeColor="text1"/>
          <w:szCs w:val="21"/>
          <w:highlight w:val="none"/>
          <w:u w:val="single"/>
          <w14:textFill>
            <w14:solidFill>
              <w14:schemeClr w14:val="tx1"/>
            </w14:solidFill>
          </w14:textFill>
        </w:rPr>
        <w:t>国家及省市现行施工验收规范及强制性条文和有关规定，现行颁布实施的建设工程标准规范。</w:t>
      </w:r>
    </w:p>
    <w:p w14:paraId="62DE46CB">
      <w:pPr>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1.4.2 发包人提供国外标准、规范的名称：</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无 </w:t>
      </w:r>
      <w:r>
        <w:rPr>
          <w:rFonts w:hint="eastAsia" w:ascii="宋体" w:hAnsi="宋体" w:eastAsia="宋体" w:cs="宋体"/>
          <w:color w:val="000000" w:themeColor="text1"/>
          <w:kern w:val="0"/>
          <w:szCs w:val="21"/>
          <w:highlight w:val="none"/>
          <w14:textFill>
            <w14:solidFill>
              <w14:schemeClr w14:val="tx1"/>
            </w14:solidFill>
          </w14:textFill>
        </w:rPr>
        <w:t>；</w:t>
      </w:r>
    </w:p>
    <w:p w14:paraId="185BFAF8">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发包人提供国外标准、规范的份数：</w:t>
      </w:r>
      <w:r>
        <w:rPr>
          <w:rFonts w:hint="eastAsia" w:ascii="宋体" w:hAnsi="宋体" w:eastAsia="宋体" w:cs="宋体"/>
          <w:color w:val="000000" w:themeColor="text1"/>
          <w:kern w:val="0"/>
          <w:szCs w:val="21"/>
          <w:highlight w:val="none"/>
          <w:u w:val="single"/>
          <w14:textFill>
            <w14:solidFill>
              <w14:schemeClr w14:val="tx1"/>
            </w14:solidFill>
          </w14:textFill>
        </w:rPr>
        <w:t>无</w:t>
      </w:r>
      <w:r>
        <w:rPr>
          <w:rFonts w:hint="eastAsia" w:ascii="宋体" w:hAnsi="宋体" w:eastAsia="宋体" w:cs="宋体"/>
          <w:color w:val="000000" w:themeColor="text1"/>
          <w:kern w:val="0"/>
          <w:szCs w:val="21"/>
          <w:highlight w:val="none"/>
          <w14:textFill>
            <w14:solidFill>
              <w14:schemeClr w14:val="tx1"/>
            </w14:solidFill>
          </w14:textFill>
        </w:rPr>
        <w:t>；</w:t>
      </w:r>
    </w:p>
    <w:p w14:paraId="03117C6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发包人提供国外标准、规范的名称：</w:t>
      </w:r>
      <w:r>
        <w:rPr>
          <w:rFonts w:hint="eastAsia" w:ascii="宋体" w:hAnsi="宋体" w:eastAsia="宋体" w:cs="宋体"/>
          <w:color w:val="000000" w:themeColor="text1"/>
          <w:kern w:val="0"/>
          <w:szCs w:val="21"/>
          <w:highlight w:val="none"/>
          <w:u w:val="single"/>
          <w14:textFill>
            <w14:solidFill>
              <w14:schemeClr w14:val="tx1"/>
            </w14:solidFill>
          </w14:textFill>
        </w:rPr>
        <w:t>无</w:t>
      </w:r>
      <w:r>
        <w:rPr>
          <w:rFonts w:hint="eastAsia" w:ascii="宋体" w:hAnsi="宋体" w:eastAsia="宋体" w:cs="宋体"/>
          <w:color w:val="000000" w:themeColor="text1"/>
          <w:kern w:val="0"/>
          <w:szCs w:val="21"/>
          <w:highlight w:val="none"/>
          <w14:textFill>
            <w14:solidFill>
              <w14:schemeClr w14:val="tx1"/>
            </w14:solidFill>
          </w14:textFill>
        </w:rPr>
        <w:t>。</w:t>
      </w:r>
    </w:p>
    <w:p w14:paraId="1682038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1.4.3发包人对工程的技术标准和功能要求的特殊要求：</w:t>
      </w:r>
      <w:r>
        <w:rPr>
          <w:rFonts w:hint="eastAsia" w:ascii="宋体" w:hAnsi="宋体" w:eastAsia="宋体" w:cs="宋体"/>
          <w:color w:val="000000" w:themeColor="text1"/>
          <w:szCs w:val="21"/>
          <w:highlight w:val="none"/>
          <w:u w:val="single"/>
          <w14:textFill>
            <w14:solidFill>
              <w14:schemeClr w14:val="tx1"/>
            </w14:solidFill>
          </w14:textFill>
        </w:rPr>
        <w:t>无</w:t>
      </w:r>
      <w:r>
        <w:rPr>
          <w:rFonts w:hint="eastAsia" w:ascii="宋体" w:hAnsi="宋体" w:eastAsia="宋体" w:cs="宋体"/>
          <w:color w:val="000000" w:themeColor="text1"/>
          <w:szCs w:val="21"/>
          <w:highlight w:val="none"/>
          <w14:textFill>
            <w14:solidFill>
              <w14:schemeClr w14:val="tx1"/>
            </w14:solidFill>
          </w14:textFill>
        </w:rPr>
        <w:t>。</w:t>
      </w:r>
    </w:p>
    <w:p w14:paraId="22800EB7">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1" w:name="_Toc533863448"/>
      <w:r>
        <w:rPr>
          <w:rFonts w:hint="eastAsia" w:ascii="宋体" w:hAnsi="宋体" w:eastAsia="宋体" w:cs="宋体"/>
          <w:b/>
          <w:bCs/>
          <w:color w:val="000000" w:themeColor="text1"/>
          <w:szCs w:val="21"/>
          <w:highlight w:val="none"/>
          <w14:textFill>
            <w14:solidFill>
              <w14:schemeClr w14:val="tx1"/>
            </w14:solidFill>
          </w14:textFill>
        </w:rPr>
        <w:t>1.5 合同文件的优先顺序</w:t>
      </w:r>
      <w:bookmarkEnd w:id="711"/>
    </w:p>
    <w:p w14:paraId="7252E942">
      <w:pPr>
        <w:spacing w:line="360" w:lineRule="auto"/>
        <w:ind w:firstLine="600" w:firstLineChars="200"/>
        <w:rPr>
          <w:rFonts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合同文件组成及优先顺序为：</w:t>
      </w:r>
    </w:p>
    <w:p w14:paraId="5D37A69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（1）合同协议书；</w:t>
      </w:r>
    </w:p>
    <w:p w14:paraId="1D3B1BAE">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（2）中标（成交）通知书（如果有）；</w:t>
      </w:r>
    </w:p>
    <w:p w14:paraId="5BF837B9">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（3）响应（投标）函及其附录（如果有）；</w:t>
      </w:r>
    </w:p>
    <w:p w14:paraId="0FD3A2F3">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（4）专用合同条款及其附件；</w:t>
      </w:r>
    </w:p>
    <w:p w14:paraId="530BE5C2">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（5）通用合同条款；</w:t>
      </w:r>
    </w:p>
    <w:p w14:paraId="249D2F1D">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w:t>
      </w:r>
      <w:r>
        <w:rPr>
          <w:rFonts w:hint="eastAsia" w:ascii="宋体" w:hAnsi="宋体" w:eastAsia="宋体" w:cs="宋体"/>
          <w:color w:val="000000" w:themeColor="text1"/>
          <w:kern w:val="0"/>
          <w:szCs w:val="21"/>
          <w:highlight w:val="none"/>
          <w:u w:val="single"/>
          <w14:textFill>
            <w14:solidFill>
              <w14:schemeClr w14:val="tx1"/>
            </w14:solidFill>
          </w14:textFill>
        </w:rPr>
        <w:t>技术标准和要求</w:t>
      </w:r>
      <w:r>
        <w:rPr>
          <w:rFonts w:hint="eastAsia" w:ascii="宋体" w:hAnsi="宋体" w:eastAsia="宋体" w:cs="宋体"/>
          <w:color w:val="000000" w:themeColor="text1"/>
          <w:kern w:val="0"/>
          <w:szCs w:val="21"/>
          <w:highlight w:val="none"/>
          <w14:textFill>
            <w14:solidFill>
              <w14:schemeClr w14:val="tx1"/>
            </w14:solidFill>
          </w14:textFill>
        </w:rPr>
        <w:t>；</w:t>
      </w:r>
    </w:p>
    <w:p w14:paraId="483486E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u w:val="single"/>
          <w14:textFill>
            <w14:solidFill>
              <w14:schemeClr w14:val="tx1"/>
            </w14:solidFill>
          </w14:textFill>
        </w:rPr>
        <w:t>图纸</w:t>
      </w:r>
      <w:r>
        <w:rPr>
          <w:rFonts w:hint="eastAsia" w:ascii="宋体" w:hAnsi="宋体" w:eastAsia="宋体" w:cs="宋体"/>
          <w:color w:val="000000" w:themeColor="text1"/>
          <w:kern w:val="0"/>
          <w:szCs w:val="21"/>
          <w:highlight w:val="none"/>
          <w14:textFill>
            <w14:solidFill>
              <w14:schemeClr w14:val="tx1"/>
            </w14:solidFill>
          </w14:textFill>
        </w:rPr>
        <w:t>；</w:t>
      </w:r>
    </w:p>
    <w:p w14:paraId="79767D5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w:t>
      </w:r>
      <w:r>
        <w:rPr>
          <w:rFonts w:hint="eastAsia" w:ascii="宋体" w:hAnsi="宋体" w:eastAsia="宋体" w:cs="宋体"/>
          <w:color w:val="000000" w:themeColor="text1"/>
          <w:kern w:val="0"/>
          <w:szCs w:val="21"/>
          <w:highlight w:val="none"/>
          <w:u w:val="single"/>
          <w14:textFill>
            <w14:solidFill>
              <w14:schemeClr w14:val="tx1"/>
            </w14:solidFill>
          </w14:textFill>
        </w:rPr>
        <w:t>已标价工程量清单或预算书</w:t>
      </w:r>
      <w:r>
        <w:rPr>
          <w:rFonts w:hint="eastAsia" w:ascii="宋体" w:hAnsi="宋体" w:eastAsia="宋体" w:cs="宋体"/>
          <w:color w:val="000000" w:themeColor="text1"/>
          <w:kern w:val="0"/>
          <w:szCs w:val="21"/>
          <w:highlight w:val="none"/>
          <w14:textFill>
            <w14:solidFill>
              <w14:schemeClr w14:val="tx1"/>
            </w14:solidFill>
          </w14:textFill>
        </w:rPr>
        <w:t>；</w:t>
      </w:r>
    </w:p>
    <w:p w14:paraId="179D3863">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w:t>
      </w:r>
      <w:r>
        <w:rPr>
          <w:rFonts w:hint="eastAsia" w:ascii="宋体" w:hAnsi="宋体" w:eastAsia="宋体" w:cs="宋体"/>
          <w:color w:val="000000" w:themeColor="text1"/>
          <w:kern w:val="0"/>
          <w:szCs w:val="21"/>
          <w:highlight w:val="none"/>
          <w:u w:val="single"/>
          <w14:textFill>
            <w14:solidFill>
              <w14:schemeClr w14:val="tx1"/>
            </w14:solidFill>
          </w14:textFill>
        </w:rPr>
        <w:t>其他合同文件</w:t>
      </w:r>
      <w:r>
        <w:rPr>
          <w:rFonts w:hint="eastAsia" w:ascii="宋体" w:hAnsi="宋体" w:eastAsia="宋体" w:cs="宋体"/>
          <w:color w:val="000000" w:themeColor="text1"/>
          <w:kern w:val="0"/>
          <w:szCs w:val="21"/>
          <w:highlight w:val="none"/>
          <w14:textFill>
            <w14:solidFill>
              <w14:schemeClr w14:val="tx1"/>
            </w14:solidFill>
          </w14:textFill>
        </w:rPr>
        <w:t>。</w:t>
      </w:r>
    </w:p>
    <w:p w14:paraId="59A94ED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（10）《建设工程工程量计算规范》广西壮族自治区实施细则（G B50854 ～50862-2013）、《自治区住房城乡建设关于调整建设工程定额人工费及有关费率的通知》（桂建标〔2023〕7号）、《自治区住房城乡建设厅关于调整建设工程计价增值税税率的通知》(桂建标［2019］12 号)等。</w:t>
      </w:r>
    </w:p>
    <w:p w14:paraId="39BD8569">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说明：（6）、（7）、（8）、（9）填空内容分别限于技术标准和要求、图纸、已标价工程量清单或预算书、其他合同文件四者之一，其优先顺序可根据采取的不同合同方式由双方约定。</w:t>
      </w:r>
    </w:p>
    <w:p w14:paraId="64E0DAB7">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 图纸和承包人文件</w:t>
      </w:r>
      <w:r>
        <w:rPr>
          <w:rFonts w:hint="eastAsia" w:ascii="宋体" w:hAnsi="宋体" w:eastAsia="宋体" w:cs="宋体"/>
          <w:b/>
          <w:color w:val="000000" w:themeColor="text1"/>
          <w:szCs w:val="21"/>
          <w:highlight w:val="none"/>
          <w14:textFill>
            <w14:solidFill>
              <w14:schemeClr w14:val="tx1"/>
            </w14:solidFill>
          </w14:textFill>
        </w:rPr>
        <w:tab/>
      </w:r>
    </w:p>
    <w:p w14:paraId="6A9FF35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 图纸的提供</w:t>
      </w:r>
    </w:p>
    <w:p w14:paraId="7C49D67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发包人向承包人提供图纸的期限：</w:t>
      </w:r>
      <w:r>
        <w:rPr>
          <w:rFonts w:hint="eastAsia" w:ascii="宋体" w:hAnsi="宋体" w:eastAsia="宋体" w:cs="宋体"/>
          <w:color w:val="000000" w:themeColor="text1"/>
          <w:szCs w:val="21"/>
          <w:highlight w:val="none"/>
          <w:u w:val="single"/>
          <w14:textFill>
            <w14:solidFill>
              <w14:schemeClr w14:val="tx1"/>
            </w14:solidFill>
          </w14:textFill>
        </w:rPr>
        <w:t>合同生效后15天内</w:t>
      </w:r>
      <w:r>
        <w:rPr>
          <w:rFonts w:hint="eastAsia" w:ascii="宋体" w:hAnsi="宋体" w:eastAsia="宋体" w:cs="宋体"/>
          <w:color w:val="000000" w:themeColor="text1"/>
          <w:szCs w:val="21"/>
          <w:highlight w:val="none"/>
          <w14:textFill>
            <w14:solidFill>
              <w14:schemeClr w14:val="tx1"/>
            </w14:solidFill>
          </w14:textFill>
        </w:rPr>
        <w:t>；</w:t>
      </w:r>
    </w:p>
    <w:p w14:paraId="133D158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发包人向承包人提供图纸的数量：</w:t>
      </w:r>
      <w:r>
        <w:rPr>
          <w:rFonts w:hint="eastAsia" w:ascii="宋体" w:hAnsi="宋体" w:eastAsia="宋体" w:cs="宋体"/>
          <w:color w:val="000000" w:themeColor="text1"/>
          <w:szCs w:val="21"/>
          <w:highlight w:val="none"/>
          <w:u w:val="single"/>
          <w14:textFill>
            <w14:solidFill>
              <w14:schemeClr w14:val="tx1"/>
            </w14:solidFill>
          </w14:textFill>
        </w:rPr>
        <w:t>一式肆份全套图纸，承包人需要增加图纸套数的，自行复制，复制费用由承包人承担</w:t>
      </w:r>
      <w:r>
        <w:rPr>
          <w:rFonts w:hint="eastAsia" w:ascii="宋体" w:hAnsi="宋体" w:eastAsia="宋体" w:cs="宋体"/>
          <w:color w:val="000000" w:themeColor="text1"/>
          <w:szCs w:val="21"/>
          <w:highlight w:val="none"/>
          <w14:textFill>
            <w14:solidFill>
              <w14:schemeClr w14:val="tx1"/>
            </w14:solidFill>
          </w14:textFill>
        </w:rPr>
        <w:t>；</w:t>
      </w:r>
    </w:p>
    <w:p w14:paraId="5E84C67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发包人向承包人提供图纸的内容：</w:t>
      </w:r>
      <w:r>
        <w:rPr>
          <w:rFonts w:hint="eastAsia" w:ascii="宋体" w:hAnsi="宋体" w:eastAsia="宋体" w:cs="宋体"/>
          <w:color w:val="000000" w:themeColor="text1"/>
          <w:szCs w:val="21"/>
          <w:highlight w:val="none"/>
          <w:u w:val="single"/>
          <w14:textFill>
            <w14:solidFill>
              <w14:schemeClr w14:val="tx1"/>
            </w14:solidFill>
          </w14:textFill>
        </w:rPr>
        <w:t>按通条款执行</w:t>
      </w:r>
      <w:r>
        <w:rPr>
          <w:rFonts w:hint="eastAsia" w:ascii="宋体" w:hAnsi="宋体" w:eastAsia="宋体" w:cs="宋体"/>
          <w:color w:val="000000" w:themeColor="text1"/>
          <w:szCs w:val="21"/>
          <w:highlight w:val="none"/>
          <w14:textFill>
            <w14:solidFill>
              <w14:schemeClr w14:val="tx1"/>
            </w14:solidFill>
          </w14:textFill>
        </w:rPr>
        <w:t>。</w:t>
      </w:r>
    </w:p>
    <w:p w14:paraId="5A37CA7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1.6.4 承包人文件</w:t>
      </w:r>
    </w:p>
    <w:p w14:paraId="30674A5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需要由承包人提供的文件，包括：</w:t>
      </w:r>
      <w:r>
        <w:rPr>
          <w:rFonts w:hint="eastAsia" w:ascii="宋体" w:hAnsi="宋体" w:eastAsia="宋体" w:cs="宋体"/>
          <w:color w:val="000000" w:themeColor="text1"/>
          <w:szCs w:val="21"/>
          <w:highlight w:val="none"/>
          <w:u w:val="single"/>
          <w14:textFill>
            <w14:solidFill>
              <w14:schemeClr w14:val="tx1"/>
            </w14:solidFill>
          </w14:textFill>
        </w:rPr>
        <w:t>施工组织设计、进度计划书</w:t>
      </w:r>
      <w:r>
        <w:rPr>
          <w:rFonts w:hint="eastAsia" w:ascii="宋体" w:hAnsi="宋体" w:eastAsia="宋体" w:cs="宋体"/>
          <w:color w:val="000000" w:themeColor="text1"/>
          <w:szCs w:val="21"/>
          <w:highlight w:val="none"/>
          <w14:textFill>
            <w14:solidFill>
              <w14:schemeClr w14:val="tx1"/>
            </w14:solidFill>
          </w14:textFill>
        </w:rPr>
        <w:t>；</w:t>
      </w:r>
    </w:p>
    <w:p w14:paraId="34F2514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承包人提供的文件的期限为：</w:t>
      </w:r>
      <w:r>
        <w:rPr>
          <w:rFonts w:hint="eastAsia" w:ascii="宋体" w:hAnsi="宋体" w:eastAsia="宋体" w:cs="宋体"/>
          <w:color w:val="000000" w:themeColor="text1"/>
          <w:szCs w:val="21"/>
          <w:highlight w:val="none"/>
          <w:u w:val="single"/>
          <w14:textFill>
            <w14:solidFill>
              <w14:schemeClr w14:val="tx1"/>
            </w14:solidFill>
          </w14:textFill>
        </w:rPr>
        <w:t>构件开始施工前14天内</w:t>
      </w:r>
      <w:r>
        <w:rPr>
          <w:rFonts w:hint="eastAsia" w:ascii="宋体" w:hAnsi="宋体" w:eastAsia="宋体" w:cs="宋体"/>
          <w:color w:val="000000" w:themeColor="text1"/>
          <w:szCs w:val="21"/>
          <w:highlight w:val="none"/>
          <w14:textFill>
            <w14:solidFill>
              <w14:schemeClr w14:val="tx1"/>
            </w14:solidFill>
          </w14:textFill>
        </w:rPr>
        <w:t>；</w:t>
      </w:r>
    </w:p>
    <w:p w14:paraId="7A83D9F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承包人提供的文件的数量为：</w:t>
      </w:r>
      <w:r>
        <w:rPr>
          <w:rFonts w:hint="eastAsia" w:ascii="宋体" w:hAnsi="宋体" w:eastAsia="宋体" w:cs="宋体"/>
          <w:color w:val="000000" w:themeColor="text1"/>
          <w:szCs w:val="21"/>
          <w:highlight w:val="none"/>
          <w:u w:val="single"/>
          <w14:textFill>
            <w14:solidFill>
              <w14:schemeClr w14:val="tx1"/>
            </w14:solidFill>
          </w14:textFill>
        </w:rPr>
        <w:t xml:space="preserve">  3份  </w:t>
      </w:r>
      <w:r>
        <w:rPr>
          <w:rFonts w:hint="eastAsia" w:ascii="宋体" w:hAnsi="宋体" w:eastAsia="宋体" w:cs="宋体"/>
          <w:color w:val="000000" w:themeColor="text1"/>
          <w:szCs w:val="21"/>
          <w:highlight w:val="none"/>
          <w14:textFill>
            <w14:solidFill>
              <w14:schemeClr w14:val="tx1"/>
            </w14:solidFill>
          </w14:textFill>
        </w:rPr>
        <w:t>；</w:t>
      </w:r>
    </w:p>
    <w:p w14:paraId="77EAD20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承包人提供的文件的形式为：</w:t>
      </w:r>
      <w:r>
        <w:rPr>
          <w:rFonts w:hint="eastAsia" w:ascii="宋体" w:hAnsi="宋体" w:eastAsia="宋体" w:cs="宋体"/>
          <w:color w:val="000000" w:themeColor="text1"/>
          <w:szCs w:val="21"/>
          <w:highlight w:val="none"/>
          <w:u w:val="single"/>
          <w14:textFill>
            <w14:solidFill>
              <w14:schemeClr w14:val="tx1"/>
            </w14:solidFill>
          </w14:textFill>
        </w:rPr>
        <w:t>书面形式</w:t>
      </w:r>
      <w:r>
        <w:rPr>
          <w:rFonts w:hint="eastAsia" w:ascii="宋体" w:hAnsi="宋体" w:eastAsia="宋体" w:cs="宋体"/>
          <w:color w:val="000000" w:themeColor="text1"/>
          <w:szCs w:val="21"/>
          <w:highlight w:val="none"/>
          <w14:textFill>
            <w14:solidFill>
              <w14:schemeClr w14:val="tx1"/>
            </w14:solidFill>
          </w14:textFill>
        </w:rPr>
        <w:t>；</w:t>
      </w:r>
    </w:p>
    <w:p w14:paraId="12E99D4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发包人审批承包人文件的期限：</w:t>
      </w:r>
      <w:r>
        <w:rPr>
          <w:rFonts w:hint="eastAsia" w:ascii="宋体" w:hAnsi="宋体" w:eastAsia="宋体" w:cs="宋体"/>
          <w:color w:val="000000" w:themeColor="text1"/>
          <w:szCs w:val="21"/>
          <w:highlight w:val="none"/>
          <w:u w:val="single"/>
          <w14:textFill>
            <w14:solidFill>
              <w14:schemeClr w14:val="tx1"/>
            </w14:solidFill>
          </w14:textFill>
        </w:rPr>
        <w:t>收到文件后7天内</w:t>
      </w:r>
      <w:r>
        <w:rPr>
          <w:rFonts w:hint="eastAsia" w:ascii="宋体" w:hAnsi="宋体" w:eastAsia="宋体" w:cs="宋体"/>
          <w:color w:val="000000" w:themeColor="text1"/>
          <w:szCs w:val="21"/>
          <w:highlight w:val="none"/>
          <w14:textFill>
            <w14:solidFill>
              <w14:schemeClr w14:val="tx1"/>
            </w14:solidFill>
          </w14:textFill>
        </w:rPr>
        <w:t>。</w:t>
      </w:r>
    </w:p>
    <w:p w14:paraId="423556C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1.6.5 现场图纸准备</w:t>
      </w:r>
    </w:p>
    <w:p w14:paraId="5FC81E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关于现场图纸准备的约定：</w:t>
      </w:r>
      <w:r>
        <w:rPr>
          <w:rFonts w:hint="eastAsia" w:ascii="宋体" w:hAnsi="宋体" w:eastAsia="宋体" w:cs="宋体"/>
          <w:color w:val="000000" w:themeColor="text1"/>
          <w:szCs w:val="21"/>
          <w:highlight w:val="none"/>
          <w:u w:val="single"/>
          <w14:textFill>
            <w14:solidFill>
              <w14:schemeClr w14:val="tx1"/>
            </w14:solidFill>
          </w14:textFill>
        </w:rPr>
        <w:t>承包人应在施工现场另外保存一套完整的图纸和承包人文件，供发包人、监理人及有关人员进行工程检查时使用。</w:t>
      </w:r>
    </w:p>
    <w:p w14:paraId="56A1B2CA">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 </w:t>
      </w:r>
      <w:bookmarkStart w:id="712" w:name="_Toc533863449"/>
      <w:r>
        <w:rPr>
          <w:rFonts w:hint="eastAsia" w:ascii="宋体" w:hAnsi="宋体" w:eastAsia="宋体" w:cs="宋体"/>
          <w:b/>
          <w:bCs/>
          <w:color w:val="000000" w:themeColor="text1"/>
          <w:szCs w:val="21"/>
          <w:highlight w:val="none"/>
          <w14:textFill>
            <w14:solidFill>
              <w14:schemeClr w14:val="tx1"/>
            </w14:solidFill>
          </w14:textFill>
        </w:rPr>
        <w:t>1.7 联络</w:t>
      </w:r>
      <w:bookmarkEnd w:id="712"/>
    </w:p>
    <w:p w14:paraId="657138F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1.7.1发包人和承包人应当在</w:t>
      </w:r>
      <w:r>
        <w:rPr>
          <w:rFonts w:hint="eastAsia" w:ascii="宋体" w:hAnsi="宋体" w:eastAsia="宋体" w:cs="宋体"/>
          <w:color w:val="000000" w:themeColor="text1"/>
          <w:szCs w:val="21"/>
          <w:highlight w:val="none"/>
          <w:u w:val="single"/>
          <w14:textFill>
            <w14:solidFill>
              <w14:schemeClr w14:val="tx1"/>
            </w14:solidFill>
          </w14:textFill>
        </w:rPr>
        <w:t xml:space="preserve">7  </w:t>
      </w:r>
      <w:r>
        <w:rPr>
          <w:rFonts w:hint="eastAsia" w:ascii="宋体" w:hAnsi="宋体" w:eastAsia="宋体" w:cs="宋体"/>
          <w:color w:val="000000" w:themeColor="text1"/>
          <w:kern w:val="0"/>
          <w:szCs w:val="21"/>
          <w:highlight w:val="none"/>
          <w14:textFill>
            <w14:solidFill>
              <w14:schemeClr w14:val="tx1"/>
            </w14:solidFill>
          </w14:textFill>
        </w:rPr>
        <w:t>天内将与合同有关的通知、批准、证明、证书、指示、指令、要求、请求、同意、意见、确定和决定等书面函件送达对方当事人。</w:t>
      </w:r>
    </w:p>
    <w:p w14:paraId="731F0182">
      <w:pPr>
        <w:widowControl/>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1.7.2 发包人接收文件的地点：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4220AF64">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2246A68F">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4AD09A8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179490D5">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2D596893">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w:t>
      </w:r>
    </w:p>
    <w:p w14:paraId="5D9CDF19">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3" w:name="_Toc533863450"/>
      <w:r>
        <w:rPr>
          <w:rFonts w:hint="eastAsia" w:ascii="宋体" w:hAnsi="宋体" w:eastAsia="宋体" w:cs="宋体"/>
          <w:b/>
          <w:bCs/>
          <w:color w:val="000000" w:themeColor="text1"/>
          <w:szCs w:val="21"/>
          <w:highlight w:val="none"/>
          <w14:textFill>
            <w14:solidFill>
              <w14:schemeClr w14:val="tx1"/>
            </w14:solidFill>
          </w14:textFill>
        </w:rPr>
        <w:t>1.10 交通运输</w:t>
      </w:r>
      <w:bookmarkEnd w:id="713"/>
    </w:p>
    <w:p w14:paraId="09D5312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bookmarkStart w:id="714" w:name="_Toc303539100"/>
      <w:bookmarkStart w:id="715" w:name="_Toc312677986"/>
      <w:bookmarkStart w:id="716" w:name="_Toc304295521"/>
      <w:bookmarkStart w:id="717" w:name="_Toc300934943"/>
      <w:bookmarkStart w:id="718" w:name="_Toc318581155"/>
      <w:r>
        <w:rPr>
          <w:rFonts w:hint="eastAsia" w:ascii="宋体" w:hAnsi="宋体" w:eastAsia="宋体" w:cs="宋体"/>
          <w:color w:val="000000" w:themeColor="text1"/>
          <w:szCs w:val="21"/>
          <w:highlight w:val="none"/>
          <w14:textFill>
            <w14:solidFill>
              <w14:schemeClr w14:val="tx1"/>
            </w14:solidFill>
          </w14:textFill>
        </w:rPr>
        <w:t>.10.1 出入现场的权利</w:t>
      </w:r>
    </w:p>
    <w:p w14:paraId="66B9DF0D">
      <w:pPr>
        <w:widowControl/>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关于出入现场的权利的约定：</w:t>
      </w:r>
      <w:r>
        <w:rPr>
          <w:rFonts w:hint="eastAsia" w:ascii="宋体" w:hAnsi="宋体" w:eastAsia="宋体" w:cs="宋体"/>
          <w:color w:val="000000" w:themeColor="text1"/>
          <w:szCs w:val="21"/>
          <w:highlight w:val="none"/>
          <w:u w:val="single"/>
          <w14:textFill>
            <w14:solidFill>
              <w14:schemeClr w14:val="tx1"/>
            </w14:solidFill>
          </w14:textFill>
        </w:rPr>
        <w:t xml:space="preserve">按《通用合同条款》1.10.1条执行 </w:t>
      </w:r>
      <w:r>
        <w:rPr>
          <w:rFonts w:hint="eastAsia" w:ascii="宋体" w:hAnsi="宋体" w:eastAsia="宋体" w:cs="宋体"/>
          <w:color w:val="000000" w:themeColor="text1"/>
          <w:szCs w:val="21"/>
          <w:highlight w:val="none"/>
          <w14:textFill>
            <w14:solidFill>
              <w14:schemeClr w14:val="tx1"/>
            </w14:solidFill>
          </w14:textFill>
        </w:rPr>
        <w:t>。</w:t>
      </w:r>
    </w:p>
    <w:bookmarkEnd w:id="714"/>
    <w:bookmarkEnd w:id="715"/>
    <w:bookmarkEnd w:id="716"/>
    <w:bookmarkEnd w:id="717"/>
    <w:bookmarkEnd w:id="718"/>
    <w:p w14:paraId="4FB26C8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bookmarkStart w:id="719" w:name="_Toc312677987"/>
      <w:bookmarkStart w:id="720" w:name="_Toc300934944"/>
      <w:bookmarkStart w:id="721" w:name="_Toc318581156"/>
      <w:bookmarkStart w:id="722" w:name="_Toc304295522"/>
      <w:bookmarkStart w:id="723" w:name="_Toc303539101"/>
      <w:r>
        <w:rPr>
          <w:rFonts w:hint="eastAsia" w:ascii="宋体" w:hAnsi="宋体" w:eastAsia="宋体" w:cs="宋体"/>
          <w:color w:val="000000" w:themeColor="text1"/>
          <w:kern w:val="0"/>
          <w:szCs w:val="21"/>
          <w:highlight w:val="none"/>
          <w14:textFill>
            <w14:solidFill>
              <w14:schemeClr w14:val="tx1"/>
            </w14:solidFill>
          </w14:textFill>
        </w:rPr>
        <w:t>.10.3 场内交通</w:t>
      </w:r>
    </w:p>
    <w:p w14:paraId="5A300691">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关于场外交通和场内交通的边界的约定：</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施工边界50米以外为场外 </w:t>
      </w:r>
      <w:r>
        <w:rPr>
          <w:rFonts w:hint="eastAsia" w:ascii="宋体" w:hAnsi="宋体" w:eastAsia="宋体" w:cs="宋体"/>
          <w:color w:val="000000" w:themeColor="text1"/>
          <w:szCs w:val="21"/>
          <w:highlight w:val="none"/>
          <w14:textFill>
            <w14:solidFill>
              <w14:schemeClr w14:val="tx1"/>
            </w14:solidFill>
          </w14:textFill>
        </w:rPr>
        <w:t>。</w:t>
      </w:r>
    </w:p>
    <w:p w14:paraId="7F428A4E">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关于发包人向承包人免费提供满足工程施工需要的场内道路和交通设施的约定：</w:t>
      </w:r>
      <w:bookmarkEnd w:id="719"/>
      <w:bookmarkEnd w:id="720"/>
      <w:bookmarkEnd w:id="721"/>
      <w:bookmarkEnd w:id="722"/>
      <w:bookmarkEnd w:id="723"/>
      <w:bookmarkStart w:id="724" w:name="_Toc318581157"/>
      <w:r>
        <w:rPr>
          <w:rFonts w:hint="eastAsia" w:ascii="宋体" w:hAnsi="宋体" w:eastAsia="宋体" w:cs="宋体"/>
          <w:color w:val="000000" w:themeColor="text1"/>
          <w:szCs w:val="21"/>
          <w:highlight w:val="none"/>
          <w:u w:val="single"/>
          <w14:textFill>
            <w14:solidFill>
              <w14:schemeClr w14:val="tx1"/>
            </w14:solidFill>
          </w14:textFill>
        </w:rPr>
        <w:t>由承包人负责并承担相应费用</w:t>
      </w:r>
      <w:r>
        <w:rPr>
          <w:rFonts w:hint="eastAsia" w:ascii="宋体" w:hAnsi="宋体" w:eastAsia="宋体" w:cs="宋体"/>
          <w:color w:val="000000" w:themeColor="text1"/>
          <w:szCs w:val="21"/>
          <w:highlight w:val="none"/>
          <w14:textFill>
            <w14:solidFill>
              <w14:schemeClr w14:val="tx1"/>
            </w14:solidFill>
          </w14:textFill>
        </w:rPr>
        <w:t>。</w:t>
      </w:r>
    </w:p>
    <w:p w14:paraId="6F67722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1.10.4超大件和超重件的运输</w:t>
      </w:r>
    </w:p>
    <w:p w14:paraId="1C42534F">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ascii="宋体" w:hAnsi="宋体" w:eastAsia="宋体" w:cs="宋体"/>
          <w:color w:val="000000" w:themeColor="text1"/>
          <w:szCs w:val="21"/>
          <w:highlight w:val="none"/>
          <w:u w:val="single"/>
          <w14:textFill>
            <w14:solidFill>
              <w14:schemeClr w14:val="tx1"/>
            </w14:solidFill>
          </w14:textFill>
        </w:rPr>
        <w:t xml:space="preserve">承包人 </w:t>
      </w:r>
      <w:r>
        <w:rPr>
          <w:rFonts w:hint="eastAsia" w:ascii="宋体" w:hAnsi="宋体" w:eastAsia="宋体" w:cs="宋体"/>
          <w:color w:val="000000" w:themeColor="text1"/>
          <w:szCs w:val="21"/>
          <w:highlight w:val="none"/>
          <w14:textFill>
            <w14:solidFill>
              <w14:schemeClr w14:val="tx1"/>
            </w14:solidFill>
          </w14:textFill>
        </w:rPr>
        <w:t>承担。</w:t>
      </w:r>
    </w:p>
    <w:bookmarkEnd w:id="724"/>
    <w:p w14:paraId="6158833B">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25" w:name="_Toc533863451"/>
      <w:r>
        <w:rPr>
          <w:rFonts w:hint="eastAsia" w:ascii="宋体" w:hAnsi="宋体" w:eastAsia="宋体" w:cs="宋体"/>
          <w:b/>
          <w:bCs/>
          <w:color w:val="000000" w:themeColor="text1"/>
          <w:szCs w:val="21"/>
          <w:highlight w:val="none"/>
          <w14:textFill>
            <w14:solidFill>
              <w14:schemeClr w14:val="tx1"/>
            </w14:solidFill>
          </w14:textFill>
        </w:rPr>
        <w:t>1.11 知识产权</w:t>
      </w:r>
      <w:bookmarkEnd w:id="725"/>
    </w:p>
    <w:p w14:paraId="54D8FF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themeColor="text1"/>
          <w:szCs w:val="21"/>
          <w:highlight w:val="none"/>
          <w:u w:val="single"/>
          <w14:textFill>
            <w14:solidFill>
              <w14:schemeClr w14:val="tx1"/>
            </w14:solidFill>
          </w14:textFill>
        </w:rPr>
        <w:t>按《通用合同条款》1.11.1条执行</w:t>
      </w:r>
      <w:r>
        <w:rPr>
          <w:rFonts w:hint="eastAsia" w:ascii="宋体" w:hAnsi="宋体" w:eastAsia="宋体" w:cs="宋体"/>
          <w:color w:val="000000" w:themeColor="text1"/>
          <w:szCs w:val="21"/>
          <w:highlight w:val="none"/>
          <w14:textFill>
            <w14:solidFill>
              <w14:schemeClr w14:val="tx1"/>
            </w14:solidFill>
          </w14:textFill>
        </w:rPr>
        <w:t>。</w:t>
      </w:r>
    </w:p>
    <w:p w14:paraId="79F38925">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关于发包人提供的上述文件的使用限制的要求：</w:t>
      </w:r>
      <w:r>
        <w:rPr>
          <w:rFonts w:hint="eastAsia" w:ascii="宋体" w:hAnsi="宋体" w:eastAsia="宋体" w:cs="宋体"/>
          <w:color w:val="000000" w:themeColor="text1"/>
          <w:szCs w:val="21"/>
          <w:highlight w:val="none"/>
          <w:u w:val="single"/>
          <w14:textFill>
            <w14:solidFill>
              <w14:schemeClr w14:val="tx1"/>
            </w14:solidFill>
          </w14:textFill>
        </w:rPr>
        <w:t>按《通用合同条款》1.11.1条执行</w:t>
      </w:r>
      <w:r>
        <w:rPr>
          <w:rFonts w:hint="eastAsia" w:ascii="宋体" w:hAnsi="宋体" w:eastAsia="宋体" w:cs="宋体"/>
          <w:color w:val="000000" w:themeColor="text1"/>
          <w:szCs w:val="21"/>
          <w:highlight w:val="none"/>
          <w14:textFill>
            <w14:solidFill>
              <w14:schemeClr w14:val="tx1"/>
            </w14:solidFill>
          </w14:textFill>
        </w:rPr>
        <w:t>。</w:t>
      </w:r>
    </w:p>
    <w:p w14:paraId="12F1CB4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1.11.2 关于承包人为实施工程所编制文件的著作权的归属：</w:t>
      </w:r>
      <w:r>
        <w:rPr>
          <w:rFonts w:hint="eastAsia" w:ascii="宋体" w:hAnsi="宋体" w:eastAsia="宋体" w:cs="宋体"/>
          <w:color w:val="000000" w:themeColor="text1"/>
          <w:szCs w:val="21"/>
          <w:highlight w:val="none"/>
          <w:u w:val="single"/>
          <w14:textFill>
            <w14:solidFill>
              <w14:schemeClr w14:val="tx1"/>
            </w14:solidFill>
          </w14:textFill>
        </w:rPr>
        <w:t>按《通用合同条款》1.11.2条执行。</w:t>
      </w:r>
    </w:p>
    <w:p w14:paraId="575ACC36">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关于承包人提供的上述文件的使用限制的要求：</w:t>
      </w:r>
      <w:r>
        <w:rPr>
          <w:rFonts w:hint="eastAsia" w:ascii="宋体" w:hAnsi="宋体" w:eastAsia="宋体" w:cs="宋体"/>
          <w:color w:val="000000" w:themeColor="text1"/>
          <w:szCs w:val="21"/>
          <w:highlight w:val="none"/>
          <w:u w:val="single"/>
          <w14:textFill>
            <w14:solidFill>
              <w14:schemeClr w14:val="tx1"/>
            </w14:solidFill>
          </w14:textFill>
        </w:rPr>
        <w:t>按《通用合同条款》1.11.2条执行。</w:t>
      </w:r>
    </w:p>
    <w:p w14:paraId="77DD8FCA">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1.11.4 承包人在施工过程中所采用的专利、专有技术、技术秘密的使用费的承担方式：</w:t>
      </w:r>
      <w:r>
        <w:rPr>
          <w:rFonts w:hint="eastAsia" w:ascii="宋体" w:hAnsi="宋体" w:eastAsia="宋体" w:cs="宋体"/>
          <w:color w:val="000000" w:themeColor="text1"/>
          <w:szCs w:val="21"/>
          <w:highlight w:val="none"/>
          <w:u w:val="single"/>
          <w14:textFill>
            <w14:solidFill>
              <w14:schemeClr w14:val="tx1"/>
            </w14:solidFill>
          </w14:textFill>
        </w:rPr>
        <w:t>承包人在合同签订前和签订时已确定采用的专利、专有技术、技术秘密的使用费已包含在签约合同价中。</w:t>
      </w:r>
    </w:p>
    <w:p w14:paraId="0C18A61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1.13工程量清单错误的修正</w:t>
      </w:r>
    </w:p>
    <w:p w14:paraId="707A253E">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r>
        <w:rPr>
          <w:rFonts w:hint="eastAsia" w:ascii="宋体" w:hAnsi="宋体" w:eastAsia="宋体" w:cs="Times New Roman"/>
          <w:b/>
          <w:color w:val="000000" w:themeColor="text1"/>
          <w:szCs w:val="21"/>
          <w:highlight w:val="none"/>
          <w:u w:val="none"/>
          <w:lang w:eastAsia="zh-CN"/>
          <w14:textFill>
            <w14:solidFill>
              <w14:schemeClr w14:val="tx1"/>
            </w14:solidFill>
          </w14:textFill>
        </w:rPr>
        <w:t>出现工程量清单工程量偏差时，是否调整合同价格：</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不调整。</w:t>
      </w:r>
    </w:p>
    <w:p w14:paraId="76D20A7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允许调整合同价格的工程量偏差范围及其调整办法：</w:t>
      </w:r>
    </w:p>
    <w:p w14:paraId="257C0EFA">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bookmarkStart w:id="726" w:name="_Toc351203634"/>
      <w:r>
        <w:rPr>
          <w:rFonts w:hint="eastAsia" w:ascii="宋体" w:hAnsi="宋体" w:eastAsia="宋体" w:cs="Times New Roman"/>
          <w:b/>
          <w:color w:val="000000" w:themeColor="text1"/>
          <w:szCs w:val="21"/>
          <w:highlight w:val="none"/>
          <w:u w:val="single"/>
          <w:lang w:eastAsia="zh-CN"/>
          <w14:textFill>
            <w14:solidFill>
              <w14:schemeClr w14:val="tx1"/>
            </w14:solidFill>
          </w14:textFill>
        </w:rPr>
        <w:t>本工程采用固定综合单价合同，除设计变更和国家政策法规变化引起变化外，其它不作调整。</w:t>
      </w:r>
    </w:p>
    <w:p w14:paraId="6D6B0B39">
      <w:pPr>
        <w:rPr>
          <w:color w:val="000000" w:themeColor="text1"/>
          <w:highlight w:val="none"/>
          <w14:textFill>
            <w14:solidFill>
              <w14:schemeClr w14:val="tx1"/>
            </w14:solidFill>
          </w14:textFill>
        </w:rPr>
      </w:pPr>
    </w:p>
    <w:p w14:paraId="0B59DAD0">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27" w:name="_Toc29391"/>
      <w:bookmarkStart w:id="728" w:name="_Toc533863452"/>
      <w:r>
        <w:rPr>
          <w:rFonts w:ascii="宋体" w:hAnsi="宋体" w:eastAsia="宋体" w:cs="Times New Roman"/>
          <w:b/>
          <w:bCs/>
          <w:color w:val="000000" w:themeColor="text1"/>
          <w:szCs w:val="21"/>
          <w:highlight w:val="none"/>
          <w14:textFill>
            <w14:solidFill>
              <w14:schemeClr w14:val="tx1"/>
            </w14:solidFill>
          </w14:textFill>
        </w:rPr>
        <w:t>2</w:t>
      </w:r>
      <w:bookmarkStart w:id="729" w:name="_Toc296944496"/>
      <w:bookmarkStart w:id="730" w:name="_Toc292559867"/>
      <w:bookmarkStart w:id="731" w:name="_Toc296503157"/>
      <w:bookmarkStart w:id="732" w:name="_Toc292559362"/>
      <w:bookmarkStart w:id="733" w:name="_Toc296346658"/>
      <w:bookmarkStart w:id="734" w:name="_Toc296890985"/>
      <w:bookmarkStart w:id="735" w:name="_Toc297120457"/>
      <w:bookmarkStart w:id="736" w:name="_Toc297048343"/>
      <w:bookmarkStart w:id="737" w:name="_Toc296347156"/>
      <w:bookmarkStart w:id="738" w:name="_Toc296891197"/>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发包人</w:t>
      </w:r>
      <w:bookmarkEnd w:id="726"/>
      <w:bookmarkEnd w:id="727"/>
      <w:bookmarkEnd w:id="728"/>
    </w:p>
    <w:bookmarkEnd w:id="729"/>
    <w:bookmarkEnd w:id="730"/>
    <w:bookmarkEnd w:id="731"/>
    <w:bookmarkEnd w:id="732"/>
    <w:bookmarkEnd w:id="733"/>
    <w:bookmarkEnd w:id="734"/>
    <w:bookmarkEnd w:id="735"/>
    <w:bookmarkEnd w:id="736"/>
    <w:bookmarkEnd w:id="737"/>
    <w:bookmarkEnd w:id="738"/>
    <w:p w14:paraId="73E75E2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739" w:name="_Toc533863453"/>
      <w:r>
        <w:rPr>
          <w:rFonts w:ascii="宋体" w:hAnsi="宋体" w:eastAsia="宋体" w:cs="Times New Roman"/>
          <w:b/>
          <w:bCs/>
          <w:color w:val="000000" w:themeColor="text1"/>
          <w:szCs w:val="21"/>
          <w:highlight w:val="none"/>
          <w14:textFill>
            <w14:solidFill>
              <w14:schemeClr w14:val="tx1"/>
            </w14:solidFill>
          </w14:textFill>
        </w:rPr>
        <w:t xml:space="preserve">2.2 </w:t>
      </w:r>
      <w:r>
        <w:rPr>
          <w:rFonts w:hint="eastAsia" w:ascii="宋体" w:hAnsi="宋体" w:eastAsia="宋体" w:cs="Times New Roman"/>
          <w:b/>
          <w:bCs/>
          <w:color w:val="000000" w:themeColor="text1"/>
          <w:szCs w:val="21"/>
          <w:highlight w:val="none"/>
          <w14:textFill>
            <w14:solidFill>
              <w14:schemeClr w14:val="tx1"/>
            </w14:solidFill>
          </w14:textFill>
        </w:rPr>
        <w:t>发包人代表</w:t>
      </w:r>
      <w:bookmarkEnd w:id="739"/>
    </w:p>
    <w:p w14:paraId="4741B0E0">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发包人代表：</w:t>
      </w:r>
    </w:p>
    <w:p w14:paraId="00D637D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姓</w:t>
      </w:r>
      <w:r>
        <w:rPr>
          <w:rFonts w:ascii="宋体" w:hAnsi="宋体" w:eastAsia="宋体" w:cs="Times New Roman"/>
          <w:color w:val="000000" w:themeColor="text1"/>
          <w:szCs w:val="21"/>
          <w:highlight w:val="non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名：</w:t>
      </w:r>
      <w:r>
        <w:rPr>
          <w:rFonts w:ascii="宋体" w:hAnsi="宋体" w:eastAsia="宋体" w:cs="Times New Roman"/>
          <w:color w:val="000000" w:themeColor="text1"/>
          <w:szCs w:val="21"/>
          <w:highlight w:val="none"/>
          <w:u w:val="single"/>
          <w14:textFill>
            <w14:solidFill>
              <w14:schemeClr w14:val="tx1"/>
            </w14:solidFill>
          </w14:textFill>
        </w:rPr>
        <w:t>     </w:t>
      </w:r>
      <w:r>
        <w:rPr>
          <w:rFonts w:hint="eastAsia" w:ascii="宋体" w:hAnsi="宋体" w:eastAsia="宋体" w:cs="Times New Roman"/>
          <w:color w:val="000000" w:themeColor="text1"/>
          <w:szCs w:val="21"/>
          <w:highlight w:val="none"/>
          <w14:textFill>
            <w14:solidFill>
              <w14:schemeClr w14:val="tx1"/>
            </w14:solidFill>
          </w14:textFill>
        </w:rPr>
        <w:t>；</w:t>
      </w:r>
    </w:p>
    <w:p w14:paraId="175E6CC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身份证号：</w:t>
      </w:r>
      <w:r>
        <w:rPr>
          <w:rFonts w:ascii="宋体" w:hAnsi="宋体" w:eastAsia="宋体" w:cs="Times New Roman"/>
          <w:color w:val="000000" w:themeColor="text1"/>
          <w:szCs w:val="21"/>
          <w:highlight w:val="none"/>
          <w:u w:val="single"/>
          <w14:textFill>
            <w14:solidFill>
              <w14:schemeClr w14:val="tx1"/>
            </w14:solidFill>
          </w14:textFill>
        </w:rPr>
        <w:t>      </w:t>
      </w:r>
      <w:r>
        <w:rPr>
          <w:rFonts w:hint="eastAsia" w:ascii="宋体" w:hAnsi="宋体" w:eastAsia="宋体" w:cs="Times New Roman"/>
          <w:color w:val="000000" w:themeColor="text1"/>
          <w:szCs w:val="21"/>
          <w:highlight w:val="none"/>
          <w14:textFill>
            <w14:solidFill>
              <w14:schemeClr w14:val="tx1"/>
            </w14:solidFill>
          </w14:textFill>
        </w:rPr>
        <w:t>；</w:t>
      </w:r>
    </w:p>
    <w:p w14:paraId="0D484064">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职</w:t>
      </w:r>
      <w:r>
        <w:rPr>
          <w:rFonts w:ascii="宋体" w:hAnsi="宋体" w:eastAsia="宋体" w:cs="Times New Roman"/>
          <w:color w:val="000000" w:themeColor="text1"/>
          <w:szCs w:val="21"/>
          <w:highlight w:val="non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务：</w:t>
      </w:r>
      <w:r>
        <w:rPr>
          <w:rFonts w:ascii="宋体" w:hAnsi="宋体" w:eastAsia="宋体" w:cs="Times New Roman"/>
          <w:color w:val="000000" w:themeColor="text1"/>
          <w:szCs w:val="21"/>
          <w:highlight w:val="none"/>
          <w:u w:val="single"/>
          <w14:textFill>
            <w14:solidFill>
              <w14:schemeClr w14:val="tx1"/>
            </w14:solidFill>
          </w14:textFill>
        </w:rPr>
        <w:t>    </w:t>
      </w:r>
      <w:r>
        <w:rPr>
          <w:rFonts w:hint="eastAsia" w:ascii="宋体" w:hAnsi="宋体" w:eastAsia="宋体" w:cs="Times New Roman"/>
          <w:color w:val="000000" w:themeColor="text1"/>
          <w:szCs w:val="21"/>
          <w:highlight w:val="none"/>
          <w14:textFill>
            <w14:solidFill>
              <w14:schemeClr w14:val="tx1"/>
            </w14:solidFill>
          </w14:textFill>
        </w:rPr>
        <w:t>；</w:t>
      </w:r>
    </w:p>
    <w:p w14:paraId="5F12B5DE">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联系电话：</w:t>
      </w:r>
      <w:r>
        <w:rPr>
          <w:rFonts w:ascii="宋体" w:hAnsi="宋体" w:eastAsia="宋体" w:cs="Times New Roman"/>
          <w:color w:val="000000" w:themeColor="text1"/>
          <w:szCs w:val="21"/>
          <w:highlight w:val="none"/>
          <w:u w:val="single"/>
          <w14:textFill>
            <w14:solidFill>
              <w14:schemeClr w14:val="tx1"/>
            </w14:solidFill>
          </w14:textFill>
        </w:rPr>
        <w:t>     </w:t>
      </w:r>
      <w:r>
        <w:rPr>
          <w:rFonts w:hint="eastAsia" w:ascii="宋体" w:hAnsi="宋体" w:eastAsia="宋体" w:cs="Times New Roman"/>
          <w:color w:val="000000" w:themeColor="text1"/>
          <w:szCs w:val="21"/>
          <w:highlight w:val="none"/>
          <w14:textFill>
            <w14:solidFill>
              <w14:schemeClr w14:val="tx1"/>
            </w14:solidFill>
          </w14:textFill>
        </w:rPr>
        <w:t>；</w:t>
      </w:r>
    </w:p>
    <w:p w14:paraId="35E8A9D2">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电子信箱：</w:t>
      </w:r>
      <w:r>
        <w:rPr>
          <w:rFonts w:ascii="宋体" w:hAnsi="宋体" w:eastAsia="宋体" w:cs="Times New Roman"/>
          <w:color w:val="000000" w:themeColor="text1"/>
          <w:szCs w:val="21"/>
          <w:highlight w:val="none"/>
          <w:u w:val="single"/>
          <w14:textFill>
            <w14:solidFill>
              <w14:schemeClr w14:val="tx1"/>
            </w14:solidFill>
          </w14:textFill>
        </w:rPr>
        <w:t>     </w:t>
      </w:r>
      <w:r>
        <w:rPr>
          <w:rFonts w:hint="eastAsia" w:ascii="宋体" w:hAnsi="宋体" w:eastAsia="宋体" w:cs="Times New Roman"/>
          <w:color w:val="000000" w:themeColor="text1"/>
          <w:szCs w:val="21"/>
          <w:highlight w:val="none"/>
          <w14:textFill>
            <w14:solidFill>
              <w14:schemeClr w14:val="tx1"/>
            </w14:solidFill>
          </w14:textFill>
        </w:rPr>
        <w:t>；</w:t>
      </w:r>
    </w:p>
    <w:p w14:paraId="46D109C0">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通信地址：</w:t>
      </w:r>
      <w:r>
        <w:rPr>
          <w:rFonts w:ascii="宋体" w:hAnsi="宋体" w:eastAsia="宋体" w:cs="Times New Roman"/>
          <w:color w:val="000000" w:themeColor="text1"/>
          <w:szCs w:val="21"/>
          <w:highlight w:val="none"/>
          <w:u w:val="single"/>
          <w14:textFill>
            <w14:solidFill>
              <w14:schemeClr w14:val="tx1"/>
            </w14:solidFill>
          </w14:textFill>
        </w:rPr>
        <w:t>    </w:t>
      </w:r>
      <w:r>
        <w:rPr>
          <w:rFonts w:hint="eastAsia" w:ascii="宋体" w:hAnsi="宋体" w:eastAsia="宋体" w:cs="Times New Roman"/>
          <w:color w:val="000000" w:themeColor="text1"/>
          <w:szCs w:val="21"/>
          <w:highlight w:val="none"/>
          <w14:textFill>
            <w14:solidFill>
              <w14:schemeClr w14:val="tx1"/>
            </w14:solidFill>
          </w14:textFill>
        </w:rPr>
        <w:t>。</w:t>
      </w:r>
    </w:p>
    <w:p w14:paraId="42290BC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发包人对发包人代表的授权范围如下：</w:t>
      </w:r>
      <w:r>
        <w:rPr>
          <w:rFonts w:hint="eastAsia" w:ascii="宋体" w:hAnsi="宋体" w:eastAsia="宋体" w:cs="Calibri"/>
          <w:color w:val="000000" w:themeColor="text1"/>
          <w:kern w:val="0"/>
          <w:szCs w:val="21"/>
          <w:highlight w:val="none"/>
          <w:u w:val="single"/>
          <w14:textFill>
            <w14:solidFill>
              <w14:schemeClr w14:val="tx1"/>
            </w14:solidFill>
          </w14:textFill>
        </w:rPr>
        <w:t>发包人代表在授权范围内的行为由发包人承担法律责任。发包人更换发包人代表的，应提前7天书面通知承包人。发包人代表不能按照合同约定履行其职责及义务，并导致合同无法继续正常履行的，承包人可以要求发包人撤换发包人代表。</w:t>
      </w:r>
    </w:p>
    <w:p w14:paraId="57ACF514">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2.4 </w:t>
      </w:r>
      <w:r>
        <w:rPr>
          <w:rFonts w:hint="eastAsia" w:ascii="宋体" w:hAnsi="宋体" w:eastAsia="宋体" w:cs="Times New Roman"/>
          <w:b/>
          <w:color w:val="000000" w:themeColor="text1"/>
          <w:szCs w:val="21"/>
          <w:highlight w:val="none"/>
          <w14:textFill>
            <w14:solidFill>
              <w14:schemeClr w14:val="tx1"/>
            </w14:solidFill>
          </w14:textFill>
        </w:rPr>
        <w:t>施工现场、施工条件和基础资料的提供</w:t>
      </w:r>
    </w:p>
    <w:p w14:paraId="2512D81F">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2.4.1 </w:t>
      </w:r>
      <w:r>
        <w:rPr>
          <w:rFonts w:hint="eastAsia" w:ascii="宋体" w:hAnsi="宋体" w:eastAsia="宋体" w:cs="Times New Roman"/>
          <w:color w:val="000000" w:themeColor="text1"/>
          <w:szCs w:val="21"/>
          <w:highlight w:val="none"/>
          <w14:textFill>
            <w14:solidFill>
              <w14:schemeClr w14:val="tx1"/>
            </w14:solidFill>
          </w14:textFill>
        </w:rPr>
        <w:t>提供施工现场</w:t>
      </w:r>
    </w:p>
    <w:p w14:paraId="1163297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关于发包人移交施工现场的期限要求：</w:t>
      </w:r>
      <w:r>
        <w:rPr>
          <w:rFonts w:hint="eastAsia" w:ascii="宋体" w:hAnsi="宋体" w:eastAsia="宋体" w:cs="Calibri"/>
          <w:color w:val="000000" w:themeColor="text1"/>
          <w:szCs w:val="21"/>
          <w:highlight w:val="none"/>
          <w:u w:val="single"/>
          <w14:textFill>
            <w14:solidFill>
              <w14:schemeClr w14:val="tx1"/>
            </w14:solidFill>
          </w14:textFill>
        </w:rPr>
        <w:t xml:space="preserve">开工日期7天前移交 </w:t>
      </w:r>
      <w:r>
        <w:rPr>
          <w:rFonts w:hint="eastAsia" w:ascii="宋体" w:hAnsi="宋体" w:eastAsia="宋体" w:cs="Calibri"/>
          <w:color w:val="000000" w:themeColor="text1"/>
          <w:szCs w:val="21"/>
          <w:highlight w:val="none"/>
          <w14:textFill>
            <w14:solidFill>
              <w14:schemeClr w14:val="tx1"/>
            </w14:solidFill>
          </w14:textFill>
        </w:rPr>
        <w:t>。</w:t>
      </w:r>
    </w:p>
    <w:p w14:paraId="3C703276">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 2.4.2 </w:t>
      </w:r>
      <w:r>
        <w:rPr>
          <w:rFonts w:hint="eastAsia" w:ascii="宋体" w:hAnsi="宋体" w:eastAsia="宋体" w:cs="Times New Roman"/>
          <w:color w:val="000000" w:themeColor="text1"/>
          <w:szCs w:val="21"/>
          <w:highlight w:val="none"/>
          <w14:textFill>
            <w14:solidFill>
              <w14:schemeClr w14:val="tx1"/>
            </w14:solidFill>
          </w14:textFill>
        </w:rPr>
        <w:t>提供施工条件</w:t>
      </w:r>
    </w:p>
    <w:p w14:paraId="6142D798">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关于发包人应负责提供施工所需要的条件，包括：</w:t>
      </w:r>
      <w:r>
        <w:rPr>
          <w:rFonts w:hint="eastAsia" w:ascii="宋体" w:hAnsi="宋体" w:eastAsia="宋体" w:cs="Calibri"/>
          <w:color w:val="000000" w:themeColor="text1"/>
          <w:szCs w:val="21"/>
          <w:highlight w:val="none"/>
          <w:u w:val="single"/>
          <w14:textFill>
            <w14:solidFill>
              <w14:schemeClr w14:val="tx1"/>
            </w14:solidFill>
          </w14:textFill>
        </w:rPr>
        <w:t>发包人须完成土地征用、拆迁补偿；地下管线见现场地桩标志；水准点与坐标控制点现场交验；图纸会审和设计现场交底；现场处理邻近建筑物、构筑物、文物保护建筑、古树名木的保护工作；协调群众堵工事件。</w:t>
      </w:r>
    </w:p>
    <w:p w14:paraId="53F2338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 2.5 </w:t>
      </w:r>
      <w:r>
        <w:rPr>
          <w:rFonts w:hint="eastAsia" w:ascii="宋体" w:hAnsi="宋体" w:eastAsia="宋体" w:cs="Times New Roman"/>
          <w:color w:val="000000" w:themeColor="text1"/>
          <w:szCs w:val="21"/>
          <w:highlight w:val="none"/>
          <w14:textFill>
            <w14:solidFill>
              <w14:schemeClr w14:val="tx1"/>
            </w14:solidFill>
          </w14:textFill>
        </w:rPr>
        <w:t>资金来源证明及支付担保</w:t>
      </w:r>
    </w:p>
    <w:p w14:paraId="1B813BAC">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发包人提供资金来源证明的期限要求：</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无</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w:t>
      </w:r>
    </w:p>
    <w:p w14:paraId="162910EB">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发包人是否提供支付担保：</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否</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w:t>
      </w:r>
    </w:p>
    <w:p w14:paraId="756977B3">
      <w:pPr>
        <w:spacing w:line="360" w:lineRule="auto"/>
        <w:ind w:firstLine="420" w:firstLineChars="200"/>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发包人提供支付担保的形式：</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无</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w:t>
      </w:r>
    </w:p>
    <w:p w14:paraId="63910D34">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740" w:name="_Toc351203635"/>
      <w:bookmarkStart w:id="741" w:name="_Toc533863454"/>
      <w:bookmarkStart w:id="742" w:name="_Toc29423"/>
      <w:r>
        <w:rPr>
          <w:rFonts w:ascii="宋体" w:hAnsi="宋体" w:eastAsia="宋体" w:cs="Times New Roman"/>
          <w:b/>
          <w:bCs/>
          <w:color w:val="000000" w:themeColor="text1"/>
          <w:szCs w:val="21"/>
          <w:highlight w:val="none"/>
          <w14:textFill>
            <w14:solidFill>
              <w14:schemeClr w14:val="tx1"/>
            </w14:solidFill>
          </w14:textFill>
        </w:rPr>
        <w:t>3</w:t>
      </w:r>
      <w:bookmarkStart w:id="743" w:name="_Toc297120458"/>
      <w:bookmarkStart w:id="744" w:name="_Toc292559363"/>
      <w:bookmarkStart w:id="745" w:name="_Toc296347157"/>
      <w:bookmarkStart w:id="746" w:name="_Toc296891198"/>
      <w:bookmarkStart w:id="747" w:name="_Toc296503158"/>
      <w:bookmarkStart w:id="748" w:name="_Toc296346659"/>
      <w:bookmarkStart w:id="749" w:name="_Toc296944497"/>
      <w:bookmarkStart w:id="750" w:name="_Toc297048344"/>
      <w:bookmarkStart w:id="751" w:name="_Toc292559868"/>
      <w:bookmarkStart w:id="752" w:name="_Toc296890986"/>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承包人</w:t>
      </w:r>
      <w:bookmarkEnd w:id="740"/>
      <w:bookmarkEnd w:id="741"/>
      <w:bookmarkEnd w:id="742"/>
    </w:p>
    <w:bookmarkEnd w:id="743"/>
    <w:bookmarkEnd w:id="744"/>
    <w:bookmarkEnd w:id="745"/>
    <w:bookmarkEnd w:id="746"/>
    <w:bookmarkEnd w:id="747"/>
    <w:bookmarkEnd w:id="748"/>
    <w:bookmarkEnd w:id="749"/>
    <w:bookmarkEnd w:id="750"/>
    <w:bookmarkEnd w:id="751"/>
    <w:bookmarkEnd w:id="752"/>
    <w:p w14:paraId="76DF0C0B">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753" w:name="_Toc533863455"/>
      <w:r>
        <w:rPr>
          <w:rFonts w:ascii="宋体" w:hAnsi="宋体" w:eastAsia="宋体" w:cs="Times New Roman"/>
          <w:b/>
          <w:bCs/>
          <w:color w:val="000000" w:themeColor="text1"/>
          <w:szCs w:val="21"/>
          <w:highlight w:val="none"/>
          <w14:textFill>
            <w14:solidFill>
              <w14:schemeClr w14:val="tx1"/>
            </w14:solidFill>
          </w14:textFill>
        </w:rPr>
        <w:t xml:space="preserve">3.1 </w:t>
      </w:r>
      <w:r>
        <w:rPr>
          <w:rFonts w:hint="eastAsia" w:ascii="宋体" w:hAnsi="宋体" w:eastAsia="宋体" w:cs="Times New Roman"/>
          <w:b/>
          <w:bCs/>
          <w:color w:val="000000" w:themeColor="text1"/>
          <w:szCs w:val="21"/>
          <w:highlight w:val="none"/>
          <w14:textFill>
            <w14:solidFill>
              <w14:schemeClr w14:val="tx1"/>
            </w14:solidFill>
          </w14:textFill>
        </w:rPr>
        <w:t>承包人的一般义务</w:t>
      </w:r>
      <w:bookmarkEnd w:id="753"/>
    </w:p>
    <w:p w14:paraId="4E15672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（9）</w:t>
      </w:r>
      <w:r>
        <w:rPr>
          <w:rFonts w:hint="eastAsia" w:ascii="宋体" w:hAnsi="宋体" w:eastAsia="宋体" w:cs="Calibri"/>
          <w:color w:val="000000" w:themeColor="text1"/>
          <w:szCs w:val="21"/>
          <w:highlight w:val="none"/>
          <w14:textFill>
            <w14:solidFill>
              <w14:schemeClr w14:val="tx1"/>
            </w14:solidFill>
          </w14:textFill>
        </w:rPr>
        <w:t>承包人提交的竣工资料的内容：</w:t>
      </w:r>
    </w:p>
    <w:p w14:paraId="774D6E58">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当全部工程完工，准备竣工验收前，承包人应提供全套竣工资料</w:t>
      </w:r>
      <w:r>
        <w:rPr>
          <w:rFonts w:hint="eastAsia" w:ascii="宋体" w:hAnsi="宋体" w:eastAsia="宋体" w:cs="Calibri"/>
          <w:color w:val="000000" w:themeColor="text1"/>
          <w:szCs w:val="21"/>
          <w:highlight w:val="none"/>
          <w14:textFill>
            <w14:solidFill>
              <w14:schemeClr w14:val="tx1"/>
            </w14:solidFill>
          </w14:textFill>
        </w:rPr>
        <w:t>。</w:t>
      </w:r>
    </w:p>
    <w:p w14:paraId="129695EF">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承包人需要提交的竣工资料套数：</w:t>
      </w:r>
      <w:r>
        <w:rPr>
          <w:rFonts w:hint="eastAsia" w:ascii="宋体" w:hAnsi="宋体" w:eastAsia="宋体" w:cs="Calibri"/>
          <w:color w:val="000000" w:themeColor="text1"/>
          <w:szCs w:val="21"/>
          <w:highlight w:val="none"/>
          <w:u w:val="single"/>
          <w14:textFill>
            <w14:solidFill>
              <w14:schemeClr w14:val="tx1"/>
            </w14:solidFill>
          </w14:textFill>
        </w:rPr>
        <w:t>3套竣工图、3套竣工资料</w:t>
      </w:r>
      <w:r>
        <w:rPr>
          <w:rFonts w:hint="eastAsia" w:ascii="宋体" w:hAnsi="宋体" w:eastAsia="宋体" w:cs="Calibri"/>
          <w:color w:val="000000" w:themeColor="text1"/>
          <w:szCs w:val="21"/>
          <w:highlight w:val="none"/>
          <w14:textFill>
            <w14:solidFill>
              <w14:schemeClr w14:val="tx1"/>
            </w14:solidFill>
          </w14:textFill>
        </w:rPr>
        <w:t>。</w:t>
      </w:r>
    </w:p>
    <w:p w14:paraId="2194FE66">
      <w:pPr>
        <w:spacing w:line="360" w:lineRule="auto"/>
        <w:ind w:left="424" w:leftChars="202"/>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承包人提交的竣工资料的费用承担：</w:t>
      </w:r>
      <w:r>
        <w:rPr>
          <w:rFonts w:hint="eastAsia" w:ascii="宋体" w:hAnsi="宋体" w:eastAsia="宋体" w:cs="Calibri"/>
          <w:color w:val="000000" w:themeColor="text1"/>
          <w:szCs w:val="21"/>
          <w:highlight w:val="none"/>
          <w:u w:val="single"/>
          <w14:textFill>
            <w14:solidFill>
              <w14:schemeClr w14:val="tx1"/>
            </w14:solidFill>
          </w14:textFill>
        </w:rPr>
        <w:t>由承包人承担。</w:t>
      </w:r>
    </w:p>
    <w:p w14:paraId="0FD270F7">
      <w:pPr>
        <w:spacing w:line="360" w:lineRule="auto"/>
        <w:ind w:left="424" w:leftChars="202"/>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承包人提交的竣工资料移交时间：</w:t>
      </w:r>
      <w:r>
        <w:rPr>
          <w:rFonts w:hint="eastAsia" w:ascii="宋体" w:hAnsi="宋体" w:eastAsia="宋体" w:cs="Calibri"/>
          <w:color w:val="000000" w:themeColor="text1"/>
          <w:szCs w:val="21"/>
          <w:highlight w:val="none"/>
          <w:u w:val="single"/>
          <w14:textFill>
            <w14:solidFill>
              <w14:schemeClr w14:val="tx1"/>
            </w14:solidFill>
          </w14:textFill>
        </w:rPr>
        <w:t>竣工验收合格后28天内</w:t>
      </w:r>
      <w:r>
        <w:rPr>
          <w:rFonts w:hint="eastAsia" w:ascii="宋体" w:hAnsi="宋体" w:eastAsia="宋体" w:cs="Calibri"/>
          <w:color w:val="000000" w:themeColor="text1"/>
          <w:szCs w:val="21"/>
          <w:highlight w:val="none"/>
          <w14:textFill>
            <w14:solidFill>
              <w14:schemeClr w14:val="tx1"/>
            </w14:solidFill>
          </w14:textFill>
        </w:rPr>
        <w:t>。</w:t>
      </w:r>
    </w:p>
    <w:p w14:paraId="66AA5AF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承包人提交的竣工资料形式要求：</w:t>
      </w:r>
      <w:r>
        <w:rPr>
          <w:rFonts w:hint="eastAsia" w:ascii="宋体" w:hAnsi="宋体" w:eastAsia="宋体" w:cs="Calibri"/>
          <w:color w:val="000000" w:themeColor="text1"/>
          <w:szCs w:val="21"/>
          <w:highlight w:val="none"/>
          <w:u w:val="single"/>
          <w14:textFill>
            <w14:solidFill>
              <w14:schemeClr w14:val="tx1"/>
            </w14:solidFill>
          </w14:textFill>
        </w:rPr>
        <w:t>书面形式</w:t>
      </w:r>
      <w:r>
        <w:rPr>
          <w:rFonts w:hint="eastAsia" w:ascii="宋体" w:hAnsi="宋体" w:eastAsia="宋体" w:cs="Calibri"/>
          <w:color w:val="000000" w:themeColor="text1"/>
          <w:szCs w:val="21"/>
          <w:highlight w:val="none"/>
          <w14:textFill>
            <w14:solidFill>
              <w14:schemeClr w14:val="tx1"/>
            </w14:solidFill>
          </w14:textFill>
        </w:rPr>
        <w:t>。</w:t>
      </w:r>
    </w:p>
    <w:p w14:paraId="787B403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（10）承包人应履行的其他义务：</w:t>
      </w:r>
    </w:p>
    <w:p w14:paraId="56CF39A8">
      <w:pPr>
        <w:spacing w:line="360" w:lineRule="auto"/>
        <w:ind w:firstLine="420" w:firstLineChars="200"/>
        <w:rPr>
          <w:rFonts w:hint="eastAsia" w:ascii="宋体" w:hAnsi="宋体" w:eastAsia="宋体" w:cs="Calibri"/>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lang w:val="en-US" w:eastAsia="zh-CN"/>
          <w14:textFill>
            <w14:solidFill>
              <w14:schemeClr w14:val="tx1"/>
            </w14:solidFill>
          </w14:textFill>
        </w:rPr>
        <w:t>1.</w:t>
      </w:r>
      <w:r>
        <w:rPr>
          <w:rFonts w:hint="eastAsia" w:ascii="宋体" w:hAnsi="宋体" w:eastAsia="宋体" w:cs="Calibri"/>
          <w:color w:val="000000" w:themeColor="text1"/>
          <w:szCs w:val="21"/>
          <w:highlight w:val="none"/>
          <w:u w:val="single"/>
          <w14:textFill>
            <w14:solidFill>
              <w14:schemeClr w14:val="tx1"/>
            </w14:solidFill>
          </w14:textFill>
        </w:rPr>
        <w:t>发包人委托办理施工许可证等开工前的各项手续，其余事项按《通用合同条款》3.1条执行</w:t>
      </w:r>
      <w:r>
        <w:rPr>
          <w:rFonts w:hint="eastAsia" w:ascii="宋体" w:hAnsi="宋体" w:eastAsia="宋体" w:cs="Calibri"/>
          <w:color w:val="000000" w:themeColor="text1"/>
          <w:kern w:val="0"/>
          <w:szCs w:val="21"/>
          <w:highlight w:val="none"/>
          <w:u w:val="single"/>
          <w14:textFill>
            <w14:solidFill>
              <w14:schemeClr w14:val="tx1"/>
            </w14:solidFill>
          </w14:textFill>
        </w:rPr>
        <w:t>。</w:t>
      </w:r>
    </w:p>
    <w:p w14:paraId="6EC45D7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2.严格按照（1）《国家以工代赈管理办法》(国家发展和改革委员会令第57号)；(2)《国家发展改革委关于进一步坚守“赈”的初心充分发挥以工代赈政策功能的意见》(发改振兴 〔2021〕1852 号)；(3)《广西壮族自治区发展和改革委员会关于精准把握以工代赈中央资金投向切实发挥政策功能的通知》(桂发改振兴(2020)853号)；(4)《国家发展改革委关于进一步统筹推进“硬投资”和“软建设”高标准高质量做好以工代赈工作的指导意见》发改振兴(2025)783号);(5)《广西壮族自治区发展和改革委员会关于印发以工代赈中央专项投资项目实施指南及相关配套文件的通知》桂发改振兴(2025)525号);(6)其他“以工代赈”等相关文件规定，按照“能用人工的尽量不用机械、能用当地群众的尽量不用专业队伍”的要求，加强当地群众务工组织，及时足额发放劳务报酬。具体如下：</w:t>
      </w:r>
    </w:p>
    <w:p w14:paraId="2477486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1.本项目属于以工代赈建设项目，发包人和承包人应共同落实以工代赈政策要求。承包人应组织当地群众务工，并及时足额发放劳务报酬，项目发放劳务报酬总额不少于人民币118.41万元（不少于中央资金的43.86%），带动当地群众务工人数不少于108人，开展技能培训108人。</w:t>
      </w:r>
    </w:p>
    <w:p w14:paraId="23F119C6">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本项目采用“公益性基础设施建设+劳务报酬发放+就业技能培训+公益性岗位设置”的综合赈济模式，要切实发挥本项目赈济作用，促进当地群众就地就近就业增收。承包人应优先吸纳项目区内的返乡农民工、脱贫人口（含易地搬迁脱贫人口）、防止返贫致贫对象、高校毕业生、退役军人、具备一定劳动能力的残疾人、其他农村低收入人口等重点群体参与务工。</w:t>
      </w:r>
    </w:p>
    <w:p w14:paraId="04AFB357">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003EAE0D">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4.承包人应严格遵守“能用人工的尽量不用机械”的原则组织施工，严禁将租用务工群众车辆或机械设备等费用计入劳务报酬。</w:t>
      </w:r>
    </w:p>
    <w:p w14:paraId="3D4CA4F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5.承包人应确保劳务报酬通过实名制银行卡直发至务工人员，严禁挤占挪用、拖欠工资，杜绝变相收回、弄虚作假等行为。承包人应按统一规范建立劳务报酬发放台账，接受发包人及相关部门的监督检查。</w:t>
      </w:r>
    </w:p>
    <w:p w14:paraId="7D1DE68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Calibri"/>
          <w:color w:val="000000" w:themeColor="text1"/>
          <w:kern w:val="0"/>
          <w:szCs w:val="21"/>
          <w:highlight w:val="none"/>
          <w:u w:val="single"/>
          <w14:textFill>
            <w14:solidFill>
              <w14:schemeClr w14:val="tx1"/>
            </w14:solidFill>
          </w14:textFill>
        </w:rPr>
      </w:pPr>
      <w:r>
        <w:rPr>
          <w:rFonts w:hint="eastAsia" w:ascii="宋体" w:hAnsi="宋体" w:eastAsia="宋体" w:cs="Times New Roman"/>
          <w:b/>
          <w:bCs/>
          <w:color w:val="FF0000"/>
          <w:szCs w:val="21"/>
          <w:highlight w:val="none"/>
          <w:lang w:val="en-US" w:eastAsia="zh-CN"/>
        </w:rPr>
        <w:t>6.因承包人原因导致拖欠克扣劳务报酬、弄虚作假等行为的，由此产生的一切法律责任、经济损失及行政处罚后果，均由承包人承担全部责任。</w:t>
      </w:r>
    </w:p>
    <w:p w14:paraId="10831514">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54" w:name="_Toc533863456"/>
      <w:r>
        <w:rPr>
          <w:rFonts w:ascii="宋体" w:hAnsi="宋体" w:eastAsia="宋体" w:cs="Times New Roman"/>
          <w:b/>
          <w:bCs/>
          <w:color w:val="000000" w:themeColor="text1"/>
          <w:szCs w:val="21"/>
          <w:highlight w:val="none"/>
          <w14:textFill>
            <w14:solidFill>
              <w14:schemeClr w14:val="tx1"/>
            </w14:solidFill>
          </w14:textFill>
        </w:rPr>
        <w:t xml:space="preserve">3.2 </w:t>
      </w:r>
      <w:r>
        <w:rPr>
          <w:rFonts w:hint="eastAsia" w:ascii="宋体" w:hAnsi="宋体" w:eastAsia="宋体" w:cs="Times New Roman"/>
          <w:b/>
          <w:bCs/>
          <w:color w:val="000000" w:themeColor="text1"/>
          <w:szCs w:val="21"/>
          <w:highlight w:val="none"/>
          <w14:textFill>
            <w14:solidFill>
              <w14:schemeClr w14:val="tx1"/>
            </w14:solidFill>
          </w14:textFill>
        </w:rPr>
        <w:t>项目经理</w:t>
      </w:r>
      <w:bookmarkEnd w:id="754"/>
    </w:p>
    <w:p w14:paraId="78360A2D">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55" w:name="_Toc533863457"/>
      <w:bookmarkStart w:id="756" w:name="_Toc725"/>
      <w:bookmarkStart w:id="757" w:name="_Toc24710"/>
      <w:bookmarkStart w:id="758" w:name="_Toc21949"/>
      <w:bookmarkStart w:id="759" w:name="_Toc4225"/>
      <w:bookmarkStart w:id="760" w:name="_Toc29174"/>
      <w:r>
        <w:rPr>
          <w:rFonts w:ascii="宋体" w:hAnsi="宋体" w:eastAsia="宋体" w:cs="宋体"/>
          <w:color w:val="000000" w:themeColor="text1"/>
          <w:kern w:val="0"/>
          <w:szCs w:val="21"/>
          <w:highlight w:val="none"/>
          <w14:textFill>
            <w14:solidFill>
              <w14:schemeClr w14:val="tx1"/>
            </w14:solidFill>
          </w14:textFill>
        </w:rPr>
        <w:t xml:space="preserve">3.2.1 </w:t>
      </w:r>
      <w:r>
        <w:rPr>
          <w:rFonts w:hint="eastAsia" w:ascii="宋体" w:hAnsi="宋体" w:eastAsia="宋体" w:cs="Calibri"/>
          <w:color w:val="000000" w:themeColor="text1"/>
          <w:szCs w:val="21"/>
          <w:highlight w:val="none"/>
          <w14:textFill>
            <w14:solidFill>
              <w14:schemeClr w14:val="tx1"/>
            </w14:solidFill>
          </w14:textFill>
        </w:rPr>
        <w:t>项目经理：</w:t>
      </w:r>
      <w:bookmarkEnd w:id="755"/>
      <w:bookmarkEnd w:id="756"/>
      <w:bookmarkEnd w:id="757"/>
      <w:bookmarkEnd w:id="758"/>
      <w:bookmarkEnd w:id="759"/>
      <w:bookmarkEnd w:id="760"/>
    </w:p>
    <w:p w14:paraId="5B3935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姓</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名：</w:t>
      </w:r>
      <w:r>
        <w:rPr>
          <w:rFonts w:hint="eastAsia" w:ascii="宋体" w:hAnsi="宋体" w:eastAsia="宋体" w:cs="MingLiU_HKSCS"/>
          <w:color w:val="000000" w:themeColor="text1"/>
          <w:szCs w:val="21"/>
          <w:highlight w:val="none"/>
          <w:u w:val="single"/>
          <w14:textFill>
            <w14:solidFill>
              <w14:schemeClr w14:val="tx1"/>
            </w14:solidFill>
          </w14:textFill>
        </w:rPr>
        <w:t>（成交人在本项目拟采用的项目经理，必须与响应文件一致）</w:t>
      </w:r>
      <w:r>
        <w:rPr>
          <w:rFonts w:hint="eastAsia" w:ascii="宋体" w:hAnsi="宋体" w:eastAsia="宋体" w:cs="Calibri"/>
          <w:color w:val="000000" w:themeColor="text1"/>
          <w:szCs w:val="21"/>
          <w:highlight w:val="none"/>
          <w14:textFill>
            <w14:solidFill>
              <w14:schemeClr w14:val="tx1"/>
            </w14:solidFill>
          </w14:textFill>
        </w:rPr>
        <w:t>；</w:t>
      </w:r>
    </w:p>
    <w:p w14:paraId="49C3389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身份证号：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E86250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建造师执业资格等级：</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71C7896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建造师注册证书号：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22882C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建造师执业印章号：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1185E59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安全生产考核合格证书号：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7327C3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广西建筑市场诚信卡卡号：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2D97DC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联系电话：</w:t>
      </w:r>
      <w:r>
        <w:rPr>
          <w:rFonts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Calibri"/>
          <w:color w:val="000000" w:themeColor="text1"/>
          <w:szCs w:val="21"/>
          <w:highlight w:val="none"/>
          <w14:textFill>
            <w14:solidFill>
              <w14:schemeClr w14:val="tx1"/>
            </w14:solidFill>
          </w14:textFill>
        </w:rPr>
        <w:t>；</w:t>
      </w:r>
    </w:p>
    <w:p w14:paraId="061D178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电子信箱：</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64E75E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通信地址：</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7D3B798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承包人对项目经理的授权范围如下：</w:t>
      </w:r>
      <w:r>
        <w:rPr>
          <w:rFonts w:hint="eastAsia" w:ascii="宋体" w:hAnsi="宋体" w:eastAsia="宋体" w:cs="Calibri"/>
          <w:color w:val="000000" w:themeColor="text1"/>
          <w:szCs w:val="21"/>
          <w:highlight w:val="none"/>
          <w:u w:val="single"/>
          <w14:textFill>
            <w14:solidFill>
              <w14:schemeClr w14:val="tx1"/>
            </w14:solidFill>
          </w14:textFill>
        </w:rPr>
        <w:t>项目经理为承包人法定代表人在该项目上的代表人，负责本工程施工过程的一切事务</w:t>
      </w:r>
      <w:r>
        <w:rPr>
          <w:rFonts w:hint="eastAsia" w:ascii="宋体" w:hAnsi="宋体" w:eastAsia="宋体" w:cs="Calibri"/>
          <w:color w:val="000000" w:themeColor="text1"/>
          <w:szCs w:val="21"/>
          <w:highlight w:val="none"/>
          <w14:textFill>
            <w14:solidFill>
              <w14:schemeClr w14:val="tx1"/>
            </w14:solidFill>
          </w14:textFill>
        </w:rPr>
        <w:t>。</w:t>
      </w:r>
    </w:p>
    <w:p w14:paraId="371FD80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关于项目经理每月在施工现场的时间要求：</w:t>
      </w:r>
      <w:r>
        <w:rPr>
          <w:rFonts w:hint="eastAsia" w:ascii="宋体" w:hAnsi="宋体" w:eastAsia="宋体" w:cs="Calibri"/>
          <w:color w:val="000000" w:themeColor="text1"/>
          <w:szCs w:val="21"/>
          <w:highlight w:val="none"/>
          <w:u w:val="single"/>
          <w14:textFill>
            <w14:solidFill>
              <w14:schemeClr w14:val="tx1"/>
            </w14:solidFill>
          </w14:textFill>
        </w:rPr>
        <w:t>项目经理不少于24日历天，未达到的每少一天罚100元，按月考核，项目经理不到位累计达5天的，发包人及监理人给予警告，累计达10天及以上的，发包人有权终止合同，由此引起的损失由承包人承担</w:t>
      </w:r>
      <w:r>
        <w:rPr>
          <w:rFonts w:hint="eastAsia" w:ascii="宋体" w:hAnsi="宋体" w:eastAsia="宋体" w:cs="Calibri"/>
          <w:color w:val="000000" w:themeColor="text1"/>
          <w:szCs w:val="21"/>
          <w:highlight w:val="none"/>
          <w14:textFill>
            <w14:solidFill>
              <w14:schemeClr w14:val="tx1"/>
            </w14:solidFill>
          </w14:textFill>
        </w:rPr>
        <w:t>。</w:t>
      </w:r>
    </w:p>
    <w:p w14:paraId="5F47E695">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承包人未提交劳动合同，以及没有为项目经理缴纳社会保险证明的违约责任：</w:t>
      </w:r>
    </w:p>
    <w:p w14:paraId="1CEC164F">
      <w:pPr>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由承包人自行承担相关责任</w:t>
      </w:r>
      <w:r>
        <w:rPr>
          <w:rFonts w:hint="eastAsia" w:ascii="宋体" w:hAnsi="宋体" w:eastAsia="宋体" w:cs="Calibri"/>
          <w:color w:val="000000" w:themeColor="text1"/>
          <w:szCs w:val="21"/>
          <w:highlight w:val="none"/>
          <w14:textFill>
            <w14:solidFill>
              <w14:schemeClr w14:val="tx1"/>
            </w14:solidFill>
          </w14:textFill>
        </w:rPr>
        <w:t>。</w:t>
      </w:r>
    </w:p>
    <w:p w14:paraId="0E7E169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项目经理未经批准，擅自离开施工现场的违约责任：</w:t>
      </w:r>
      <w:r>
        <w:rPr>
          <w:rFonts w:hint="eastAsia" w:ascii="宋体" w:hAnsi="宋体" w:eastAsia="宋体" w:cs="Calibri"/>
          <w:color w:val="000000" w:themeColor="text1"/>
          <w:szCs w:val="21"/>
          <w:highlight w:val="none"/>
          <w:u w:val="single"/>
          <w14:textFill>
            <w14:solidFill>
              <w14:schemeClr w14:val="tx1"/>
            </w14:solidFill>
          </w14:textFill>
        </w:rPr>
        <w:t>发包人有权处违约金100元/日（人民币）</w:t>
      </w:r>
      <w:r>
        <w:rPr>
          <w:rFonts w:hint="eastAsia" w:ascii="宋体" w:hAnsi="宋体" w:eastAsia="宋体" w:cs="Calibri"/>
          <w:color w:val="000000" w:themeColor="text1"/>
          <w:szCs w:val="21"/>
          <w:highlight w:val="none"/>
          <w14:textFill>
            <w14:solidFill>
              <w14:schemeClr w14:val="tx1"/>
            </w14:solidFill>
          </w14:textFill>
        </w:rPr>
        <w:t>。</w:t>
      </w:r>
    </w:p>
    <w:p w14:paraId="700E6E46">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61" w:name="_Toc20932"/>
      <w:bookmarkStart w:id="762" w:name="_Toc533863458"/>
      <w:bookmarkStart w:id="763" w:name="_Toc30742"/>
      <w:bookmarkStart w:id="764" w:name="_Toc15137"/>
      <w:bookmarkStart w:id="765" w:name="_Toc12990"/>
      <w:bookmarkStart w:id="766" w:name="_Toc5542"/>
      <w:r>
        <w:rPr>
          <w:rFonts w:ascii="宋体" w:hAnsi="宋体" w:eastAsia="宋体" w:cs="宋体"/>
          <w:color w:val="000000" w:themeColor="text1"/>
          <w:szCs w:val="21"/>
          <w:highlight w:val="none"/>
          <w14:textFill>
            <w14:solidFill>
              <w14:schemeClr w14:val="tx1"/>
            </w14:solidFill>
          </w14:textFill>
        </w:rPr>
        <w:t xml:space="preserve">3.2.3 </w:t>
      </w:r>
      <w:r>
        <w:rPr>
          <w:rFonts w:hint="eastAsia" w:ascii="宋体" w:hAnsi="宋体" w:eastAsia="宋体" w:cs="Calibri"/>
          <w:color w:val="000000" w:themeColor="text1"/>
          <w:szCs w:val="21"/>
          <w:highlight w:val="none"/>
          <w14:textFill>
            <w14:solidFill>
              <w14:schemeClr w14:val="tx1"/>
            </w14:solidFill>
          </w14:textFill>
        </w:rPr>
        <w:t>承包人擅自更换项目经理的违约责任：</w:t>
      </w:r>
      <w:r>
        <w:rPr>
          <w:rFonts w:hint="eastAsia" w:ascii="宋体" w:hAnsi="宋体" w:eastAsia="宋体" w:cs="Calibri"/>
          <w:color w:val="000000" w:themeColor="text1"/>
          <w:szCs w:val="21"/>
          <w:highlight w:val="none"/>
          <w:u w:val="single"/>
          <w14:textFill>
            <w14:solidFill>
              <w14:schemeClr w14:val="tx1"/>
            </w14:solidFill>
          </w14:textFill>
        </w:rPr>
        <w:t>未经发包人书面同意，承包人擅自更换项目经理的视为违约，违约金处 1000元/人•次（人民币），发包人有权终止合同</w:t>
      </w:r>
      <w:r>
        <w:rPr>
          <w:rFonts w:hint="eastAsia" w:ascii="宋体" w:hAnsi="宋体" w:eastAsia="宋体" w:cs="Calibri"/>
          <w:color w:val="000000" w:themeColor="text1"/>
          <w:szCs w:val="21"/>
          <w:highlight w:val="none"/>
          <w14:textFill>
            <w14:solidFill>
              <w14:schemeClr w14:val="tx1"/>
            </w14:solidFill>
          </w14:textFill>
        </w:rPr>
        <w:t>。</w:t>
      </w:r>
      <w:bookmarkEnd w:id="761"/>
      <w:bookmarkEnd w:id="762"/>
      <w:bookmarkEnd w:id="763"/>
      <w:bookmarkEnd w:id="764"/>
      <w:bookmarkEnd w:id="765"/>
      <w:bookmarkEnd w:id="766"/>
    </w:p>
    <w:p w14:paraId="21A37EC3">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67" w:name="_Toc6853"/>
      <w:bookmarkStart w:id="768" w:name="_Toc8810"/>
      <w:bookmarkStart w:id="769" w:name="_Toc22841"/>
      <w:bookmarkStart w:id="770" w:name="_Toc20078"/>
      <w:bookmarkStart w:id="771" w:name="_Toc533863459"/>
      <w:bookmarkStart w:id="772" w:name="_Toc21071"/>
      <w:r>
        <w:rPr>
          <w:rFonts w:ascii="宋体" w:hAnsi="宋体" w:eastAsia="宋体" w:cs="宋体"/>
          <w:color w:val="000000" w:themeColor="text1"/>
          <w:szCs w:val="21"/>
          <w:highlight w:val="none"/>
          <w14:textFill>
            <w14:solidFill>
              <w14:schemeClr w14:val="tx1"/>
            </w14:solidFill>
          </w14:textFill>
        </w:rPr>
        <w:t xml:space="preserve">3.2.4 </w:t>
      </w:r>
      <w:r>
        <w:rPr>
          <w:rFonts w:hint="eastAsia" w:ascii="宋体" w:hAnsi="宋体" w:eastAsia="宋体" w:cs="Calibri"/>
          <w:color w:val="000000" w:themeColor="text1"/>
          <w:szCs w:val="21"/>
          <w:highlight w:val="none"/>
          <w14:textFill>
            <w14:solidFill>
              <w14:schemeClr w14:val="tx1"/>
            </w14:solidFill>
          </w14:textFill>
        </w:rPr>
        <w:t>承包人无正当理由拒绝更换项目经理的违约责任：</w:t>
      </w:r>
      <w:r>
        <w:rPr>
          <w:rFonts w:hint="eastAsia" w:ascii="宋体" w:hAnsi="宋体" w:eastAsia="宋体" w:cs="Calibri"/>
          <w:color w:val="000000" w:themeColor="text1"/>
          <w:szCs w:val="21"/>
          <w:highlight w:val="none"/>
          <w:u w:val="single"/>
          <w14:textFill>
            <w14:solidFill>
              <w14:schemeClr w14:val="tx1"/>
            </w14:solidFill>
          </w14:textFill>
        </w:rPr>
        <w:t>因承包人项目经理不称职，发包人要求调换而未及时调换的，视为承包人违约，必须向发包人交纳处罚金 1000元/人•次（人民币）</w:t>
      </w:r>
      <w:r>
        <w:rPr>
          <w:rFonts w:hint="eastAsia" w:ascii="宋体" w:hAnsi="宋体" w:eastAsia="宋体" w:cs="Calibri"/>
          <w:color w:val="000000" w:themeColor="text1"/>
          <w:szCs w:val="21"/>
          <w:highlight w:val="none"/>
          <w14:textFill>
            <w14:solidFill>
              <w14:schemeClr w14:val="tx1"/>
            </w14:solidFill>
          </w14:textFill>
        </w:rPr>
        <w:t>。</w:t>
      </w:r>
      <w:bookmarkEnd w:id="767"/>
      <w:bookmarkEnd w:id="768"/>
      <w:bookmarkEnd w:id="769"/>
      <w:bookmarkEnd w:id="770"/>
      <w:bookmarkEnd w:id="771"/>
      <w:bookmarkEnd w:id="772"/>
    </w:p>
    <w:p w14:paraId="74DC931D">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73" w:name="_Toc533863460"/>
      <w:r>
        <w:rPr>
          <w:rFonts w:ascii="宋体" w:hAnsi="宋体" w:eastAsia="宋体" w:cs="Times New Roman"/>
          <w:b/>
          <w:bCs/>
          <w:color w:val="000000" w:themeColor="text1"/>
          <w:szCs w:val="21"/>
          <w:highlight w:val="none"/>
          <w14:textFill>
            <w14:solidFill>
              <w14:schemeClr w14:val="tx1"/>
            </w14:solidFill>
          </w14:textFill>
        </w:rPr>
        <w:t xml:space="preserve">3.3 </w:t>
      </w:r>
      <w:r>
        <w:rPr>
          <w:rFonts w:hint="eastAsia" w:ascii="宋体" w:hAnsi="宋体" w:eastAsia="宋体" w:cs="Times New Roman"/>
          <w:b/>
          <w:bCs/>
          <w:color w:val="000000" w:themeColor="text1"/>
          <w:szCs w:val="21"/>
          <w:highlight w:val="none"/>
          <w14:textFill>
            <w14:solidFill>
              <w14:schemeClr w14:val="tx1"/>
            </w14:solidFill>
          </w14:textFill>
        </w:rPr>
        <w:t>承包人人员</w:t>
      </w:r>
      <w:bookmarkEnd w:id="773"/>
    </w:p>
    <w:p w14:paraId="24E17C7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3.3.1 </w:t>
      </w:r>
      <w:r>
        <w:rPr>
          <w:rFonts w:hint="eastAsia" w:ascii="宋体" w:hAnsi="宋体" w:eastAsia="宋体" w:cs="Calibri"/>
          <w:color w:val="000000" w:themeColor="text1"/>
          <w:szCs w:val="21"/>
          <w:highlight w:val="none"/>
          <w14:textFill>
            <w14:solidFill>
              <w14:schemeClr w14:val="tx1"/>
            </w14:solidFill>
          </w14:textFill>
        </w:rPr>
        <w:t>承包人提交项目管理机构及施工现场管理人员安排报告（格式见合同附件3）的期限：</w:t>
      </w:r>
    </w:p>
    <w:p w14:paraId="77633A70">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55C0D3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3.3.3 </w:t>
      </w:r>
      <w:r>
        <w:rPr>
          <w:rFonts w:hint="eastAsia" w:ascii="宋体" w:hAnsi="宋体" w:eastAsia="宋体" w:cs="Calibri"/>
          <w:color w:val="000000" w:themeColor="text1"/>
          <w:szCs w:val="21"/>
          <w:highlight w:val="none"/>
          <w14:textFill>
            <w14:solidFill>
              <w14:schemeClr w14:val="tx1"/>
            </w14:solidFill>
          </w14:textFill>
        </w:rPr>
        <w:t>承包人无正当理由拒绝撤换主要施工管理人员的违约责任：</w:t>
      </w:r>
      <w:r>
        <w:rPr>
          <w:rFonts w:hint="eastAsia" w:ascii="宋体" w:hAnsi="宋体" w:eastAsia="宋体" w:cs="Calibri"/>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因承包人主要施工管理人员不称职，发包人要求调换而无正当理由拒绝撤换或未及时调换的，视为承包人违约，必须向发包人交纳处罚金，处罚标准：100元/人•次（人民币）</w:t>
      </w:r>
      <w:r>
        <w:rPr>
          <w:rFonts w:hint="eastAsia" w:ascii="宋体" w:hAnsi="宋体" w:eastAsia="宋体" w:cs="Calibri"/>
          <w:color w:val="000000" w:themeColor="text1"/>
          <w:szCs w:val="21"/>
          <w:highlight w:val="none"/>
          <w14:textFill>
            <w14:solidFill>
              <w14:schemeClr w14:val="tx1"/>
            </w14:solidFill>
          </w14:textFill>
        </w:rPr>
        <w:t>。</w:t>
      </w:r>
    </w:p>
    <w:p w14:paraId="4B6E0C20">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3.3.4 </w:t>
      </w:r>
      <w:r>
        <w:rPr>
          <w:rFonts w:hint="eastAsia" w:ascii="宋体" w:hAnsi="宋体" w:eastAsia="宋体" w:cs="Calibri"/>
          <w:color w:val="000000" w:themeColor="text1"/>
          <w:szCs w:val="21"/>
          <w:highlight w:val="none"/>
          <w14:textFill>
            <w14:solidFill>
              <w14:schemeClr w14:val="tx1"/>
            </w14:solidFill>
          </w14:textFill>
        </w:rPr>
        <w:t>承包人主要施工管理人员离开施工现场的批准要求：</w:t>
      </w:r>
      <w:r>
        <w:rPr>
          <w:rFonts w:hint="eastAsia" w:ascii="宋体" w:hAnsi="宋体" w:eastAsia="宋体" w:cs="Calibri"/>
          <w:color w:val="000000" w:themeColor="text1"/>
          <w:szCs w:val="21"/>
          <w:highlight w:val="none"/>
          <w:u w:val="single"/>
          <w14:textFill>
            <w14:solidFill>
              <w14:schemeClr w14:val="tx1"/>
            </w14:solidFill>
          </w14:textFill>
        </w:rPr>
        <w:t>承包人的主要施工管理人员（五大员）每人每月到位率不少于24日历天，未经发包人同意或正当理由，少在岗一天，发包人有权处违约金100元/日（人民币）</w:t>
      </w:r>
      <w:r>
        <w:rPr>
          <w:rFonts w:hint="eastAsia" w:ascii="宋体" w:hAnsi="宋体" w:eastAsia="宋体" w:cs="Calibri"/>
          <w:color w:val="000000" w:themeColor="text1"/>
          <w:szCs w:val="21"/>
          <w:highlight w:val="none"/>
          <w14:textFill>
            <w14:solidFill>
              <w14:schemeClr w14:val="tx1"/>
            </w14:solidFill>
          </w14:textFill>
        </w:rPr>
        <w:t>。</w:t>
      </w:r>
    </w:p>
    <w:p w14:paraId="605ADE2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3.3.5</w:t>
      </w:r>
      <w:r>
        <w:rPr>
          <w:rFonts w:hint="eastAsia" w:ascii="宋体" w:hAnsi="宋体" w:eastAsia="宋体" w:cs="Calibri"/>
          <w:color w:val="000000" w:themeColor="text1"/>
          <w:szCs w:val="21"/>
          <w:highlight w:val="none"/>
          <w14:textFill>
            <w14:solidFill>
              <w14:schemeClr w14:val="tx1"/>
            </w14:solidFill>
          </w14:textFill>
        </w:rPr>
        <w:t xml:space="preserve"> 承包人擅自更换主要施工管理人员的违约责任：</w:t>
      </w:r>
      <w:r>
        <w:rPr>
          <w:rFonts w:hint="eastAsia" w:ascii="宋体" w:hAnsi="宋体" w:eastAsia="宋体" w:cs="Calibri"/>
          <w:color w:val="000000" w:themeColor="text1"/>
          <w:szCs w:val="21"/>
          <w:highlight w:val="none"/>
          <w:u w:val="single"/>
          <w14:textFill>
            <w14:solidFill>
              <w14:schemeClr w14:val="tx1"/>
            </w14:solidFill>
          </w14:textFill>
        </w:rPr>
        <w:t>项目技术负责人、专职安全生产管理人员及其承诺的其它在场管理人员未经发包人书面同意不准擅自更换，擅自更换的处100元</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人</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次（人民币）违约金</w:t>
      </w:r>
      <w:r>
        <w:rPr>
          <w:rFonts w:hint="eastAsia" w:ascii="宋体" w:hAnsi="宋体" w:eastAsia="宋体" w:cs="Calibri"/>
          <w:color w:val="000000" w:themeColor="text1"/>
          <w:szCs w:val="21"/>
          <w:highlight w:val="none"/>
          <w14:textFill>
            <w14:solidFill>
              <w14:schemeClr w14:val="tx1"/>
            </w14:solidFill>
          </w14:textFill>
        </w:rPr>
        <w:t>。</w:t>
      </w:r>
    </w:p>
    <w:p w14:paraId="130DBD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承包人主要施工管理人员擅自离开施工现场的违约责任：</w:t>
      </w:r>
      <w:r>
        <w:rPr>
          <w:rFonts w:hint="eastAsia" w:ascii="宋体" w:hAnsi="宋体" w:eastAsia="宋体" w:cs="Calibri"/>
          <w:color w:val="000000" w:themeColor="text1"/>
          <w:szCs w:val="21"/>
          <w:highlight w:val="none"/>
          <w:u w:val="single"/>
          <w14:textFill>
            <w14:solidFill>
              <w14:schemeClr w14:val="tx1"/>
            </w14:solidFill>
          </w14:textFill>
        </w:rPr>
        <w:t>未经发包人同意，擅自离岗的，视为承包人违约，发包人有权处违约金100 元/人•次（人民币）违约金</w:t>
      </w:r>
      <w:r>
        <w:rPr>
          <w:rFonts w:hint="eastAsia" w:ascii="宋体" w:hAnsi="宋体" w:eastAsia="宋体" w:cs="Calibri"/>
          <w:color w:val="000000" w:themeColor="text1"/>
          <w:szCs w:val="21"/>
          <w:highlight w:val="none"/>
          <w14:textFill>
            <w14:solidFill>
              <w14:schemeClr w14:val="tx1"/>
            </w14:solidFill>
          </w14:textFill>
        </w:rPr>
        <w:t>。</w:t>
      </w:r>
    </w:p>
    <w:p w14:paraId="77171C08">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74" w:name="_Toc533863461"/>
      <w:r>
        <w:rPr>
          <w:rFonts w:ascii="宋体" w:hAnsi="宋体" w:eastAsia="宋体" w:cs="Times New Roman"/>
          <w:b/>
          <w:bCs/>
          <w:color w:val="000000" w:themeColor="text1"/>
          <w:szCs w:val="21"/>
          <w:highlight w:val="none"/>
          <w14:textFill>
            <w14:solidFill>
              <w14:schemeClr w14:val="tx1"/>
            </w14:solidFill>
          </w14:textFill>
        </w:rPr>
        <w:t>3</w:t>
      </w:r>
      <w:bookmarkStart w:id="775" w:name="_Toc300934945"/>
      <w:bookmarkStart w:id="776" w:name="_Toc304295523"/>
      <w:bookmarkStart w:id="777" w:name="_Toc296890987"/>
      <w:bookmarkStart w:id="778" w:name="_Toc297120459"/>
      <w:bookmarkStart w:id="779" w:name="_Toc296347158"/>
      <w:bookmarkStart w:id="780" w:name="_Toc296944498"/>
      <w:bookmarkStart w:id="781" w:name="_Toc292559869"/>
      <w:bookmarkStart w:id="782" w:name="_Toc296346660"/>
      <w:bookmarkStart w:id="783" w:name="_Toc297216151"/>
      <w:bookmarkStart w:id="784" w:name="_Toc303539102"/>
      <w:bookmarkStart w:id="785" w:name="_Toc292559364"/>
      <w:bookmarkStart w:id="786" w:name="_Toc312677988"/>
      <w:bookmarkStart w:id="787" w:name="_Toc296891199"/>
      <w:bookmarkStart w:id="788" w:name="_Toc297048345"/>
      <w:bookmarkStart w:id="789" w:name="_Toc296503159"/>
      <w:bookmarkStart w:id="790" w:name="_Toc297123492"/>
      <w:r>
        <w:rPr>
          <w:rFonts w:ascii="宋体" w:hAnsi="宋体" w:eastAsia="宋体" w:cs="Times New Roman"/>
          <w:b/>
          <w:bCs/>
          <w:color w:val="000000" w:themeColor="text1"/>
          <w:szCs w:val="21"/>
          <w:highlight w:val="none"/>
          <w14:textFill>
            <w14:solidFill>
              <w14:schemeClr w14:val="tx1"/>
            </w14:solidFill>
          </w14:textFill>
        </w:rPr>
        <w:t xml:space="preserve">.5 </w:t>
      </w:r>
      <w:r>
        <w:rPr>
          <w:rFonts w:hint="eastAsia" w:ascii="宋体" w:hAnsi="宋体" w:eastAsia="宋体" w:cs="Times New Roman"/>
          <w:b/>
          <w:bCs/>
          <w:color w:val="000000" w:themeColor="text1"/>
          <w:szCs w:val="21"/>
          <w:highlight w:val="none"/>
          <w14:textFill>
            <w14:solidFill>
              <w14:schemeClr w14:val="tx1"/>
            </w14:solidFill>
          </w14:textFill>
        </w:rPr>
        <w:t>分包</w:t>
      </w:r>
      <w:bookmarkEnd w:id="774"/>
    </w:p>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14:paraId="3A71B6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3.5.1 </w:t>
      </w:r>
      <w:r>
        <w:rPr>
          <w:rFonts w:hint="eastAsia" w:ascii="宋体" w:hAnsi="宋体" w:eastAsia="宋体" w:cs="Calibri"/>
          <w:color w:val="000000" w:themeColor="text1"/>
          <w:szCs w:val="21"/>
          <w:highlight w:val="none"/>
          <w14:textFill>
            <w14:solidFill>
              <w14:schemeClr w14:val="tx1"/>
            </w14:solidFill>
          </w14:textFill>
        </w:rPr>
        <w:t>分包的一般约定</w:t>
      </w:r>
    </w:p>
    <w:p w14:paraId="54F4619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禁止分包的工程包括：</w:t>
      </w:r>
      <w:r>
        <w:rPr>
          <w:rFonts w:hint="eastAsia" w:ascii="宋体" w:hAnsi="宋体" w:eastAsia="宋体" w:cs="Calibri"/>
          <w:color w:val="000000" w:themeColor="text1"/>
          <w:szCs w:val="21"/>
          <w:highlight w:val="none"/>
          <w:u w:val="single"/>
          <w14:textFill>
            <w14:solidFill>
              <w14:schemeClr w14:val="tx1"/>
            </w14:solidFill>
          </w14:textFill>
        </w:rPr>
        <w:t>按《通用合同条款》3.5.1条</w:t>
      </w:r>
      <w:r>
        <w:rPr>
          <w:rFonts w:hint="eastAsia" w:ascii="宋体" w:hAnsi="宋体" w:eastAsia="宋体" w:cs="Calibri"/>
          <w:color w:val="000000" w:themeColor="text1"/>
          <w:szCs w:val="21"/>
          <w:highlight w:val="none"/>
          <w14:textFill>
            <w14:solidFill>
              <w14:schemeClr w14:val="tx1"/>
            </w14:solidFill>
          </w14:textFill>
        </w:rPr>
        <w:t>。</w:t>
      </w:r>
    </w:p>
    <w:p w14:paraId="799F254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主体结构、关键性工作的范围：</w:t>
      </w:r>
      <w:r>
        <w:rPr>
          <w:rFonts w:hint="eastAsia" w:ascii="宋体" w:hAnsi="宋体" w:eastAsia="宋体" w:cs="Calibri"/>
          <w:color w:val="000000" w:themeColor="text1"/>
          <w:szCs w:val="21"/>
          <w:highlight w:val="none"/>
          <w:u w:val="single"/>
          <w14:textFill>
            <w14:solidFill>
              <w14:schemeClr w14:val="tx1"/>
            </w14:solidFill>
          </w14:textFill>
        </w:rPr>
        <w:t>详见施工图</w:t>
      </w:r>
      <w:r>
        <w:rPr>
          <w:rFonts w:hint="eastAsia" w:ascii="宋体" w:hAnsi="宋体" w:eastAsia="宋体" w:cs="Calibri"/>
          <w:color w:val="000000" w:themeColor="text1"/>
          <w:szCs w:val="21"/>
          <w:highlight w:val="none"/>
          <w14:textFill>
            <w14:solidFill>
              <w14:schemeClr w14:val="tx1"/>
            </w14:solidFill>
          </w14:textFill>
        </w:rPr>
        <w:t>。</w:t>
      </w:r>
    </w:p>
    <w:p w14:paraId="215FFFDE">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3.5.2</w:t>
      </w:r>
      <w:r>
        <w:rPr>
          <w:rFonts w:hint="eastAsia" w:ascii="宋体" w:hAnsi="宋体" w:eastAsia="宋体" w:cs="Calibri"/>
          <w:color w:val="000000" w:themeColor="text1"/>
          <w:szCs w:val="21"/>
          <w:highlight w:val="none"/>
          <w14:textFill>
            <w14:solidFill>
              <w14:schemeClr w14:val="tx1"/>
            </w14:solidFill>
          </w14:textFill>
        </w:rPr>
        <w:t xml:space="preserve"> 分包的确定</w:t>
      </w:r>
    </w:p>
    <w:p w14:paraId="1B3D2D9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允许分包的专业工程包括：</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0055897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其他关于分包的约定：</w:t>
      </w:r>
    </w:p>
    <w:p w14:paraId="3FEC3F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53C0359B">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）在相关分包合同签订并报送有关建设行政主管部门备案后</w:t>
      </w:r>
      <w:r>
        <w:rPr>
          <w:rFonts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Calibri"/>
          <w:color w:val="000000" w:themeColor="text1"/>
          <w:szCs w:val="21"/>
          <w:highlight w:val="none"/>
          <w14:textFill>
            <w14:solidFill>
              <w14:schemeClr w14:val="tx1"/>
            </w14:solidFill>
          </w14:textFill>
        </w:rPr>
        <w:t>天内，承包人应当将一份副本提交给监理人，承包人应保障分包工作不得再次分包。</w:t>
      </w:r>
    </w:p>
    <w:p w14:paraId="09B2AD1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）未经承包人和监理人审批同意的分包工程和分包人，承包人有权拒绝验收分包工程和支付相应款项，由此引起的发包人费用增加和</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或</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延误的工期由发包人承担。</w:t>
      </w:r>
    </w:p>
    <w:p w14:paraId="308FCFFB">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）承包人有以下情况之一者，发包人有权解除合同，并视情况扣除其履约保证金：</w:t>
      </w:r>
    </w:p>
    <w:p w14:paraId="37011939">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①个人承包工程，包括本人单位及外单位人员承包，发包人不承认其个人拥有任何资质等级及营业许可资格。没收全部履约保证金。</w:t>
      </w:r>
    </w:p>
    <w:p w14:paraId="152F1799">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②几个人联合承包工程，就地组织暗分包队伍，不具备完成本工程的技术、机械能力，被发包人判定为没有能力履行的承包人。没收全部履约保证金。</w:t>
      </w:r>
    </w:p>
    <w:p w14:paraId="58A42A2E">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③就地转包全部的工程，以谋取高额转让费、管理费的承包人。没收全部履约保证金。</w:t>
      </w:r>
    </w:p>
    <w:p w14:paraId="5165494E">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④承包人有部分分包现象（其中包括冒充承包人下属单位的挂勾单位，凭口头协议参与施工的分包人及其他暗分包个体户），一经发现核实，发包人将采取驱逐该暗分包人措施。没收全部履约保证金。</w:t>
      </w:r>
    </w:p>
    <w:p w14:paraId="4DC8C14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3.5.4 </w:t>
      </w:r>
      <w:r>
        <w:rPr>
          <w:rFonts w:hint="eastAsia" w:ascii="宋体" w:hAnsi="宋体" w:eastAsia="宋体" w:cs="Calibri"/>
          <w:color w:val="000000" w:themeColor="text1"/>
          <w:szCs w:val="21"/>
          <w:highlight w:val="none"/>
          <w14:textFill>
            <w14:solidFill>
              <w14:schemeClr w14:val="tx1"/>
            </w14:solidFill>
          </w14:textFill>
        </w:rPr>
        <w:t>分包合同价款</w:t>
      </w:r>
    </w:p>
    <w:p w14:paraId="041569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关于分包合同价款支付的约定：</w:t>
      </w:r>
      <w:r>
        <w:rPr>
          <w:rFonts w:hint="eastAsia" w:ascii="宋体" w:hAnsi="宋体" w:eastAsia="宋体" w:cs="Calibri"/>
          <w:color w:val="000000" w:themeColor="text1"/>
          <w:szCs w:val="21"/>
          <w:highlight w:val="none"/>
          <w:u w:val="single"/>
          <w14:textFill>
            <w14:solidFill>
              <w14:schemeClr w14:val="tx1"/>
            </w14:solidFill>
          </w14:textFill>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0D1FA77F">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1" w:name="_Toc533863462"/>
      <w:r>
        <w:rPr>
          <w:rFonts w:ascii="宋体" w:hAnsi="宋体" w:eastAsia="宋体" w:cs="Times New Roman"/>
          <w:b/>
          <w:bCs/>
          <w:color w:val="000000" w:themeColor="text1"/>
          <w:szCs w:val="21"/>
          <w:highlight w:val="none"/>
          <w14:textFill>
            <w14:solidFill>
              <w14:schemeClr w14:val="tx1"/>
            </w14:solidFill>
          </w14:textFill>
        </w:rPr>
        <w:t xml:space="preserve">3.6 </w:t>
      </w:r>
      <w:r>
        <w:rPr>
          <w:rFonts w:hint="eastAsia" w:ascii="宋体" w:hAnsi="宋体" w:eastAsia="宋体" w:cs="Times New Roman"/>
          <w:b/>
          <w:bCs/>
          <w:color w:val="000000" w:themeColor="text1"/>
          <w:szCs w:val="21"/>
          <w:highlight w:val="none"/>
          <w14:textFill>
            <w14:solidFill>
              <w14:schemeClr w14:val="tx1"/>
            </w14:solidFill>
          </w14:textFill>
        </w:rPr>
        <w:t>工程照管与成品、半成品保护</w:t>
      </w:r>
      <w:bookmarkEnd w:id="791"/>
    </w:p>
    <w:p w14:paraId="0BDE867A">
      <w:pPr>
        <w:spacing w:line="360" w:lineRule="auto"/>
        <w:ind w:firstLine="420" w:firstLineChars="200"/>
        <w:rPr>
          <w:rFonts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承包人负责照管工程及工程相关的材料、工程设备的起始时间：</w:t>
      </w:r>
      <w:r>
        <w:rPr>
          <w:rFonts w:hint="eastAsia" w:ascii="宋体" w:hAnsi="宋体" w:eastAsia="宋体" w:cs="Calibri"/>
          <w:color w:val="000000" w:themeColor="text1"/>
          <w:kern w:val="0"/>
          <w:szCs w:val="21"/>
          <w:highlight w:val="none"/>
          <w:u w:val="single"/>
          <w14:textFill>
            <w14:solidFill>
              <w14:schemeClr w14:val="tx1"/>
            </w14:solidFill>
          </w14:textFill>
        </w:rPr>
        <w:t>由发包人提供的材料和工程设备验收后开始</w:t>
      </w:r>
      <w:r>
        <w:rPr>
          <w:rFonts w:hint="eastAsia" w:ascii="宋体" w:hAnsi="宋体" w:eastAsia="宋体" w:cs="Calibri"/>
          <w:color w:val="000000" w:themeColor="text1"/>
          <w:kern w:val="0"/>
          <w:szCs w:val="21"/>
          <w:highlight w:val="none"/>
          <w14:textFill>
            <w14:solidFill>
              <w14:schemeClr w14:val="tx1"/>
            </w14:solidFill>
          </w14:textFill>
        </w:rPr>
        <w:t>。</w:t>
      </w:r>
    </w:p>
    <w:p w14:paraId="089CFC1A">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2" w:name="_Toc533863463"/>
      <w:r>
        <w:rPr>
          <w:rFonts w:ascii="宋体" w:hAnsi="宋体" w:eastAsia="宋体" w:cs="Times New Roman"/>
          <w:b/>
          <w:bCs/>
          <w:color w:val="000000" w:themeColor="text1"/>
          <w:szCs w:val="21"/>
          <w:highlight w:val="none"/>
          <w14:textFill>
            <w14:solidFill>
              <w14:schemeClr w14:val="tx1"/>
            </w14:solidFill>
          </w14:textFill>
        </w:rPr>
        <w:t xml:space="preserve">3.7 </w:t>
      </w:r>
      <w:r>
        <w:rPr>
          <w:rFonts w:hint="eastAsia" w:ascii="宋体" w:hAnsi="宋体" w:eastAsia="宋体" w:cs="Times New Roman"/>
          <w:b/>
          <w:bCs/>
          <w:color w:val="000000" w:themeColor="text1"/>
          <w:szCs w:val="21"/>
          <w:highlight w:val="none"/>
          <w14:textFill>
            <w14:solidFill>
              <w14:schemeClr w14:val="tx1"/>
            </w14:solidFill>
          </w14:textFill>
        </w:rPr>
        <w:t>履约担保</w:t>
      </w:r>
      <w:bookmarkEnd w:id="792"/>
    </w:p>
    <w:p w14:paraId="7DB4DF6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793" w:name="_Toc351203636"/>
      <w:r>
        <w:rPr>
          <w:rFonts w:hint="eastAsia" w:ascii="宋体" w:hAnsi="宋体" w:eastAsia="宋体" w:cs="宋体"/>
          <w:color w:val="000000" w:themeColor="text1"/>
          <w:szCs w:val="21"/>
          <w:highlight w:val="none"/>
          <w14:textFill>
            <w14:solidFill>
              <w14:schemeClr w14:val="tx1"/>
            </w14:solidFill>
          </w14:textFill>
        </w:rPr>
        <w:t>承包人是否提供履约担保：</w:t>
      </w:r>
      <w:r>
        <w:rPr>
          <w:rFonts w:hint="eastAsia" w:ascii="宋体" w:hAnsi="宋体" w:eastAsia="宋体" w:cs="宋体"/>
          <w:color w:val="000000" w:themeColor="text1"/>
          <w:szCs w:val="21"/>
          <w:highlight w:val="none"/>
          <w:u w:val="single"/>
          <w14:textFill>
            <w14:solidFill>
              <w14:schemeClr w14:val="tx1"/>
            </w14:solidFill>
          </w14:textFill>
        </w:rPr>
        <w:t xml:space="preserve">  否  </w:t>
      </w:r>
      <w:r>
        <w:rPr>
          <w:rFonts w:hint="eastAsia" w:ascii="宋体" w:hAnsi="宋体" w:eastAsia="宋体" w:cs="宋体"/>
          <w:color w:val="000000" w:themeColor="text1"/>
          <w:szCs w:val="21"/>
          <w:highlight w:val="none"/>
          <w14:textFill>
            <w14:solidFill>
              <w14:schemeClr w14:val="tx1"/>
            </w14:solidFill>
          </w14:textFill>
        </w:rPr>
        <w:t>。</w:t>
      </w:r>
    </w:p>
    <w:p w14:paraId="65B8588F">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承包人在中标后7个工作日内，按政府相关部门规定将农民工工资保障金存入帐户。工程竣工验收结算经审定后，按照规定程序，将农民工工资保障金没有使用或剩余的金额退还给承包人。</w:t>
      </w:r>
    </w:p>
    <w:p w14:paraId="21C8A054">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4" w:name="_Toc18758"/>
      <w:bookmarkStart w:id="795" w:name="_Toc533863464"/>
      <w:r>
        <w:rPr>
          <w:rFonts w:ascii="宋体" w:hAnsi="宋体" w:eastAsia="宋体" w:cs="Times New Roman"/>
          <w:b/>
          <w:bCs/>
          <w:color w:val="000000" w:themeColor="text1"/>
          <w:szCs w:val="21"/>
          <w:highlight w:val="none"/>
          <w14:textFill>
            <w14:solidFill>
              <w14:schemeClr w14:val="tx1"/>
            </w14:solidFill>
          </w14:textFill>
        </w:rPr>
        <w:t>4</w:t>
      </w:r>
      <w:bookmarkStart w:id="796" w:name="_Toc292559871"/>
      <w:bookmarkStart w:id="797" w:name="_Toc296347161"/>
      <w:bookmarkStart w:id="798" w:name="_Toc292559366"/>
      <w:bookmarkStart w:id="799" w:name="_Toc267251413"/>
      <w:bookmarkStart w:id="800" w:name="_Toc296890990"/>
      <w:bookmarkStart w:id="801" w:name="_Toc296346663"/>
      <w:bookmarkStart w:id="802" w:name="_Toc297120462"/>
      <w:bookmarkStart w:id="803" w:name="_Toc296891202"/>
      <w:bookmarkStart w:id="804" w:name="_Toc297048348"/>
      <w:bookmarkStart w:id="805" w:name="_Toc296503162"/>
      <w:bookmarkStart w:id="806" w:name="_Toc296944501"/>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监</w:t>
      </w:r>
      <w:bookmarkEnd w:id="796"/>
      <w:bookmarkEnd w:id="797"/>
      <w:bookmarkEnd w:id="798"/>
      <w:bookmarkEnd w:id="799"/>
      <w:bookmarkEnd w:id="800"/>
      <w:bookmarkEnd w:id="801"/>
      <w:bookmarkEnd w:id="802"/>
      <w:bookmarkEnd w:id="803"/>
      <w:bookmarkEnd w:id="804"/>
      <w:bookmarkEnd w:id="805"/>
      <w:bookmarkEnd w:id="806"/>
      <w:r>
        <w:rPr>
          <w:rFonts w:hint="eastAsia" w:ascii="宋体" w:hAnsi="宋体" w:eastAsia="宋体" w:cs="Times New Roman"/>
          <w:b/>
          <w:bCs/>
          <w:color w:val="000000" w:themeColor="text1"/>
          <w:szCs w:val="21"/>
          <w:highlight w:val="none"/>
          <w14:textFill>
            <w14:solidFill>
              <w14:schemeClr w14:val="tx1"/>
            </w14:solidFill>
          </w14:textFill>
        </w:rPr>
        <w:t>理人</w:t>
      </w:r>
      <w:bookmarkEnd w:id="793"/>
      <w:bookmarkEnd w:id="794"/>
      <w:bookmarkEnd w:id="795"/>
    </w:p>
    <w:p w14:paraId="1521D2D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07" w:name="_Toc533863465"/>
      <w:r>
        <w:rPr>
          <w:rFonts w:ascii="宋体" w:hAnsi="宋体" w:eastAsia="宋体" w:cs="Times New Roman"/>
          <w:b/>
          <w:bCs/>
          <w:color w:val="000000" w:themeColor="text1"/>
          <w:szCs w:val="21"/>
          <w:highlight w:val="none"/>
          <w14:textFill>
            <w14:solidFill>
              <w14:schemeClr w14:val="tx1"/>
            </w14:solidFill>
          </w14:textFill>
        </w:rPr>
        <w:t>4.1</w:t>
      </w:r>
      <w:r>
        <w:rPr>
          <w:rFonts w:hint="eastAsia" w:ascii="宋体" w:hAnsi="宋体" w:eastAsia="宋体" w:cs="Times New Roman"/>
          <w:b/>
          <w:bCs/>
          <w:color w:val="000000" w:themeColor="text1"/>
          <w:szCs w:val="21"/>
          <w:highlight w:val="none"/>
          <w14:textFill>
            <w14:solidFill>
              <w14:schemeClr w14:val="tx1"/>
            </w14:solidFill>
          </w14:textFill>
        </w:rPr>
        <w:t>监理人的一般规定</w:t>
      </w:r>
      <w:bookmarkEnd w:id="807"/>
    </w:p>
    <w:p w14:paraId="3ED11E2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关于监理人的监理内容：</w:t>
      </w:r>
      <w:r>
        <w:rPr>
          <w:rFonts w:hint="eastAsia" w:ascii="宋体" w:hAnsi="宋体" w:eastAsia="宋体" w:cs="Calibri"/>
          <w:color w:val="000000" w:themeColor="text1"/>
          <w:szCs w:val="21"/>
          <w:highlight w:val="none"/>
          <w:u w:val="single"/>
          <w14:textFill>
            <w14:solidFill>
              <w14:schemeClr w14:val="tx1"/>
            </w14:solidFill>
          </w14:textFill>
        </w:rPr>
        <w:t>本工程实施范围内的所有内容</w:t>
      </w:r>
      <w:r>
        <w:rPr>
          <w:rFonts w:hint="eastAsia" w:ascii="宋体" w:hAnsi="宋体" w:eastAsia="宋体" w:cs="Calibri"/>
          <w:color w:val="000000" w:themeColor="text1"/>
          <w:szCs w:val="21"/>
          <w:highlight w:val="none"/>
          <w14:textFill>
            <w14:solidFill>
              <w14:schemeClr w14:val="tx1"/>
            </w14:solidFill>
          </w14:textFill>
        </w:rPr>
        <w:t>。</w:t>
      </w:r>
    </w:p>
    <w:p w14:paraId="33801D3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关于监理人的监理权限：</w:t>
      </w:r>
      <w:r>
        <w:rPr>
          <w:rFonts w:hint="eastAsia" w:ascii="宋体" w:hAnsi="宋体" w:eastAsia="宋体" w:cs="Calibri"/>
          <w:color w:val="000000" w:themeColor="text1"/>
          <w:szCs w:val="21"/>
          <w:highlight w:val="none"/>
          <w:u w:val="single"/>
          <w14:textFill>
            <w14:solidFill>
              <w14:schemeClr w14:val="tx1"/>
            </w14:solidFill>
          </w14:textFill>
        </w:rPr>
        <w:t>根据监理合同、施工承包合同和法律法规规定的事项代表发包人进行工程前期协调、施工现场协调、工程监理</w:t>
      </w: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 xml:space="preserve"> </w:t>
      </w:r>
    </w:p>
    <w:p w14:paraId="6593A6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关于监理人在施工现场的办公场所、生活场所的提供和费用承担的约定：</w:t>
      </w:r>
      <w:r>
        <w:rPr>
          <w:rFonts w:hint="eastAsia" w:ascii="宋体" w:hAnsi="宋体" w:eastAsia="宋体" w:cs="Calibri"/>
          <w:color w:val="000000" w:themeColor="text1"/>
          <w:szCs w:val="21"/>
          <w:highlight w:val="none"/>
          <w:u w:val="single"/>
          <w14:textFill>
            <w14:solidFill>
              <w14:schemeClr w14:val="tx1"/>
            </w14:solidFill>
          </w14:textFill>
        </w:rPr>
        <w:t>监理人在施工现场的办公场所、生活场所由承包人提供，所发生的费用由承包人承担</w:t>
      </w:r>
      <w:r>
        <w:rPr>
          <w:rFonts w:hint="eastAsia" w:ascii="宋体" w:hAnsi="宋体" w:eastAsia="宋体" w:cs="Calibri"/>
          <w:color w:val="000000" w:themeColor="text1"/>
          <w:szCs w:val="21"/>
          <w:highlight w:val="none"/>
          <w14:textFill>
            <w14:solidFill>
              <w14:schemeClr w14:val="tx1"/>
            </w14:solidFill>
          </w14:textFill>
        </w:rPr>
        <w:t>。</w:t>
      </w:r>
    </w:p>
    <w:p w14:paraId="48EAA1C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08" w:name="_Toc533863466"/>
      <w:r>
        <w:rPr>
          <w:rFonts w:ascii="宋体" w:hAnsi="宋体" w:eastAsia="宋体" w:cs="Times New Roman"/>
          <w:b/>
          <w:bCs/>
          <w:color w:val="000000" w:themeColor="text1"/>
          <w:szCs w:val="21"/>
          <w:highlight w:val="none"/>
          <w14:textFill>
            <w14:solidFill>
              <w14:schemeClr w14:val="tx1"/>
            </w14:solidFill>
          </w14:textFill>
        </w:rPr>
        <w:t xml:space="preserve">4.2 </w:t>
      </w:r>
      <w:r>
        <w:rPr>
          <w:rFonts w:hint="eastAsia" w:ascii="宋体" w:hAnsi="宋体" w:eastAsia="宋体" w:cs="Times New Roman"/>
          <w:b/>
          <w:bCs/>
          <w:color w:val="000000" w:themeColor="text1"/>
          <w:szCs w:val="21"/>
          <w:highlight w:val="none"/>
          <w14:textFill>
            <w14:solidFill>
              <w14:schemeClr w14:val="tx1"/>
            </w14:solidFill>
          </w14:textFill>
        </w:rPr>
        <w:t>监理人员</w:t>
      </w:r>
      <w:bookmarkEnd w:id="808"/>
    </w:p>
    <w:p w14:paraId="66157E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总监理工程师：</w:t>
      </w:r>
    </w:p>
    <w:p w14:paraId="3C9476C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姓</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名：</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62C8A25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职</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务：</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08624FA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监理工程师执业资格证书号：</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7B8EA9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联系电话：</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5A9C998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电子信箱：</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1772CDB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通信地址：</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2E8E719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关于监理人的其他约定：</w:t>
      </w:r>
      <w:r>
        <w:rPr>
          <w:rFonts w:hint="eastAsia" w:ascii="宋体" w:hAnsi="宋体" w:eastAsia="宋体" w:cs="Calibri"/>
          <w:color w:val="000000" w:themeColor="text1"/>
          <w:szCs w:val="21"/>
          <w:highlight w:val="none"/>
          <w:u w:val="single"/>
          <w14:textFill>
            <w14:solidFill>
              <w14:schemeClr w14:val="tx1"/>
            </w14:solidFill>
          </w14:textFill>
        </w:rPr>
        <w:t>按《通用合同条款》执行</w:t>
      </w:r>
      <w:r>
        <w:rPr>
          <w:rFonts w:hint="eastAsia" w:ascii="宋体" w:hAnsi="宋体" w:eastAsia="宋体" w:cs="Calibri"/>
          <w:color w:val="000000" w:themeColor="text1"/>
          <w:szCs w:val="21"/>
          <w:highlight w:val="none"/>
          <w14:textFill>
            <w14:solidFill>
              <w14:schemeClr w14:val="tx1"/>
            </w14:solidFill>
          </w14:textFill>
        </w:rPr>
        <w:t>。</w:t>
      </w:r>
    </w:p>
    <w:p w14:paraId="3BA9709E">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09" w:name="_Toc533863467"/>
      <w:r>
        <w:rPr>
          <w:rFonts w:ascii="宋体" w:hAnsi="宋体" w:eastAsia="宋体" w:cs="Times New Roman"/>
          <w:b/>
          <w:bCs/>
          <w:color w:val="000000" w:themeColor="text1"/>
          <w:szCs w:val="21"/>
          <w:highlight w:val="none"/>
          <w14:textFill>
            <w14:solidFill>
              <w14:schemeClr w14:val="tx1"/>
            </w14:solidFill>
          </w14:textFill>
        </w:rPr>
        <w:t xml:space="preserve">4.4 </w:t>
      </w:r>
      <w:r>
        <w:rPr>
          <w:rFonts w:hint="eastAsia" w:ascii="宋体" w:hAnsi="宋体" w:eastAsia="宋体" w:cs="Times New Roman"/>
          <w:b/>
          <w:bCs/>
          <w:color w:val="000000" w:themeColor="text1"/>
          <w:szCs w:val="21"/>
          <w:highlight w:val="none"/>
          <w14:textFill>
            <w14:solidFill>
              <w14:schemeClr w14:val="tx1"/>
            </w14:solidFill>
          </w14:textFill>
        </w:rPr>
        <w:t>商定或确定</w:t>
      </w:r>
      <w:bookmarkEnd w:id="809"/>
    </w:p>
    <w:p w14:paraId="09675F5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bookmarkStart w:id="810" w:name="_Toc267251418"/>
      <w:bookmarkStart w:id="811" w:name="_Toc351203637"/>
      <w:r>
        <w:rPr>
          <w:rFonts w:hint="eastAsia" w:ascii="宋体" w:hAnsi="宋体" w:eastAsia="宋体" w:cs="Calibri"/>
          <w:color w:val="000000" w:themeColor="text1"/>
          <w:szCs w:val="21"/>
          <w:highlight w:val="none"/>
          <w14:textFill>
            <w14:solidFill>
              <w14:schemeClr w14:val="tx1"/>
            </w14:solidFill>
          </w14:textFill>
        </w:rPr>
        <w:t>在发包人和承包人不能通过协商达成一致意见时，发包人授权监理人对以下事项进行确定：</w:t>
      </w:r>
    </w:p>
    <w:p w14:paraId="25CE51DB">
      <w:pPr>
        <w:autoSpaceDE w:val="0"/>
        <w:autoSpaceDN w:val="0"/>
        <w:adjustRightInd w:val="0"/>
        <w:spacing w:line="400" w:lineRule="exact"/>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w:t>
      </w:r>
      <w:r>
        <w:rPr>
          <w:rFonts w:hint="eastAsia" w:ascii="宋体" w:hAnsi="宋体" w:eastAsia="宋体" w:cs="Calibri"/>
          <w:color w:val="000000" w:themeColor="text1"/>
          <w:kern w:val="0"/>
          <w:szCs w:val="21"/>
          <w:highlight w:val="none"/>
          <w:u w:val="single"/>
          <w14:textFill>
            <w14:solidFill>
              <w14:schemeClr w14:val="tx1"/>
            </w14:solidFill>
          </w14:textFill>
        </w:rPr>
        <w:t>由总监理工程师对双方异议按照合同约定审定做出公正的确定</w:t>
      </w:r>
      <w:r>
        <w:rPr>
          <w:rFonts w:hint="eastAsia" w:ascii="宋体" w:hAnsi="宋体" w:eastAsia="宋体" w:cs="Calibri"/>
          <w:color w:val="000000" w:themeColor="text1"/>
          <w:szCs w:val="21"/>
          <w:highlight w:val="none"/>
          <w14:textFill>
            <w14:solidFill>
              <w14:schemeClr w14:val="tx1"/>
            </w14:solidFill>
          </w14:textFill>
        </w:rPr>
        <w:t>；</w:t>
      </w:r>
    </w:p>
    <w:p w14:paraId="4D06667A">
      <w:pPr>
        <w:autoSpaceDE w:val="0"/>
        <w:autoSpaceDN w:val="0"/>
        <w:adjustRightInd w:val="0"/>
        <w:spacing w:line="400" w:lineRule="exact"/>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u w:val="single"/>
          <w14:textFill>
            <w14:solidFill>
              <w14:schemeClr w14:val="tx1"/>
            </w14:solidFill>
          </w14:textFill>
        </w:rPr>
        <w:t>总监理工程师应将确定以书面形式通知发包人和承包人，并附详细依据</w:t>
      </w:r>
      <w:r>
        <w:rPr>
          <w:rFonts w:hint="eastAsia" w:ascii="宋体" w:hAnsi="宋体" w:eastAsia="宋体" w:cs="Calibri"/>
          <w:color w:val="000000" w:themeColor="text1"/>
          <w:szCs w:val="21"/>
          <w:highlight w:val="none"/>
          <w14:textFill>
            <w14:solidFill>
              <w14:schemeClr w14:val="tx1"/>
            </w14:solidFill>
          </w14:textFill>
        </w:rPr>
        <w:t>；</w:t>
      </w:r>
    </w:p>
    <w:p w14:paraId="64A2FE19">
      <w:pPr>
        <w:autoSpaceDE w:val="0"/>
        <w:autoSpaceDN w:val="0"/>
        <w:adjustRightInd w:val="0"/>
        <w:spacing w:line="400" w:lineRule="exact"/>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 xml:space="preserve">    （3）</w:t>
      </w:r>
      <w:r>
        <w:rPr>
          <w:rFonts w:hint="eastAsia" w:ascii="宋体" w:hAnsi="宋体" w:eastAsia="宋体" w:cs="Calibri"/>
          <w:color w:val="000000" w:themeColor="text1"/>
          <w:kern w:val="0"/>
          <w:szCs w:val="21"/>
          <w:highlight w:val="none"/>
          <w:u w:val="single"/>
          <w14:textFill>
            <w14:solidFill>
              <w14:schemeClr w14:val="tx1"/>
            </w14:solidFill>
          </w14:textFill>
        </w:rPr>
        <w:t>合同当事人对总监理工程师的确定没有异议的，按照总监理工程师的确定执行</w:t>
      </w:r>
      <w:r>
        <w:rPr>
          <w:rFonts w:hint="eastAsia" w:ascii="宋体" w:hAnsi="宋体" w:eastAsia="宋体" w:cs="Calibri"/>
          <w:color w:val="000000" w:themeColor="text1"/>
          <w:szCs w:val="21"/>
          <w:highlight w:val="none"/>
          <w14:textFill>
            <w14:solidFill>
              <w14:schemeClr w14:val="tx1"/>
            </w14:solidFill>
          </w14:textFill>
        </w:rPr>
        <w:t>。</w:t>
      </w:r>
    </w:p>
    <w:p w14:paraId="72E8843F">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12" w:name="_Toc24673"/>
      <w:bookmarkStart w:id="813" w:name="_Toc533863468"/>
      <w:r>
        <w:rPr>
          <w:rFonts w:ascii="宋体" w:hAnsi="宋体" w:eastAsia="宋体" w:cs="Times New Roman"/>
          <w:b/>
          <w:bCs/>
          <w:color w:val="000000" w:themeColor="text1"/>
          <w:szCs w:val="21"/>
          <w:highlight w:val="none"/>
          <w14:textFill>
            <w14:solidFill>
              <w14:schemeClr w14:val="tx1"/>
            </w14:solidFill>
          </w14:textFill>
        </w:rPr>
        <w:t>5</w:t>
      </w:r>
      <w:bookmarkEnd w:id="810"/>
      <w:bookmarkStart w:id="814" w:name="_Toc296503163"/>
      <w:bookmarkStart w:id="815" w:name="_Toc296890991"/>
      <w:bookmarkStart w:id="816" w:name="_Toc296347162"/>
      <w:bookmarkStart w:id="817" w:name="_Toc297120463"/>
      <w:bookmarkStart w:id="818" w:name="_Toc297048349"/>
      <w:bookmarkStart w:id="819" w:name="_Toc296944502"/>
      <w:bookmarkStart w:id="820" w:name="_Toc292559872"/>
      <w:bookmarkStart w:id="821" w:name="_Toc296346664"/>
      <w:bookmarkStart w:id="822" w:name="_Toc296891203"/>
      <w:bookmarkStart w:id="823" w:name="_Toc292559367"/>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工程质量</w:t>
      </w:r>
      <w:bookmarkEnd w:id="811"/>
      <w:bookmarkEnd w:id="812"/>
      <w:bookmarkEnd w:id="813"/>
    </w:p>
    <w:p w14:paraId="7E84209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24" w:name="_Toc533863469"/>
      <w:r>
        <w:rPr>
          <w:rFonts w:ascii="宋体" w:hAnsi="宋体" w:eastAsia="宋体" w:cs="Times New Roman"/>
          <w:b/>
          <w:bCs/>
          <w:color w:val="000000" w:themeColor="text1"/>
          <w:szCs w:val="21"/>
          <w:highlight w:val="none"/>
          <w14:textFill>
            <w14:solidFill>
              <w14:schemeClr w14:val="tx1"/>
            </w14:solidFill>
          </w14:textFill>
        </w:rPr>
        <w:t xml:space="preserve">5.1 </w:t>
      </w:r>
      <w:r>
        <w:rPr>
          <w:rFonts w:hint="eastAsia" w:ascii="宋体" w:hAnsi="宋体" w:eastAsia="宋体" w:cs="Times New Roman"/>
          <w:b/>
          <w:bCs/>
          <w:color w:val="000000" w:themeColor="text1"/>
          <w:szCs w:val="21"/>
          <w:highlight w:val="none"/>
          <w14:textFill>
            <w14:solidFill>
              <w14:schemeClr w14:val="tx1"/>
            </w14:solidFill>
          </w14:textFill>
        </w:rPr>
        <w:t>质量要求</w:t>
      </w:r>
      <w:bookmarkEnd w:id="824"/>
    </w:p>
    <w:p w14:paraId="5FC7ECC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bookmarkStart w:id="825" w:name="_Toc300934949"/>
      <w:bookmarkStart w:id="826" w:name="_Toc297216155"/>
      <w:bookmarkStart w:id="827" w:name="_Toc303539106"/>
      <w:bookmarkStart w:id="828" w:name="_Toc318581164"/>
      <w:bookmarkStart w:id="829" w:name="_Toc297123496"/>
      <w:bookmarkStart w:id="830" w:name="_Toc312677997"/>
      <w:bookmarkStart w:id="831" w:name="_Toc304295527"/>
      <w:r>
        <w:rPr>
          <w:rFonts w:ascii="宋体" w:hAnsi="宋体" w:eastAsia="宋体" w:cs="宋体"/>
          <w:color w:val="000000" w:themeColor="text1"/>
          <w:szCs w:val="21"/>
          <w:highlight w:val="none"/>
          <w14:textFill>
            <w14:solidFill>
              <w14:schemeClr w14:val="tx1"/>
            </w14:solidFill>
          </w14:textFill>
        </w:rPr>
        <w:t xml:space="preserve">5.1.1 </w:t>
      </w:r>
      <w:r>
        <w:rPr>
          <w:rFonts w:hint="eastAsia" w:ascii="宋体" w:hAnsi="宋体" w:eastAsia="宋体" w:cs="Calibri"/>
          <w:color w:val="000000" w:themeColor="text1"/>
          <w:szCs w:val="21"/>
          <w:highlight w:val="none"/>
          <w14:textFill>
            <w14:solidFill>
              <w14:schemeClr w14:val="tx1"/>
            </w14:solidFill>
          </w14:textFill>
        </w:rPr>
        <w:t>特殊质量标准和要求：</w:t>
      </w:r>
      <w:r>
        <w:rPr>
          <w:rFonts w:hint="eastAsia" w:ascii="宋体" w:hAnsi="宋体" w:eastAsia="宋体" w:cs="Calibri"/>
          <w:color w:val="000000" w:themeColor="text1"/>
          <w:szCs w:val="21"/>
          <w:highlight w:val="none"/>
          <w:u w:val="single"/>
          <w14:textFill>
            <w14:solidFill>
              <w14:schemeClr w14:val="tx1"/>
            </w14:solidFill>
          </w14:textFill>
        </w:rPr>
        <w:t>达到国家和行业颁发的施工及验收规程规范要求</w:t>
      </w:r>
      <w:r>
        <w:rPr>
          <w:rFonts w:hint="eastAsia" w:ascii="宋体" w:hAnsi="宋体" w:eastAsia="宋体" w:cs="Calibri"/>
          <w:color w:val="000000" w:themeColor="text1"/>
          <w:szCs w:val="21"/>
          <w:highlight w:val="none"/>
          <w14:textFill>
            <w14:solidFill>
              <w14:schemeClr w14:val="tx1"/>
            </w14:solidFill>
          </w14:textFill>
        </w:rPr>
        <w:t>。</w:t>
      </w:r>
    </w:p>
    <w:p w14:paraId="418CADE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关于工程奖项的约定：</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09D2311C">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32" w:name="_Toc533863470"/>
      <w:r>
        <w:rPr>
          <w:rFonts w:ascii="宋体" w:hAnsi="宋体" w:eastAsia="宋体" w:cs="Times New Roman"/>
          <w:b/>
          <w:bCs/>
          <w:color w:val="000000" w:themeColor="text1"/>
          <w:szCs w:val="21"/>
          <w:highlight w:val="none"/>
          <w14:textFill>
            <w14:solidFill>
              <w14:schemeClr w14:val="tx1"/>
            </w14:solidFill>
          </w14:textFill>
        </w:rPr>
        <w:t xml:space="preserve">5.3 </w:t>
      </w:r>
      <w:r>
        <w:rPr>
          <w:rFonts w:hint="eastAsia" w:ascii="宋体" w:hAnsi="宋体" w:eastAsia="宋体" w:cs="Times New Roman"/>
          <w:b/>
          <w:bCs/>
          <w:color w:val="000000" w:themeColor="text1"/>
          <w:szCs w:val="21"/>
          <w:highlight w:val="none"/>
          <w14:textFill>
            <w14:solidFill>
              <w14:schemeClr w14:val="tx1"/>
            </w14:solidFill>
          </w14:textFill>
        </w:rPr>
        <w:t>隐蔽工程检查</w:t>
      </w:r>
      <w:bookmarkEnd w:id="832"/>
    </w:p>
    <w:p w14:paraId="6F61FE1C">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bookmarkStart w:id="833" w:name="_Toc351203638"/>
      <w:r>
        <w:rPr>
          <w:rFonts w:ascii="宋体" w:hAnsi="宋体" w:eastAsia="宋体" w:cs="宋体"/>
          <w:color w:val="000000" w:themeColor="text1"/>
          <w:szCs w:val="21"/>
          <w:highlight w:val="none"/>
          <w14:textFill>
            <w14:solidFill>
              <w14:schemeClr w14:val="tx1"/>
            </w14:solidFill>
          </w14:textFill>
        </w:rPr>
        <w:t>5.3.2</w:t>
      </w:r>
      <w:r>
        <w:rPr>
          <w:rFonts w:hint="eastAsia" w:ascii="宋体" w:hAnsi="宋体" w:eastAsia="宋体" w:cs="Calibri"/>
          <w:color w:val="000000" w:themeColor="text1"/>
          <w:szCs w:val="21"/>
          <w:highlight w:val="none"/>
          <w14:textFill>
            <w14:solidFill>
              <w14:schemeClr w14:val="tx1"/>
            </w14:solidFill>
          </w14:textFill>
        </w:rPr>
        <w:t>承包人提前通知监理人隐蔽工程检查的期限的约定：工程隐蔽或中间验收前</w:t>
      </w:r>
      <w:r>
        <w:rPr>
          <w:rFonts w:ascii="宋体" w:hAnsi="宋体" w:eastAsia="宋体" w:cs="宋体"/>
          <w:color w:val="000000" w:themeColor="text1"/>
          <w:szCs w:val="21"/>
          <w:highlight w:val="none"/>
          <w14:textFill>
            <w14:solidFill>
              <w14:schemeClr w14:val="tx1"/>
            </w14:solidFill>
          </w14:textFill>
        </w:rPr>
        <w:t>12</w:t>
      </w:r>
      <w:r>
        <w:rPr>
          <w:rFonts w:hint="eastAsia" w:ascii="宋体" w:hAnsi="宋体" w:eastAsia="宋体" w:cs="Calibri"/>
          <w:color w:val="000000" w:themeColor="text1"/>
          <w:szCs w:val="21"/>
          <w:highlight w:val="none"/>
          <w14:textFill>
            <w14:solidFill>
              <w14:schemeClr w14:val="tx1"/>
            </w14:solidFill>
          </w14:textFill>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A836E7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监理人不能按时进行检查时，应提前</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24</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小时提交书面延期要求。</w:t>
      </w:r>
    </w:p>
    <w:p w14:paraId="488929B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关于延期最长不得超过：</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48</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小时。</w:t>
      </w:r>
    </w:p>
    <w:p w14:paraId="2D0749FE">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34" w:name="_Toc533863471"/>
      <w:bookmarkStart w:id="835" w:name="_Toc13735"/>
      <w:r>
        <w:rPr>
          <w:rFonts w:ascii="宋体" w:hAnsi="宋体" w:eastAsia="宋体" w:cs="Times New Roman"/>
          <w:b/>
          <w:bCs/>
          <w:color w:val="000000" w:themeColor="text1"/>
          <w:szCs w:val="21"/>
          <w:highlight w:val="none"/>
          <w14:textFill>
            <w14:solidFill>
              <w14:schemeClr w14:val="tx1"/>
            </w14:solidFill>
          </w14:textFill>
        </w:rPr>
        <w:t xml:space="preserve">6. </w:t>
      </w:r>
      <w:bookmarkEnd w:id="833"/>
      <w:r>
        <w:rPr>
          <w:rFonts w:ascii="宋体" w:hAnsi="宋体" w:eastAsia="宋体" w:cs="Times New Roman"/>
          <w:b/>
          <w:bCs/>
          <w:color w:val="000000" w:themeColor="text1"/>
          <w:szCs w:val="21"/>
          <w:highlight w:val="none"/>
          <w14:textFill>
            <w14:solidFill>
              <w14:schemeClr w14:val="tx1"/>
            </w14:solidFill>
          </w14:textFill>
        </w:rPr>
        <w:t>安全</w:t>
      </w:r>
      <w:r>
        <w:rPr>
          <w:rFonts w:hint="eastAsia" w:ascii="宋体" w:hAnsi="宋体" w:eastAsia="宋体" w:cs="Times New Roman"/>
          <w:b/>
          <w:bCs/>
          <w:color w:val="000000" w:themeColor="text1"/>
          <w:szCs w:val="21"/>
          <w:highlight w:val="none"/>
          <w14:textFill>
            <w14:solidFill>
              <w14:schemeClr w14:val="tx1"/>
            </w14:solidFill>
          </w14:textFill>
        </w:rPr>
        <w:t>生产费、</w:t>
      </w:r>
      <w:r>
        <w:rPr>
          <w:rFonts w:ascii="宋体" w:hAnsi="宋体" w:eastAsia="宋体" w:cs="Times New Roman"/>
          <w:b/>
          <w:bCs/>
          <w:color w:val="000000" w:themeColor="text1"/>
          <w:szCs w:val="21"/>
          <w:highlight w:val="none"/>
          <w14:textFill>
            <w14:solidFill>
              <w14:schemeClr w14:val="tx1"/>
            </w14:solidFill>
          </w14:textFill>
        </w:rPr>
        <w:t>环境保护</w:t>
      </w:r>
      <w:r>
        <w:rPr>
          <w:rFonts w:hint="eastAsia" w:ascii="宋体" w:hAnsi="宋体" w:eastAsia="宋体" w:cs="Times New Roman"/>
          <w:b/>
          <w:bCs/>
          <w:color w:val="000000" w:themeColor="text1"/>
          <w:szCs w:val="21"/>
          <w:highlight w:val="none"/>
          <w14:textFill>
            <w14:solidFill>
              <w14:schemeClr w14:val="tx1"/>
            </w14:solidFill>
          </w14:textFill>
        </w:rPr>
        <w:t>与农民工工资支付</w:t>
      </w:r>
      <w:bookmarkEnd w:id="834"/>
      <w:bookmarkEnd w:id="835"/>
    </w:p>
    <w:p w14:paraId="4A7F3C2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36" w:name="_Toc533863472"/>
      <w:r>
        <w:rPr>
          <w:rFonts w:ascii="宋体" w:hAnsi="宋体" w:eastAsia="宋体" w:cs="Times New Roman"/>
          <w:b/>
          <w:bCs/>
          <w:color w:val="000000" w:themeColor="text1"/>
          <w:szCs w:val="21"/>
          <w:highlight w:val="none"/>
          <w14:textFill>
            <w14:solidFill>
              <w14:schemeClr w14:val="tx1"/>
            </w14:solidFill>
          </w14:textFill>
        </w:rPr>
        <w:t>6.1</w:t>
      </w:r>
      <w:r>
        <w:rPr>
          <w:rFonts w:hint="eastAsia" w:ascii="宋体" w:hAnsi="宋体" w:eastAsia="宋体" w:cs="Times New Roman"/>
          <w:b/>
          <w:bCs/>
          <w:color w:val="000000" w:themeColor="text1"/>
          <w:szCs w:val="21"/>
          <w:highlight w:val="none"/>
          <w14:textFill>
            <w14:solidFill>
              <w14:schemeClr w14:val="tx1"/>
            </w14:solidFill>
          </w14:textFill>
        </w:rPr>
        <w:t>安全文明施工</w:t>
      </w:r>
      <w:bookmarkEnd w:id="836"/>
    </w:p>
    <w:p w14:paraId="665880E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6.1.1 </w:t>
      </w:r>
      <w:r>
        <w:rPr>
          <w:rFonts w:hint="eastAsia" w:ascii="宋体" w:hAnsi="宋体" w:eastAsia="宋体" w:cs="宋体"/>
          <w:color w:val="000000" w:themeColor="text1"/>
          <w:szCs w:val="21"/>
          <w:highlight w:val="none"/>
          <w14:textFill>
            <w14:solidFill>
              <w14:schemeClr w14:val="tx1"/>
            </w14:solidFill>
          </w14:textFill>
        </w:rPr>
        <w:t>项目安全生产的达标目标及相应事项的约定：</w:t>
      </w:r>
      <w:r>
        <w:rPr>
          <w:rFonts w:hint="eastAsia" w:ascii="宋体" w:hAnsi="宋体" w:eastAsia="宋体" w:cs="Calibri"/>
          <w:color w:val="000000" w:themeColor="text1"/>
          <w:szCs w:val="21"/>
          <w:highlight w:val="none"/>
          <w:u w:val="single"/>
          <w14:textFill>
            <w14:solidFill>
              <w14:schemeClr w14:val="tx1"/>
            </w14:solidFill>
          </w14:textFill>
        </w:rPr>
        <w:t>承包人严格执行国家和广西省及贵港市等有关部门的安全文明施工规定，服从发包人、监理人及政府安全监督部门的检查与监督。未尽事宜按《通用合同条款》6.1.1条执行</w:t>
      </w:r>
      <w:r>
        <w:rPr>
          <w:rFonts w:hint="eastAsia" w:ascii="宋体" w:hAnsi="宋体" w:eastAsia="宋体" w:cs="Calibri"/>
          <w:color w:val="000000" w:themeColor="text1"/>
          <w:szCs w:val="21"/>
          <w:highlight w:val="none"/>
          <w14:textFill>
            <w14:solidFill>
              <w14:schemeClr w14:val="tx1"/>
            </w14:solidFill>
          </w14:textFill>
        </w:rPr>
        <w:t>。</w:t>
      </w:r>
    </w:p>
    <w:p w14:paraId="33F83E91">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 6.1.4 </w:t>
      </w:r>
      <w:r>
        <w:rPr>
          <w:rFonts w:hint="eastAsia" w:ascii="宋体" w:hAnsi="宋体" w:eastAsia="宋体" w:cs="宋体"/>
          <w:color w:val="000000" w:themeColor="text1"/>
          <w:szCs w:val="21"/>
          <w:highlight w:val="none"/>
          <w14:textFill>
            <w14:solidFill>
              <w14:schemeClr w14:val="tx1"/>
            </w14:solidFill>
          </w14:textFill>
        </w:rPr>
        <w:t>关于治安保卫的特别约定：</w:t>
      </w:r>
      <w:r>
        <w:rPr>
          <w:rFonts w:hint="eastAsia" w:ascii="宋体" w:hAnsi="宋体" w:eastAsia="宋体" w:cs="Calibri"/>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1925E3D6">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关于编制施工场地治安管理计划的约定：</w:t>
      </w:r>
      <w:bookmarkEnd w:id="825"/>
      <w:bookmarkEnd w:id="826"/>
      <w:bookmarkEnd w:id="827"/>
      <w:bookmarkEnd w:id="828"/>
      <w:bookmarkEnd w:id="829"/>
      <w:bookmarkEnd w:id="830"/>
      <w:bookmarkEnd w:id="831"/>
      <w:r>
        <w:rPr>
          <w:rFonts w:hint="eastAsia" w:ascii="宋体" w:hAnsi="宋体" w:eastAsia="宋体" w:cs="Calibri"/>
          <w:color w:val="000000" w:themeColor="text1"/>
          <w:szCs w:val="21"/>
          <w:highlight w:val="none"/>
          <w:u w:val="single"/>
          <w14:textFill>
            <w14:solidFill>
              <w14:schemeClr w14:val="tx1"/>
            </w14:solidFill>
          </w14:textFill>
        </w:rPr>
        <w:t>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eastAsia="宋体" w:cs="Calibri"/>
          <w:color w:val="000000" w:themeColor="text1"/>
          <w:szCs w:val="21"/>
          <w:highlight w:val="none"/>
          <w14:textFill>
            <w14:solidFill>
              <w14:schemeClr w14:val="tx1"/>
            </w14:solidFill>
          </w14:textFill>
        </w:rPr>
        <w:t>。</w:t>
      </w:r>
    </w:p>
    <w:p w14:paraId="6DC9EEC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6.1.5 </w:t>
      </w:r>
      <w:r>
        <w:rPr>
          <w:rFonts w:hint="eastAsia" w:ascii="宋体" w:hAnsi="宋体" w:eastAsia="宋体" w:cs="Calibri"/>
          <w:color w:val="000000" w:themeColor="text1"/>
          <w:szCs w:val="21"/>
          <w:highlight w:val="none"/>
          <w14:textFill>
            <w14:solidFill>
              <w14:schemeClr w14:val="tx1"/>
            </w14:solidFill>
          </w14:textFill>
        </w:rPr>
        <w:t>文明施工</w:t>
      </w:r>
    </w:p>
    <w:p w14:paraId="205C03F0">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合同当事人对文明施工的要求：</w:t>
      </w:r>
      <w:r>
        <w:rPr>
          <w:rFonts w:hint="eastAsia" w:ascii="宋体" w:hAnsi="宋体" w:eastAsia="宋体" w:cs="Calibri"/>
          <w:color w:val="000000" w:themeColor="text1"/>
          <w:szCs w:val="21"/>
          <w:highlight w:val="none"/>
          <w:u w:val="single"/>
          <w14:textFill>
            <w14:solidFill>
              <w14:schemeClr w14:val="tx1"/>
            </w14:solidFill>
          </w14:textFill>
        </w:rPr>
        <w:t>按专用条款6.1.1条执行，未尽事宜按《通用合同条款》6.1.5条执行</w:t>
      </w:r>
      <w:r>
        <w:rPr>
          <w:rFonts w:hint="eastAsia" w:ascii="宋体" w:hAnsi="宋体" w:eastAsia="宋体" w:cs="Calibri"/>
          <w:color w:val="000000" w:themeColor="text1"/>
          <w:szCs w:val="21"/>
          <w:highlight w:val="none"/>
          <w14:textFill>
            <w14:solidFill>
              <w14:schemeClr w14:val="tx1"/>
            </w14:solidFill>
          </w14:textFill>
        </w:rPr>
        <w:t>。</w:t>
      </w:r>
    </w:p>
    <w:p w14:paraId="4F72C447">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6.1.6 关于安全生产费总额、支付比例、支付期限、转入和结余收回的约定：</w:t>
      </w:r>
    </w:p>
    <w:p w14:paraId="3D498A7A">
      <w:pPr>
        <w:spacing w:line="360" w:lineRule="auto"/>
        <w:ind w:firstLine="422" w:firstLineChars="200"/>
        <w:rPr>
          <w:rFonts w:ascii="宋体" w:hAnsi="宋体" w:eastAsia="宋体" w:cs="Calibri"/>
          <w:b/>
          <w:color w:val="000000" w:themeColor="text1"/>
          <w:szCs w:val="21"/>
          <w:highlight w:val="none"/>
          <w:u w:val="single"/>
          <w14:textFill>
            <w14:solidFill>
              <w14:schemeClr w14:val="tx1"/>
            </w14:solidFill>
          </w14:textFill>
        </w:rPr>
      </w:pPr>
      <w:r>
        <w:rPr>
          <w:rFonts w:hint="eastAsia" w:ascii="宋体" w:hAnsi="宋体" w:eastAsia="宋体" w:cs="Calibri"/>
          <w:b/>
          <w:color w:val="000000" w:themeColor="text1"/>
          <w:szCs w:val="21"/>
          <w:highlight w:val="none"/>
          <w:u w:val="single"/>
          <w14:textFill>
            <w14:solidFill>
              <w14:schemeClr w14:val="tx1"/>
            </w14:solidFill>
          </w14:textFill>
        </w:rPr>
        <w:t>（1）本合同价款已包含安全生产费          元。</w:t>
      </w:r>
    </w:p>
    <w:p w14:paraId="0B9E304E">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（2）使用要求：专款专用，除安全生产外，不得用于其他用途。具体按《广西壮族自治区建设工程安全文明施工费使用管理细则》（桂建质[2015]16号）相关规定执行。</w:t>
      </w:r>
    </w:p>
    <w:p w14:paraId="10E194FF">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（3）支付约定：本合同签订后28个工作日内，预付安全文明施工费总额的30%，其余部分与进度款同期支付。</w:t>
      </w:r>
    </w:p>
    <w:p w14:paraId="1E186066">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（4）建设单位按规定将安全生产费用转入施工单位设立的安全生产费用专户。</w:t>
      </w:r>
    </w:p>
    <w:p w14:paraId="27845B61">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（5）工程施工完成后安全生产费用尚有结余的，结余部分由建设单位收回。</w:t>
      </w:r>
    </w:p>
    <w:p w14:paraId="37444131">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（6）施工单位将安全生产费用使用情况定期报告建设单位和监理单位，并提供相应的材料接受建设行政主管部门对此事项监管。</w:t>
      </w:r>
    </w:p>
    <w:p w14:paraId="78363CD6">
      <w:pPr>
        <w:spacing w:line="360" w:lineRule="auto"/>
        <w:ind w:firstLine="42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（7）安全生产费用专户：××××公司安全生产费用专户。</w:t>
      </w:r>
    </w:p>
    <w:p w14:paraId="2AD0BC47">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开户银行：                                    。</w:t>
      </w:r>
    </w:p>
    <w:p w14:paraId="204B6865">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 账号：                                       。</w:t>
      </w:r>
    </w:p>
    <w:p w14:paraId="2F079A5E">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6.1.7 关于农民工工资支付和使用的约定：</w:t>
      </w:r>
    </w:p>
    <w:p w14:paraId="7B92A79A">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（1）农民工工资应与工程进度款同步拨付至农民工工资支付专用账户，不得挪作他用，否则按相关规定处罚。</w:t>
      </w:r>
    </w:p>
    <w:p w14:paraId="65C7E58E">
      <w:pPr>
        <w:spacing w:line="360" w:lineRule="auto"/>
        <w:ind w:firstLine="42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农民工工资使用要求：专款专用，除发放工人工资外，不得用于其他用途。具体按《广西壮族自治区工程建设领域工人工资支付专用账户管理办法》（桂薪联发[2016]1号）以及《贵港市建设领域农民工工资支付管理实施细则》（贵政办通[2016]72号）相关规定执行。</w:t>
      </w:r>
    </w:p>
    <w:p w14:paraId="614F584A">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施工单位将农民工工资支付情况定期报告建设单位和监理单位，并提供相应的材料接受建设行政主管部门和劳动保障行政主管部门对此事项监管。</w:t>
      </w:r>
    </w:p>
    <w:p w14:paraId="16470627">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农民工工资支付专用账户：××××公司农民工工资支付专用账户。</w:t>
      </w:r>
    </w:p>
    <w:p w14:paraId="391033BB">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开户银行：                                          </w:t>
      </w:r>
    </w:p>
    <w:p w14:paraId="6D1FB125">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账号：                                           </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w:t>
      </w:r>
    </w:p>
    <w:p w14:paraId="75CAC649">
      <w:pPr>
        <w:keepNext/>
        <w:keepLines/>
        <w:spacing w:before="260" w:after="260" w:line="416"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837" w:name="_Toc533863473"/>
      <w:bookmarkStart w:id="838" w:name="_Toc7875"/>
      <w:r>
        <w:rPr>
          <w:rFonts w:ascii="宋体" w:hAnsi="宋体" w:eastAsia="宋体" w:cs="Times New Roman"/>
          <w:b/>
          <w:bCs/>
          <w:color w:val="000000" w:themeColor="text1"/>
          <w:szCs w:val="21"/>
          <w:highlight w:val="none"/>
          <w14:textFill>
            <w14:solidFill>
              <w14:schemeClr w14:val="tx1"/>
            </w14:solidFill>
          </w14:textFill>
        </w:rPr>
        <w:t>7. 工期和进度</w:t>
      </w:r>
      <w:bookmarkEnd w:id="837"/>
      <w:bookmarkEnd w:id="838"/>
    </w:p>
    <w:p w14:paraId="5C935147">
      <w:pPr>
        <w:keepNext/>
        <w:keepLines/>
        <w:spacing w:before="260" w:after="260" w:line="416"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39" w:name="_Toc533863474"/>
      <w:r>
        <w:rPr>
          <w:rFonts w:ascii="宋体" w:hAnsi="宋体" w:eastAsia="宋体" w:cs="Times New Roman"/>
          <w:b/>
          <w:bCs/>
          <w:color w:val="000000" w:themeColor="text1"/>
          <w:szCs w:val="21"/>
          <w:highlight w:val="none"/>
          <w14:textFill>
            <w14:solidFill>
              <w14:schemeClr w14:val="tx1"/>
            </w14:solidFill>
          </w14:textFill>
        </w:rPr>
        <w:t>7.1 施工组织设计</w:t>
      </w:r>
      <w:bookmarkEnd w:id="839"/>
    </w:p>
    <w:p w14:paraId="286C7F0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7.1.1 </w:t>
      </w:r>
      <w:r>
        <w:rPr>
          <w:rFonts w:hint="eastAsia" w:ascii="宋体" w:hAnsi="宋体" w:eastAsia="宋体" w:cs="Calibri"/>
          <w:color w:val="000000" w:themeColor="text1"/>
          <w:szCs w:val="21"/>
          <w:highlight w:val="none"/>
          <w14:textFill>
            <w14:solidFill>
              <w14:schemeClr w14:val="tx1"/>
            </w14:solidFill>
          </w14:textFill>
        </w:rPr>
        <w:t>合</w:t>
      </w:r>
      <w:r>
        <w:rPr>
          <w:rFonts w:hint="eastAsia" w:ascii="宋体" w:hAnsi="宋体" w:eastAsia="宋体" w:cs="Calibri"/>
          <w:color w:val="000000" w:themeColor="text1"/>
          <w:kern w:val="0"/>
          <w:szCs w:val="21"/>
          <w:highlight w:val="none"/>
          <w14:textFill>
            <w14:solidFill>
              <w14:schemeClr w14:val="tx1"/>
            </w14:solidFill>
          </w14:textFill>
        </w:rPr>
        <w:t>同当事人约定的施工组织设计应包括的其他内容：</w:t>
      </w:r>
      <w:r>
        <w:rPr>
          <w:rFonts w:hint="eastAsia" w:ascii="宋体" w:hAnsi="宋体" w:eastAsia="宋体" w:cs="Calibri"/>
          <w:color w:val="000000" w:themeColor="text1"/>
          <w:szCs w:val="21"/>
          <w:highlight w:val="none"/>
          <w:u w:val="single"/>
          <w14:textFill>
            <w14:solidFill>
              <w14:schemeClr w14:val="tx1"/>
            </w14:solidFill>
          </w14:textFill>
        </w:rPr>
        <w:t>按《通用合同条款》7.1.1条执行</w:t>
      </w:r>
      <w:r>
        <w:rPr>
          <w:rFonts w:hint="eastAsia" w:ascii="宋体" w:hAnsi="宋体" w:eastAsia="宋体" w:cs="Calibri"/>
          <w:color w:val="000000" w:themeColor="text1"/>
          <w:szCs w:val="21"/>
          <w:highlight w:val="none"/>
          <w14:textFill>
            <w14:solidFill>
              <w14:schemeClr w14:val="tx1"/>
            </w14:solidFill>
          </w14:textFill>
        </w:rPr>
        <w:t>。</w:t>
      </w:r>
    </w:p>
    <w:p w14:paraId="2256DED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7.1.2 </w:t>
      </w:r>
      <w:r>
        <w:rPr>
          <w:rFonts w:hint="eastAsia" w:ascii="宋体" w:hAnsi="宋体" w:eastAsia="宋体" w:cs="Calibri"/>
          <w:color w:val="000000" w:themeColor="text1"/>
          <w:kern w:val="0"/>
          <w:szCs w:val="21"/>
          <w:highlight w:val="none"/>
          <w14:textFill>
            <w14:solidFill>
              <w14:schemeClr w14:val="tx1"/>
            </w14:solidFill>
          </w14:textFill>
        </w:rPr>
        <w:t>施工组织设计的提交和修改</w:t>
      </w:r>
    </w:p>
    <w:p w14:paraId="16FE32CF">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承包人提交详细施工组织设计的期限的约定：</w:t>
      </w:r>
      <w:r>
        <w:rPr>
          <w:rFonts w:hint="eastAsia" w:ascii="宋体" w:hAnsi="宋体" w:eastAsia="宋体" w:cs="Calibri"/>
          <w:color w:val="000000" w:themeColor="text1"/>
          <w:szCs w:val="21"/>
          <w:highlight w:val="none"/>
          <w:u w:val="single"/>
          <w14:textFill>
            <w14:solidFill>
              <w14:schemeClr w14:val="tx1"/>
            </w14:solidFill>
          </w14:textFill>
        </w:rPr>
        <w:t>承包人应在合同签订后7天内</w:t>
      </w:r>
      <w:r>
        <w:rPr>
          <w:rFonts w:hint="eastAsia" w:ascii="宋体" w:hAnsi="宋体" w:eastAsia="宋体" w:cs="Calibri"/>
          <w:color w:val="000000" w:themeColor="text1"/>
          <w:szCs w:val="21"/>
          <w:highlight w:val="none"/>
          <w14:textFill>
            <w14:solidFill>
              <w14:schemeClr w14:val="tx1"/>
            </w14:solidFill>
          </w14:textFill>
        </w:rPr>
        <w:t>。</w:t>
      </w:r>
    </w:p>
    <w:p w14:paraId="1A077B9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发包人和监理人在收到详细的施工组织设计后确认或提出修改意见的期限：</w:t>
      </w:r>
      <w:r>
        <w:rPr>
          <w:rFonts w:hint="eastAsia" w:ascii="宋体" w:hAnsi="宋体" w:eastAsia="宋体" w:cs="Calibri"/>
          <w:color w:val="000000" w:themeColor="text1"/>
          <w:szCs w:val="21"/>
          <w:highlight w:val="none"/>
          <w:u w:val="single"/>
          <w14:textFill>
            <w14:solidFill>
              <w14:schemeClr w14:val="tx1"/>
            </w14:solidFill>
          </w14:textFill>
        </w:rPr>
        <w:t>收到施工组织设计后2天内确认或提出修改意见</w:t>
      </w:r>
      <w:r>
        <w:rPr>
          <w:rFonts w:hint="eastAsia" w:ascii="宋体" w:hAnsi="宋体" w:eastAsia="宋体" w:cs="Calibri"/>
          <w:color w:val="000000" w:themeColor="text1"/>
          <w:szCs w:val="21"/>
          <w:highlight w:val="none"/>
          <w14:textFill>
            <w14:solidFill>
              <w14:schemeClr w14:val="tx1"/>
            </w14:solidFill>
          </w14:textFill>
        </w:rPr>
        <w:t>。</w:t>
      </w:r>
    </w:p>
    <w:p w14:paraId="24EC9716">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0" w:name="_Toc533863475"/>
      <w:r>
        <w:rPr>
          <w:rFonts w:ascii="宋体" w:hAnsi="宋体" w:eastAsia="宋体" w:cs="Times New Roman"/>
          <w:b/>
          <w:bCs/>
          <w:color w:val="000000" w:themeColor="text1"/>
          <w:szCs w:val="21"/>
          <w:highlight w:val="none"/>
          <w14:textFill>
            <w14:solidFill>
              <w14:schemeClr w14:val="tx1"/>
            </w14:solidFill>
          </w14:textFill>
        </w:rPr>
        <w:t>7</w:t>
      </w:r>
      <w:bookmarkStart w:id="841" w:name="_Toc312677479"/>
      <w:bookmarkStart w:id="842" w:name="_Toc312678005"/>
      <w:bookmarkStart w:id="843" w:name="_Toc304295541"/>
      <w:bookmarkStart w:id="844" w:name="_Toc297216173"/>
      <w:bookmarkStart w:id="845" w:name="_Toc303539123"/>
      <w:bookmarkStart w:id="846" w:name="_Toc300934966"/>
      <w:bookmarkStart w:id="847" w:name="_Toc297123514"/>
      <w:r>
        <w:rPr>
          <w:rFonts w:ascii="宋体" w:hAnsi="宋体" w:eastAsia="宋体" w:cs="Times New Roman"/>
          <w:b/>
          <w:bCs/>
          <w:color w:val="000000" w:themeColor="text1"/>
          <w:szCs w:val="21"/>
          <w:highlight w:val="none"/>
          <w14:textFill>
            <w14:solidFill>
              <w14:schemeClr w14:val="tx1"/>
            </w14:solidFill>
          </w14:textFill>
        </w:rPr>
        <w:t xml:space="preserve">.2 </w:t>
      </w:r>
      <w:r>
        <w:rPr>
          <w:rFonts w:hint="eastAsia" w:ascii="宋体" w:hAnsi="宋体" w:eastAsia="宋体" w:cs="Times New Roman"/>
          <w:b/>
          <w:bCs/>
          <w:color w:val="000000" w:themeColor="text1"/>
          <w:szCs w:val="21"/>
          <w:highlight w:val="none"/>
          <w14:textFill>
            <w14:solidFill>
              <w14:schemeClr w14:val="tx1"/>
            </w14:solidFill>
          </w14:textFill>
        </w:rPr>
        <w:t>施工进度计划</w:t>
      </w:r>
      <w:bookmarkEnd w:id="840"/>
    </w:p>
    <w:p w14:paraId="13FA4F9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7.2.2 </w:t>
      </w:r>
      <w:r>
        <w:rPr>
          <w:rFonts w:hint="eastAsia" w:ascii="宋体" w:hAnsi="宋体" w:eastAsia="宋体" w:cs="Calibri"/>
          <w:color w:val="000000" w:themeColor="text1"/>
          <w:szCs w:val="21"/>
          <w:highlight w:val="none"/>
          <w14:textFill>
            <w14:solidFill>
              <w14:schemeClr w14:val="tx1"/>
            </w14:solidFill>
          </w14:textFill>
        </w:rPr>
        <w:t>施工进度计划的修订</w:t>
      </w:r>
    </w:p>
    <w:p w14:paraId="47ABE5B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发包人和监理人在收到修订的施工进度计划后确认或提出修改意见的期限：</w:t>
      </w:r>
      <w:r>
        <w:rPr>
          <w:rFonts w:hint="eastAsia" w:ascii="宋体" w:hAnsi="宋体" w:eastAsia="宋体" w:cs="Calibri"/>
          <w:color w:val="000000" w:themeColor="text1"/>
          <w:szCs w:val="21"/>
          <w:highlight w:val="none"/>
          <w:u w:val="single"/>
          <w14:textFill>
            <w14:solidFill>
              <w14:schemeClr w14:val="tx1"/>
            </w14:solidFill>
          </w14:textFill>
        </w:rPr>
        <w:t>收到修订的施工进度计划后2天内确认或提出修改意见</w:t>
      </w:r>
      <w:r>
        <w:rPr>
          <w:rFonts w:hint="eastAsia" w:ascii="宋体" w:hAnsi="宋体" w:eastAsia="宋体" w:cs="Calibri"/>
          <w:color w:val="000000" w:themeColor="text1"/>
          <w:szCs w:val="21"/>
          <w:highlight w:val="none"/>
          <w14:textFill>
            <w14:solidFill>
              <w14:schemeClr w14:val="tx1"/>
            </w14:solidFill>
          </w14:textFill>
        </w:rPr>
        <w:t>。</w:t>
      </w:r>
    </w:p>
    <w:p w14:paraId="4A7E2155">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8" w:name="_Toc533863476"/>
      <w:r>
        <w:rPr>
          <w:rFonts w:ascii="宋体" w:hAnsi="宋体" w:eastAsia="宋体" w:cs="Times New Roman"/>
          <w:b/>
          <w:bCs/>
          <w:color w:val="000000" w:themeColor="text1"/>
          <w:szCs w:val="21"/>
          <w:highlight w:val="none"/>
          <w14:textFill>
            <w14:solidFill>
              <w14:schemeClr w14:val="tx1"/>
            </w14:solidFill>
          </w14:textFill>
        </w:rPr>
        <w:t xml:space="preserve">7.3 </w:t>
      </w:r>
      <w:r>
        <w:rPr>
          <w:rFonts w:hint="eastAsia" w:ascii="宋体" w:hAnsi="宋体" w:eastAsia="宋体" w:cs="Times New Roman"/>
          <w:b/>
          <w:bCs/>
          <w:color w:val="000000" w:themeColor="text1"/>
          <w:szCs w:val="21"/>
          <w:highlight w:val="none"/>
          <w14:textFill>
            <w14:solidFill>
              <w14:schemeClr w14:val="tx1"/>
            </w14:solidFill>
          </w14:textFill>
        </w:rPr>
        <w:t>开工</w:t>
      </w:r>
      <w:bookmarkEnd w:id="848"/>
    </w:p>
    <w:bookmarkEnd w:id="841"/>
    <w:bookmarkEnd w:id="842"/>
    <w:bookmarkEnd w:id="843"/>
    <w:bookmarkEnd w:id="844"/>
    <w:bookmarkEnd w:id="845"/>
    <w:bookmarkEnd w:id="846"/>
    <w:bookmarkEnd w:id="847"/>
    <w:p w14:paraId="3159706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7.3.1 </w:t>
      </w:r>
      <w:r>
        <w:rPr>
          <w:rFonts w:hint="eastAsia" w:ascii="宋体" w:hAnsi="宋体" w:eastAsia="宋体" w:cs="Calibri"/>
          <w:color w:val="000000" w:themeColor="text1"/>
          <w:szCs w:val="21"/>
          <w:highlight w:val="none"/>
          <w14:textFill>
            <w14:solidFill>
              <w14:schemeClr w14:val="tx1"/>
            </w14:solidFill>
          </w14:textFill>
        </w:rPr>
        <w:t>开工准备</w:t>
      </w:r>
    </w:p>
    <w:p w14:paraId="17875103">
      <w:pPr>
        <w:spacing w:line="360" w:lineRule="auto"/>
        <w:ind w:firstLine="426"/>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关于承包人提交</w:t>
      </w:r>
      <w:r>
        <w:rPr>
          <w:rFonts w:hint="eastAsia" w:ascii="宋体" w:hAnsi="宋体" w:eastAsia="宋体" w:cs="Calibri"/>
          <w:color w:val="000000" w:themeColor="text1"/>
          <w:kern w:val="0"/>
          <w:szCs w:val="21"/>
          <w:highlight w:val="none"/>
          <w14:textFill>
            <w14:solidFill>
              <w14:schemeClr w14:val="tx1"/>
            </w14:solidFill>
          </w14:textFill>
        </w:rPr>
        <w:t>工程开工报审表的期限：</w:t>
      </w: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7330664A">
      <w:pPr>
        <w:spacing w:line="360" w:lineRule="auto"/>
        <w:ind w:firstLine="426"/>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关于发包人应完成的其他开工准备工作及期限：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4DF13AE9">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关于承包人应完成的其他开工准备工作及期限：</w:t>
      </w: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739177F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7.3.2</w:t>
      </w:r>
      <w:r>
        <w:rPr>
          <w:rFonts w:hint="eastAsia" w:ascii="宋体" w:hAnsi="宋体" w:eastAsia="宋体" w:cs="Calibri"/>
          <w:color w:val="000000" w:themeColor="text1"/>
          <w:szCs w:val="21"/>
          <w:highlight w:val="none"/>
          <w14:textFill>
            <w14:solidFill>
              <w14:schemeClr w14:val="tx1"/>
            </w14:solidFill>
          </w14:textFill>
        </w:rPr>
        <w:t xml:space="preserve"> 开工通知</w:t>
      </w:r>
    </w:p>
    <w:p w14:paraId="776EC39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因发包人原因造成监理人未能在计划开工日期之日起</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90</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天内发出开工通知的，承包人有权提出价格调整要求，或者解除合同。</w:t>
      </w:r>
    </w:p>
    <w:p w14:paraId="5DF03A4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9" w:name="_Toc533863477"/>
      <w:r>
        <w:rPr>
          <w:rFonts w:ascii="宋体" w:hAnsi="宋体" w:eastAsia="宋体" w:cs="Times New Roman"/>
          <w:b/>
          <w:bCs/>
          <w:color w:val="000000" w:themeColor="text1"/>
          <w:szCs w:val="21"/>
          <w:highlight w:val="none"/>
          <w14:textFill>
            <w14:solidFill>
              <w14:schemeClr w14:val="tx1"/>
            </w14:solidFill>
          </w14:textFill>
        </w:rPr>
        <w:t xml:space="preserve">7.4 </w:t>
      </w:r>
      <w:r>
        <w:rPr>
          <w:rFonts w:hint="eastAsia" w:ascii="宋体" w:hAnsi="宋体" w:eastAsia="宋体" w:cs="Times New Roman"/>
          <w:b/>
          <w:bCs/>
          <w:color w:val="000000" w:themeColor="text1"/>
          <w:szCs w:val="21"/>
          <w:highlight w:val="none"/>
          <w14:textFill>
            <w14:solidFill>
              <w14:schemeClr w14:val="tx1"/>
            </w14:solidFill>
          </w14:textFill>
        </w:rPr>
        <w:t>测量放线</w:t>
      </w:r>
      <w:bookmarkEnd w:id="849"/>
    </w:p>
    <w:p w14:paraId="72F64F9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7.4.1</w:t>
      </w:r>
      <w:r>
        <w:rPr>
          <w:rFonts w:hint="eastAsia" w:ascii="宋体" w:hAnsi="宋体" w:eastAsia="宋体" w:cs="Calibri"/>
          <w:color w:val="000000" w:themeColor="text1"/>
          <w:szCs w:val="21"/>
          <w:highlight w:val="none"/>
          <w14:textFill>
            <w14:solidFill>
              <w14:schemeClr w14:val="tx1"/>
            </w14:solidFill>
          </w14:textFill>
        </w:rPr>
        <w:t>发包人通过监理人向承包人提供测量基准点、基准线和水准点及其书面资料的期限：</w:t>
      </w:r>
    </w:p>
    <w:p w14:paraId="147285E4">
      <w:pPr>
        <w:spacing w:line="360" w:lineRule="auto"/>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1643B4F5">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50" w:name="_Toc533863478"/>
      <w:r>
        <w:rPr>
          <w:rFonts w:ascii="宋体" w:hAnsi="宋体" w:eastAsia="宋体" w:cs="Times New Roman"/>
          <w:b/>
          <w:bCs/>
          <w:color w:val="000000" w:themeColor="text1"/>
          <w:szCs w:val="21"/>
          <w:highlight w:val="none"/>
          <w14:textFill>
            <w14:solidFill>
              <w14:schemeClr w14:val="tx1"/>
            </w14:solidFill>
          </w14:textFill>
        </w:rPr>
        <w:t>7</w:t>
      </w:r>
      <w:bookmarkStart w:id="851" w:name="_Toc312677484"/>
      <w:bookmarkStart w:id="852" w:name="_Toc297216175"/>
      <w:bookmarkStart w:id="853" w:name="_Toc312678010"/>
      <w:bookmarkStart w:id="854" w:name="_Toc297123516"/>
      <w:bookmarkStart w:id="855" w:name="_Toc300934968"/>
      <w:bookmarkStart w:id="856" w:name="_Toc304295546"/>
      <w:bookmarkStart w:id="857" w:name="_Toc303539125"/>
      <w:r>
        <w:rPr>
          <w:rFonts w:ascii="宋体" w:hAnsi="宋体" w:eastAsia="宋体" w:cs="Times New Roman"/>
          <w:b/>
          <w:bCs/>
          <w:color w:val="000000" w:themeColor="text1"/>
          <w:szCs w:val="21"/>
          <w:highlight w:val="none"/>
          <w14:textFill>
            <w14:solidFill>
              <w14:schemeClr w14:val="tx1"/>
            </w14:solidFill>
          </w14:textFill>
        </w:rPr>
        <w:t xml:space="preserve">.5 </w:t>
      </w:r>
      <w:r>
        <w:rPr>
          <w:rFonts w:hint="eastAsia" w:ascii="宋体" w:hAnsi="宋体" w:eastAsia="宋体" w:cs="Times New Roman"/>
          <w:b/>
          <w:bCs/>
          <w:color w:val="000000" w:themeColor="text1"/>
          <w:szCs w:val="21"/>
          <w:highlight w:val="none"/>
          <w14:textFill>
            <w14:solidFill>
              <w14:schemeClr w14:val="tx1"/>
            </w14:solidFill>
          </w14:textFill>
        </w:rPr>
        <w:t>工期延误</w:t>
      </w:r>
      <w:bookmarkEnd w:id="850"/>
    </w:p>
    <w:bookmarkEnd w:id="851"/>
    <w:bookmarkEnd w:id="852"/>
    <w:bookmarkEnd w:id="853"/>
    <w:bookmarkEnd w:id="854"/>
    <w:bookmarkEnd w:id="855"/>
    <w:bookmarkEnd w:id="856"/>
    <w:bookmarkEnd w:id="857"/>
    <w:p w14:paraId="38C0C2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7.5.1 </w:t>
      </w:r>
      <w:r>
        <w:rPr>
          <w:rFonts w:hint="eastAsia" w:ascii="宋体" w:hAnsi="宋体" w:eastAsia="宋体" w:cs="Calibri"/>
          <w:color w:val="000000" w:themeColor="text1"/>
          <w:szCs w:val="21"/>
          <w:highlight w:val="none"/>
          <w14:textFill>
            <w14:solidFill>
              <w14:schemeClr w14:val="tx1"/>
            </w14:solidFill>
          </w14:textFill>
        </w:rPr>
        <w:t>因发包人原因导致工期延误</w:t>
      </w:r>
    </w:p>
    <w:p w14:paraId="7CEDF76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Calibri"/>
          <w:color w:val="000000" w:themeColor="text1"/>
          <w:szCs w:val="21"/>
          <w:highlight w:val="none"/>
          <w14:textFill>
            <w14:solidFill>
              <w14:schemeClr w14:val="tx1"/>
            </w14:solidFill>
          </w14:textFill>
        </w:rPr>
        <w:t>）因发包人原因导致工期延误的其他情形：</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p>
    <w:p w14:paraId="63130ED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7.5.2 </w:t>
      </w:r>
      <w:r>
        <w:rPr>
          <w:rFonts w:hint="eastAsia" w:ascii="宋体" w:hAnsi="宋体" w:eastAsia="宋体" w:cs="Calibri"/>
          <w:color w:val="000000" w:themeColor="text1"/>
          <w:szCs w:val="21"/>
          <w:highlight w:val="none"/>
          <w14:textFill>
            <w14:solidFill>
              <w14:schemeClr w14:val="tx1"/>
            </w14:solidFill>
          </w14:textFill>
        </w:rPr>
        <w:t>因承包人原因导致工期延误</w:t>
      </w:r>
    </w:p>
    <w:p w14:paraId="602F78C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双方约定经监理工程师确认，工期相应顺延的情况：</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1E364C1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因承包人原因造成工期延误，逾期竣工违约金的计算方法为：</w:t>
      </w:r>
      <w:r>
        <w:rPr>
          <w:rFonts w:hint="eastAsia" w:ascii="宋体" w:hAnsi="宋体" w:eastAsia="宋体" w:cs="Calibri"/>
          <w:color w:val="000000" w:themeColor="text1"/>
          <w:szCs w:val="21"/>
          <w:highlight w:val="none"/>
          <w:u w:val="single"/>
          <w14:textFill>
            <w14:solidFill>
              <w14:schemeClr w14:val="tx1"/>
            </w14:solidFill>
          </w14:textFill>
        </w:rPr>
        <w:t>非上述原因，承包人不能按合同约定的时间竣工，承包人应承担违约责任。应向发包人支付误期赔偿费（每天赔偿金额为合同价款扣除建安劳保费、发包人材料价款、暂估专业工程、暂列金额后的万分之二），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2DFF73F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因承包人原因造成工期延误，逾期竣工违约金的上限：</w:t>
      </w:r>
      <w:r>
        <w:rPr>
          <w:rFonts w:hint="eastAsia" w:ascii="宋体" w:hAnsi="宋体" w:eastAsia="宋体" w:cs="Calibri"/>
          <w:color w:val="000000" w:themeColor="text1"/>
          <w:szCs w:val="21"/>
          <w:highlight w:val="none"/>
          <w:u w:val="single"/>
          <w14:textFill>
            <w14:solidFill>
              <w14:schemeClr w14:val="tx1"/>
            </w14:solidFill>
          </w14:textFill>
        </w:rPr>
        <w:t>合同价款扣除建安劳保费、发包人材料价款、暂估专业工程、暂列金额后的</w:t>
      </w:r>
      <w:r>
        <w:rPr>
          <w:rFonts w:ascii="宋体" w:hAnsi="宋体" w:eastAsia="宋体" w:cs="Calibri"/>
          <w:color w:val="000000" w:themeColor="text1"/>
          <w:sz w:val="24"/>
          <w:szCs w:val="24"/>
          <w:highlight w:val="none"/>
          <w:u w:val="single"/>
          <w14:textFill>
            <w14:solidFill>
              <w14:schemeClr w14:val="tx1"/>
            </w14:solidFill>
          </w14:textFill>
        </w:rPr>
        <w:t>1</w:t>
      </w:r>
      <w:r>
        <w:rPr>
          <w:rFonts w:hint="eastAsia" w:ascii="宋体" w:hAnsi="宋体" w:eastAsia="宋体" w:cs="Calibri"/>
          <w:color w:val="000000" w:themeColor="text1"/>
          <w:sz w:val="24"/>
          <w:szCs w:val="24"/>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w:t>
      </w:r>
    </w:p>
    <w:p w14:paraId="668AA70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58" w:name="_Toc533863479"/>
      <w:r>
        <w:rPr>
          <w:rFonts w:ascii="宋体" w:hAnsi="宋体" w:eastAsia="宋体" w:cs="Times New Roman"/>
          <w:b/>
          <w:bCs/>
          <w:color w:val="000000" w:themeColor="text1"/>
          <w:szCs w:val="21"/>
          <w:highlight w:val="none"/>
          <w14:textFill>
            <w14:solidFill>
              <w14:schemeClr w14:val="tx1"/>
            </w14:solidFill>
          </w14:textFill>
        </w:rPr>
        <w:t>7</w:t>
      </w:r>
      <w:bookmarkStart w:id="859" w:name="_Toc297216178"/>
      <w:bookmarkStart w:id="860" w:name="_Toc297123519"/>
      <w:bookmarkStart w:id="861" w:name="_Toc312678015"/>
      <w:bookmarkStart w:id="862" w:name="_Toc300934971"/>
      <w:bookmarkStart w:id="863" w:name="_Toc303539128"/>
      <w:bookmarkStart w:id="864" w:name="_Toc304295549"/>
      <w:r>
        <w:rPr>
          <w:rFonts w:ascii="宋体" w:hAnsi="宋体" w:eastAsia="宋体" w:cs="Times New Roman"/>
          <w:b/>
          <w:bCs/>
          <w:color w:val="000000" w:themeColor="text1"/>
          <w:szCs w:val="21"/>
          <w:highlight w:val="none"/>
          <w14:textFill>
            <w14:solidFill>
              <w14:schemeClr w14:val="tx1"/>
            </w14:solidFill>
          </w14:textFill>
        </w:rPr>
        <w:t xml:space="preserve">.6 </w:t>
      </w:r>
      <w:r>
        <w:rPr>
          <w:rFonts w:hint="eastAsia" w:ascii="宋体" w:hAnsi="宋体" w:eastAsia="宋体" w:cs="Times New Roman"/>
          <w:b/>
          <w:bCs/>
          <w:color w:val="000000" w:themeColor="text1"/>
          <w:szCs w:val="21"/>
          <w:highlight w:val="none"/>
          <w14:textFill>
            <w14:solidFill>
              <w14:schemeClr w14:val="tx1"/>
            </w14:solidFill>
          </w14:textFill>
        </w:rPr>
        <w:t>不</w:t>
      </w:r>
      <w:bookmarkEnd w:id="859"/>
      <w:bookmarkEnd w:id="860"/>
      <w:bookmarkEnd w:id="861"/>
      <w:bookmarkEnd w:id="862"/>
      <w:bookmarkEnd w:id="863"/>
      <w:bookmarkEnd w:id="864"/>
      <w:r>
        <w:rPr>
          <w:rFonts w:hint="eastAsia" w:ascii="宋体" w:hAnsi="宋体" w:eastAsia="宋体" w:cs="Times New Roman"/>
          <w:b/>
          <w:bCs/>
          <w:color w:val="000000" w:themeColor="text1"/>
          <w:szCs w:val="21"/>
          <w:highlight w:val="none"/>
          <w14:textFill>
            <w14:solidFill>
              <w14:schemeClr w14:val="tx1"/>
            </w14:solidFill>
          </w14:textFill>
        </w:rPr>
        <w:t>利物质条件</w:t>
      </w:r>
      <w:bookmarkEnd w:id="858"/>
    </w:p>
    <w:p w14:paraId="5C3BBA2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不利物质条件的其他情形和有关约定：</w:t>
      </w:r>
      <w:r>
        <w:rPr>
          <w:rFonts w:hint="eastAsia" w:ascii="宋体" w:hAnsi="宋体" w:eastAsia="宋体" w:cs="Calibri"/>
          <w:color w:val="000000" w:themeColor="text1"/>
          <w:szCs w:val="21"/>
          <w:highlight w:val="none"/>
          <w:u w:val="single"/>
          <w14:textFill>
            <w14:solidFill>
              <w14:schemeClr w14:val="tx1"/>
            </w14:solidFill>
          </w14:textFill>
        </w:rPr>
        <w:t>按《通用合同条款》7.6条执行</w:t>
      </w:r>
      <w:r>
        <w:rPr>
          <w:rFonts w:hint="eastAsia" w:ascii="宋体" w:hAnsi="宋体" w:eastAsia="宋体" w:cs="Calibri"/>
          <w:color w:val="000000" w:themeColor="text1"/>
          <w:szCs w:val="21"/>
          <w:highlight w:val="none"/>
          <w14:textFill>
            <w14:solidFill>
              <w14:schemeClr w14:val="tx1"/>
            </w14:solidFill>
          </w14:textFill>
        </w:rPr>
        <w:t>。</w:t>
      </w:r>
    </w:p>
    <w:p w14:paraId="78471B48">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65" w:name="_Toc533863480"/>
      <w:r>
        <w:rPr>
          <w:rFonts w:ascii="宋体" w:hAnsi="宋体" w:eastAsia="宋体" w:cs="Times New Roman"/>
          <w:b/>
          <w:bCs/>
          <w:color w:val="000000" w:themeColor="text1"/>
          <w:szCs w:val="21"/>
          <w:highlight w:val="none"/>
          <w14:textFill>
            <w14:solidFill>
              <w14:schemeClr w14:val="tx1"/>
            </w14:solidFill>
          </w14:textFill>
        </w:rPr>
        <w:t>7</w:t>
      </w:r>
      <w:bookmarkStart w:id="866" w:name="_Toc312678017"/>
      <w:bookmarkStart w:id="867" w:name="_Toc300934973"/>
      <w:bookmarkStart w:id="868" w:name="_Toc297216180"/>
      <w:bookmarkStart w:id="869" w:name="_Toc304295551"/>
      <w:bookmarkStart w:id="870" w:name="_Toc303539130"/>
      <w:bookmarkStart w:id="871" w:name="_Toc297123521"/>
      <w:r>
        <w:rPr>
          <w:rFonts w:ascii="宋体" w:hAnsi="宋体" w:eastAsia="宋体" w:cs="Times New Roman"/>
          <w:b/>
          <w:bCs/>
          <w:color w:val="000000" w:themeColor="text1"/>
          <w:szCs w:val="21"/>
          <w:highlight w:val="none"/>
          <w14:textFill>
            <w14:solidFill>
              <w14:schemeClr w14:val="tx1"/>
            </w14:solidFill>
          </w14:textFill>
        </w:rPr>
        <w:t>.7</w:t>
      </w:r>
      <w:r>
        <w:rPr>
          <w:rFonts w:hint="eastAsia" w:ascii="宋体" w:hAnsi="宋体" w:eastAsia="宋体" w:cs="Times New Roman"/>
          <w:b/>
          <w:bCs/>
          <w:color w:val="000000" w:themeColor="text1"/>
          <w:szCs w:val="21"/>
          <w:highlight w:val="none"/>
          <w14:textFill>
            <w14:solidFill>
              <w14:schemeClr w14:val="tx1"/>
            </w14:solidFill>
          </w14:textFill>
        </w:rPr>
        <w:t>异常恶劣的气候条件</w:t>
      </w:r>
      <w:bookmarkEnd w:id="865"/>
    </w:p>
    <w:bookmarkEnd w:id="866"/>
    <w:bookmarkEnd w:id="867"/>
    <w:bookmarkEnd w:id="868"/>
    <w:bookmarkEnd w:id="869"/>
    <w:bookmarkEnd w:id="870"/>
    <w:bookmarkEnd w:id="871"/>
    <w:p w14:paraId="3367529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发包人和承包人同意以下情形视为异常恶劣的气候条件：</w:t>
      </w:r>
    </w:p>
    <w:p w14:paraId="74B7D6AB">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5年一遇强度的降水；</w:t>
      </w:r>
    </w:p>
    <w:p w14:paraId="3F20666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6级以上大风；</w:t>
      </w:r>
    </w:p>
    <w:p w14:paraId="3ADAA45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室内气温40℃及以上。</w:t>
      </w:r>
    </w:p>
    <w:p w14:paraId="62928791">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72" w:name="_Toc533863481"/>
      <w:r>
        <w:rPr>
          <w:rFonts w:ascii="宋体" w:hAnsi="宋体" w:eastAsia="宋体" w:cs="Times New Roman"/>
          <w:b/>
          <w:bCs/>
          <w:color w:val="000000" w:themeColor="text1"/>
          <w:szCs w:val="21"/>
          <w:highlight w:val="none"/>
          <w14:textFill>
            <w14:solidFill>
              <w14:schemeClr w14:val="tx1"/>
            </w14:solidFill>
          </w14:textFill>
        </w:rPr>
        <w:t xml:space="preserve">7.9 </w:t>
      </w:r>
      <w:r>
        <w:rPr>
          <w:rFonts w:hint="eastAsia" w:ascii="宋体" w:hAnsi="宋体" w:eastAsia="宋体" w:cs="Times New Roman"/>
          <w:b/>
          <w:bCs/>
          <w:color w:val="000000" w:themeColor="text1"/>
          <w:szCs w:val="21"/>
          <w:highlight w:val="none"/>
          <w14:textFill>
            <w14:solidFill>
              <w14:schemeClr w14:val="tx1"/>
            </w14:solidFill>
          </w14:textFill>
        </w:rPr>
        <w:t>提前竣工的奖励</w:t>
      </w:r>
      <w:bookmarkEnd w:id="872"/>
    </w:p>
    <w:p w14:paraId="74340DE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873" w:name="_Toc351203640"/>
      <w:r>
        <w:rPr>
          <w:rFonts w:ascii="宋体" w:hAnsi="宋体" w:eastAsia="宋体" w:cs="宋体"/>
          <w:color w:val="000000" w:themeColor="text1"/>
          <w:szCs w:val="21"/>
          <w:highlight w:val="none"/>
          <w14:textFill>
            <w14:solidFill>
              <w14:schemeClr w14:val="tx1"/>
            </w14:solidFill>
          </w14:textFill>
        </w:rPr>
        <w:t>7.9.2</w:t>
      </w:r>
      <w:r>
        <w:rPr>
          <w:rFonts w:hint="eastAsia" w:ascii="宋体" w:hAnsi="宋体" w:eastAsia="宋体" w:cs="Calibri"/>
          <w:color w:val="000000" w:themeColor="text1"/>
          <w:szCs w:val="21"/>
          <w:highlight w:val="none"/>
          <w14:textFill>
            <w14:solidFill>
              <w14:schemeClr w14:val="tx1"/>
            </w14:solidFill>
          </w14:textFill>
        </w:rPr>
        <w:t>提前竣工（赶工）增加费的计算方法：</w:t>
      </w:r>
      <w:r>
        <w:rPr>
          <w:rFonts w:hint="eastAsia" w:ascii="宋体" w:hAnsi="宋体" w:eastAsia="宋体" w:cs="Calibri"/>
          <w:color w:val="000000" w:themeColor="text1"/>
          <w:szCs w:val="21"/>
          <w:highlight w:val="none"/>
          <w:u w:val="single"/>
          <w14:textFill>
            <w14:solidFill>
              <w14:schemeClr w14:val="tx1"/>
            </w14:solidFill>
          </w14:textFill>
        </w:rPr>
        <w:t>双方另议</w:t>
      </w:r>
      <w:r>
        <w:rPr>
          <w:rFonts w:hint="eastAsia" w:ascii="宋体" w:hAnsi="宋体" w:eastAsia="宋体" w:cs="Calibri"/>
          <w:color w:val="000000" w:themeColor="text1"/>
          <w:szCs w:val="21"/>
          <w:highlight w:val="none"/>
          <w14:textFill>
            <w14:solidFill>
              <w14:schemeClr w14:val="tx1"/>
            </w14:solidFill>
          </w14:textFill>
        </w:rPr>
        <w:t>。</w:t>
      </w:r>
    </w:p>
    <w:p w14:paraId="0827282C">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874" w:name="_Toc533863482"/>
      <w:bookmarkStart w:id="875" w:name="_Toc16024"/>
      <w:r>
        <w:rPr>
          <w:rFonts w:ascii="宋体" w:hAnsi="宋体" w:eastAsia="宋体" w:cs="Times New Roman"/>
          <w:b/>
          <w:bCs/>
          <w:color w:val="000000" w:themeColor="text1"/>
          <w:szCs w:val="21"/>
          <w:highlight w:val="none"/>
          <w14:textFill>
            <w14:solidFill>
              <w14:schemeClr w14:val="tx1"/>
            </w14:solidFill>
          </w14:textFill>
        </w:rPr>
        <w:t xml:space="preserve">8. </w:t>
      </w:r>
      <w:r>
        <w:rPr>
          <w:rFonts w:hint="eastAsia" w:ascii="宋体" w:hAnsi="宋体" w:eastAsia="宋体" w:cs="Times New Roman"/>
          <w:b/>
          <w:bCs/>
          <w:color w:val="000000" w:themeColor="text1"/>
          <w:szCs w:val="21"/>
          <w:highlight w:val="none"/>
          <w14:textFill>
            <w14:solidFill>
              <w14:schemeClr w14:val="tx1"/>
            </w14:solidFill>
          </w14:textFill>
        </w:rPr>
        <w:t>材料与设备</w:t>
      </w:r>
      <w:bookmarkEnd w:id="873"/>
      <w:bookmarkEnd w:id="874"/>
      <w:bookmarkEnd w:id="875"/>
    </w:p>
    <w:bookmarkEnd w:id="814"/>
    <w:bookmarkEnd w:id="815"/>
    <w:bookmarkEnd w:id="816"/>
    <w:bookmarkEnd w:id="817"/>
    <w:bookmarkEnd w:id="818"/>
    <w:bookmarkEnd w:id="819"/>
    <w:bookmarkEnd w:id="820"/>
    <w:bookmarkEnd w:id="821"/>
    <w:bookmarkEnd w:id="822"/>
    <w:bookmarkEnd w:id="823"/>
    <w:p w14:paraId="2E13C974">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76" w:name="_Toc533863483"/>
      <w:r>
        <w:rPr>
          <w:rFonts w:ascii="宋体" w:hAnsi="宋体" w:eastAsia="宋体" w:cs="Times New Roman"/>
          <w:b/>
          <w:bCs/>
          <w:color w:val="000000" w:themeColor="text1"/>
          <w:szCs w:val="21"/>
          <w:highlight w:val="none"/>
          <w14:textFill>
            <w14:solidFill>
              <w14:schemeClr w14:val="tx1"/>
            </w14:solidFill>
          </w14:textFill>
        </w:rPr>
        <w:t>8</w:t>
      </w:r>
      <w:bookmarkStart w:id="877" w:name="_Toc296346668"/>
      <w:bookmarkStart w:id="878" w:name="_Toc296944506"/>
      <w:bookmarkStart w:id="879" w:name="_Toc304295556"/>
      <w:bookmarkStart w:id="880" w:name="_Toc280868654"/>
      <w:bookmarkStart w:id="881" w:name="_Toc300934979"/>
      <w:bookmarkStart w:id="882" w:name="_Toc303539136"/>
      <w:bookmarkStart w:id="883" w:name="_Toc296347166"/>
      <w:bookmarkStart w:id="884" w:name="_Toc312677493"/>
      <w:bookmarkStart w:id="885" w:name="_Toc296503167"/>
      <w:bookmarkStart w:id="886" w:name="_Toc312678019"/>
      <w:bookmarkStart w:id="887" w:name="_Toc297123527"/>
      <w:bookmarkStart w:id="888" w:name="_Toc296891207"/>
      <w:bookmarkStart w:id="889" w:name="_Toc297216186"/>
      <w:bookmarkStart w:id="890" w:name="_Toc292559372"/>
      <w:bookmarkStart w:id="891" w:name="_Toc292559877"/>
      <w:bookmarkStart w:id="892" w:name="_Toc297048353"/>
      <w:bookmarkStart w:id="893" w:name="_Toc296890995"/>
      <w:bookmarkStart w:id="894" w:name="_Toc297120467"/>
      <w:bookmarkStart w:id="895" w:name="_Toc267251424"/>
      <w:bookmarkStart w:id="896" w:name="_Toc280868655"/>
      <w:bookmarkStart w:id="897" w:name="_Toc280868656"/>
      <w:r>
        <w:rPr>
          <w:rFonts w:ascii="宋体" w:hAnsi="宋体" w:eastAsia="宋体" w:cs="Times New Roman"/>
          <w:b/>
          <w:bCs/>
          <w:color w:val="000000" w:themeColor="text1"/>
          <w:szCs w:val="21"/>
          <w:highlight w:val="none"/>
          <w14:textFill>
            <w14:solidFill>
              <w14:schemeClr w14:val="tx1"/>
            </w14:solidFill>
          </w14:textFill>
        </w:rPr>
        <w:t>.4</w:t>
      </w:r>
      <w:r>
        <w:rPr>
          <w:rFonts w:hint="eastAsia" w:ascii="宋体" w:hAnsi="宋体" w:eastAsia="宋体" w:cs="Times New Roman"/>
          <w:b/>
          <w:bCs/>
          <w:color w:val="000000" w:themeColor="text1"/>
          <w:szCs w:val="21"/>
          <w:highlight w:val="none"/>
          <w14:textFill>
            <w14:solidFill>
              <w14:schemeClr w14:val="tx1"/>
            </w14:solidFill>
          </w14:textFill>
        </w:rPr>
        <w:t>材料与工程设备的保管与使用</w:t>
      </w:r>
      <w:bookmarkEnd w:id="876"/>
    </w:p>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14:paraId="11F9490D">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898" w:name="_Toc533863484"/>
      <w:bookmarkStart w:id="899" w:name="_Toc28182"/>
      <w:bookmarkStart w:id="900" w:name="_Toc13613"/>
      <w:bookmarkStart w:id="901" w:name="_Toc30340"/>
      <w:bookmarkStart w:id="902" w:name="_Toc19404"/>
      <w:bookmarkStart w:id="903" w:name="_Toc15119"/>
      <w:bookmarkStart w:id="904" w:name="_Toc303539137"/>
      <w:bookmarkStart w:id="905" w:name="_Toc296347167"/>
      <w:bookmarkStart w:id="906" w:name="_Toc296944507"/>
      <w:bookmarkStart w:id="907" w:name="_Toc312677494"/>
      <w:bookmarkStart w:id="908" w:name="_Toc296890996"/>
      <w:bookmarkStart w:id="909" w:name="_Toc312678020"/>
      <w:bookmarkStart w:id="910" w:name="_Toc296891208"/>
      <w:bookmarkStart w:id="911" w:name="_Toc318581173"/>
      <w:bookmarkStart w:id="912" w:name="_Toc297120468"/>
      <w:bookmarkStart w:id="913" w:name="_Toc296346669"/>
      <w:bookmarkStart w:id="914" w:name="_Toc297216187"/>
      <w:bookmarkStart w:id="915" w:name="_Toc304295557"/>
      <w:bookmarkStart w:id="916" w:name="_Toc300934980"/>
      <w:bookmarkStart w:id="917" w:name="_Toc297123528"/>
      <w:bookmarkStart w:id="918" w:name="_Toc296503168"/>
      <w:bookmarkStart w:id="919" w:name="_Toc297048354"/>
      <w:r>
        <w:rPr>
          <w:rFonts w:ascii="宋体" w:hAnsi="宋体" w:eastAsia="宋体" w:cs="宋体"/>
          <w:color w:val="000000" w:themeColor="text1"/>
          <w:szCs w:val="21"/>
          <w:highlight w:val="none"/>
          <w14:textFill>
            <w14:solidFill>
              <w14:schemeClr w14:val="tx1"/>
            </w14:solidFill>
          </w14:textFill>
        </w:rPr>
        <w:t>8.4.1</w:t>
      </w:r>
      <w:r>
        <w:rPr>
          <w:rFonts w:hint="eastAsia" w:ascii="宋体" w:hAnsi="宋体" w:eastAsia="宋体" w:cs="Calibri"/>
          <w:color w:val="000000" w:themeColor="text1"/>
          <w:szCs w:val="21"/>
          <w:highlight w:val="none"/>
          <w14:textFill>
            <w14:solidFill>
              <w14:schemeClr w14:val="tx1"/>
            </w14:solidFill>
          </w14:textFill>
        </w:rPr>
        <w:t>发包人供应的材料设备的保管费用的承担：</w:t>
      </w:r>
      <w:r>
        <w:rPr>
          <w:rFonts w:hint="eastAsia" w:ascii="宋体" w:hAnsi="宋体" w:eastAsia="宋体" w:cs="Calibri"/>
          <w:color w:val="000000" w:themeColor="text1"/>
          <w:szCs w:val="21"/>
          <w:highlight w:val="none"/>
          <w:u w:val="single"/>
          <w14:textFill>
            <w14:solidFill>
              <w14:schemeClr w14:val="tx1"/>
            </w14:solidFill>
          </w14:textFill>
        </w:rPr>
        <w:t>由承包人在报价中考虑并承担相应费用</w:t>
      </w:r>
      <w:r>
        <w:rPr>
          <w:rFonts w:hint="eastAsia" w:ascii="宋体" w:hAnsi="宋体" w:eastAsia="宋体" w:cs="Calibri"/>
          <w:color w:val="000000" w:themeColor="text1"/>
          <w:szCs w:val="21"/>
          <w:highlight w:val="none"/>
          <w14:textFill>
            <w14:solidFill>
              <w14:schemeClr w14:val="tx1"/>
            </w14:solidFill>
          </w14:textFill>
        </w:rPr>
        <w:t>。</w:t>
      </w:r>
      <w:bookmarkEnd w:id="898"/>
      <w:bookmarkEnd w:id="899"/>
      <w:bookmarkEnd w:id="900"/>
      <w:bookmarkEnd w:id="901"/>
      <w:bookmarkEnd w:id="902"/>
      <w:bookmarkEnd w:id="903"/>
    </w:p>
    <w:p w14:paraId="57933B6F">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8.4.2</w:t>
      </w:r>
      <w:r>
        <w:rPr>
          <w:rFonts w:hint="eastAsia" w:ascii="宋体" w:hAnsi="宋体" w:eastAsia="宋体" w:cs="Times New Roman"/>
          <w:color w:val="000000" w:themeColor="text1"/>
          <w:szCs w:val="21"/>
          <w:highlight w:val="none"/>
          <w14:textFill>
            <w14:solidFill>
              <w14:schemeClr w14:val="tx1"/>
            </w14:solidFill>
          </w14:textFill>
        </w:rPr>
        <w:t>本工程施工用水用电由发包人提供，用水用电费用按实际支出经双方核定确认后由发包人在工程结算中直接扣除。</w:t>
      </w:r>
    </w:p>
    <w:p w14:paraId="2131A19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20" w:name="_Toc533863485"/>
      <w:r>
        <w:rPr>
          <w:rFonts w:ascii="宋体" w:hAnsi="宋体" w:eastAsia="宋体" w:cs="Times New Roman"/>
          <w:b/>
          <w:bCs/>
          <w:color w:val="000000" w:themeColor="text1"/>
          <w:szCs w:val="21"/>
          <w:highlight w:val="none"/>
          <w14:textFill>
            <w14:solidFill>
              <w14:schemeClr w14:val="tx1"/>
            </w14:solidFill>
          </w14:textFill>
        </w:rPr>
        <w:t xml:space="preserve">8.6 </w:t>
      </w:r>
      <w:r>
        <w:rPr>
          <w:rFonts w:hint="eastAsia" w:ascii="宋体" w:hAnsi="宋体" w:eastAsia="宋体" w:cs="Times New Roman"/>
          <w:b/>
          <w:bCs/>
          <w:color w:val="000000" w:themeColor="text1"/>
          <w:szCs w:val="21"/>
          <w:highlight w:val="none"/>
          <w14:textFill>
            <w14:solidFill>
              <w14:schemeClr w14:val="tx1"/>
            </w14:solidFill>
          </w14:textFill>
        </w:rPr>
        <w:t>样品</w:t>
      </w:r>
      <w:bookmarkEnd w:id="920"/>
    </w:p>
    <w:p w14:paraId="648C5B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8.6.1</w:t>
      </w:r>
      <w:r>
        <w:rPr>
          <w:rFonts w:hint="eastAsia" w:ascii="宋体" w:hAnsi="宋体" w:eastAsia="宋体" w:cs="Calibri"/>
          <w:color w:val="000000" w:themeColor="text1"/>
          <w:kern w:val="0"/>
          <w:szCs w:val="21"/>
          <w:highlight w:val="none"/>
          <w14:textFill>
            <w14:solidFill>
              <w14:schemeClr w14:val="tx1"/>
            </w14:solidFill>
          </w14:textFill>
        </w:rPr>
        <w:t xml:space="preserve"> 样品的报送与封存</w:t>
      </w:r>
    </w:p>
    <w:p w14:paraId="31BE45A6">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需要承包人报送样品的材料或工程设备，样品的种类、名称、规格、数量要求：</w:t>
      </w:r>
      <w:r>
        <w:rPr>
          <w:rFonts w:hint="eastAsia" w:ascii="宋体" w:hAnsi="宋体" w:eastAsia="宋体" w:cs="Calibri"/>
          <w:color w:val="000000" w:themeColor="text1"/>
          <w:szCs w:val="21"/>
          <w:highlight w:val="none"/>
          <w:u w:val="single"/>
          <w14:textFill>
            <w14:solidFill>
              <w14:schemeClr w14:val="tx1"/>
            </w14:solidFill>
          </w14:textFill>
        </w:rPr>
        <w:t>主要材料涉及品种、款式、颜色等方面内容的，承包人应提交准备合格的材料样品送发包人选定。</w:t>
      </w:r>
    </w:p>
    <w:p w14:paraId="233DC2D3">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21" w:name="_Toc533863486"/>
      <w:r>
        <w:rPr>
          <w:rFonts w:ascii="宋体" w:hAnsi="宋体" w:eastAsia="宋体" w:cs="Times New Roman"/>
          <w:b/>
          <w:bCs/>
          <w:color w:val="000000" w:themeColor="text1"/>
          <w:szCs w:val="21"/>
          <w:highlight w:val="none"/>
          <w14:textFill>
            <w14:solidFill>
              <w14:schemeClr w14:val="tx1"/>
            </w14:solidFill>
          </w14:textFill>
        </w:rPr>
        <w:t xml:space="preserve">8.8 </w:t>
      </w:r>
      <w:r>
        <w:rPr>
          <w:rFonts w:hint="eastAsia" w:ascii="宋体" w:hAnsi="宋体" w:eastAsia="宋体" w:cs="Times New Roman"/>
          <w:b/>
          <w:bCs/>
          <w:color w:val="000000" w:themeColor="text1"/>
          <w:szCs w:val="21"/>
          <w:highlight w:val="none"/>
          <w14:textFill>
            <w14:solidFill>
              <w14:schemeClr w14:val="tx1"/>
            </w14:solidFill>
          </w14:textFill>
        </w:rPr>
        <w:t>施工设备和临时设施</w:t>
      </w:r>
      <w:bookmarkEnd w:id="921"/>
    </w:p>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14:paraId="203F4AAC">
      <w:pPr>
        <w:autoSpaceDE w:val="0"/>
        <w:autoSpaceDN w:val="0"/>
        <w:adjustRightInd w:val="0"/>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922" w:name="_Toc9097"/>
      <w:bookmarkStart w:id="923" w:name="_Toc4269"/>
      <w:bookmarkStart w:id="924" w:name="_Toc20397"/>
      <w:bookmarkStart w:id="925" w:name="_Toc24071"/>
      <w:bookmarkStart w:id="926" w:name="_Toc6092"/>
      <w:bookmarkStart w:id="927" w:name="_Toc533863487"/>
      <w:bookmarkStart w:id="928" w:name="_Toc351203641"/>
      <w:r>
        <w:rPr>
          <w:rFonts w:ascii="宋体" w:hAnsi="宋体" w:eastAsia="宋体" w:cs="宋体"/>
          <w:color w:val="000000" w:themeColor="text1"/>
          <w:szCs w:val="21"/>
          <w:highlight w:val="none"/>
          <w14:textFill>
            <w14:solidFill>
              <w14:schemeClr w14:val="tx1"/>
            </w14:solidFill>
          </w14:textFill>
        </w:rPr>
        <w:t xml:space="preserve">8.8.1 </w:t>
      </w:r>
      <w:r>
        <w:rPr>
          <w:rFonts w:hint="eastAsia" w:ascii="宋体" w:hAnsi="宋体" w:eastAsia="宋体" w:cs="Calibri"/>
          <w:color w:val="000000" w:themeColor="text1"/>
          <w:szCs w:val="21"/>
          <w:highlight w:val="none"/>
          <w14:textFill>
            <w14:solidFill>
              <w14:schemeClr w14:val="tx1"/>
            </w14:solidFill>
          </w14:textFill>
        </w:rPr>
        <w:t>承包人提供的施工设备和临时设施</w:t>
      </w:r>
      <w:bookmarkEnd w:id="922"/>
      <w:bookmarkEnd w:id="923"/>
      <w:bookmarkEnd w:id="924"/>
      <w:bookmarkEnd w:id="925"/>
      <w:bookmarkEnd w:id="926"/>
      <w:bookmarkEnd w:id="927"/>
    </w:p>
    <w:p w14:paraId="4BE41EF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4299D735">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关于修建临时设施费用承担的约定：</w:t>
      </w:r>
    </w:p>
    <w:p w14:paraId="43E7C3C4">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①承包人的临时用地（含项目部驻地等）租用费（含拆迁补偿）、临时用地的环保、恢复、临时用地的青苗补偿及地面附着物拆除等费用均由承包人负责，以上费用在投标报价中综合考虑。</w:t>
      </w:r>
    </w:p>
    <w:p w14:paraId="15D1797D">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24CDA763">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0537168B">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8.8.2 </w:t>
      </w:r>
      <w:r>
        <w:rPr>
          <w:rFonts w:hint="eastAsia" w:ascii="宋体" w:hAnsi="宋体" w:eastAsia="宋体" w:cs="Calibri"/>
          <w:color w:val="000000" w:themeColor="text1"/>
          <w:szCs w:val="21"/>
          <w:highlight w:val="none"/>
          <w14:textFill>
            <w14:solidFill>
              <w14:schemeClr w14:val="tx1"/>
            </w14:solidFill>
          </w14:textFill>
        </w:rPr>
        <w:t>发包人提供的施工设备和临时设施</w:t>
      </w:r>
    </w:p>
    <w:p w14:paraId="1A6324B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发包人提供的施工设备和临时设施：</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5EF109B">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发包人提供的施工设备和临时设施的运行、维护、拆除、清运费用的承担人：</w:t>
      </w:r>
      <w:r>
        <w:rPr>
          <w:rFonts w:hint="eastAsia" w:ascii="宋体" w:hAnsi="宋体" w:eastAsia="宋体" w:cs="Calibri"/>
          <w:color w:val="000000" w:themeColor="text1"/>
          <w:szCs w:val="21"/>
          <w:highlight w:val="none"/>
          <w:u w:val="single"/>
          <w14:textFill>
            <w14:solidFill>
              <w14:schemeClr w14:val="tx1"/>
            </w14:solidFill>
          </w14:textFill>
        </w:rPr>
        <w:t>由承包人承担相应费用</w:t>
      </w:r>
      <w:r>
        <w:rPr>
          <w:rFonts w:hint="eastAsia" w:ascii="宋体" w:hAnsi="宋体" w:eastAsia="宋体" w:cs="Calibri"/>
          <w:color w:val="000000" w:themeColor="text1"/>
          <w:szCs w:val="21"/>
          <w:highlight w:val="none"/>
          <w14:textFill>
            <w14:solidFill>
              <w14:schemeClr w14:val="tx1"/>
            </w14:solidFill>
          </w14:textFill>
        </w:rPr>
        <w:t>。</w:t>
      </w:r>
    </w:p>
    <w:p w14:paraId="759C2467">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929" w:name="_Toc3577"/>
      <w:bookmarkStart w:id="930" w:name="_Toc533863488"/>
      <w:r>
        <w:rPr>
          <w:rFonts w:ascii="宋体" w:hAnsi="宋体" w:eastAsia="宋体" w:cs="Times New Roman"/>
          <w:b/>
          <w:bCs/>
          <w:color w:val="000000" w:themeColor="text1"/>
          <w:szCs w:val="21"/>
          <w:highlight w:val="none"/>
          <w14:textFill>
            <w14:solidFill>
              <w14:schemeClr w14:val="tx1"/>
            </w14:solidFill>
          </w14:textFill>
        </w:rPr>
        <w:t>9</w:t>
      </w:r>
      <w:bookmarkEnd w:id="895"/>
      <w:bookmarkEnd w:id="896"/>
      <w:bookmarkEnd w:id="897"/>
      <w:bookmarkStart w:id="931" w:name="_Toc300934982"/>
      <w:bookmarkStart w:id="932" w:name="_Toc304295559"/>
      <w:bookmarkStart w:id="933" w:name="_Toc303539139"/>
      <w:bookmarkStart w:id="934" w:name="_Toc297216192"/>
      <w:bookmarkStart w:id="935" w:name="_Toc312678021"/>
      <w:bookmarkStart w:id="936" w:name="_Toc312677495"/>
      <w:bookmarkStart w:id="937" w:name="_Toc297123533"/>
      <w:bookmarkStart w:id="938" w:name="_Toc296891213"/>
      <w:bookmarkStart w:id="939" w:name="_Toc296346674"/>
      <w:bookmarkStart w:id="940" w:name="_Toc296891001"/>
      <w:bookmarkStart w:id="941" w:name="_Toc296503173"/>
      <w:bookmarkStart w:id="942" w:name="_Toc292559883"/>
      <w:bookmarkStart w:id="943" w:name="_Toc297048359"/>
      <w:bookmarkStart w:id="944" w:name="_Toc267251427"/>
      <w:bookmarkStart w:id="945" w:name="_Toc296944512"/>
      <w:bookmarkStart w:id="946" w:name="_Toc267251428"/>
      <w:bookmarkStart w:id="947" w:name="_Toc292559378"/>
      <w:bookmarkStart w:id="948" w:name="_Toc296347172"/>
      <w:bookmarkStart w:id="949" w:name="_Toc297120473"/>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试验与检验</w:t>
      </w:r>
      <w:bookmarkEnd w:id="928"/>
      <w:bookmarkEnd w:id="929"/>
      <w:bookmarkEnd w:id="930"/>
    </w:p>
    <w:bookmarkEnd w:id="931"/>
    <w:bookmarkEnd w:id="932"/>
    <w:bookmarkEnd w:id="933"/>
    <w:bookmarkEnd w:id="934"/>
    <w:bookmarkEnd w:id="935"/>
    <w:bookmarkEnd w:id="936"/>
    <w:bookmarkEnd w:id="937"/>
    <w:p w14:paraId="2F6EF6E2">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50" w:name="_Toc533863489"/>
      <w:r>
        <w:rPr>
          <w:rFonts w:ascii="宋体" w:hAnsi="宋体" w:eastAsia="宋体" w:cs="Times New Roman"/>
          <w:b/>
          <w:bCs/>
          <w:color w:val="000000" w:themeColor="text1"/>
          <w:szCs w:val="21"/>
          <w:highlight w:val="none"/>
          <w14:textFill>
            <w14:solidFill>
              <w14:schemeClr w14:val="tx1"/>
            </w14:solidFill>
          </w14:textFill>
        </w:rPr>
        <w:t>9</w:t>
      </w:r>
      <w:bookmarkStart w:id="951" w:name="_Toc297123534"/>
      <w:bookmarkStart w:id="952" w:name="_Toc303539140"/>
      <w:bookmarkStart w:id="953" w:name="_Toc304295560"/>
      <w:bookmarkStart w:id="954" w:name="_Toc300934983"/>
      <w:bookmarkStart w:id="955" w:name="_Toc312678022"/>
      <w:bookmarkStart w:id="956" w:name="_Toc312677496"/>
      <w:bookmarkStart w:id="957" w:name="_Toc297216193"/>
      <w:r>
        <w:rPr>
          <w:rFonts w:ascii="宋体" w:hAnsi="宋体" w:eastAsia="宋体" w:cs="Times New Roman"/>
          <w:b/>
          <w:bCs/>
          <w:color w:val="000000" w:themeColor="text1"/>
          <w:szCs w:val="21"/>
          <w:highlight w:val="none"/>
          <w14:textFill>
            <w14:solidFill>
              <w14:schemeClr w14:val="tx1"/>
            </w14:solidFill>
          </w14:textFill>
        </w:rPr>
        <w:t>.1</w:t>
      </w:r>
      <w:r>
        <w:rPr>
          <w:rFonts w:hint="eastAsia" w:ascii="宋体" w:hAnsi="宋体" w:eastAsia="宋体" w:cs="Times New Roman"/>
          <w:b/>
          <w:bCs/>
          <w:color w:val="000000" w:themeColor="text1"/>
          <w:szCs w:val="21"/>
          <w:highlight w:val="none"/>
          <w14:textFill>
            <w14:solidFill>
              <w14:schemeClr w14:val="tx1"/>
            </w14:solidFill>
          </w14:textFill>
        </w:rPr>
        <w:t>试验设备与试验人员</w:t>
      </w:r>
      <w:bookmarkEnd w:id="950"/>
    </w:p>
    <w:bookmarkEnd w:id="951"/>
    <w:bookmarkEnd w:id="952"/>
    <w:bookmarkEnd w:id="953"/>
    <w:bookmarkEnd w:id="954"/>
    <w:bookmarkEnd w:id="955"/>
    <w:bookmarkEnd w:id="956"/>
    <w:bookmarkEnd w:id="957"/>
    <w:p w14:paraId="49F366D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958" w:name="_Toc303539142"/>
      <w:bookmarkStart w:id="959" w:name="_Toc318581174"/>
      <w:bookmarkStart w:id="960" w:name="_Toc312677498"/>
      <w:bookmarkStart w:id="961" w:name="_Toc297216195"/>
      <w:bookmarkStart w:id="962" w:name="_Toc297123536"/>
      <w:bookmarkStart w:id="963" w:name="_Toc312678024"/>
      <w:bookmarkStart w:id="964" w:name="_Toc300934985"/>
      <w:bookmarkStart w:id="965" w:name="_Toc304295562"/>
      <w:r>
        <w:rPr>
          <w:rFonts w:ascii="宋体" w:hAnsi="宋体" w:eastAsia="宋体" w:cs="宋体"/>
          <w:color w:val="000000" w:themeColor="text1"/>
          <w:szCs w:val="21"/>
          <w:highlight w:val="none"/>
          <w14:textFill>
            <w14:solidFill>
              <w14:schemeClr w14:val="tx1"/>
            </w14:solidFill>
          </w14:textFill>
        </w:rPr>
        <w:t xml:space="preserve">9.1.2 </w:t>
      </w:r>
      <w:r>
        <w:rPr>
          <w:rFonts w:hint="eastAsia" w:ascii="宋体" w:hAnsi="宋体" w:eastAsia="宋体" w:cs="Calibri"/>
          <w:color w:val="000000" w:themeColor="text1"/>
          <w:szCs w:val="21"/>
          <w:highlight w:val="none"/>
          <w14:textFill>
            <w14:solidFill>
              <w14:schemeClr w14:val="tx1"/>
            </w14:solidFill>
          </w14:textFill>
        </w:rPr>
        <w:t>试验设备</w:t>
      </w:r>
    </w:p>
    <w:p w14:paraId="476FF39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施工现场需要配置的试验场所：</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454A507C">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施工现场需要配备的试验设备：</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52C8CE1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施工现场需要具备的其他试验条件：</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4DD4824D">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66" w:name="_Toc533863490"/>
      <w:r>
        <w:rPr>
          <w:rFonts w:ascii="宋体" w:hAnsi="宋体" w:eastAsia="宋体" w:cs="Times New Roman"/>
          <w:b/>
          <w:bCs/>
          <w:color w:val="000000" w:themeColor="text1"/>
          <w:szCs w:val="21"/>
          <w:highlight w:val="none"/>
          <w14:textFill>
            <w14:solidFill>
              <w14:schemeClr w14:val="tx1"/>
            </w14:solidFill>
          </w14:textFill>
        </w:rPr>
        <w:t xml:space="preserve">9.4 </w:t>
      </w:r>
      <w:r>
        <w:rPr>
          <w:rFonts w:hint="eastAsia" w:ascii="宋体" w:hAnsi="宋体" w:eastAsia="宋体" w:cs="Times New Roman"/>
          <w:b/>
          <w:bCs/>
          <w:color w:val="000000" w:themeColor="text1"/>
          <w:szCs w:val="21"/>
          <w:highlight w:val="none"/>
          <w14:textFill>
            <w14:solidFill>
              <w14:schemeClr w14:val="tx1"/>
            </w14:solidFill>
          </w14:textFill>
        </w:rPr>
        <w:t>现场工艺试验</w:t>
      </w:r>
      <w:bookmarkEnd w:id="966"/>
      <w:r>
        <w:rPr>
          <w:rFonts w:ascii="宋体" w:hAnsi="宋体" w:eastAsia="宋体" w:cs="Times New Roman"/>
          <w:b/>
          <w:bCs/>
          <w:color w:val="000000" w:themeColor="text1"/>
          <w:szCs w:val="21"/>
          <w:highlight w:val="none"/>
          <w14:textFill>
            <w14:solidFill>
              <w14:schemeClr w14:val="tx1"/>
            </w14:solidFill>
          </w14:textFill>
        </w:rPr>
        <w:t xml:space="preserve"> </w:t>
      </w:r>
    </w:p>
    <w:p w14:paraId="6EFA04F7">
      <w:pPr>
        <w:widowControl/>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现场工艺试验的有关约定：</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u w:val="single"/>
          <w14:textFill>
            <w14:solidFill>
              <w14:schemeClr w14:val="tx1"/>
            </w14:solidFill>
          </w14:textFill>
        </w:rPr>
        <w:t>按《通用合同条款》9.4条执行</w:t>
      </w:r>
      <w:r>
        <w:rPr>
          <w:rFonts w:hint="eastAsia" w:ascii="宋体" w:hAnsi="宋体" w:eastAsia="宋体" w:cs="Times New Roman"/>
          <w:color w:val="000000" w:themeColor="text1"/>
          <w:szCs w:val="21"/>
          <w:highlight w:val="none"/>
          <w14:textFill>
            <w14:solidFill>
              <w14:schemeClr w14:val="tx1"/>
            </w14:solidFill>
          </w14:textFill>
        </w:rPr>
        <w:t>。</w:t>
      </w:r>
    </w:p>
    <w:bookmarkEnd w:id="958"/>
    <w:bookmarkEnd w:id="959"/>
    <w:bookmarkEnd w:id="960"/>
    <w:bookmarkEnd w:id="961"/>
    <w:bookmarkEnd w:id="962"/>
    <w:bookmarkEnd w:id="963"/>
    <w:bookmarkEnd w:id="964"/>
    <w:bookmarkEnd w:id="965"/>
    <w:p w14:paraId="4E75C05B">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967" w:name="_Toc27297"/>
      <w:bookmarkStart w:id="968" w:name="_Toc351203642"/>
      <w:bookmarkStart w:id="969" w:name="_Toc533863491"/>
      <w:r>
        <w:rPr>
          <w:rFonts w:ascii="宋体" w:hAnsi="宋体" w:eastAsia="宋体" w:cs="Times New Roman"/>
          <w:b/>
          <w:bCs/>
          <w:color w:val="000000" w:themeColor="text1"/>
          <w:szCs w:val="21"/>
          <w:highlight w:val="none"/>
          <w14:textFill>
            <w14:solidFill>
              <w14:schemeClr w14:val="tx1"/>
            </w14:solidFill>
          </w14:textFill>
        </w:rPr>
        <w:t>1</w:t>
      </w:r>
      <w:bookmarkEnd w:id="938"/>
      <w:bookmarkEnd w:id="939"/>
      <w:bookmarkEnd w:id="940"/>
      <w:bookmarkEnd w:id="941"/>
      <w:bookmarkEnd w:id="942"/>
      <w:bookmarkEnd w:id="943"/>
      <w:bookmarkEnd w:id="944"/>
      <w:bookmarkEnd w:id="945"/>
      <w:bookmarkEnd w:id="946"/>
      <w:bookmarkEnd w:id="947"/>
      <w:bookmarkEnd w:id="948"/>
      <w:bookmarkEnd w:id="949"/>
      <w:bookmarkStart w:id="970" w:name="_Toc304295566"/>
      <w:bookmarkStart w:id="971" w:name="_Toc303539146"/>
      <w:bookmarkStart w:id="972" w:name="_Toc296891021"/>
      <w:bookmarkStart w:id="973" w:name="_Toc300934989"/>
      <w:bookmarkStart w:id="974" w:name="_Toc297120493"/>
      <w:bookmarkStart w:id="975" w:name="_Toc297216199"/>
      <w:bookmarkStart w:id="976" w:name="_Toc296347192"/>
      <w:bookmarkStart w:id="977" w:name="_Toc292559398"/>
      <w:bookmarkStart w:id="978" w:name="_Toc297048379"/>
      <w:bookmarkStart w:id="979" w:name="_Toc296503193"/>
      <w:bookmarkStart w:id="980" w:name="_Toc296346694"/>
      <w:bookmarkStart w:id="981" w:name="_Toc292559903"/>
      <w:bookmarkStart w:id="982" w:name="_Toc296944532"/>
      <w:bookmarkStart w:id="983" w:name="_Toc297123540"/>
      <w:bookmarkStart w:id="984" w:name="_Toc296891233"/>
      <w:bookmarkStart w:id="985" w:name="_Toc312677499"/>
      <w:bookmarkStart w:id="986" w:name="_Toc312678025"/>
      <w:bookmarkStart w:id="987" w:name="_Toc267251437"/>
      <w:bookmarkStart w:id="988" w:name="_Toc267251439"/>
      <w:bookmarkStart w:id="989" w:name="_Toc267251441"/>
      <w:bookmarkStart w:id="990" w:name="_Toc267251440"/>
      <w:bookmarkStart w:id="991" w:name="_Toc267251435"/>
      <w:bookmarkStart w:id="992" w:name="_Toc267251433"/>
      <w:bookmarkStart w:id="993" w:name="_Toc267251442"/>
      <w:r>
        <w:rPr>
          <w:rFonts w:ascii="宋体" w:hAnsi="宋体" w:eastAsia="宋体" w:cs="Times New Roman"/>
          <w:b/>
          <w:bCs/>
          <w:color w:val="000000" w:themeColor="text1"/>
          <w:szCs w:val="21"/>
          <w:highlight w:val="none"/>
          <w14:textFill>
            <w14:solidFill>
              <w14:schemeClr w14:val="tx1"/>
            </w14:solidFill>
          </w14:textFill>
        </w:rPr>
        <w:t xml:space="preserve">0. </w:t>
      </w:r>
      <w:r>
        <w:rPr>
          <w:rFonts w:hint="eastAsia" w:ascii="宋体" w:hAnsi="宋体" w:eastAsia="宋体" w:cs="Times New Roman"/>
          <w:b/>
          <w:bCs/>
          <w:color w:val="000000" w:themeColor="text1"/>
          <w:szCs w:val="21"/>
          <w:highlight w:val="none"/>
          <w14:textFill>
            <w14:solidFill>
              <w14:schemeClr w14:val="tx1"/>
            </w14:solidFill>
          </w14:textFill>
        </w:rPr>
        <w:t>变更</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bookmarkEnd w:id="985"/>
    <w:bookmarkEnd w:id="986"/>
    <w:p w14:paraId="641916A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bookmarkStart w:id="994" w:name="_Toc296347193"/>
      <w:bookmarkStart w:id="995" w:name="_Toc312678026"/>
      <w:bookmarkStart w:id="996" w:name="_Toc297216200"/>
      <w:bookmarkStart w:id="997" w:name="_Toc312677500"/>
      <w:bookmarkStart w:id="998" w:name="_Toc292559904"/>
      <w:bookmarkStart w:id="999" w:name="_Toc296891022"/>
      <w:bookmarkStart w:id="1000" w:name="_Toc296891234"/>
      <w:bookmarkStart w:id="1001" w:name="_Toc296944533"/>
      <w:bookmarkStart w:id="1002" w:name="_Toc297120494"/>
      <w:bookmarkStart w:id="1003" w:name="_Toc296346695"/>
      <w:bookmarkStart w:id="1004" w:name="_Toc297123541"/>
      <w:bookmarkStart w:id="1005" w:name="_Toc300934990"/>
      <w:bookmarkStart w:id="1006" w:name="_Toc292559399"/>
      <w:bookmarkStart w:id="1007" w:name="_Toc304295567"/>
      <w:bookmarkStart w:id="1008" w:name="_Toc297048380"/>
      <w:bookmarkStart w:id="1009" w:name="_Toc296503194"/>
      <w:bookmarkStart w:id="1010" w:name="_Toc303539147"/>
      <w:r>
        <w:rPr>
          <w:rFonts w:ascii="宋体" w:hAnsi="宋体" w:eastAsia="宋体" w:cs="Times New Roman"/>
          <w:color w:val="000000" w:themeColor="text1"/>
          <w:szCs w:val="21"/>
          <w:highlight w:val="none"/>
          <w14:textFill>
            <w14:solidFill>
              <w14:schemeClr w14:val="tx1"/>
            </w14:solidFill>
          </w14:textFill>
        </w:rPr>
        <w:t>0.1</w:t>
      </w:r>
      <w:r>
        <w:rPr>
          <w:rFonts w:hint="eastAsia" w:ascii="宋体" w:hAnsi="宋体" w:eastAsia="宋体" w:cs="Times New Roman"/>
          <w:color w:val="000000" w:themeColor="text1"/>
          <w:szCs w:val="21"/>
          <w:highlight w:val="none"/>
          <w14:textFill>
            <w14:solidFill>
              <w14:schemeClr w14:val="tx1"/>
            </w14:solidFill>
          </w14:textFill>
        </w:rPr>
        <w:t>变更的范围</w:t>
      </w:r>
    </w:p>
    <w:p w14:paraId="07D4AD0E">
      <w:pPr>
        <w:spacing w:line="360" w:lineRule="auto"/>
        <w:ind w:firstLine="426"/>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关于变更的范围的约定：</w:t>
      </w:r>
      <w:r>
        <w:rPr>
          <w:rFonts w:hint="eastAsia" w:ascii="宋体" w:hAnsi="宋体" w:eastAsia="宋体" w:cs="Calibri"/>
          <w:color w:val="000000" w:themeColor="text1"/>
          <w:szCs w:val="21"/>
          <w:highlight w:val="none"/>
          <w:u w:val="single"/>
          <w14:textFill>
            <w14:solidFill>
              <w14:schemeClr w14:val="tx1"/>
            </w14:solidFill>
          </w14:textFill>
        </w:rPr>
        <w:t>缺项、漏项、设计变更等</w:t>
      </w:r>
      <w:r>
        <w:rPr>
          <w:rFonts w:hint="eastAsia" w:ascii="宋体" w:hAnsi="宋体" w:eastAsia="宋体" w:cs="Calibri"/>
          <w:color w:val="000000" w:themeColor="text1"/>
          <w:szCs w:val="21"/>
          <w:highlight w:val="none"/>
          <w14:textFill>
            <w14:solidFill>
              <w14:schemeClr w14:val="tx1"/>
            </w14:solidFill>
          </w14:textFill>
        </w:rPr>
        <w:t>。</w:t>
      </w:r>
    </w:p>
    <w:p w14:paraId="60A1BA03">
      <w:pPr>
        <w:keepNext/>
        <w:keepLines/>
        <w:spacing w:before="260" w:after="260" w:line="410" w:lineRule="auto"/>
        <w:outlineLvl w:val="0"/>
        <w:rPr>
          <w:rFonts w:ascii="宋体" w:hAnsi="宋体" w:eastAsia="宋体" w:cs="宋体"/>
          <w:b/>
          <w:bCs/>
          <w:color w:val="000000" w:themeColor="text1"/>
          <w:kern w:val="0"/>
          <w:szCs w:val="21"/>
          <w:highlight w:val="none"/>
          <w14:textFill>
            <w14:solidFill>
              <w14:schemeClr w14:val="tx1"/>
            </w14:solidFill>
          </w14:textFill>
        </w:rPr>
      </w:pPr>
      <w:bookmarkStart w:id="1011" w:name="_Toc28142"/>
      <w:bookmarkStart w:id="1012" w:name="_Toc14073"/>
      <w:bookmarkStart w:id="1013" w:name="_Toc533863492"/>
      <w:bookmarkStart w:id="1014" w:name="_Toc17811"/>
      <w:bookmarkStart w:id="1015" w:name="_Toc30118"/>
      <w:bookmarkStart w:id="1016" w:name="_Toc28368"/>
      <w:r>
        <w:rPr>
          <w:rFonts w:ascii="宋体" w:hAnsi="宋体" w:eastAsia="宋体" w:cs="宋体"/>
          <w:b/>
          <w:bCs/>
          <w:color w:val="000000" w:themeColor="text1"/>
          <w:kern w:val="0"/>
          <w:szCs w:val="21"/>
          <w:highlight w:val="none"/>
          <w14:textFill>
            <w14:solidFill>
              <w14:schemeClr w14:val="tx1"/>
            </w14:solidFill>
          </w14:textFill>
        </w:rPr>
        <w:t xml:space="preserve">10.3 </w:t>
      </w:r>
      <w:r>
        <w:rPr>
          <w:rFonts w:hint="eastAsia" w:ascii="宋体" w:hAnsi="宋体" w:eastAsia="宋体" w:cs="Calibri"/>
          <w:b/>
          <w:bCs/>
          <w:color w:val="000000" w:themeColor="text1"/>
          <w:kern w:val="0"/>
          <w:szCs w:val="21"/>
          <w:highlight w:val="none"/>
          <w14:textFill>
            <w14:solidFill>
              <w14:schemeClr w14:val="tx1"/>
            </w14:solidFill>
          </w14:textFill>
        </w:rPr>
        <w:t>变更程序</w:t>
      </w:r>
      <w:bookmarkEnd w:id="1011"/>
      <w:bookmarkEnd w:id="1012"/>
      <w:bookmarkEnd w:id="1013"/>
      <w:bookmarkEnd w:id="1014"/>
      <w:bookmarkEnd w:id="1015"/>
      <w:bookmarkEnd w:id="1016"/>
    </w:p>
    <w:p w14:paraId="437A6522">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10.3.1 </w:t>
      </w:r>
      <w:r>
        <w:rPr>
          <w:rFonts w:hint="eastAsia" w:ascii="宋体" w:hAnsi="宋体" w:eastAsia="宋体" w:cs="宋体"/>
          <w:color w:val="000000" w:themeColor="text1"/>
          <w:kern w:val="0"/>
          <w:szCs w:val="21"/>
          <w:highlight w:val="none"/>
          <w14:textFill>
            <w14:solidFill>
              <w14:schemeClr w14:val="tx1"/>
            </w14:solidFill>
          </w14:textFill>
        </w:rPr>
        <w:t>国有投资项目：</w:t>
      </w:r>
    </w:p>
    <w:p w14:paraId="65B8DA71">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⑴ </w:t>
      </w:r>
      <w:r>
        <w:rPr>
          <w:rFonts w:hint="eastAsia" w:ascii="宋体" w:hAnsi="宋体" w:eastAsia="宋体" w:cs="宋体"/>
          <w:color w:val="000000" w:themeColor="text1"/>
          <w:kern w:val="0"/>
          <w:szCs w:val="21"/>
          <w:highlight w:val="none"/>
          <w14:textFill>
            <w14:solidFill>
              <w14:schemeClr w14:val="tx1"/>
            </w14:solidFill>
          </w14:textFill>
        </w:rPr>
        <w:t>设计变更和工程签证，按各市政府或相关部门的规定办理。属不可抗力（自然灾害、突发事件等）造成变更的，按特事特办原则予以办理。</w:t>
      </w:r>
    </w:p>
    <w:p w14:paraId="1E02BB2B">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⑵ </w:t>
      </w:r>
      <w:r>
        <w:rPr>
          <w:rFonts w:hint="eastAsia" w:ascii="宋体" w:hAnsi="宋体" w:eastAsia="宋体" w:cs="宋体"/>
          <w:color w:val="000000" w:themeColor="text1"/>
          <w:kern w:val="0"/>
          <w:szCs w:val="21"/>
          <w:highlight w:val="none"/>
          <w14:textFill>
            <w14:solidFill>
              <w14:schemeClr w14:val="tx1"/>
            </w14:solidFill>
          </w14:textFill>
        </w:rPr>
        <w:t>建设单位在实施项目过程中，若发生单价变动，由建设单位、监理单位、施工单位及其他相关单位共同商定并签字确认。</w:t>
      </w:r>
    </w:p>
    <w:p w14:paraId="0A9CE25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⑶ </w:t>
      </w:r>
      <w:r>
        <w:rPr>
          <w:rFonts w:hint="eastAsia" w:ascii="宋体" w:hAnsi="宋体" w:eastAsia="宋体" w:cs="Calibri"/>
          <w:color w:val="000000" w:themeColor="text1"/>
          <w:szCs w:val="21"/>
          <w:highlight w:val="none"/>
          <w14:textFill>
            <w14:solidFill>
              <w14:schemeClr w14:val="tx1"/>
            </w14:solidFill>
          </w14:textFill>
        </w:rPr>
        <w:t>当合同规定的合同价款调整情况发生后，承包人未在规定时间内通知发包人，或者未在规定时间内提出调整报告，发包人可以根据有关资料，决定是否调整和调整的金额，并书面通知承包人。</w:t>
      </w:r>
    </w:p>
    <w:p w14:paraId="1253C5C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10.3.2</w:t>
      </w:r>
      <w:r>
        <w:rPr>
          <w:rFonts w:hint="eastAsia" w:ascii="宋体" w:hAnsi="宋体" w:eastAsia="宋体" w:cs="Calibri"/>
          <w:color w:val="000000" w:themeColor="text1"/>
          <w:szCs w:val="21"/>
          <w:highlight w:val="none"/>
          <w14:textFill>
            <w14:solidFill>
              <w14:schemeClr w14:val="tx1"/>
            </w14:solidFill>
          </w14:textFill>
        </w:rPr>
        <w:t xml:space="preserve"> 非国有投资项目：</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E75D3EE">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10.4 </w:t>
      </w:r>
      <w:r>
        <w:rPr>
          <w:rFonts w:hint="eastAsia" w:ascii="宋体" w:hAnsi="宋体" w:eastAsia="宋体" w:cs="Times New Roman"/>
          <w:b/>
          <w:color w:val="000000" w:themeColor="text1"/>
          <w:szCs w:val="21"/>
          <w:highlight w:val="none"/>
          <w14:textFill>
            <w14:solidFill>
              <w14:schemeClr w14:val="tx1"/>
            </w14:solidFill>
          </w14:textFill>
        </w:rPr>
        <w:t>变更估价</w:t>
      </w:r>
    </w:p>
    <w:p w14:paraId="529DF34F">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017" w:name="_Toc4268"/>
      <w:bookmarkStart w:id="1018" w:name="_Toc533863493"/>
      <w:bookmarkStart w:id="1019" w:name="_Toc25294"/>
      <w:bookmarkStart w:id="1020" w:name="_Toc25009"/>
      <w:bookmarkStart w:id="1021" w:name="_Toc5524"/>
      <w:bookmarkStart w:id="1022" w:name="_Toc3300"/>
      <w:r>
        <w:rPr>
          <w:rFonts w:ascii="宋体" w:hAnsi="宋体" w:eastAsia="宋体" w:cs="宋体"/>
          <w:color w:val="000000" w:themeColor="text1"/>
          <w:szCs w:val="21"/>
          <w:highlight w:val="none"/>
          <w14:textFill>
            <w14:solidFill>
              <w14:schemeClr w14:val="tx1"/>
            </w14:solidFill>
          </w14:textFill>
        </w:rPr>
        <w:t xml:space="preserve">10.4.1 </w:t>
      </w:r>
      <w:r>
        <w:rPr>
          <w:rFonts w:hint="eastAsia" w:ascii="宋体" w:hAnsi="宋体" w:eastAsia="宋体" w:cs="Calibri"/>
          <w:color w:val="000000" w:themeColor="text1"/>
          <w:szCs w:val="21"/>
          <w:highlight w:val="none"/>
          <w14:textFill>
            <w14:solidFill>
              <w14:schemeClr w14:val="tx1"/>
            </w14:solidFill>
          </w14:textFill>
        </w:rPr>
        <w:t>变更估价原则</w:t>
      </w:r>
      <w:bookmarkEnd w:id="1017"/>
      <w:bookmarkEnd w:id="1018"/>
      <w:bookmarkEnd w:id="1019"/>
      <w:bookmarkEnd w:id="1020"/>
      <w:bookmarkEnd w:id="1021"/>
      <w:bookmarkEnd w:id="1022"/>
    </w:p>
    <w:p w14:paraId="0677E021">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关于变更估价的约定：</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因设计变更、国家政策法规变化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其中材料价格随市场变动相应价格信息进行计算；无定额可套的，根据市场价格协商确定综合价格；对于国有资产投资的项目，新增项目的单价必须经财政部门审定。</w:t>
      </w:r>
    </w:p>
    <w:p w14:paraId="6559E680">
      <w:pPr>
        <w:spacing w:after="120"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1</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Start w:id="1023" w:name="_Toc297123544"/>
      <w:bookmarkStart w:id="1024" w:name="_Toc296891237"/>
      <w:bookmarkStart w:id="1025" w:name="_Toc297048383"/>
      <w:bookmarkStart w:id="1026" w:name="_Toc292559907"/>
      <w:bookmarkStart w:id="1027" w:name="_Toc300934993"/>
      <w:bookmarkStart w:id="1028" w:name="_Toc297120497"/>
      <w:bookmarkStart w:id="1029" w:name="_Toc296347196"/>
      <w:bookmarkStart w:id="1030" w:name="_Toc297216203"/>
      <w:bookmarkStart w:id="1031" w:name="_Toc296891025"/>
      <w:bookmarkStart w:id="1032" w:name="_Toc296503197"/>
      <w:bookmarkStart w:id="1033" w:name="_Toc292559402"/>
      <w:bookmarkStart w:id="1034" w:name="_Toc296346698"/>
      <w:bookmarkStart w:id="1035" w:name="_Toc296944536"/>
      <w:bookmarkStart w:id="1036" w:name="_Toc303539150"/>
      <w:bookmarkStart w:id="1037" w:name="_Toc312678029"/>
      <w:bookmarkStart w:id="1038" w:name="_Toc312677503"/>
      <w:bookmarkStart w:id="1039" w:name="_Toc304295570"/>
      <w:r>
        <w:rPr>
          <w:rFonts w:ascii="宋体" w:hAnsi="宋体" w:eastAsia="宋体" w:cs="Times New Roman"/>
          <w:b/>
          <w:color w:val="000000" w:themeColor="text1"/>
          <w:szCs w:val="21"/>
          <w:highlight w:val="none"/>
          <w14:textFill>
            <w14:solidFill>
              <w14:schemeClr w14:val="tx1"/>
            </w14:solidFill>
          </w14:textFill>
        </w:rPr>
        <w:t>0.5</w:t>
      </w:r>
      <w:r>
        <w:rPr>
          <w:rFonts w:hint="eastAsia" w:ascii="宋体" w:hAnsi="宋体" w:eastAsia="宋体" w:cs="Times New Roman"/>
          <w:b/>
          <w:color w:val="000000" w:themeColor="text1"/>
          <w:szCs w:val="21"/>
          <w:highlight w:val="none"/>
          <w14:textFill>
            <w14:solidFill>
              <w14:schemeClr w14:val="tx1"/>
            </w14:solidFill>
          </w14:textFill>
        </w:rPr>
        <w:t>承</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Start w:id="1040" w:name="_Toc303539151"/>
      <w:bookmarkStart w:id="1041" w:name="_Toc300934994"/>
      <w:bookmarkStart w:id="1042" w:name="_Toc292559408"/>
      <w:bookmarkStart w:id="1043" w:name="_Toc296346704"/>
      <w:bookmarkStart w:id="1044" w:name="_Toc297216204"/>
      <w:bookmarkStart w:id="1045" w:name="_Toc297120503"/>
      <w:bookmarkStart w:id="1046" w:name="_Toc296944542"/>
      <w:bookmarkStart w:id="1047" w:name="_Toc292559913"/>
      <w:bookmarkStart w:id="1048" w:name="_Toc297048389"/>
      <w:bookmarkStart w:id="1049" w:name="_Toc296891243"/>
      <w:bookmarkStart w:id="1050" w:name="_Toc296503203"/>
      <w:bookmarkStart w:id="1051" w:name="_Toc297123545"/>
      <w:bookmarkStart w:id="1052" w:name="_Toc296891031"/>
      <w:bookmarkStart w:id="1053" w:name="_Toc296347202"/>
      <w:r>
        <w:rPr>
          <w:rFonts w:hint="eastAsia" w:ascii="宋体" w:hAnsi="宋体" w:eastAsia="宋体" w:cs="Times New Roman"/>
          <w:b/>
          <w:color w:val="000000" w:themeColor="text1"/>
          <w:szCs w:val="21"/>
          <w:highlight w:val="none"/>
          <w14:textFill>
            <w14:solidFill>
              <w14:schemeClr w14:val="tx1"/>
            </w14:solidFill>
          </w14:textFill>
        </w:rPr>
        <w:t>包人的合理化建议</w:t>
      </w:r>
    </w:p>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14:paraId="544FBDD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监理人审查承包人合理化建议的期限：</w:t>
      </w:r>
      <w:r>
        <w:rPr>
          <w:rFonts w:hint="eastAsia" w:ascii="宋体" w:hAnsi="宋体" w:eastAsia="宋体" w:cs="Calibri"/>
          <w:color w:val="000000" w:themeColor="text1"/>
          <w:szCs w:val="21"/>
          <w:highlight w:val="none"/>
          <w:u w:val="single"/>
          <w14:textFill>
            <w14:solidFill>
              <w14:schemeClr w14:val="tx1"/>
            </w14:solidFill>
          </w14:textFill>
        </w:rPr>
        <w:t>3天内审查完毕并报发包人</w:t>
      </w:r>
      <w:r>
        <w:rPr>
          <w:rFonts w:hint="eastAsia" w:ascii="宋体" w:hAnsi="宋体" w:eastAsia="宋体" w:cs="Calibri"/>
          <w:color w:val="000000" w:themeColor="text1"/>
          <w:szCs w:val="21"/>
          <w:highlight w:val="none"/>
          <w14:textFill>
            <w14:solidFill>
              <w14:schemeClr w14:val="tx1"/>
            </w14:solidFill>
          </w14:textFill>
        </w:rPr>
        <w:t>。</w:t>
      </w:r>
    </w:p>
    <w:p w14:paraId="44A808D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发包人审批承包人合理化建议的期限：</w:t>
      </w:r>
      <w:r>
        <w:rPr>
          <w:rFonts w:hint="eastAsia" w:ascii="宋体" w:hAnsi="宋体" w:eastAsia="宋体" w:cs="Calibri"/>
          <w:color w:val="000000" w:themeColor="text1"/>
          <w:szCs w:val="21"/>
          <w:highlight w:val="none"/>
          <w:u w:val="single"/>
          <w14:textFill>
            <w14:solidFill>
              <w14:schemeClr w14:val="tx1"/>
            </w14:solidFill>
          </w14:textFill>
        </w:rPr>
        <w:t>收到监理人报送的合理化建议后3天内审批完毕</w:t>
      </w:r>
      <w:r>
        <w:rPr>
          <w:rFonts w:hint="eastAsia" w:ascii="宋体" w:hAnsi="宋体" w:eastAsia="宋体" w:cs="Calibri"/>
          <w:color w:val="000000" w:themeColor="text1"/>
          <w:szCs w:val="21"/>
          <w:highlight w:val="none"/>
          <w14:textFill>
            <w14:solidFill>
              <w14:schemeClr w14:val="tx1"/>
            </w14:solidFill>
          </w14:textFill>
        </w:rPr>
        <w:t>。</w:t>
      </w:r>
    </w:p>
    <w:p w14:paraId="0E16740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承包人提出的合理化建议降低了合同价格或者提高了工程经济效益的奖励的方法和金额为：</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4F80FE3C">
      <w:pPr>
        <w:spacing w:line="360" w:lineRule="auto"/>
        <w:jc w:val="left"/>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1</w:t>
      </w:r>
      <w:bookmarkStart w:id="1054" w:name="_Toc296346700"/>
      <w:bookmarkStart w:id="1055" w:name="_Toc300934997"/>
      <w:bookmarkStart w:id="1056" w:name="_Toc296503199"/>
      <w:bookmarkStart w:id="1057" w:name="_Toc296944538"/>
      <w:bookmarkStart w:id="1058" w:name="_Toc304295574"/>
      <w:bookmarkStart w:id="1059" w:name="_Toc297216207"/>
      <w:bookmarkStart w:id="1060" w:name="_Toc296891027"/>
      <w:bookmarkStart w:id="1061" w:name="_Toc303539154"/>
      <w:bookmarkStart w:id="1062" w:name="_Toc292559404"/>
      <w:bookmarkStart w:id="1063" w:name="_Toc312677507"/>
      <w:bookmarkStart w:id="1064" w:name="_Toc292559909"/>
      <w:bookmarkStart w:id="1065" w:name="_Toc297048385"/>
      <w:bookmarkStart w:id="1066" w:name="_Toc296347198"/>
      <w:bookmarkStart w:id="1067" w:name="_Toc296891239"/>
      <w:bookmarkStart w:id="1068" w:name="_Toc297120499"/>
      <w:bookmarkStart w:id="1069" w:name="_Toc312678033"/>
      <w:bookmarkStart w:id="1070" w:name="_Toc297123548"/>
      <w:r>
        <w:rPr>
          <w:rFonts w:ascii="宋体" w:hAnsi="宋体" w:eastAsia="宋体" w:cs="Times New Roman"/>
          <w:b/>
          <w:color w:val="000000" w:themeColor="text1"/>
          <w:szCs w:val="21"/>
          <w:highlight w:val="none"/>
          <w14:textFill>
            <w14:solidFill>
              <w14:schemeClr w14:val="tx1"/>
            </w14:solidFill>
          </w14:textFill>
        </w:rPr>
        <w:t xml:space="preserve">0.7 </w:t>
      </w:r>
      <w:r>
        <w:rPr>
          <w:rFonts w:hint="eastAsia" w:ascii="宋体" w:hAnsi="宋体" w:eastAsia="宋体" w:cs="Times New Roman"/>
          <w:b/>
          <w:color w:val="000000" w:themeColor="text1"/>
          <w:szCs w:val="21"/>
          <w:highlight w:val="none"/>
          <w14:textFill>
            <w14:solidFill>
              <w14:schemeClr w14:val="tx1"/>
            </w14:solidFill>
          </w14:textFill>
        </w:rPr>
        <w:t>暂估价</w:t>
      </w:r>
    </w:p>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14:paraId="2EFC97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暂估价材料和工程设备的明细详见已标价工程量清单《</w:t>
      </w:r>
      <w:r>
        <w:rPr>
          <w:rFonts w:hint="eastAsia" w:ascii="宋体" w:hAnsi="宋体" w:eastAsia="宋体" w:cs="Calibri"/>
          <w:color w:val="000000" w:themeColor="text1"/>
          <w:szCs w:val="21"/>
          <w:highlight w:val="none"/>
          <w14:textFill>
            <w14:solidFill>
              <w14:schemeClr w14:val="tx1"/>
            </w14:solidFill>
          </w14:textFill>
        </w:rPr>
        <w:t>材料（工程设备）暂估价格及调整表》</w:t>
      </w:r>
      <w:r>
        <w:rPr>
          <w:rFonts w:hint="eastAsia" w:ascii="宋体" w:hAnsi="宋体" w:eastAsia="宋体" w:cs="Calibri"/>
          <w:color w:val="000000" w:themeColor="text1"/>
          <w:kern w:val="0"/>
          <w:szCs w:val="21"/>
          <w:highlight w:val="none"/>
          <w14:textFill>
            <w14:solidFill>
              <w14:schemeClr w14:val="tx1"/>
            </w14:solidFill>
          </w14:textFill>
        </w:rPr>
        <w:t>（表12-2）和《</w:t>
      </w:r>
      <w:r>
        <w:rPr>
          <w:rFonts w:hint="eastAsia" w:ascii="宋体" w:hAnsi="宋体" w:eastAsia="宋体" w:cs="Calibri"/>
          <w:color w:val="000000" w:themeColor="text1"/>
          <w:szCs w:val="21"/>
          <w:highlight w:val="none"/>
          <w14:textFill>
            <w14:solidFill>
              <w14:schemeClr w14:val="tx1"/>
            </w14:solidFill>
          </w14:textFill>
        </w:rPr>
        <w:t>专业工程暂估价表》（</w:t>
      </w:r>
      <w:r>
        <w:rPr>
          <w:rFonts w:hint="eastAsia" w:ascii="宋体" w:hAnsi="宋体" w:eastAsia="宋体" w:cs="Calibri"/>
          <w:color w:val="000000" w:themeColor="text1"/>
          <w:kern w:val="0"/>
          <w:szCs w:val="21"/>
          <w:highlight w:val="none"/>
          <w14:textFill>
            <w14:solidFill>
              <w14:schemeClr w14:val="tx1"/>
            </w14:solidFill>
          </w14:textFill>
        </w:rPr>
        <w:t>表12-3）。</w:t>
      </w:r>
    </w:p>
    <w:p w14:paraId="04302F04">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071" w:name="_Toc31024"/>
      <w:bookmarkStart w:id="1072" w:name="_Toc10080"/>
      <w:bookmarkStart w:id="1073" w:name="_Toc31396"/>
      <w:bookmarkStart w:id="1074" w:name="_Toc533863494"/>
      <w:bookmarkStart w:id="1075" w:name="_Toc19302"/>
      <w:bookmarkStart w:id="1076" w:name="_Toc31565"/>
      <w:r>
        <w:rPr>
          <w:rFonts w:ascii="宋体" w:hAnsi="宋体" w:eastAsia="宋体" w:cs="宋体"/>
          <w:color w:val="000000" w:themeColor="text1"/>
          <w:szCs w:val="21"/>
          <w:highlight w:val="none"/>
          <w14:textFill>
            <w14:solidFill>
              <w14:schemeClr w14:val="tx1"/>
            </w14:solidFill>
          </w14:textFill>
        </w:rPr>
        <w:t xml:space="preserve">10.7.1 </w:t>
      </w:r>
      <w:r>
        <w:rPr>
          <w:rFonts w:hint="eastAsia" w:ascii="宋体" w:hAnsi="宋体" w:eastAsia="宋体" w:cs="Calibri"/>
          <w:color w:val="000000" w:themeColor="text1"/>
          <w:szCs w:val="21"/>
          <w:highlight w:val="none"/>
          <w14:textFill>
            <w14:solidFill>
              <w14:schemeClr w14:val="tx1"/>
            </w14:solidFill>
          </w14:textFill>
        </w:rPr>
        <w:t>依法必须招标的暂估价项目</w:t>
      </w:r>
      <w:bookmarkEnd w:id="1071"/>
      <w:bookmarkEnd w:id="1072"/>
      <w:bookmarkEnd w:id="1073"/>
      <w:bookmarkEnd w:id="1074"/>
      <w:bookmarkEnd w:id="1075"/>
      <w:bookmarkEnd w:id="1076"/>
    </w:p>
    <w:p w14:paraId="0482E00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对于依法必须招标的暂估价项目的确认和批准采取第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1</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种方式确定。</w:t>
      </w:r>
    </w:p>
    <w:p w14:paraId="3B5A6982">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第1种方式：对于依法必须招标的暂估价项目，由承包人招标，对该暂估价项目的确认和批准按照以下约定执行：</w:t>
      </w:r>
    </w:p>
    <w:p w14:paraId="09A89764">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6000068">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4DC7B5B8">
      <w:pPr>
        <w:spacing w:line="360" w:lineRule="auto"/>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2AAFAA9">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1BA3BF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10.7.2 </w:t>
      </w:r>
      <w:r>
        <w:rPr>
          <w:rFonts w:hint="eastAsia" w:ascii="宋体" w:hAnsi="宋体" w:eastAsia="宋体" w:cs="Calibri"/>
          <w:color w:val="000000" w:themeColor="text1"/>
          <w:szCs w:val="21"/>
          <w:highlight w:val="none"/>
          <w14:textFill>
            <w14:solidFill>
              <w14:schemeClr w14:val="tx1"/>
            </w14:solidFill>
          </w14:textFill>
        </w:rPr>
        <w:t>不属于依法必须招标的暂估价项目</w:t>
      </w:r>
    </w:p>
    <w:p w14:paraId="4BF4192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对于不属于依法必须招标的暂估价项目的确认和批准采取第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1</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种方式确定。</w:t>
      </w:r>
    </w:p>
    <w:p w14:paraId="152D9D20">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第1种方式：对于不属于依法必须招标的暂估价项目，按本项约定确认和批准：</w:t>
      </w:r>
    </w:p>
    <w:p w14:paraId="0194DD2F">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24FCA532">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458135CD">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第2种方式：承包人按照第15.8.1项【依法必须招标的暂估价项目】约定的第1种方式确定暂估价项目。</w:t>
      </w:r>
    </w:p>
    <w:p w14:paraId="79D53515">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第3种方式：</w:t>
      </w:r>
      <w:r>
        <w:rPr>
          <w:rFonts w:hint="eastAsia" w:ascii="宋体" w:hAnsi="宋体" w:eastAsia="宋体" w:cs="Calibri"/>
          <w:color w:val="000000" w:themeColor="text1"/>
          <w:kern w:val="0"/>
          <w:szCs w:val="21"/>
          <w:highlight w:val="none"/>
          <w14:textFill>
            <w14:solidFill>
              <w14:schemeClr w14:val="tx1"/>
            </w14:solidFill>
          </w14:textFill>
        </w:rPr>
        <w:t>承包人直接实施的暂估价项目</w:t>
      </w:r>
    </w:p>
    <w:p w14:paraId="26ACBD0F">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承包人具备实施暂估价项目的资格和条件的，经发包人和承包人协商一致后，可由承包人自行实施暂估价项目，合同当事人可以在合同条款约定具体事项。</w:t>
      </w:r>
    </w:p>
    <w:p w14:paraId="0BDBF2DA">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承包人直接实施的暂估价项目的约定：</w:t>
      </w:r>
      <w:r>
        <w:rPr>
          <w:rFonts w:hint="eastAsia" w:ascii="宋体" w:hAnsi="宋体" w:eastAsia="宋体" w:cs="Calibri"/>
          <w:color w:val="000000" w:themeColor="text1"/>
          <w:szCs w:val="21"/>
          <w:highlight w:val="none"/>
          <w:u w:val="single"/>
          <w14:textFill>
            <w14:solidFill>
              <w14:schemeClr w14:val="tx1"/>
            </w14:solidFill>
          </w14:textFill>
        </w:rPr>
        <w:t>根据工程实际情况再议</w:t>
      </w:r>
      <w:r>
        <w:rPr>
          <w:rFonts w:hint="eastAsia" w:ascii="宋体" w:hAnsi="宋体" w:eastAsia="宋体" w:cs="Calibri"/>
          <w:color w:val="000000" w:themeColor="text1"/>
          <w:szCs w:val="21"/>
          <w:highlight w:val="none"/>
          <w14:textFill>
            <w14:solidFill>
              <w14:schemeClr w14:val="tx1"/>
            </w14:solidFill>
          </w14:textFill>
        </w:rPr>
        <w:t>。</w:t>
      </w:r>
    </w:p>
    <w:p w14:paraId="2596B01A">
      <w:pPr>
        <w:spacing w:after="120"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10.8 </w:t>
      </w:r>
      <w:r>
        <w:rPr>
          <w:rFonts w:hint="eastAsia" w:ascii="宋体" w:hAnsi="宋体" w:eastAsia="宋体" w:cs="Times New Roman"/>
          <w:b/>
          <w:color w:val="000000" w:themeColor="text1"/>
          <w:szCs w:val="21"/>
          <w:highlight w:val="none"/>
          <w14:textFill>
            <w14:solidFill>
              <w14:schemeClr w14:val="tx1"/>
            </w14:solidFill>
          </w14:textFill>
        </w:rPr>
        <w:t>暂列金额</w:t>
      </w:r>
    </w:p>
    <w:p w14:paraId="2476A839">
      <w:pPr>
        <w:autoSpaceDE w:val="0"/>
        <w:autoSpaceDN w:val="0"/>
        <w:adjustRightInd w:val="0"/>
        <w:spacing w:line="360" w:lineRule="auto"/>
        <w:ind w:firstLine="420" w:firstLineChars="200"/>
        <w:jc w:val="left"/>
        <w:rPr>
          <w:rFonts w:ascii="宋体" w:hAnsi="宋体" w:eastAsia="宋体" w:cs="Calibri"/>
          <w:color w:val="000000" w:themeColor="text1"/>
          <w:kern w:val="0"/>
          <w:szCs w:val="21"/>
          <w:highlight w:val="none"/>
          <w:u w:val="single"/>
          <w14:textFill>
            <w14:solidFill>
              <w14:schemeClr w14:val="tx1"/>
            </w14:solidFill>
          </w14:textFill>
        </w:rPr>
      </w:pPr>
      <w:bookmarkStart w:id="1077" w:name="_Toc351203643"/>
      <w:r>
        <w:rPr>
          <w:rFonts w:hint="eastAsia" w:ascii="宋体" w:hAnsi="宋体" w:eastAsia="宋体" w:cs="Calibri"/>
          <w:color w:val="000000" w:themeColor="text1"/>
          <w:kern w:val="0"/>
          <w:szCs w:val="21"/>
          <w:highlight w:val="none"/>
          <w14:textFill>
            <w14:solidFill>
              <w14:schemeClr w14:val="tx1"/>
            </w14:solidFill>
          </w14:textFill>
        </w:rPr>
        <w:t>合同当事人关于暂列金额使用的约定：</w:t>
      </w:r>
      <w:r>
        <w:rPr>
          <w:rFonts w:hint="eastAsia" w:ascii="宋体" w:hAnsi="宋体" w:eastAsia="宋体" w:cs="Calibri"/>
          <w:color w:val="000000" w:themeColor="text1"/>
          <w:kern w:val="0"/>
          <w:szCs w:val="21"/>
          <w:highlight w:val="none"/>
          <w:u w:val="single"/>
          <w14:textFill>
            <w14:solidFill>
              <w14:schemeClr w14:val="tx1"/>
            </w14:solidFill>
          </w14:textFill>
        </w:rPr>
        <w:t xml:space="preserve">（1）已签约合同价中的暂列金额由发包人掌握使用。 </w:t>
      </w:r>
    </w:p>
    <w:p w14:paraId="24BB0637">
      <w:pPr>
        <w:autoSpaceDE w:val="0"/>
        <w:autoSpaceDN w:val="0"/>
        <w:adjustRightInd w:val="0"/>
        <w:spacing w:line="360" w:lineRule="auto"/>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u w:val="single"/>
          <w14:textFill>
            <w14:solidFill>
              <w14:schemeClr w14:val="tx1"/>
            </w14:solidFill>
          </w14:textFill>
        </w:rPr>
        <w:t>（2）发包人按照规定所作支付后，暂列金额如有余额归发包人</w:t>
      </w:r>
      <w:r>
        <w:rPr>
          <w:rFonts w:hint="eastAsia" w:ascii="宋体" w:hAnsi="宋体" w:eastAsia="宋体" w:cs="Calibri"/>
          <w:color w:val="000000" w:themeColor="text1"/>
          <w:kern w:val="0"/>
          <w:szCs w:val="21"/>
          <w:highlight w:val="none"/>
          <w14:textFill>
            <w14:solidFill>
              <w14:schemeClr w14:val="tx1"/>
            </w14:solidFill>
          </w14:textFill>
        </w:rPr>
        <w:t>。</w:t>
      </w:r>
    </w:p>
    <w:p w14:paraId="79E141EE">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078" w:name="_Toc533863495"/>
      <w:bookmarkStart w:id="1079" w:name="_Toc2395"/>
      <w:r>
        <w:rPr>
          <w:rFonts w:ascii="宋体" w:hAnsi="宋体" w:eastAsia="宋体" w:cs="Times New Roman"/>
          <w:b/>
          <w:bCs/>
          <w:color w:val="000000" w:themeColor="text1"/>
          <w:szCs w:val="21"/>
          <w:highlight w:val="none"/>
          <w14:textFill>
            <w14:solidFill>
              <w14:schemeClr w14:val="tx1"/>
            </w14:solidFill>
          </w14:textFill>
        </w:rPr>
        <w:t xml:space="preserve">11. </w:t>
      </w:r>
      <w:r>
        <w:rPr>
          <w:rFonts w:hint="eastAsia" w:ascii="宋体" w:hAnsi="宋体" w:eastAsia="宋体" w:cs="Times New Roman"/>
          <w:b/>
          <w:bCs/>
          <w:color w:val="000000" w:themeColor="text1"/>
          <w:szCs w:val="21"/>
          <w:highlight w:val="none"/>
          <w14:textFill>
            <w14:solidFill>
              <w14:schemeClr w14:val="tx1"/>
            </w14:solidFill>
          </w14:textFill>
        </w:rPr>
        <w:t>价格调整</w:t>
      </w:r>
      <w:bookmarkEnd w:id="1077"/>
      <w:bookmarkEnd w:id="1078"/>
      <w:bookmarkEnd w:id="1079"/>
    </w:p>
    <w:bookmarkEnd w:id="987"/>
    <w:bookmarkEnd w:id="988"/>
    <w:bookmarkEnd w:id="989"/>
    <w:bookmarkEnd w:id="990"/>
    <w:bookmarkEnd w:id="991"/>
    <w:bookmarkEnd w:id="992"/>
    <w:p w14:paraId="479C9584">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bookmarkStart w:id="1080" w:name="_Toc296346706"/>
      <w:bookmarkStart w:id="1081" w:name="_Toc292559915"/>
      <w:bookmarkStart w:id="1082" w:name="_Toc292559410"/>
      <w:bookmarkStart w:id="1083" w:name="_Toc296347204"/>
      <w:bookmarkStart w:id="1084" w:name="_Toc296891033"/>
      <w:bookmarkStart w:id="1085" w:name="_Toc296944544"/>
      <w:bookmarkStart w:id="1086" w:name="_Toc296891245"/>
      <w:bookmarkStart w:id="1087" w:name="_Toc297048391"/>
      <w:bookmarkStart w:id="1088" w:name="_Toc296503205"/>
      <w:bookmarkStart w:id="1089" w:name="_Toc297120505"/>
      <w:bookmarkStart w:id="1090" w:name="_Toc351203644"/>
      <w:bookmarkStart w:id="1091" w:name="_Toc300935002"/>
      <w:bookmarkStart w:id="1092" w:name="_Toc297216211"/>
      <w:bookmarkStart w:id="1093" w:name="_Toc304295579"/>
      <w:bookmarkStart w:id="1094" w:name="_Toc303539159"/>
      <w:bookmarkStart w:id="1095" w:name="_Toc297123552"/>
      <w:bookmarkStart w:id="1096" w:name="_Toc312678040"/>
      <w:r>
        <w:rPr>
          <w:rFonts w:hint="eastAsia" w:ascii="宋体" w:hAnsi="宋体" w:eastAsia="宋体" w:cs="Times New Roman"/>
          <w:b/>
          <w:color w:val="000000" w:themeColor="text1"/>
          <w:szCs w:val="21"/>
          <w:highlight w:val="none"/>
          <w:u w:val="none"/>
          <w:lang w:eastAsia="zh-CN"/>
          <w14:textFill>
            <w14:solidFill>
              <w14:schemeClr w14:val="tx1"/>
            </w14:solidFill>
          </w14:textFill>
        </w:rPr>
        <w:t>市场价格波动是否调整合同价格的约定：</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 xml:space="preserve">  调整  。</w:t>
      </w:r>
    </w:p>
    <w:p w14:paraId="0DB2C5E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因市场价格波动调整合同价格，采用以下第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 xml:space="preserve">2 </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种方式对合同价格进行调整：</w:t>
      </w:r>
    </w:p>
    <w:p w14:paraId="02F8B7C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种方式：采用价格指数进行价格调整。</w:t>
      </w:r>
    </w:p>
    <w:p w14:paraId="75804B42">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关于各可调因子、定值和变值权重，以及基本价格指数及其来源的约定：</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 xml:space="preserve">  </w:t>
      </w:r>
    </w:p>
    <w:p w14:paraId="54809CB6">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种方式：采用造价信息进行价格调整。</w:t>
      </w:r>
    </w:p>
    <w:p w14:paraId="2F77936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（2）关于基准价格的约定：</w:t>
      </w:r>
      <w:r>
        <w:rPr>
          <w:rFonts w:hint="eastAsia" w:ascii="宋体" w:hAnsi="宋体" w:eastAsia="宋体" w:cs="宋体"/>
          <w:color w:val="000000" w:themeColor="text1"/>
          <w:szCs w:val="21"/>
          <w:highlight w:val="none"/>
          <w:u w:val="single"/>
          <w14:textFill>
            <w14:solidFill>
              <w14:schemeClr w14:val="tx1"/>
            </w14:solidFill>
          </w14:textFill>
        </w:rPr>
        <w:t xml:space="preserve">    无      </w:t>
      </w:r>
      <w:r>
        <w:rPr>
          <w:rFonts w:hint="eastAsia" w:ascii="宋体" w:hAnsi="宋体" w:eastAsia="宋体" w:cs="宋体"/>
          <w:color w:val="000000" w:themeColor="text1"/>
          <w:szCs w:val="21"/>
          <w:highlight w:val="none"/>
          <w14:textFill>
            <w14:solidFill>
              <w14:schemeClr w14:val="tx1"/>
            </w14:solidFill>
          </w14:textFill>
        </w:rPr>
        <w:t>。</w:t>
      </w:r>
    </w:p>
    <w:p w14:paraId="45427C2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时，或材料单价跌幅以已标价工程量清单或预算书中载明材料单价为基础超过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7D3F1B6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时，材料单价涨幅以已标价工程量清单或预算书中载明材料单价为基础超过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05C15BC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4B9E92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第3种方式：其他价格调整方式：</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4E30268B">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097" w:name="_Toc2026"/>
      <w:bookmarkStart w:id="1098" w:name="_Toc533863496"/>
      <w:r>
        <w:rPr>
          <w:rFonts w:ascii="宋体" w:hAnsi="宋体" w:eastAsia="宋体" w:cs="Times New Roman"/>
          <w:b/>
          <w:bCs/>
          <w:color w:val="000000" w:themeColor="text1"/>
          <w:szCs w:val="21"/>
          <w:highlight w:val="none"/>
          <w14:textFill>
            <w14:solidFill>
              <w14:schemeClr w14:val="tx1"/>
            </w14:solidFill>
          </w14:textFill>
        </w:rPr>
        <w:t xml:space="preserve">12. </w:t>
      </w:r>
      <w:bookmarkEnd w:id="1080"/>
      <w:bookmarkEnd w:id="1081"/>
      <w:bookmarkEnd w:id="1082"/>
      <w:bookmarkEnd w:id="1083"/>
      <w:bookmarkEnd w:id="1084"/>
      <w:bookmarkEnd w:id="1085"/>
      <w:bookmarkEnd w:id="1086"/>
      <w:bookmarkEnd w:id="1087"/>
      <w:bookmarkEnd w:id="1088"/>
      <w:bookmarkEnd w:id="1089"/>
      <w:r>
        <w:rPr>
          <w:rFonts w:hint="eastAsia" w:ascii="宋体" w:hAnsi="宋体" w:eastAsia="宋体" w:cs="Times New Roman"/>
          <w:b/>
          <w:bCs/>
          <w:color w:val="000000" w:themeColor="text1"/>
          <w:szCs w:val="21"/>
          <w:highlight w:val="none"/>
          <w14:textFill>
            <w14:solidFill>
              <w14:schemeClr w14:val="tx1"/>
            </w14:solidFill>
          </w14:textFill>
        </w:rPr>
        <w:t>合同价格、计量与支付</w:t>
      </w:r>
      <w:bookmarkEnd w:id="1090"/>
      <w:bookmarkEnd w:id="1097"/>
      <w:bookmarkEnd w:id="1098"/>
    </w:p>
    <w:bookmarkEnd w:id="1091"/>
    <w:bookmarkEnd w:id="1092"/>
    <w:bookmarkEnd w:id="1093"/>
    <w:bookmarkEnd w:id="1094"/>
    <w:bookmarkEnd w:id="1095"/>
    <w:bookmarkEnd w:id="1096"/>
    <w:p w14:paraId="2A845442">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bookmarkStart w:id="1099" w:name="_Toc292559916"/>
      <w:bookmarkStart w:id="1100" w:name="_Toc292559411"/>
      <w:bookmarkStart w:id="1101" w:name="_Toc267251461"/>
      <w:bookmarkStart w:id="1102" w:name="_Toc296346707"/>
      <w:bookmarkStart w:id="1103" w:name="_Toc296347205"/>
      <w:bookmarkStart w:id="1104" w:name="_Toc296944545"/>
      <w:bookmarkStart w:id="1105" w:name="_Toc296891034"/>
      <w:bookmarkStart w:id="1106" w:name="_Toc297048392"/>
      <w:bookmarkStart w:id="1107" w:name="_Toc297120506"/>
      <w:bookmarkStart w:id="1108" w:name="_Toc296891246"/>
      <w:bookmarkStart w:id="1109" w:name="_Toc296503206"/>
      <w:bookmarkStart w:id="1110" w:name="_Toc300935003"/>
      <w:bookmarkStart w:id="1111" w:name="_Toc303539160"/>
      <w:bookmarkStart w:id="1112" w:name="_Toc297216212"/>
      <w:bookmarkStart w:id="1113" w:name="_Toc312678041"/>
      <w:bookmarkStart w:id="1114" w:name="_Toc297123553"/>
      <w:bookmarkStart w:id="1115" w:name="_Toc304295580"/>
      <w:r>
        <w:rPr>
          <w:rFonts w:ascii="宋体" w:hAnsi="宋体" w:eastAsia="宋体" w:cs="Times New Roman"/>
          <w:color w:val="000000" w:themeColor="text1"/>
          <w:szCs w:val="21"/>
          <w:highlight w:val="none"/>
          <w14:textFill>
            <w14:solidFill>
              <w14:schemeClr w14:val="tx1"/>
            </w14:solidFill>
          </w14:textFill>
        </w:rPr>
        <w:t xml:space="preserve">12.1 </w:t>
      </w:r>
      <w:r>
        <w:rPr>
          <w:rFonts w:hint="eastAsia" w:ascii="宋体" w:hAnsi="宋体" w:eastAsia="宋体" w:cs="Times New Roman"/>
          <w:color w:val="000000" w:themeColor="text1"/>
          <w:szCs w:val="21"/>
          <w:highlight w:val="none"/>
          <w14:textFill>
            <w14:solidFill>
              <w14:schemeClr w14:val="tx1"/>
            </w14:solidFill>
          </w14:textFill>
        </w:rPr>
        <w:t>合</w:t>
      </w:r>
      <w:bookmarkEnd w:id="1099"/>
      <w:bookmarkEnd w:id="1100"/>
      <w:bookmarkEnd w:id="1101"/>
      <w:r>
        <w:rPr>
          <w:rFonts w:hint="eastAsia" w:ascii="宋体" w:hAnsi="宋体" w:eastAsia="宋体" w:cs="Times New Roman"/>
          <w:color w:val="000000" w:themeColor="text1"/>
          <w:szCs w:val="21"/>
          <w:highlight w:val="none"/>
          <w14:textFill>
            <w14:solidFill>
              <w14:schemeClr w14:val="tx1"/>
            </w14:solidFill>
          </w14:textFill>
        </w:rPr>
        <w:t>同价</w:t>
      </w:r>
      <w:bookmarkEnd w:id="1102"/>
      <w:bookmarkEnd w:id="1103"/>
      <w:bookmarkEnd w:id="1104"/>
      <w:bookmarkEnd w:id="1105"/>
      <w:bookmarkEnd w:id="1106"/>
      <w:bookmarkEnd w:id="1107"/>
      <w:bookmarkEnd w:id="1108"/>
      <w:bookmarkEnd w:id="1109"/>
      <w:r>
        <w:rPr>
          <w:rFonts w:hint="eastAsia" w:ascii="宋体" w:hAnsi="宋体" w:eastAsia="宋体" w:cs="Times New Roman"/>
          <w:color w:val="000000" w:themeColor="text1"/>
          <w:szCs w:val="21"/>
          <w:highlight w:val="none"/>
          <w14:textFill>
            <w14:solidFill>
              <w14:schemeClr w14:val="tx1"/>
            </w14:solidFill>
          </w14:textFill>
        </w:rPr>
        <w:t>格形式</w:t>
      </w:r>
    </w:p>
    <w:bookmarkEnd w:id="1110"/>
    <w:bookmarkEnd w:id="1111"/>
    <w:bookmarkEnd w:id="1112"/>
    <w:bookmarkEnd w:id="1113"/>
    <w:bookmarkEnd w:id="1114"/>
    <w:bookmarkEnd w:id="1115"/>
    <w:p w14:paraId="75A50F90">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、单价合同。</w:t>
      </w:r>
    </w:p>
    <w:p w14:paraId="37342528">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u w:val="single"/>
          <w:lang w:eastAsia="zh-CN"/>
          <w14:textFill>
            <w14:solidFill>
              <w14:schemeClr w14:val="tx1"/>
            </w14:solidFill>
          </w14:textFill>
        </w:rPr>
        <w:t>本工程采用固定综合单价合同，结算时的工程量按实际发生的工程量。</w:t>
      </w:r>
    </w:p>
    <w:p w14:paraId="4D394FD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综合单价包含的风险范围：</w:t>
      </w:r>
      <w:r>
        <w:rPr>
          <w:rFonts w:hint="eastAsia" w:ascii="宋体" w:hAnsi="宋体" w:eastAsia="宋体" w:cs="Calibri"/>
          <w:color w:val="000000" w:themeColor="text1"/>
          <w:szCs w:val="21"/>
          <w:highlight w:val="none"/>
          <w:u w:val="single"/>
          <w14:textFill>
            <w14:solidFill>
              <w14:schemeClr w14:val="tx1"/>
            </w14:solidFill>
          </w14:textFill>
        </w:rPr>
        <w:t>除工程变更、政策性调整以外因素。</w:t>
      </w:r>
    </w:p>
    <w:p w14:paraId="5C26C814">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风险范围以外合同价格的调整方法：</w:t>
      </w:r>
    </w:p>
    <w:p w14:paraId="4FC26B82">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①工程变更：按10.4.1</w:t>
      </w:r>
      <w:r>
        <w:rPr>
          <w:rFonts w:hint="eastAsia" w:ascii="宋体" w:hAnsi="宋体" w:eastAsia="宋体" w:cs="宋体"/>
          <w:color w:val="000000" w:themeColor="text1"/>
          <w:kern w:val="0"/>
          <w:szCs w:val="21"/>
          <w:highlight w:val="none"/>
          <w14:textFill>
            <w14:solidFill>
              <w14:schemeClr w14:val="tx1"/>
            </w14:solidFill>
          </w14:textFill>
        </w:rPr>
        <w:t>变更估价原则的约定调整。</w:t>
      </w:r>
    </w:p>
    <w:p w14:paraId="3EACFE8D">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②政策性调整：按自治区建设行政主管部门颁布的文件执行。</w:t>
      </w:r>
    </w:p>
    <w:p w14:paraId="1FD7C55D">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③材料价格风险：按11.1</w:t>
      </w:r>
      <w:r>
        <w:rPr>
          <w:rFonts w:hint="eastAsia" w:ascii="宋体" w:hAnsi="宋体" w:eastAsia="宋体" w:cs="宋体"/>
          <w:color w:val="000000" w:themeColor="text1"/>
          <w:kern w:val="0"/>
          <w:szCs w:val="21"/>
          <w:highlight w:val="none"/>
          <w14:textFill>
            <w14:solidFill>
              <w14:schemeClr w14:val="tx1"/>
            </w14:solidFill>
          </w14:textFill>
        </w:rPr>
        <w:t>的约定调整。</w:t>
      </w:r>
    </w:p>
    <w:p w14:paraId="7B94EDC8">
      <w:pPr>
        <w:spacing w:line="360" w:lineRule="auto"/>
        <w:ind w:firstLine="420" w:firstLineChars="200"/>
        <w:jc w:val="left"/>
        <w:rPr>
          <w:rFonts w:ascii="宋体" w:hAnsi="宋体" w:eastAsia="宋体" w:cs="Times New Roman"/>
          <w:color w:val="000000" w:themeColor="text1"/>
          <w:szCs w:val="21"/>
          <w:highlight w:val="none"/>
          <w:u w:val="singl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④其它：</w:t>
      </w:r>
      <w:r>
        <w:rPr>
          <w:rFonts w:hint="eastAsia" w:ascii="宋体" w:hAnsi="宋体" w:eastAsia="宋体" w:cs="Times New Roman"/>
          <w:color w:val="000000" w:themeColor="text1"/>
          <w:szCs w:val="21"/>
          <w:highlight w:val="none"/>
          <w:u w:val="single"/>
          <w14:textFill>
            <w14:solidFill>
              <w14:schemeClr w14:val="tx1"/>
            </w14:solidFill>
          </w14:textFill>
        </w:rPr>
        <w:t>A、根据投标人的中标综合单价及施工实际工程量进行结算。在施工过程中，若市场价格幅度超过基准材料价格的±5%时，工程所用的主要材料（指：钢筋、水泥、沙、碎石、给排水管、块料、装饰材料、商品混凝土、砖）可以调整价格。具体调整办法为：（即（施工期市场发布的材料价格－投标期预算控制价套用的材料价格）×发包人确认材料数量）及相应的税金。B、对于法律、法规、规章或有关政策出台导致工程税金、规费、人工费发生变化，并由自治区建设行政主管部门或其授权的自治区工程造价管理机构根据上述变化发布的政策性调整，承包人不应承担风险，应按照有关调整规定执行。 C、设计变更引起的调整方法a、合同中已有适用的综合单价，按合同中已有的综合单价确定。b、合同中有类似的综合单价，参照类似的综合单价确定。</w:t>
      </w:r>
    </w:p>
    <w:p w14:paraId="23BF055A">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2</w:t>
      </w:r>
      <w:r>
        <w:rPr>
          <w:rFonts w:hint="eastAsia" w:ascii="宋体" w:hAnsi="宋体" w:eastAsia="宋体" w:cs="Times New Roman"/>
          <w:color w:val="000000" w:themeColor="text1"/>
          <w:szCs w:val="21"/>
          <w:highlight w:val="none"/>
          <w14:textFill>
            <w14:solidFill>
              <w14:schemeClr w14:val="tx1"/>
            </w14:solidFill>
          </w14:textFill>
        </w:rPr>
        <w:t>、总价合同。</w:t>
      </w:r>
    </w:p>
    <w:p w14:paraId="2815E91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总价包含的风险范围：</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2756E088">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风险范围以外合同价格的调整方法：</w:t>
      </w:r>
      <w:r>
        <w:rPr>
          <w:rFonts w:hint="eastAsia" w:ascii="宋体" w:hAnsi="宋体" w:eastAsia="宋体" w:cs="Calibri"/>
          <w:color w:val="000000" w:themeColor="text1"/>
          <w:szCs w:val="21"/>
          <w:highlight w:val="none"/>
          <w:u w:val="single"/>
          <w14:textFill>
            <w14:solidFill>
              <w14:schemeClr w14:val="tx1"/>
            </w14:solidFill>
          </w14:textFill>
        </w:rPr>
        <w:t>本工程采用固定综合单价合同，结算时的工程量按实际发生的工程量，材料价格按施工期间市场变动的信息价格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3B8910E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、其他价格方式：</w:t>
      </w:r>
      <w:bookmarkStart w:id="1116" w:name="_Toc292559917"/>
      <w:bookmarkStart w:id="1117" w:name="_Toc300935004"/>
      <w:bookmarkStart w:id="1118" w:name="_Toc296503207"/>
      <w:bookmarkStart w:id="1119" w:name="_Toc296347206"/>
      <w:bookmarkStart w:id="1120" w:name="_Toc297048393"/>
      <w:bookmarkStart w:id="1121" w:name="_Toc304295581"/>
      <w:bookmarkStart w:id="1122" w:name="_Toc297120507"/>
      <w:bookmarkStart w:id="1123" w:name="_Toc296891247"/>
      <w:bookmarkStart w:id="1124" w:name="_Toc297123554"/>
      <w:bookmarkStart w:id="1125" w:name="_Toc296346708"/>
      <w:bookmarkStart w:id="1126" w:name="_Toc297216213"/>
      <w:bookmarkStart w:id="1127" w:name="_Toc303539161"/>
      <w:bookmarkStart w:id="1128" w:name="_Toc292559412"/>
      <w:bookmarkStart w:id="1129" w:name="_Toc312678042"/>
      <w:bookmarkStart w:id="1130" w:name="_Toc296944546"/>
      <w:bookmarkStart w:id="1131" w:name="_Toc296891035"/>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43361AC3">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12.2 </w:t>
      </w:r>
      <w:r>
        <w:rPr>
          <w:rFonts w:hint="eastAsia" w:ascii="宋体" w:hAnsi="宋体" w:eastAsia="宋体" w:cs="Times New Roman"/>
          <w:color w:val="000000" w:themeColor="text1"/>
          <w:szCs w:val="21"/>
          <w:highlight w:val="none"/>
          <w14:textFill>
            <w14:solidFill>
              <w14:schemeClr w14:val="tx1"/>
            </w14:solidFill>
          </w14:textFill>
        </w:rPr>
        <w:t>预付款</w:t>
      </w:r>
    </w:p>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14:paraId="35D51E8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32" w:name="_Toc31461"/>
      <w:bookmarkStart w:id="1133" w:name="_Toc8866"/>
      <w:bookmarkStart w:id="1134" w:name="_Toc6780"/>
      <w:bookmarkStart w:id="1135" w:name="_Toc533863497"/>
      <w:bookmarkStart w:id="1136" w:name="_Toc3535"/>
      <w:bookmarkStart w:id="1137" w:name="_Toc26692"/>
      <w:r>
        <w:rPr>
          <w:rFonts w:ascii="宋体" w:hAnsi="宋体" w:eastAsia="宋体" w:cs="宋体"/>
          <w:color w:val="000000" w:themeColor="text1"/>
          <w:szCs w:val="21"/>
          <w:highlight w:val="none"/>
          <w14:textFill>
            <w14:solidFill>
              <w14:schemeClr w14:val="tx1"/>
            </w14:solidFill>
          </w14:textFill>
        </w:rPr>
        <w:t xml:space="preserve">12.2.1 </w:t>
      </w:r>
      <w:r>
        <w:rPr>
          <w:rFonts w:hint="eastAsia" w:ascii="宋体" w:hAnsi="宋体" w:eastAsia="宋体" w:cs="Calibri"/>
          <w:color w:val="000000" w:themeColor="text1"/>
          <w:szCs w:val="21"/>
          <w:highlight w:val="none"/>
          <w14:textFill>
            <w14:solidFill>
              <w14:schemeClr w14:val="tx1"/>
            </w14:solidFill>
          </w14:textFill>
        </w:rPr>
        <w:t>预付款的支付</w:t>
      </w:r>
      <w:bookmarkEnd w:id="1132"/>
      <w:bookmarkEnd w:id="1133"/>
      <w:bookmarkEnd w:id="1134"/>
      <w:bookmarkEnd w:id="1135"/>
      <w:bookmarkEnd w:id="1136"/>
      <w:bookmarkEnd w:id="1137"/>
    </w:p>
    <w:p w14:paraId="413E945A">
      <w:pPr>
        <w:spacing w:line="360" w:lineRule="auto"/>
        <w:ind w:firstLine="422" w:firstLineChars="200"/>
        <w:rPr>
          <w:rFonts w:hint="eastAsia" w:ascii="宋体" w:hAnsi="宋体" w:eastAsia="宋体" w:cs="Calibri"/>
          <w:color w:val="000000" w:themeColor="text1"/>
          <w:szCs w:val="21"/>
          <w:highlight w:val="none"/>
          <w:u w:val="single"/>
          <w:lang w:eastAsia="zh-CN"/>
          <w14:textFill>
            <w14:solidFill>
              <w14:schemeClr w14:val="tx1"/>
            </w14:solidFill>
          </w14:textFill>
        </w:rPr>
      </w:pPr>
      <w:bookmarkStart w:id="1138" w:name="_Toc533863498"/>
      <w:r>
        <w:rPr>
          <w:rFonts w:hint="eastAsia" w:ascii="宋体" w:hAnsi="宋体" w:eastAsia="宋体" w:cs="Times New Roman"/>
          <w:b/>
          <w:color w:val="000000" w:themeColor="text1"/>
          <w:szCs w:val="21"/>
          <w:highlight w:val="none"/>
          <w:u w:val="none"/>
          <w:lang w:eastAsia="zh-CN"/>
          <w14:textFill>
            <w14:solidFill>
              <w14:schemeClr w14:val="tx1"/>
            </w14:solidFill>
          </w14:textFill>
        </w:rPr>
        <w:t>预付款支付比例或金额：</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按照签约合同价拨付(扣除暂列金)30%</w:t>
      </w:r>
    </w:p>
    <w:p w14:paraId="4F93A9B6">
      <w:pPr>
        <w:spacing w:line="360" w:lineRule="auto"/>
        <w:ind w:firstLine="422" w:firstLineChars="200"/>
        <w:jc w:val="left"/>
        <w:rPr>
          <w:rFonts w:ascii="宋体" w:hAnsi="宋体" w:eastAsia="宋体" w:cs="Calibri"/>
          <w:b/>
          <w:bCs/>
          <w:color w:val="000000" w:themeColor="text1"/>
          <w:szCs w:val="21"/>
          <w:highlight w:val="none"/>
          <w:u w:val="single"/>
          <w14:textFill>
            <w14:solidFill>
              <w14:schemeClr w14:val="tx1"/>
            </w14:solidFill>
          </w14:textFill>
        </w:rPr>
      </w:pPr>
      <w:r>
        <w:rPr>
          <w:rFonts w:hint="eastAsia" w:ascii="宋体" w:hAnsi="宋体" w:eastAsia="宋体" w:cs="Calibri"/>
          <w:b/>
          <w:bCs/>
          <w:color w:val="000000" w:themeColor="text1"/>
          <w:szCs w:val="21"/>
          <w:highlight w:val="none"/>
          <w14:textFill>
            <w14:solidFill>
              <w14:schemeClr w14:val="tx1"/>
            </w14:solidFill>
          </w14:textFill>
        </w:rPr>
        <w:t>预付款支付期限：</w:t>
      </w:r>
      <w:r>
        <w:rPr>
          <w:rFonts w:hint="eastAsia" w:ascii="宋体" w:hAnsi="宋体" w:eastAsia="宋体" w:cs="Calibri"/>
          <w:b/>
          <w:bCs/>
          <w:color w:val="000000" w:themeColor="text1"/>
          <w:szCs w:val="21"/>
          <w:highlight w:val="none"/>
          <w:u w:val="single"/>
          <w:lang w:val="en-US" w:eastAsia="zh-CN"/>
          <w14:textFill>
            <w14:solidFill>
              <w14:schemeClr w14:val="tx1"/>
            </w14:solidFill>
          </w14:textFill>
        </w:rPr>
        <w:t>合同签订后(根据发包人资金到位情况支付)</w:t>
      </w:r>
    </w:p>
    <w:p w14:paraId="404913FA">
      <w:pPr>
        <w:spacing w:line="360" w:lineRule="auto"/>
        <w:ind w:firstLine="420" w:firstLineChars="200"/>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预付款扣回的方式：</w:t>
      </w:r>
      <w:r>
        <w:rPr>
          <w:rFonts w:hint="eastAsia" w:ascii="宋体" w:hAnsi="宋体" w:eastAsia="宋体" w:cs="Calibri"/>
          <w:color w:val="000000" w:themeColor="text1"/>
          <w:szCs w:val="21"/>
          <w:highlight w:val="none"/>
          <w:u w:val="single"/>
          <w:lang w:val="en-US" w:eastAsia="zh-CN"/>
          <w14:textFill>
            <w14:solidFill>
              <w14:schemeClr w14:val="tx1"/>
            </w14:solidFill>
          </w14:textFill>
        </w:rPr>
        <w:t>:</w:t>
      </w:r>
      <w:r>
        <w:rPr>
          <w:rFonts w:hint="eastAsia" w:ascii="宋体" w:hAnsi="宋体" w:eastAsia="宋体" w:cs="Calibri"/>
          <w:b/>
          <w:bCs/>
          <w:color w:val="000000" w:themeColor="text1"/>
          <w:szCs w:val="21"/>
          <w:highlight w:val="none"/>
          <w:u w:val="single"/>
          <w:lang w:val="en-US" w:eastAsia="zh-CN"/>
          <w14:textFill>
            <w14:solidFill>
              <w14:schemeClr w14:val="tx1"/>
            </w14:solidFill>
          </w14:textFill>
        </w:rPr>
        <w:t>按每次进度款的 35%扣回，直至进度款拨付金额达到子项目预算审定造价的80%时全部扣清，在颁发工程接收证书前，提前解除合同的，尚未扣完的预付款应与合同价款一并结算。</w:t>
      </w:r>
    </w:p>
    <w:p w14:paraId="5C7111E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39" w:name="_Toc7868"/>
      <w:bookmarkStart w:id="1140" w:name="_Toc9656"/>
      <w:bookmarkStart w:id="1141" w:name="_Toc31049"/>
      <w:bookmarkStart w:id="1142" w:name="_Toc30007"/>
      <w:bookmarkStart w:id="1143" w:name="_Toc13385"/>
      <w:r>
        <w:rPr>
          <w:rFonts w:ascii="宋体" w:hAnsi="宋体" w:eastAsia="宋体" w:cs="宋体"/>
          <w:color w:val="000000" w:themeColor="text1"/>
          <w:szCs w:val="21"/>
          <w:highlight w:val="none"/>
          <w14:textFill>
            <w14:solidFill>
              <w14:schemeClr w14:val="tx1"/>
            </w14:solidFill>
          </w14:textFill>
        </w:rPr>
        <w:t xml:space="preserve">12.2.2 </w:t>
      </w:r>
      <w:r>
        <w:rPr>
          <w:rFonts w:hint="eastAsia" w:ascii="宋体" w:hAnsi="宋体" w:eastAsia="宋体" w:cs="Calibri"/>
          <w:color w:val="000000" w:themeColor="text1"/>
          <w:szCs w:val="21"/>
          <w:highlight w:val="none"/>
          <w14:textFill>
            <w14:solidFill>
              <w14:schemeClr w14:val="tx1"/>
            </w14:solidFill>
          </w14:textFill>
        </w:rPr>
        <w:t>预付款担保</w:t>
      </w:r>
      <w:bookmarkEnd w:id="1138"/>
      <w:bookmarkEnd w:id="1139"/>
      <w:bookmarkEnd w:id="1140"/>
      <w:bookmarkEnd w:id="1141"/>
      <w:bookmarkEnd w:id="1142"/>
      <w:bookmarkEnd w:id="1143"/>
    </w:p>
    <w:p w14:paraId="27A97D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承包人提交预付款担保的期限：</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4A5FDBC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预付款担保的形式为：</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202B8E3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预付款担保格式见合同附件7。</w:t>
      </w:r>
    </w:p>
    <w:p w14:paraId="6DB4B4B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12.3 </w:t>
      </w:r>
      <w:r>
        <w:rPr>
          <w:rFonts w:hint="eastAsia" w:ascii="宋体" w:hAnsi="宋体" w:eastAsia="宋体" w:cs="Times New Roman"/>
          <w:color w:val="000000" w:themeColor="text1"/>
          <w:szCs w:val="21"/>
          <w:highlight w:val="none"/>
          <w14:textFill>
            <w14:solidFill>
              <w14:schemeClr w14:val="tx1"/>
            </w14:solidFill>
          </w14:textFill>
        </w:rPr>
        <w:t>计量</w:t>
      </w:r>
    </w:p>
    <w:p w14:paraId="26DB36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12.3.1 </w:t>
      </w:r>
      <w:r>
        <w:rPr>
          <w:rFonts w:hint="eastAsia" w:ascii="宋体" w:hAnsi="宋体" w:eastAsia="宋体" w:cs="Calibri"/>
          <w:color w:val="000000" w:themeColor="text1"/>
          <w:szCs w:val="21"/>
          <w:highlight w:val="none"/>
          <w14:textFill>
            <w14:solidFill>
              <w14:schemeClr w14:val="tx1"/>
            </w14:solidFill>
          </w14:textFill>
        </w:rPr>
        <w:t>计量原则</w:t>
      </w:r>
    </w:p>
    <w:p w14:paraId="3B4CC00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工程量计算规则：</w:t>
      </w:r>
      <w:r>
        <w:rPr>
          <w:rFonts w:hint="eastAsia" w:ascii="宋体" w:hAnsi="宋体" w:eastAsia="宋体" w:cs="Calibri"/>
          <w:color w:val="000000" w:themeColor="text1"/>
          <w:szCs w:val="21"/>
          <w:highlight w:val="none"/>
          <w:u w:val="single"/>
          <w14:textFill>
            <w14:solidFill>
              <w14:schemeClr w14:val="tx1"/>
            </w14:solidFill>
          </w14:textFill>
        </w:rPr>
        <w:t>工程的计量均以《建设工程工程量清单计价规范》（GB50500－2013）和及其广西壮族自治区实施细则、《建设工程工程量清单计算规范》（GB50854~50862－2013）及其广西实施细则、本工程补充项目清单为准。</w:t>
      </w:r>
    </w:p>
    <w:p w14:paraId="749DBA3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44" w:name="_Toc15701"/>
      <w:bookmarkStart w:id="1145" w:name="_Toc533863499"/>
      <w:bookmarkStart w:id="1146" w:name="_Toc12833"/>
      <w:bookmarkStart w:id="1147" w:name="_Toc29937"/>
      <w:bookmarkStart w:id="1148" w:name="_Toc20843"/>
      <w:bookmarkStart w:id="1149" w:name="_Toc27476"/>
      <w:r>
        <w:rPr>
          <w:rFonts w:ascii="宋体" w:hAnsi="宋体" w:eastAsia="宋体" w:cs="宋体"/>
          <w:color w:val="000000" w:themeColor="text1"/>
          <w:szCs w:val="21"/>
          <w:highlight w:val="none"/>
          <w14:textFill>
            <w14:solidFill>
              <w14:schemeClr w14:val="tx1"/>
            </w14:solidFill>
          </w14:textFill>
        </w:rPr>
        <w:t xml:space="preserve">12.3.2 </w:t>
      </w:r>
      <w:r>
        <w:rPr>
          <w:rFonts w:hint="eastAsia" w:ascii="宋体" w:hAnsi="宋体" w:eastAsia="宋体" w:cs="Calibri"/>
          <w:color w:val="000000" w:themeColor="text1"/>
          <w:szCs w:val="21"/>
          <w:highlight w:val="none"/>
          <w14:textFill>
            <w14:solidFill>
              <w14:schemeClr w14:val="tx1"/>
            </w14:solidFill>
          </w14:textFill>
        </w:rPr>
        <w:t>计量周期</w:t>
      </w:r>
      <w:bookmarkEnd w:id="1144"/>
      <w:bookmarkEnd w:id="1145"/>
      <w:bookmarkEnd w:id="1146"/>
      <w:bookmarkEnd w:id="1147"/>
      <w:bookmarkEnd w:id="1148"/>
      <w:bookmarkEnd w:id="1149"/>
    </w:p>
    <w:p w14:paraId="5036BD5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关于计量周期的约定：</w:t>
      </w:r>
      <w:r>
        <w:rPr>
          <w:rFonts w:hint="eastAsia" w:ascii="宋体" w:hAnsi="宋体" w:eastAsia="宋体" w:cs="Calibri"/>
          <w:color w:val="000000" w:themeColor="text1"/>
          <w:szCs w:val="21"/>
          <w:highlight w:val="none"/>
          <w:u w:val="single"/>
          <w14:textFill>
            <w14:solidFill>
              <w14:schemeClr w14:val="tx1"/>
            </w14:solidFill>
          </w14:textFill>
        </w:rPr>
        <w:t>每月</w:t>
      </w:r>
      <w:r>
        <w:rPr>
          <w:rFonts w:ascii="宋体" w:hAnsi="宋体" w:eastAsia="宋体" w:cs="宋体"/>
          <w:color w:val="000000" w:themeColor="text1"/>
          <w:szCs w:val="21"/>
          <w:highlight w:val="none"/>
          <w:u w:val="single"/>
          <w14:textFill>
            <w14:solidFill>
              <w14:schemeClr w14:val="tx1"/>
            </w14:solidFill>
          </w14:textFill>
        </w:rPr>
        <w:t>25</w:t>
      </w:r>
      <w:r>
        <w:rPr>
          <w:rFonts w:hint="eastAsia" w:ascii="宋体" w:hAnsi="宋体" w:eastAsia="宋体" w:cs="Calibri"/>
          <w:color w:val="000000" w:themeColor="text1"/>
          <w:szCs w:val="21"/>
          <w:highlight w:val="none"/>
          <w:u w:val="single"/>
          <w14:textFill>
            <w14:solidFill>
              <w14:schemeClr w14:val="tx1"/>
            </w14:solidFill>
          </w14:textFill>
        </w:rPr>
        <w:t>日前</w:t>
      </w:r>
      <w:r>
        <w:rPr>
          <w:rFonts w:hint="eastAsia" w:ascii="宋体" w:hAnsi="宋体" w:eastAsia="宋体" w:cs="Calibri"/>
          <w:color w:val="000000" w:themeColor="text1"/>
          <w:szCs w:val="21"/>
          <w:highlight w:val="none"/>
          <w14:textFill>
            <w14:solidFill>
              <w14:schemeClr w14:val="tx1"/>
            </w14:solidFill>
          </w14:textFill>
        </w:rPr>
        <w:t>。</w:t>
      </w:r>
    </w:p>
    <w:p w14:paraId="589D3B5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12.3.3 </w:t>
      </w:r>
      <w:r>
        <w:rPr>
          <w:rFonts w:hint="eastAsia" w:ascii="宋体" w:hAnsi="宋体" w:eastAsia="宋体" w:cs="Calibri"/>
          <w:color w:val="000000" w:themeColor="text1"/>
          <w:szCs w:val="21"/>
          <w:highlight w:val="none"/>
          <w14:textFill>
            <w14:solidFill>
              <w14:schemeClr w14:val="tx1"/>
            </w14:solidFill>
          </w14:textFill>
        </w:rPr>
        <w:t>单价合同的计量</w:t>
      </w:r>
    </w:p>
    <w:p w14:paraId="4FA135B0">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关于单价合同计量的约定：</w:t>
      </w:r>
    </w:p>
    <w:p w14:paraId="42492E09">
      <w:pPr>
        <w:spacing w:line="360" w:lineRule="auto"/>
        <w:ind w:firstLine="441" w:firstLineChars="21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Calibri"/>
          <w:color w:val="000000" w:themeColor="text1"/>
          <w:szCs w:val="21"/>
          <w:highlight w:val="non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p>
    <w:p w14:paraId="58A414E8">
      <w:pPr>
        <w:spacing w:line="360" w:lineRule="auto"/>
        <w:ind w:firstLine="441" w:firstLineChars="21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(2) </w:t>
      </w:r>
      <w:r>
        <w:rPr>
          <w:rFonts w:hint="eastAsia" w:ascii="宋体" w:hAnsi="宋体" w:eastAsia="宋体" w:cs="Calibri"/>
          <w:color w:val="000000" w:themeColor="text1"/>
          <w:szCs w:val="21"/>
          <w:highlight w:val="none"/>
          <w14:textFill>
            <w14:solidFill>
              <w14:schemeClr w14:val="tx1"/>
            </w14:solidFill>
          </w14:textFill>
        </w:rPr>
        <w:t>除另有规定外，工程师应按照合同通过计量来核实确定已完成的工程量和价款，承包人应得到该价款扣除保留金后的金额。当工程师要对已完工的工程量进行计量时，应适时地通知承包人参加。</w:t>
      </w:r>
    </w:p>
    <w:p w14:paraId="79E97FA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12.3.4 </w:t>
      </w:r>
      <w:r>
        <w:rPr>
          <w:rFonts w:hint="eastAsia" w:ascii="宋体" w:hAnsi="宋体" w:eastAsia="宋体" w:cs="Calibri"/>
          <w:color w:val="000000" w:themeColor="text1"/>
          <w:szCs w:val="21"/>
          <w:highlight w:val="none"/>
          <w14:textFill>
            <w14:solidFill>
              <w14:schemeClr w14:val="tx1"/>
            </w14:solidFill>
          </w14:textFill>
        </w:rPr>
        <w:t>总价合同的计量</w:t>
      </w:r>
    </w:p>
    <w:p w14:paraId="39D1EA3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关于总价合同计量的约定：除工程变更外，原图纸范围内的工程量不得按实计量。进度款按支付分解表支付，按通用条款第</w:t>
      </w:r>
      <w:r>
        <w:rPr>
          <w:rFonts w:ascii="宋体" w:hAnsi="宋体" w:eastAsia="宋体" w:cs="宋体"/>
          <w:color w:val="000000" w:themeColor="text1"/>
          <w:kern w:val="0"/>
          <w:szCs w:val="21"/>
          <w:highlight w:val="none"/>
          <w14:textFill>
            <w14:solidFill>
              <w14:schemeClr w14:val="tx1"/>
            </w14:solidFill>
          </w14:textFill>
        </w:rPr>
        <w:t>12.3.4</w:t>
      </w:r>
      <w:r>
        <w:rPr>
          <w:rFonts w:hint="eastAsia" w:ascii="宋体" w:hAnsi="宋体" w:eastAsia="宋体" w:cs="Calibri"/>
          <w:color w:val="000000" w:themeColor="text1"/>
          <w:szCs w:val="21"/>
          <w:highlight w:val="none"/>
          <w14:textFill>
            <w14:solidFill>
              <w14:schemeClr w14:val="tx1"/>
            </w14:solidFill>
          </w14:textFill>
        </w:rPr>
        <w:t>项</w:t>
      </w:r>
      <w:r>
        <w:rPr>
          <w:rFonts w:hint="eastAsia" w:ascii="宋体" w:hAnsi="宋体" w:eastAsia="宋体" w:cs="Calibri"/>
          <w:color w:val="000000" w:themeColor="text1"/>
          <w:kern w:val="0"/>
          <w:szCs w:val="21"/>
          <w:highlight w:val="none"/>
          <w14:textFill>
            <w14:solidFill>
              <w14:schemeClr w14:val="tx1"/>
            </w14:solidFill>
          </w14:textFill>
        </w:rPr>
        <w:t>〔总价合同的计量〕</w:t>
      </w:r>
      <w:r>
        <w:rPr>
          <w:rFonts w:hint="eastAsia" w:ascii="宋体" w:hAnsi="宋体" w:eastAsia="宋体" w:cs="Calibri"/>
          <w:color w:val="000000" w:themeColor="text1"/>
          <w:szCs w:val="21"/>
          <w:highlight w:val="none"/>
          <w14:textFill>
            <w14:solidFill>
              <w14:schemeClr w14:val="tx1"/>
            </w14:solidFill>
          </w14:textFill>
        </w:rPr>
        <w:t>约定进行计量，但</w:t>
      </w:r>
      <w:r>
        <w:rPr>
          <w:rFonts w:hint="eastAsia" w:ascii="宋体" w:hAnsi="宋体" w:eastAsia="宋体" w:cs="Calibri"/>
          <w:color w:val="000000" w:themeColor="text1"/>
          <w:kern w:val="0"/>
          <w:szCs w:val="21"/>
          <w:highlight w:val="none"/>
          <w14:textFill>
            <w14:solidFill>
              <w14:schemeClr w14:val="tx1"/>
            </w14:solidFill>
          </w14:textFill>
        </w:rPr>
        <w:t>合同价款按照支付分解表进行支付。</w:t>
      </w:r>
    </w:p>
    <w:p w14:paraId="09B6F22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12.3.6 </w:t>
      </w:r>
      <w:r>
        <w:rPr>
          <w:rFonts w:hint="eastAsia" w:ascii="宋体" w:hAnsi="宋体" w:eastAsia="宋体" w:cs="Calibri"/>
          <w:color w:val="000000" w:themeColor="text1"/>
          <w:szCs w:val="21"/>
          <w:highlight w:val="none"/>
          <w14:textFill>
            <w14:solidFill>
              <w14:schemeClr w14:val="tx1"/>
            </w14:solidFill>
          </w14:textFill>
        </w:rPr>
        <w:t>其他价格形式合同的计量</w:t>
      </w:r>
    </w:p>
    <w:p w14:paraId="76F94DF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其他价格形式的计量方式和程序：</w:t>
      </w:r>
      <w:r>
        <w:rPr>
          <w:rFonts w:hint="eastAsia" w:ascii="宋体" w:hAnsi="宋体" w:eastAsia="宋体" w:cs="Calibri"/>
          <w:color w:val="000000" w:themeColor="text1"/>
          <w:szCs w:val="21"/>
          <w:highlight w:val="none"/>
          <w:u w:val="single"/>
          <w14:textFill>
            <w14:solidFill>
              <w14:schemeClr w14:val="tx1"/>
            </w14:solidFill>
          </w14:textFill>
        </w:rPr>
        <w:t>本工程采用固定综合单价合同，结算时的工程量按实际发生的工程量，材料价格按施工期间市场变动的信息价格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668C37FF">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12.4 </w:t>
      </w:r>
      <w:r>
        <w:rPr>
          <w:rFonts w:hint="eastAsia" w:ascii="宋体" w:hAnsi="宋体" w:eastAsia="宋体" w:cs="Times New Roman"/>
          <w:color w:val="000000" w:themeColor="text1"/>
          <w:szCs w:val="21"/>
          <w:highlight w:val="none"/>
          <w14:textFill>
            <w14:solidFill>
              <w14:schemeClr w14:val="tx1"/>
            </w14:solidFill>
          </w14:textFill>
        </w:rPr>
        <w:t>工程进度款支付</w:t>
      </w:r>
    </w:p>
    <w:bookmarkEnd w:id="993"/>
    <w:p w14:paraId="280A299E">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50" w:name="_Toc23998"/>
      <w:bookmarkStart w:id="1151" w:name="_Toc15733"/>
      <w:bookmarkStart w:id="1152" w:name="_Toc3211"/>
      <w:bookmarkStart w:id="1153" w:name="_Toc533863500"/>
      <w:bookmarkStart w:id="1154" w:name="_Toc24334"/>
      <w:bookmarkStart w:id="1155" w:name="_Toc20148"/>
      <w:bookmarkStart w:id="1156" w:name="_Toc351203645"/>
      <w:bookmarkStart w:id="1157" w:name="_Toc297123564"/>
      <w:bookmarkStart w:id="1158" w:name="_Toc297216223"/>
      <w:bookmarkStart w:id="1159" w:name="_Toc292559929"/>
      <w:bookmarkStart w:id="1160" w:name="_Toc296346720"/>
      <w:bookmarkStart w:id="1161" w:name="_Toc296891047"/>
      <w:bookmarkStart w:id="1162" w:name="_Toc312678053"/>
      <w:bookmarkStart w:id="1163" w:name="_Toc300935015"/>
      <w:bookmarkStart w:id="1164" w:name="_Toc296503219"/>
      <w:bookmarkStart w:id="1165" w:name="_Toc292559424"/>
      <w:bookmarkStart w:id="1166" w:name="_Toc304295593"/>
      <w:bookmarkStart w:id="1167" w:name="_Toc296891259"/>
      <w:bookmarkStart w:id="1168" w:name="_Toc296944558"/>
      <w:bookmarkStart w:id="1169" w:name="_Toc297120519"/>
      <w:bookmarkStart w:id="1170" w:name="_Toc297048405"/>
      <w:bookmarkStart w:id="1171" w:name="_Toc296347218"/>
      <w:bookmarkStart w:id="1172" w:name="_Toc303539172"/>
      <w:r>
        <w:rPr>
          <w:rFonts w:ascii="宋体" w:hAnsi="宋体" w:eastAsia="宋体" w:cs="宋体"/>
          <w:color w:val="000000" w:themeColor="text1"/>
          <w:szCs w:val="21"/>
          <w:highlight w:val="none"/>
          <w14:textFill>
            <w14:solidFill>
              <w14:schemeClr w14:val="tx1"/>
            </w14:solidFill>
          </w14:textFill>
        </w:rPr>
        <w:t xml:space="preserve">12.4.1 </w:t>
      </w:r>
      <w:r>
        <w:rPr>
          <w:rFonts w:hint="eastAsia" w:ascii="宋体" w:hAnsi="宋体" w:eastAsia="宋体" w:cs="Calibri"/>
          <w:color w:val="000000" w:themeColor="text1"/>
          <w:szCs w:val="21"/>
          <w:highlight w:val="none"/>
          <w14:textFill>
            <w14:solidFill>
              <w14:schemeClr w14:val="tx1"/>
            </w14:solidFill>
          </w14:textFill>
        </w:rPr>
        <w:t>付款周期</w:t>
      </w:r>
      <w:bookmarkEnd w:id="1150"/>
      <w:bookmarkEnd w:id="1151"/>
      <w:bookmarkEnd w:id="1152"/>
      <w:bookmarkEnd w:id="1153"/>
      <w:bookmarkEnd w:id="1154"/>
      <w:bookmarkEnd w:id="1155"/>
    </w:p>
    <w:p w14:paraId="0C3A3E81">
      <w:pPr>
        <w:widowControl/>
        <w:spacing w:line="400" w:lineRule="exact"/>
        <w:ind w:firstLine="420" w:firstLineChars="200"/>
        <w:jc w:val="left"/>
        <w:rPr>
          <w:rFonts w:ascii="Times New Roman" w:hAnsi="Times New Roman" w:eastAsia="宋体" w:cs="Times New Roman"/>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付款周期的约定:在具备开工条件，监理出具开工令，由施工单位申请，建设单位收到申请后15日内办理支付30%的工程预付款手续送财政审核拨付(因涉及财政资金，具体到账时间以财政拨款到账时间为准);按工程进度支付工程进度款，每期进度款按当期已完合格工程量的90%支付</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工程完工验收合格后，累计支付至合同价款的97%</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承包人向发包人提交经发包人认可的银行出具的、金额为审计结算价3%的质量保证金保函后，发包人应在收到保函之日起7个工作日内将累计支付比例提高至合同价款的100%(即剩余3%不再扣留现金，以保函方式替代)</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竣工结算经有关部门审定后，发包人应在结算审定之日起7个工作日内将工程款支付至结算审定总价的100%(含已支付)</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承包人提供的质量保证金保函有效期应覆盖缺陷责任期(12个月)，缺陷责任期满后，无工程缺陷的，保函自动失效，发包人应在收到承包人书面申请后7个工作日内将保函原件退还承包人。</w:t>
      </w:r>
    </w:p>
    <w:p w14:paraId="452E931E">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73" w:name="_Toc13151"/>
      <w:bookmarkStart w:id="1174" w:name="_Toc8534"/>
      <w:bookmarkStart w:id="1175" w:name="_Toc13739"/>
      <w:bookmarkStart w:id="1176" w:name="_Toc533863501"/>
      <w:bookmarkStart w:id="1177" w:name="_Toc31357"/>
      <w:bookmarkStart w:id="1178" w:name="_Toc5836"/>
      <w:r>
        <w:rPr>
          <w:rFonts w:ascii="宋体" w:hAnsi="宋体" w:eastAsia="宋体" w:cs="宋体"/>
          <w:color w:val="000000" w:themeColor="text1"/>
          <w:szCs w:val="21"/>
          <w:highlight w:val="none"/>
          <w14:textFill>
            <w14:solidFill>
              <w14:schemeClr w14:val="tx1"/>
            </w14:solidFill>
          </w14:textFill>
        </w:rPr>
        <w:t xml:space="preserve">12.4.2 </w:t>
      </w:r>
      <w:r>
        <w:rPr>
          <w:rFonts w:hint="eastAsia" w:ascii="宋体" w:hAnsi="宋体" w:eastAsia="宋体" w:cs="Calibri"/>
          <w:color w:val="000000" w:themeColor="text1"/>
          <w:szCs w:val="21"/>
          <w:highlight w:val="none"/>
          <w14:textFill>
            <w14:solidFill>
              <w14:schemeClr w14:val="tx1"/>
            </w14:solidFill>
          </w14:textFill>
        </w:rPr>
        <w:t>进度付款申请单的编制</w:t>
      </w:r>
      <w:bookmarkEnd w:id="1173"/>
      <w:bookmarkEnd w:id="1174"/>
      <w:bookmarkEnd w:id="1175"/>
      <w:bookmarkEnd w:id="1176"/>
      <w:bookmarkEnd w:id="1177"/>
      <w:bookmarkEnd w:id="1178"/>
    </w:p>
    <w:p w14:paraId="617951F8">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关于进度付款申请单编制的约定：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72DE1D9C">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79" w:name="_Toc26477"/>
      <w:bookmarkStart w:id="1180" w:name="_Toc533863502"/>
      <w:bookmarkStart w:id="1181" w:name="_Toc31022"/>
      <w:bookmarkStart w:id="1182" w:name="_Toc27809"/>
      <w:bookmarkStart w:id="1183" w:name="_Toc25756"/>
      <w:bookmarkStart w:id="1184" w:name="_Toc4451"/>
      <w:r>
        <w:rPr>
          <w:rFonts w:ascii="宋体" w:hAnsi="宋体" w:eastAsia="宋体" w:cs="宋体"/>
          <w:color w:val="000000" w:themeColor="text1"/>
          <w:szCs w:val="21"/>
          <w:highlight w:val="none"/>
          <w14:textFill>
            <w14:solidFill>
              <w14:schemeClr w14:val="tx1"/>
            </w14:solidFill>
          </w14:textFill>
        </w:rPr>
        <w:t xml:space="preserve">12.4.3 </w:t>
      </w:r>
      <w:r>
        <w:rPr>
          <w:rFonts w:hint="eastAsia" w:ascii="宋体" w:hAnsi="宋体" w:eastAsia="宋体" w:cs="Calibri"/>
          <w:color w:val="000000" w:themeColor="text1"/>
          <w:szCs w:val="21"/>
          <w:highlight w:val="none"/>
          <w14:textFill>
            <w14:solidFill>
              <w14:schemeClr w14:val="tx1"/>
            </w14:solidFill>
          </w14:textFill>
        </w:rPr>
        <w:t>进度付款申请单的提交</w:t>
      </w:r>
      <w:bookmarkEnd w:id="1179"/>
      <w:bookmarkEnd w:id="1180"/>
      <w:bookmarkEnd w:id="1181"/>
      <w:bookmarkEnd w:id="1182"/>
      <w:bookmarkEnd w:id="1183"/>
      <w:bookmarkEnd w:id="1184"/>
    </w:p>
    <w:p w14:paraId="048D29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）单价合同进度付款申请单提交的约定：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1645C52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）总价合同进度付款申请单提交的约定：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承包人应在每个计量周期到期后的7天内向发包人提交已完工程进度款支付申请一式四份，详细说明此周期自己认为有权得到的款额，包括分包人已完工程的价款</w:t>
      </w:r>
      <w:r>
        <w:rPr>
          <w:rFonts w:hint="eastAsia" w:ascii="宋体" w:hAnsi="宋体" w:eastAsia="宋体" w:cs="Calibri"/>
          <w:color w:val="000000" w:themeColor="text1"/>
          <w:szCs w:val="21"/>
          <w:highlight w:val="none"/>
          <w14:textFill>
            <w14:solidFill>
              <w14:schemeClr w14:val="tx1"/>
            </w14:solidFill>
          </w14:textFill>
        </w:rPr>
        <w:t>。</w:t>
      </w:r>
    </w:p>
    <w:p w14:paraId="55F58C8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）其他价格形式合同进度付款申请单提交的约定：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148FD4D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12.4.4 </w:t>
      </w:r>
      <w:r>
        <w:rPr>
          <w:rFonts w:hint="eastAsia" w:ascii="宋体" w:hAnsi="宋体" w:eastAsia="宋体" w:cs="Calibri"/>
          <w:color w:val="000000" w:themeColor="text1"/>
          <w:szCs w:val="21"/>
          <w:highlight w:val="none"/>
          <w14:textFill>
            <w14:solidFill>
              <w14:schemeClr w14:val="tx1"/>
            </w14:solidFill>
          </w14:textFill>
        </w:rPr>
        <w:t>进度款审核和支付</w:t>
      </w:r>
    </w:p>
    <w:p w14:paraId="56AA7908">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）监理人审查并报送发包人的期限：</w:t>
      </w:r>
      <w:r>
        <w:rPr>
          <w:rFonts w:hint="eastAsia" w:ascii="宋体" w:hAnsi="宋体" w:eastAsia="宋体" w:cs="Calibri"/>
          <w:color w:val="000000" w:themeColor="text1"/>
          <w:szCs w:val="21"/>
          <w:highlight w:val="none"/>
          <w:u w:val="single"/>
          <w14:textFill>
            <w14:solidFill>
              <w14:schemeClr w14:val="tx1"/>
            </w14:solidFill>
          </w14:textFill>
        </w:rPr>
        <w:t>监理人应在收到承包人进度付款申请单以及相关资料后7天内完成审查并报送发包人</w:t>
      </w:r>
      <w:r>
        <w:rPr>
          <w:rFonts w:hint="eastAsia" w:ascii="宋体" w:hAnsi="宋体" w:eastAsia="宋体" w:cs="Calibri"/>
          <w:color w:val="000000" w:themeColor="text1"/>
          <w:szCs w:val="21"/>
          <w:highlight w:val="none"/>
          <w14:textFill>
            <w14:solidFill>
              <w14:schemeClr w14:val="tx1"/>
            </w14:solidFill>
          </w14:textFill>
        </w:rPr>
        <w:t>。</w:t>
      </w:r>
    </w:p>
    <w:p w14:paraId="3C490296">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发包人完成审批并签发进度款支付证书的期限：</w:t>
      </w:r>
      <w:r>
        <w:rPr>
          <w:rFonts w:hint="eastAsia" w:ascii="宋体" w:hAnsi="宋体" w:eastAsia="宋体" w:cs="Calibri"/>
          <w:color w:val="000000" w:themeColor="text1"/>
          <w:szCs w:val="21"/>
          <w:highlight w:val="none"/>
          <w:u w:val="single"/>
          <w14:textFill>
            <w14:solidFill>
              <w14:schemeClr w14:val="tx1"/>
            </w14:solidFill>
          </w14:textFill>
        </w:rPr>
        <w:t>发包人应在收到后7天内完成审批并签发进度款支付证书</w:t>
      </w:r>
      <w:r>
        <w:rPr>
          <w:rFonts w:hint="eastAsia" w:ascii="宋体" w:hAnsi="宋体" w:eastAsia="宋体" w:cs="Calibri"/>
          <w:color w:val="000000" w:themeColor="text1"/>
          <w:szCs w:val="21"/>
          <w:highlight w:val="none"/>
          <w14:textFill>
            <w14:solidFill>
              <w14:schemeClr w14:val="tx1"/>
            </w14:solidFill>
          </w14:textFill>
        </w:rPr>
        <w:t>。</w:t>
      </w:r>
    </w:p>
    <w:p w14:paraId="5BF7EC7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）发包人支付进度款的期限：</w:t>
      </w:r>
      <w:r>
        <w:rPr>
          <w:rFonts w:hint="eastAsia" w:ascii="宋体" w:hAnsi="宋体" w:eastAsia="宋体" w:cs="Calibri"/>
          <w:color w:val="000000" w:themeColor="text1"/>
          <w:szCs w:val="21"/>
          <w:highlight w:val="none"/>
          <w:u w:val="single"/>
          <w14:textFill>
            <w14:solidFill>
              <w14:schemeClr w14:val="tx1"/>
            </w14:solidFill>
          </w14:textFill>
        </w:rPr>
        <w:t>收到承包人进度付款申请单以及相关资料后7天内</w:t>
      </w:r>
      <w:r>
        <w:rPr>
          <w:rFonts w:hint="eastAsia" w:ascii="宋体" w:hAnsi="宋体" w:eastAsia="宋体" w:cs="Calibri"/>
          <w:color w:val="000000" w:themeColor="text1"/>
          <w:szCs w:val="21"/>
          <w:highlight w:val="none"/>
          <w14:textFill>
            <w14:solidFill>
              <w14:schemeClr w14:val="tx1"/>
            </w14:solidFill>
          </w14:textFill>
        </w:rPr>
        <w:t>。</w:t>
      </w:r>
    </w:p>
    <w:p w14:paraId="75A2F1EB">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发包人逾期支付进度款的违约金的计算方式：</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5C304878">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进度款支付方式：</w:t>
      </w:r>
      <w:r>
        <w:rPr>
          <w:rFonts w:hint="eastAsia" w:ascii="宋体" w:hAnsi="宋体" w:eastAsia="宋体" w:cs="Calibri"/>
          <w:color w:val="000000" w:themeColor="text1"/>
          <w:szCs w:val="21"/>
          <w:highlight w:val="none"/>
          <w:u w:val="single"/>
          <w14:textFill>
            <w14:solidFill>
              <w14:schemeClr w14:val="tx1"/>
            </w14:solidFill>
          </w14:textFill>
        </w:rPr>
        <w:t>银行转账</w:t>
      </w:r>
      <w:r>
        <w:rPr>
          <w:rFonts w:hint="eastAsia" w:ascii="宋体" w:hAnsi="宋体" w:eastAsia="宋体" w:cs="Calibri"/>
          <w:color w:val="000000" w:themeColor="text1"/>
          <w:szCs w:val="21"/>
          <w:highlight w:val="none"/>
          <w14:textFill>
            <w14:solidFill>
              <w14:schemeClr w14:val="tx1"/>
            </w14:solidFill>
          </w14:textFill>
        </w:rPr>
        <w:t>。</w:t>
      </w:r>
    </w:p>
    <w:p w14:paraId="423799C1">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12.4.6 </w:t>
      </w:r>
      <w:r>
        <w:rPr>
          <w:rFonts w:hint="eastAsia" w:ascii="宋体" w:hAnsi="宋体" w:eastAsia="宋体" w:cs="Calibri"/>
          <w:color w:val="000000" w:themeColor="text1"/>
          <w:szCs w:val="21"/>
          <w:highlight w:val="none"/>
          <w14:textFill>
            <w14:solidFill>
              <w14:schemeClr w14:val="tx1"/>
            </w14:solidFill>
          </w14:textFill>
        </w:rPr>
        <w:t>支付分解表的编制</w:t>
      </w:r>
    </w:p>
    <w:p w14:paraId="241A5CA9">
      <w:pPr>
        <w:spacing w:line="360" w:lineRule="auto"/>
        <w:ind w:firstLine="525" w:firstLineChars="25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 总价合同支付分解表的编制与审批：</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6A7AB3B2">
      <w:pPr>
        <w:spacing w:line="360" w:lineRule="auto"/>
        <w:ind w:firstLine="525" w:firstLineChars="25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 单价合同的总价项目支付分解表的编制与审批：总价项目不采用支付分解表的方式计算，而按《建设工程工程量清单计价规范（GB50500-2013）广西壮族自治区实施细则》的规定执行。</w:t>
      </w:r>
    </w:p>
    <w:p w14:paraId="7DC2533C">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185" w:name="_Toc2580"/>
      <w:bookmarkStart w:id="1186" w:name="_Toc533863503"/>
      <w:r>
        <w:rPr>
          <w:rFonts w:ascii="宋体" w:hAnsi="宋体" w:eastAsia="宋体" w:cs="Times New Roman"/>
          <w:b/>
          <w:bCs/>
          <w:color w:val="000000" w:themeColor="text1"/>
          <w:szCs w:val="21"/>
          <w:highlight w:val="none"/>
          <w14:textFill>
            <w14:solidFill>
              <w14:schemeClr w14:val="tx1"/>
            </w14:solidFill>
          </w14:textFill>
        </w:rPr>
        <w:t xml:space="preserve">13. </w:t>
      </w:r>
      <w:r>
        <w:rPr>
          <w:rFonts w:hint="eastAsia" w:ascii="宋体" w:hAnsi="宋体" w:eastAsia="宋体" w:cs="Times New Roman"/>
          <w:b/>
          <w:bCs/>
          <w:color w:val="000000" w:themeColor="text1"/>
          <w:szCs w:val="21"/>
          <w:highlight w:val="none"/>
          <w14:textFill>
            <w14:solidFill>
              <w14:schemeClr w14:val="tx1"/>
            </w14:solidFill>
          </w14:textFill>
        </w:rPr>
        <w:t>验收和工程试车</w:t>
      </w:r>
      <w:bookmarkEnd w:id="1156"/>
      <w:bookmarkEnd w:id="1185"/>
      <w:bookmarkEnd w:id="1186"/>
    </w:p>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14:paraId="46DD4F3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13.1 </w:t>
      </w:r>
      <w:r>
        <w:rPr>
          <w:rFonts w:hint="eastAsia" w:ascii="宋体" w:hAnsi="宋体" w:eastAsia="宋体" w:cs="Times New Roman"/>
          <w:color w:val="000000" w:themeColor="text1"/>
          <w:szCs w:val="21"/>
          <w:highlight w:val="none"/>
          <w14:textFill>
            <w14:solidFill>
              <w14:schemeClr w14:val="tx1"/>
            </w14:solidFill>
          </w14:textFill>
        </w:rPr>
        <w:t>分部分项工程验收</w:t>
      </w:r>
    </w:p>
    <w:p w14:paraId="10127647">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13.1.2</w:t>
      </w:r>
      <w:r>
        <w:rPr>
          <w:rFonts w:hint="eastAsia" w:ascii="宋体" w:hAnsi="宋体" w:eastAsia="宋体" w:cs="Times New Roman"/>
          <w:color w:val="000000" w:themeColor="text1"/>
          <w:szCs w:val="21"/>
          <w:highlight w:val="none"/>
          <w14:textFill>
            <w14:solidFill>
              <w14:schemeClr w14:val="tx1"/>
            </w14:solidFill>
          </w14:textFill>
        </w:rPr>
        <w:t>监理人不能按时进行验收时，应提前</w:t>
      </w:r>
      <w:r>
        <w:rPr>
          <w:rFonts w:ascii="宋体" w:hAnsi="宋体" w:eastAsia="宋体" w:cs="Times New Roman"/>
          <w:color w:val="000000" w:themeColor="text1"/>
          <w:szCs w:val="21"/>
          <w:highlight w:val="none"/>
          <w:u w:val="single"/>
          <w14:textFill>
            <w14:solidFill>
              <w14:schemeClr w14:val="tx1"/>
            </w14:solidFill>
          </w14:textFill>
        </w:rPr>
        <w:t xml:space="preserve"> 24 </w:t>
      </w:r>
      <w:r>
        <w:rPr>
          <w:rFonts w:hint="eastAsia" w:ascii="宋体" w:hAnsi="宋体" w:eastAsia="宋体" w:cs="Times New Roman"/>
          <w:color w:val="000000" w:themeColor="text1"/>
          <w:szCs w:val="21"/>
          <w:highlight w:val="none"/>
          <w14:textFill>
            <w14:solidFill>
              <w14:schemeClr w14:val="tx1"/>
            </w14:solidFill>
          </w14:textFill>
        </w:rPr>
        <w:t>小时提交书面延期要求。</w:t>
      </w:r>
    </w:p>
    <w:p w14:paraId="0221C5D7">
      <w:pPr>
        <w:spacing w:line="360" w:lineRule="auto"/>
        <w:ind w:firstLine="420" w:firstLineChars="200"/>
        <w:jc w:val="left"/>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关于延期最长不得超过：</w:t>
      </w:r>
      <w:r>
        <w:rPr>
          <w:rFonts w:ascii="宋体" w:hAnsi="宋体" w:eastAsia="宋体" w:cs="Times New Roman"/>
          <w:color w:val="000000" w:themeColor="text1"/>
          <w:szCs w:val="21"/>
          <w:highlight w:val="none"/>
          <w:u w:val="single"/>
          <w14:textFill>
            <w14:solidFill>
              <w14:schemeClr w14:val="tx1"/>
            </w14:solidFill>
          </w14:textFill>
        </w:rPr>
        <w:t xml:space="preserve">  48</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小时。</w:t>
      </w:r>
    </w:p>
    <w:p w14:paraId="6577909E">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bookmarkStart w:id="1187" w:name="_Toc292559933"/>
      <w:bookmarkStart w:id="1188" w:name="_Toc300935016"/>
      <w:bookmarkStart w:id="1189" w:name="_Toc297123565"/>
      <w:bookmarkStart w:id="1190" w:name="_Toc296503223"/>
      <w:bookmarkStart w:id="1191" w:name="_Toc312678056"/>
      <w:bookmarkStart w:id="1192" w:name="_Toc292559428"/>
      <w:bookmarkStart w:id="1193" w:name="_Toc297216224"/>
      <w:bookmarkStart w:id="1194" w:name="_Toc296944562"/>
      <w:bookmarkStart w:id="1195" w:name="_Toc303539173"/>
      <w:bookmarkStart w:id="1196" w:name="_Toc297120523"/>
      <w:bookmarkStart w:id="1197" w:name="_Toc304295596"/>
      <w:bookmarkStart w:id="1198" w:name="_Toc296891263"/>
      <w:bookmarkStart w:id="1199" w:name="_Toc296347222"/>
      <w:bookmarkStart w:id="1200" w:name="_Toc297048409"/>
      <w:bookmarkStart w:id="1201" w:name="_Toc296891051"/>
      <w:bookmarkStart w:id="1202" w:name="_Toc296346724"/>
      <w:bookmarkStart w:id="1203" w:name="_Toc267251472"/>
      <w:bookmarkStart w:id="1204" w:name="_Toc267251475"/>
      <w:bookmarkStart w:id="1205" w:name="_Toc267251476"/>
      <w:bookmarkStart w:id="1206" w:name="_Toc267251471"/>
      <w:bookmarkStart w:id="1207" w:name="_Toc267251473"/>
      <w:bookmarkStart w:id="1208" w:name="_Toc267251470"/>
      <w:bookmarkStart w:id="1209" w:name="_Toc267251474"/>
      <w:r>
        <w:rPr>
          <w:rFonts w:ascii="宋体" w:hAnsi="宋体" w:eastAsia="宋体" w:cs="Times New Roman"/>
          <w:color w:val="000000" w:themeColor="text1"/>
          <w:szCs w:val="21"/>
          <w:highlight w:val="none"/>
          <w14:textFill>
            <w14:solidFill>
              <w14:schemeClr w14:val="tx1"/>
            </w14:solidFill>
          </w14:textFill>
        </w:rPr>
        <w:t xml:space="preserve">13.2 </w:t>
      </w:r>
      <w:r>
        <w:rPr>
          <w:rFonts w:hint="eastAsia" w:ascii="宋体" w:hAnsi="宋体" w:eastAsia="宋体" w:cs="Times New Roman"/>
          <w:color w:val="000000" w:themeColor="text1"/>
          <w:szCs w:val="21"/>
          <w:highlight w:val="none"/>
          <w14:textFill>
            <w14:solidFill>
              <w14:schemeClr w14:val="tx1"/>
            </w14:solidFill>
          </w14:textFill>
        </w:rPr>
        <w:t>竣工验收</w:t>
      </w:r>
    </w:p>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14:paraId="05426A7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1210" w:name="_Toc280868708"/>
      <w:bookmarkStart w:id="1211" w:name="_Toc280868709"/>
      <w:r>
        <w:rPr>
          <w:rFonts w:ascii="宋体" w:hAnsi="宋体" w:eastAsia="宋体" w:cs="宋体"/>
          <w:color w:val="000000" w:themeColor="text1"/>
          <w:szCs w:val="21"/>
          <w:highlight w:val="none"/>
          <w14:textFill>
            <w14:solidFill>
              <w14:schemeClr w14:val="tx1"/>
            </w14:solidFill>
          </w14:textFill>
        </w:rPr>
        <w:t>13.2.1</w:t>
      </w:r>
      <w:r>
        <w:rPr>
          <w:rFonts w:hint="eastAsia" w:ascii="宋体" w:hAnsi="宋体" w:eastAsia="宋体" w:cs="Calibri"/>
          <w:color w:val="000000" w:themeColor="text1"/>
          <w:szCs w:val="21"/>
          <w:highlight w:val="none"/>
          <w14:textFill>
            <w14:solidFill>
              <w14:schemeClr w14:val="tx1"/>
            </w14:solidFill>
          </w14:textFill>
        </w:rPr>
        <w:t>竣工验收条件</w:t>
      </w:r>
    </w:p>
    <w:p w14:paraId="537006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）承包人负责整理和提交的竣工验收资料应当符合工程所在地建设行政主管部门和</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或</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城市建设档案管理机构有关施工资料的要求，具体内容包括：</w:t>
      </w:r>
      <w:r>
        <w:rPr>
          <w:rFonts w:hint="eastAsia" w:ascii="宋体" w:hAnsi="宋体" w:eastAsia="宋体" w:cs="Calibri"/>
          <w:color w:val="000000" w:themeColor="text1"/>
          <w:szCs w:val="21"/>
          <w:highlight w:val="none"/>
          <w:u w:val="single"/>
          <w14:textFill>
            <w14:solidFill>
              <w14:schemeClr w14:val="tx1"/>
            </w14:solidFill>
          </w14:textFill>
        </w:rPr>
        <w:t>按通用条款第18.2款执行并满足发包人要求</w:t>
      </w:r>
      <w:r>
        <w:rPr>
          <w:rFonts w:hint="eastAsia" w:ascii="宋体" w:hAnsi="宋体" w:eastAsia="宋体" w:cs="Calibri"/>
          <w:color w:val="000000" w:themeColor="text1"/>
          <w:szCs w:val="21"/>
          <w:highlight w:val="none"/>
          <w14:textFill>
            <w14:solidFill>
              <w14:schemeClr w14:val="tx1"/>
            </w14:solidFill>
          </w14:textFill>
        </w:rPr>
        <w:t>。</w:t>
      </w:r>
    </w:p>
    <w:p w14:paraId="2732B9A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竣工验收资料的份数：</w:t>
      </w:r>
      <w:r>
        <w:rPr>
          <w:rFonts w:hint="eastAsia" w:ascii="宋体" w:hAnsi="宋体" w:eastAsia="宋体" w:cs="Calibri"/>
          <w:color w:val="000000" w:themeColor="text1"/>
          <w:szCs w:val="21"/>
          <w:highlight w:val="none"/>
          <w:u w:val="single"/>
          <w14:textFill>
            <w14:solidFill>
              <w14:schemeClr w14:val="tx1"/>
            </w14:solidFill>
          </w14:textFill>
        </w:rPr>
        <w:t>三</w:t>
      </w:r>
      <w:r>
        <w:rPr>
          <w:rFonts w:hint="eastAsia" w:ascii="宋体" w:hAnsi="宋体" w:eastAsia="宋体" w:cs="Calibri"/>
          <w:b/>
          <w:bCs/>
          <w:color w:val="000000" w:themeColor="text1"/>
          <w:szCs w:val="21"/>
          <w:highlight w:val="none"/>
          <w:u w:val="single"/>
          <w14:textFill>
            <w14:solidFill>
              <w14:schemeClr w14:val="tx1"/>
            </w14:solidFill>
          </w14:textFill>
        </w:rPr>
        <w:t>份</w:t>
      </w:r>
      <w:r>
        <w:rPr>
          <w:rFonts w:hint="eastAsia" w:ascii="宋体" w:hAnsi="宋体" w:eastAsia="宋体" w:cs="Calibri"/>
          <w:color w:val="000000" w:themeColor="text1"/>
          <w:szCs w:val="21"/>
          <w:highlight w:val="none"/>
          <w14:textFill>
            <w14:solidFill>
              <w14:schemeClr w14:val="tx1"/>
            </w14:solidFill>
          </w14:textFill>
        </w:rPr>
        <w:t>。</w:t>
      </w:r>
    </w:p>
    <w:p w14:paraId="1056D5D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承包人提供竣工图的约定：</w:t>
      </w:r>
      <w:r>
        <w:rPr>
          <w:rFonts w:hint="eastAsia" w:ascii="宋体" w:hAnsi="宋体" w:eastAsia="宋体" w:cs="Calibri"/>
          <w:color w:val="000000" w:themeColor="text1"/>
          <w:szCs w:val="21"/>
          <w:highlight w:val="none"/>
          <w:u w:val="single"/>
          <w14:textFill>
            <w14:solidFill>
              <w14:schemeClr w14:val="tx1"/>
            </w14:solidFill>
          </w14:textFill>
        </w:rPr>
        <w:t>竣工验收正式通过后</w:t>
      </w:r>
      <w:r>
        <w:rPr>
          <w:rFonts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万元以下含</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w:t>
      </w:r>
      <w:r>
        <w:rPr>
          <w:rFonts w:ascii="宋体" w:hAnsi="宋体" w:eastAsia="宋体" w:cs="宋体"/>
          <w:color w:val="000000" w:themeColor="text1"/>
          <w:szCs w:val="21"/>
          <w:highlight w:val="none"/>
          <w:u w:val="single"/>
          <w14:textFill>
            <w14:solidFill>
              <w14:schemeClr w14:val="tx1"/>
            </w14:solidFill>
          </w14:textFill>
        </w:rPr>
        <w:t>10</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万元至</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万元之间含</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w:t>
      </w:r>
      <w:r>
        <w:rPr>
          <w:rFonts w:ascii="宋体" w:hAnsi="宋体" w:eastAsia="宋体" w:cs="宋体"/>
          <w:color w:val="000000" w:themeColor="text1"/>
          <w:szCs w:val="21"/>
          <w:highlight w:val="none"/>
          <w:u w:val="single"/>
          <w14:textFill>
            <w14:solidFill>
              <w14:schemeClr w14:val="tx1"/>
            </w14:solidFill>
          </w14:textFill>
        </w:rPr>
        <w:t>15</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万元以上），提供竣工图的数量分别为</w:t>
      </w:r>
      <w:r>
        <w:rPr>
          <w:rFonts w:ascii="宋体" w:hAnsi="宋体" w:eastAsia="宋体" w:cs="宋体"/>
          <w:color w:val="000000" w:themeColor="text1"/>
          <w:szCs w:val="21"/>
          <w:highlight w:val="none"/>
          <w:u w:val="single"/>
          <w14:textFill>
            <w14:solidFill>
              <w14:schemeClr w14:val="tx1"/>
            </w14:solidFill>
          </w14:textFill>
        </w:rPr>
        <w:t>2</w:t>
      </w:r>
      <w:r>
        <w:rPr>
          <w:rFonts w:hint="eastAsia" w:ascii="宋体" w:hAnsi="宋体" w:eastAsia="宋体" w:cs="Calibri"/>
          <w:color w:val="000000" w:themeColor="text1"/>
          <w:szCs w:val="21"/>
          <w:highlight w:val="none"/>
          <w:u w:val="single"/>
          <w14:textFill>
            <w14:solidFill>
              <w14:schemeClr w14:val="tx1"/>
            </w14:solidFill>
          </w14:textFill>
        </w:rPr>
        <w:t>套、</w:t>
      </w:r>
      <w:r>
        <w:rPr>
          <w:rFonts w:ascii="宋体" w:hAnsi="宋体" w:eastAsia="宋体" w:cs="宋体"/>
          <w:color w:val="000000" w:themeColor="text1"/>
          <w:szCs w:val="21"/>
          <w:highlight w:val="none"/>
          <w:u w:val="single"/>
          <w14:textFill>
            <w14:solidFill>
              <w14:schemeClr w14:val="tx1"/>
            </w14:solidFill>
          </w14:textFill>
        </w:rPr>
        <w:t>4</w:t>
      </w:r>
      <w:r>
        <w:rPr>
          <w:rFonts w:hint="eastAsia" w:ascii="宋体" w:hAnsi="宋体" w:eastAsia="宋体" w:cs="Calibri"/>
          <w:color w:val="000000" w:themeColor="text1"/>
          <w:szCs w:val="21"/>
          <w:highlight w:val="none"/>
          <w:u w:val="single"/>
          <w14:textFill>
            <w14:solidFill>
              <w14:schemeClr w14:val="tx1"/>
            </w14:solidFill>
          </w14:textFill>
        </w:rPr>
        <w:t>套、</w:t>
      </w:r>
      <w:r>
        <w:rPr>
          <w:rFonts w:ascii="宋体" w:hAnsi="宋体" w:eastAsia="宋体" w:cs="宋体"/>
          <w:color w:val="000000" w:themeColor="text1"/>
          <w:szCs w:val="21"/>
          <w:highlight w:val="none"/>
          <w:u w:val="single"/>
          <w14:textFill>
            <w14:solidFill>
              <w14:schemeClr w14:val="tx1"/>
            </w14:solidFill>
          </w14:textFill>
        </w:rPr>
        <w:t>6</w:t>
      </w:r>
      <w:r>
        <w:rPr>
          <w:rFonts w:hint="eastAsia" w:ascii="宋体" w:hAnsi="宋体" w:eastAsia="宋体" w:cs="Calibri"/>
          <w:color w:val="000000" w:themeColor="text1"/>
          <w:szCs w:val="21"/>
          <w:highlight w:val="none"/>
          <w:u w:val="single"/>
          <w14:textFill>
            <w14:solidFill>
              <w14:schemeClr w14:val="tx1"/>
            </w14:solidFill>
          </w14:textFill>
        </w:rPr>
        <w:t>套。</w:t>
      </w:r>
    </w:p>
    <w:p w14:paraId="404D60D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13.2.2</w:t>
      </w:r>
      <w:r>
        <w:rPr>
          <w:rFonts w:hint="eastAsia" w:ascii="宋体" w:hAnsi="宋体" w:eastAsia="宋体" w:cs="Calibri"/>
          <w:color w:val="000000" w:themeColor="text1"/>
          <w:szCs w:val="21"/>
          <w:highlight w:val="none"/>
          <w14:textFill>
            <w14:solidFill>
              <w14:schemeClr w14:val="tx1"/>
            </w14:solidFill>
          </w14:textFill>
        </w:rPr>
        <w:t>竣工验收程序</w:t>
      </w:r>
    </w:p>
    <w:p w14:paraId="3245E20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关于竣工验收程序的约定：</w:t>
      </w:r>
      <w:r>
        <w:rPr>
          <w:rFonts w:hint="eastAsia" w:ascii="宋体" w:hAnsi="宋体" w:eastAsia="宋体" w:cs="Calibri"/>
          <w:color w:val="000000" w:themeColor="text1"/>
          <w:szCs w:val="21"/>
          <w:highlight w:val="none"/>
          <w:u w:val="single"/>
          <w14:textFill>
            <w14:solidFill>
              <w14:schemeClr w14:val="tx1"/>
            </w14:solidFill>
          </w14:textFill>
        </w:rPr>
        <w:t>按《通用合同条款》13.2.2条执行</w:t>
      </w:r>
      <w:r>
        <w:rPr>
          <w:rFonts w:hint="eastAsia" w:ascii="宋体" w:hAnsi="宋体" w:eastAsia="宋体" w:cs="Calibri"/>
          <w:color w:val="000000" w:themeColor="text1"/>
          <w:szCs w:val="21"/>
          <w:highlight w:val="none"/>
          <w14:textFill>
            <w14:solidFill>
              <w14:schemeClr w14:val="tx1"/>
            </w14:solidFill>
          </w14:textFill>
        </w:rPr>
        <w:t>。</w:t>
      </w:r>
    </w:p>
    <w:p w14:paraId="106372FE">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发包人不按照本项约定组织竣工验收、颁发工程接收证书的违约金的计算方法：</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7C18536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13.2.5</w:t>
      </w:r>
      <w:r>
        <w:rPr>
          <w:rFonts w:hint="eastAsia" w:ascii="宋体" w:hAnsi="宋体" w:eastAsia="宋体" w:cs="Calibri"/>
          <w:color w:val="000000" w:themeColor="text1"/>
          <w:szCs w:val="21"/>
          <w:highlight w:val="none"/>
          <w14:textFill>
            <w14:solidFill>
              <w14:schemeClr w14:val="tx1"/>
            </w14:solidFill>
          </w14:textFill>
        </w:rPr>
        <w:t>移交、接收全部与部分工程</w:t>
      </w:r>
    </w:p>
    <w:p w14:paraId="4101535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承包人向发包人移交工程的期限：</w:t>
      </w:r>
      <w:r>
        <w:rPr>
          <w:rFonts w:hint="eastAsia" w:ascii="宋体" w:hAnsi="宋体" w:eastAsia="宋体" w:cs="Calibri"/>
          <w:color w:val="000000" w:themeColor="text1"/>
          <w:szCs w:val="21"/>
          <w:highlight w:val="none"/>
          <w:u w:val="single"/>
          <w14:textFill>
            <w14:solidFill>
              <w14:schemeClr w14:val="tx1"/>
            </w14:solidFill>
          </w14:textFill>
        </w:rPr>
        <w:t>保修期满后30天内</w:t>
      </w:r>
      <w:r>
        <w:rPr>
          <w:rFonts w:hint="eastAsia" w:ascii="宋体" w:hAnsi="宋体" w:eastAsia="宋体" w:cs="Calibri"/>
          <w:color w:val="000000" w:themeColor="text1"/>
          <w:szCs w:val="21"/>
          <w:highlight w:val="none"/>
          <w14:textFill>
            <w14:solidFill>
              <w14:schemeClr w14:val="tx1"/>
            </w14:solidFill>
          </w14:textFill>
        </w:rPr>
        <w:t>。</w:t>
      </w:r>
    </w:p>
    <w:p w14:paraId="727E02B2">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发包人未按本合同约定接收全部或部分工程的，违约金的计算方法为：</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B56C7C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承包人未按时移交工程的，违约金的计算方法为：</w:t>
      </w:r>
      <w:r>
        <w:rPr>
          <w:rFonts w:hint="eastAsia" w:ascii="宋体" w:hAnsi="宋体" w:eastAsia="宋体" w:cs="Calibri"/>
          <w:color w:val="000000" w:themeColor="text1"/>
          <w:szCs w:val="21"/>
          <w:highlight w:val="none"/>
          <w:u w:val="single"/>
          <w14:textFill>
            <w14:solidFill>
              <w14:schemeClr w14:val="tx1"/>
            </w14:solidFill>
          </w14:textFill>
        </w:rPr>
        <w:t>因承包人原因未按时移交工程的，每延误一天，扣除150元/天的质保金</w:t>
      </w:r>
      <w:r>
        <w:rPr>
          <w:rFonts w:hint="eastAsia" w:ascii="宋体" w:hAnsi="宋体" w:eastAsia="宋体" w:cs="Calibri"/>
          <w:color w:val="000000" w:themeColor="text1"/>
          <w:szCs w:val="21"/>
          <w:highlight w:val="none"/>
          <w14:textFill>
            <w14:solidFill>
              <w14:schemeClr w14:val="tx1"/>
            </w14:solidFill>
          </w14:textFill>
        </w:rPr>
        <w:t>。</w:t>
      </w:r>
    </w:p>
    <w:p w14:paraId="7616B522">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13.3 </w:t>
      </w:r>
      <w:r>
        <w:rPr>
          <w:rFonts w:hint="eastAsia" w:ascii="宋体" w:hAnsi="宋体" w:eastAsia="宋体" w:cs="Times New Roman"/>
          <w:color w:val="000000" w:themeColor="text1"/>
          <w:szCs w:val="21"/>
          <w:highlight w:val="none"/>
          <w14:textFill>
            <w14:solidFill>
              <w14:schemeClr w14:val="tx1"/>
            </w14:solidFill>
          </w14:textFill>
        </w:rPr>
        <w:t>工程试车</w:t>
      </w:r>
    </w:p>
    <w:bookmarkEnd w:id="1210"/>
    <w:p w14:paraId="00B87B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13.3.1 </w:t>
      </w:r>
      <w:r>
        <w:rPr>
          <w:rFonts w:hint="eastAsia" w:ascii="宋体" w:hAnsi="宋体" w:eastAsia="宋体" w:cs="Calibri"/>
          <w:color w:val="000000" w:themeColor="text1"/>
          <w:kern w:val="0"/>
          <w:szCs w:val="21"/>
          <w:highlight w:val="none"/>
          <w14:textFill>
            <w14:solidFill>
              <w14:schemeClr w14:val="tx1"/>
            </w14:solidFill>
          </w14:textFill>
        </w:rPr>
        <w:t>试车程序</w:t>
      </w:r>
    </w:p>
    <w:p w14:paraId="5005B870">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工程试车内容：</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06864A9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 xml:space="preserve">）单机无负荷试车费用由 </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承担；</w:t>
      </w:r>
    </w:p>
    <w:p w14:paraId="7977D6D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14:textFill>
            <w14:solidFill>
              <w14:schemeClr w14:val="tx1"/>
            </w14:solidFill>
          </w14:textFill>
        </w:rPr>
        <w:t xml:space="preserve">）无负荷联动试车费用由 </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承担。</w:t>
      </w:r>
    </w:p>
    <w:p w14:paraId="2C26710E">
      <w:pPr>
        <w:spacing w:line="360" w:lineRule="auto"/>
        <w:ind w:firstLine="420" w:firstLineChars="200"/>
        <w:jc w:val="left"/>
        <w:outlineLvl w:val="0"/>
        <w:rPr>
          <w:rFonts w:ascii="宋体" w:hAnsi="宋体" w:eastAsia="宋体" w:cs="宋体"/>
          <w:color w:val="000000" w:themeColor="text1"/>
          <w:kern w:val="0"/>
          <w:szCs w:val="21"/>
          <w:highlight w:val="none"/>
          <w14:textFill>
            <w14:solidFill>
              <w14:schemeClr w14:val="tx1"/>
            </w14:solidFill>
          </w14:textFill>
        </w:rPr>
      </w:pPr>
      <w:bookmarkStart w:id="1212" w:name="_Toc29475"/>
      <w:bookmarkStart w:id="1213" w:name="_Toc30276"/>
      <w:bookmarkStart w:id="1214" w:name="_Toc11196"/>
      <w:bookmarkStart w:id="1215" w:name="_Toc5131"/>
      <w:bookmarkStart w:id="1216" w:name="_Toc533863504"/>
      <w:bookmarkStart w:id="1217" w:name="_Toc12056"/>
      <w:r>
        <w:rPr>
          <w:rFonts w:ascii="宋体" w:hAnsi="宋体" w:eastAsia="宋体" w:cs="宋体"/>
          <w:color w:val="000000" w:themeColor="text1"/>
          <w:kern w:val="0"/>
          <w:szCs w:val="21"/>
          <w:highlight w:val="none"/>
          <w14:textFill>
            <w14:solidFill>
              <w14:schemeClr w14:val="tx1"/>
            </w14:solidFill>
          </w14:textFill>
        </w:rPr>
        <w:t xml:space="preserve">13.3.3 </w:t>
      </w:r>
      <w:r>
        <w:rPr>
          <w:rFonts w:hint="eastAsia" w:ascii="宋体" w:hAnsi="宋体" w:eastAsia="宋体" w:cs="Calibri"/>
          <w:color w:val="000000" w:themeColor="text1"/>
          <w:kern w:val="0"/>
          <w:szCs w:val="21"/>
          <w:highlight w:val="none"/>
          <w14:textFill>
            <w14:solidFill>
              <w14:schemeClr w14:val="tx1"/>
            </w14:solidFill>
          </w14:textFill>
        </w:rPr>
        <w:t>投料试车</w:t>
      </w:r>
      <w:bookmarkEnd w:id="1212"/>
      <w:bookmarkEnd w:id="1213"/>
      <w:bookmarkEnd w:id="1214"/>
      <w:bookmarkEnd w:id="1215"/>
      <w:bookmarkEnd w:id="1216"/>
      <w:bookmarkEnd w:id="1217"/>
    </w:p>
    <w:p w14:paraId="7EB6A1AB">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关于投料试车相关事项的约定：</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14E4AA7D">
      <w:pPr>
        <w:spacing w:line="360" w:lineRule="auto"/>
        <w:ind w:firstLine="420" w:firstLineChars="200"/>
        <w:rPr>
          <w:rFonts w:ascii="宋体" w:hAnsi="宋体" w:eastAsia="宋体" w:cs="Times New Roman"/>
          <w:color w:val="000000" w:themeColor="text1"/>
          <w:kern w:val="0"/>
          <w:szCs w:val="21"/>
          <w:highlight w:val="none"/>
          <w14:textFill>
            <w14:solidFill>
              <w14:schemeClr w14:val="tx1"/>
            </w14:solidFill>
          </w14:textFill>
        </w:rPr>
      </w:pPr>
      <w:r>
        <w:rPr>
          <w:rFonts w:ascii="宋体" w:hAnsi="宋体" w:eastAsia="宋体" w:cs="Times New Roman"/>
          <w:color w:val="000000" w:themeColor="text1"/>
          <w:kern w:val="0"/>
          <w:szCs w:val="21"/>
          <w:highlight w:val="none"/>
          <w14:textFill>
            <w14:solidFill>
              <w14:schemeClr w14:val="tx1"/>
            </w14:solidFill>
          </w14:textFill>
        </w:rPr>
        <w:t xml:space="preserve">13.6 </w:t>
      </w:r>
      <w:r>
        <w:rPr>
          <w:rFonts w:hint="eastAsia" w:ascii="宋体" w:hAnsi="宋体" w:eastAsia="宋体" w:cs="Times New Roman"/>
          <w:color w:val="000000" w:themeColor="text1"/>
          <w:kern w:val="0"/>
          <w:szCs w:val="21"/>
          <w:highlight w:val="none"/>
          <w14:textFill>
            <w14:solidFill>
              <w14:schemeClr w14:val="tx1"/>
            </w14:solidFill>
          </w14:textFill>
        </w:rPr>
        <w:t>竣工退场</w:t>
      </w:r>
    </w:p>
    <w:p w14:paraId="67B968DB">
      <w:pPr>
        <w:spacing w:line="360" w:lineRule="auto"/>
        <w:ind w:firstLine="420" w:firstLineChars="200"/>
        <w:jc w:val="left"/>
        <w:outlineLvl w:val="0"/>
        <w:rPr>
          <w:rFonts w:ascii="宋体" w:hAnsi="宋体" w:eastAsia="宋体" w:cs="宋体"/>
          <w:color w:val="000000" w:themeColor="text1"/>
          <w:kern w:val="0"/>
          <w:szCs w:val="21"/>
          <w:highlight w:val="none"/>
          <w14:textFill>
            <w14:solidFill>
              <w14:schemeClr w14:val="tx1"/>
            </w14:solidFill>
          </w14:textFill>
        </w:rPr>
      </w:pPr>
      <w:bookmarkStart w:id="1218" w:name="_Toc30255"/>
      <w:bookmarkStart w:id="1219" w:name="_Toc533863505"/>
      <w:bookmarkStart w:id="1220" w:name="_Toc10701"/>
      <w:bookmarkStart w:id="1221" w:name="_Toc24689"/>
      <w:bookmarkStart w:id="1222" w:name="_Toc16541"/>
      <w:bookmarkStart w:id="1223" w:name="_Toc31075"/>
      <w:bookmarkStart w:id="1224" w:name="_Toc351203646"/>
      <w:r>
        <w:rPr>
          <w:rFonts w:ascii="宋体" w:hAnsi="宋体" w:eastAsia="宋体" w:cs="宋体"/>
          <w:color w:val="000000" w:themeColor="text1"/>
          <w:kern w:val="0"/>
          <w:szCs w:val="21"/>
          <w:highlight w:val="none"/>
          <w14:textFill>
            <w14:solidFill>
              <w14:schemeClr w14:val="tx1"/>
            </w14:solidFill>
          </w14:textFill>
        </w:rPr>
        <w:t xml:space="preserve">13.6.1 </w:t>
      </w:r>
      <w:r>
        <w:rPr>
          <w:rFonts w:hint="eastAsia" w:ascii="宋体" w:hAnsi="宋体" w:eastAsia="宋体" w:cs="Calibri"/>
          <w:color w:val="000000" w:themeColor="text1"/>
          <w:kern w:val="0"/>
          <w:szCs w:val="21"/>
          <w:highlight w:val="none"/>
          <w14:textFill>
            <w14:solidFill>
              <w14:schemeClr w14:val="tx1"/>
            </w14:solidFill>
          </w14:textFill>
        </w:rPr>
        <w:t>竣工退场</w:t>
      </w:r>
      <w:bookmarkEnd w:id="1218"/>
      <w:bookmarkEnd w:id="1219"/>
      <w:bookmarkEnd w:id="1220"/>
      <w:bookmarkEnd w:id="1221"/>
      <w:bookmarkEnd w:id="1222"/>
      <w:bookmarkEnd w:id="1223"/>
    </w:p>
    <w:p w14:paraId="0D919100">
      <w:pPr>
        <w:widowControl/>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0"/>
          <w:szCs w:val="21"/>
          <w:highlight w:val="none"/>
          <w14:textFill>
            <w14:solidFill>
              <w14:schemeClr w14:val="tx1"/>
            </w14:solidFill>
          </w14:textFill>
        </w:rPr>
        <w:t>承包人完成竣工退场的期限：</w:t>
      </w:r>
      <w:r>
        <w:rPr>
          <w:rFonts w:hint="eastAsia" w:ascii="宋体" w:hAnsi="宋体" w:eastAsia="宋体" w:cs="Times New Roman"/>
          <w:color w:val="000000" w:themeColor="text1"/>
          <w:szCs w:val="21"/>
          <w:highlight w:val="none"/>
          <w:u w:val="single"/>
          <w14:textFill>
            <w14:solidFill>
              <w14:schemeClr w14:val="tx1"/>
            </w14:solidFill>
          </w14:textFill>
        </w:rPr>
        <w:t>按《通用合同条款》条执行</w:t>
      </w:r>
      <w:r>
        <w:rPr>
          <w:rFonts w:hint="eastAsia" w:ascii="宋体" w:hAnsi="宋体" w:eastAsia="宋体" w:cs="Times New Roman"/>
          <w:color w:val="000000" w:themeColor="text1"/>
          <w:kern w:val="0"/>
          <w:szCs w:val="21"/>
          <w:highlight w:val="none"/>
          <w14:textFill>
            <w14:solidFill>
              <w14:schemeClr w14:val="tx1"/>
            </w14:solidFill>
          </w14:textFill>
        </w:rPr>
        <w:t>。</w:t>
      </w:r>
    </w:p>
    <w:p w14:paraId="42FFFAD9">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225" w:name="_Toc6702"/>
      <w:bookmarkStart w:id="1226" w:name="_Toc533863506"/>
      <w:r>
        <w:rPr>
          <w:rFonts w:ascii="宋体" w:hAnsi="宋体" w:eastAsia="宋体" w:cs="Times New Roman"/>
          <w:b/>
          <w:bCs/>
          <w:color w:val="000000" w:themeColor="text1"/>
          <w:szCs w:val="21"/>
          <w:highlight w:val="none"/>
          <w14:textFill>
            <w14:solidFill>
              <w14:schemeClr w14:val="tx1"/>
            </w14:solidFill>
          </w14:textFill>
        </w:rPr>
        <w:t xml:space="preserve">14. </w:t>
      </w:r>
      <w:r>
        <w:rPr>
          <w:rFonts w:hint="eastAsia" w:ascii="宋体" w:hAnsi="宋体" w:eastAsia="宋体" w:cs="Times New Roman"/>
          <w:b/>
          <w:bCs/>
          <w:color w:val="000000" w:themeColor="text1"/>
          <w:szCs w:val="21"/>
          <w:highlight w:val="none"/>
          <w14:textFill>
            <w14:solidFill>
              <w14:schemeClr w14:val="tx1"/>
            </w14:solidFill>
          </w14:textFill>
        </w:rPr>
        <w:t>竣工结算</w:t>
      </w:r>
      <w:bookmarkEnd w:id="1224"/>
      <w:bookmarkEnd w:id="1225"/>
      <w:bookmarkEnd w:id="1226"/>
    </w:p>
    <w:p w14:paraId="7795D11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14.1 </w:t>
      </w:r>
      <w:r>
        <w:rPr>
          <w:rFonts w:hint="eastAsia" w:ascii="宋体" w:hAnsi="宋体" w:eastAsia="宋体" w:cs="Times New Roman"/>
          <w:color w:val="000000" w:themeColor="text1"/>
          <w:szCs w:val="21"/>
          <w:highlight w:val="none"/>
          <w14:textFill>
            <w14:solidFill>
              <w14:schemeClr w14:val="tx1"/>
            </w14:solidFill>
          </w14:textFill>
        </w:rPr>
        <w:t>竣工结算申请</w:t>
      </w:r>
    </w:p>
    <w:p w14:paraId="167BC38A">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承包人提交竣工付款申请单的期限：</w:t>
      </w:r>
      <w:r>
        <w:rPr>
          <w:rFonts w:hint="eastAsia" w:ascii="宋体" w:hAnsi="宋体" w:eastAsia="宋体" w:cs="Calibri"/>
          <w:color w:val="000000" w:themeColor="text1"/>
          <w:szCs w:val="21"/>
          <w:highlight w:val="none"/>
          <w:u w:val="single"/>
          <w14:textFill>
            <w14:solidFill>
              <w14:schemeClr w14:val="tx1"/>
            </w14:solidFill>
          </w14:textFill>
        </w:rPr>
        <w:t>在工程竣工验收合格后28天内向发包人和监理人提交竣工结算申请单。无正当理由延期或经发包人催促14日内仍未提供或明确答复的，发包人有权根据已有资料进行结算审核，责任由承包人自负。承包人应及时提供竣工结算过程中所需补充的资料</w:t>
      </w:r>
      <w:r>
        <w:rPr>
          <w:rFonts w:hint="eastAsia" w:ascii="宋体" w:hAnsi="宋体" w:eastAsia="宋体" w:cs="Calibri"/>
          <w:color w:val="000000" w:themeColor="text1"/>
          <w:szCs w:val="21"/>
          <w:highlight w:val="none"/>
          <w14:textFill>
            <w14:solidFill>
              <w14:schemeClr w14:val="tx1"/>
            </w14:solidFill>
          </w14:textFill>
        </w:rPr>
        <w:t>。</w:t>
      </w:r>
    </w:p>
    <w:p w14:paraId="77434241">
      <w:pPr>
        <w:spacing w:line="360" w:lineRule="auto"/>
        <w:ind w:firstLine="420" w:firstLineChars="200"/>
        <w:jc w:val="left"/>
        <w:rPr>
          <w:rFonts w:ascii="Calibri" w:hAnsi="Calibri"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竣工付款申请单应包括的内容：</w:t>
      </w:r>
      <w:r>
        <w:rPr>
          <w:rFonts w:hint="eastAsia" w:ascii="宋体" w:hAnsi="宋体" w:eastAsia="宋体" w:cs="Calibri"/>
          <w:color w:val="000000" w:themeColor="text1"/>
          <w:szCs w:val="21"/>
          <w:highlight w:val="none"/>
          <w:u w:val="single"/>
          <w14:textFill>
            <w14:solidFill>
              <w14:schemeClr w14:val="tx1"/>
            </w14:solidFill>
          </w14:textFill>
        </w:rPr>
        <w:t>按《通用合同条款》14.1条执行</w:t>
      </w:r>
      <w:r>
        <w:rPr>
          <w:rFonts w:hint="eastAsia" w:ascii="宋体" w:hAnsi="宋体" w:eastAsia="宋体" w:cs="Calibri"/>
          <w:color w:val="000000" w:themeColor="text1"/>
          <w:szCs w:val="21"/>
          <w:highlight w:val="none"/>
          <w14:textFill>
            <w14:solidFill>
              <w14:schemeClr w14:val="tx1"/>
            </w14:solidFill>
          </w14:textFill>
        </w:rPr>
        <w:t>。</w:t>
      </w:r>
    </w:p>
    <w:p w14:paraId="38BCC288">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14.2 </w:t>
      </w:r>
      <w:r>
        <w:rPr>
          <w:rFonts w:hint="eastAsia" w:ascii="宋体" w:hAnsi="宋体" w:eastAsia="宋体" w:cs="Times New Roman"/>
          <w:color w:val="000000" w:themeColor="text1"/>
          <w:szCs w:val="21"/>
          <w:highlight w:val="none"/>
          <w14:textFill>
            <w14:solidFill>
              <w14:schemeClr w14:val="tx1"/>
            </w14:solidFill>
          </w14:textFill>
        </w:rPr>
        <w:t>竣工结算审核</w:t>
      </w:r>
    </w:p>
    <w:p w14:paraId="032E13B9">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发包人审批竣工付款申请单的期限：</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A5B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3026CDCA">
            <w:pPr>
              <w:spacing w:line="360" w:lineRule="auto"/>
              <w:rPr>
                <w:rFonts w:cs="Times New Roman" w:asciiTheme="minorEastAsia" w:hAnsiTheme="minorEastAsia"/>
                <w:color w:val="000000" w:themeColor="text1"/>
                <w:szCs w:val="21"/>
                <w:highlight w:val="none"/>
                <w14:textFill>
                  <w14:solidFill>
                    <w14:schemeClr w14:val="tx1"/>
                  </w14:solidFill>
                </w14:textFill>
              </w:rPr>
            </w:pPr>
          </w:p>
        </w:tc>
        <w:tc>
          <w:tcPr>
            <w:tcW w:w="2466" w:type="dxa"/>
            <w:tcBorders>
              <w:top w:val="single" w:color="auto" w:sz="4" w:space="0"/>
              <w:left w:val="nil"/>
              <w:bottom w:val="single" w:color="auto" w:sz="4" w:space="0"/>
              <w:right w:val="single" w:color="auto" w:sz="4" w:space="0"/>
            </w:tcBorders>
            <w:vAlign w:val="center"/>
          </w:tcPr>
          <w:p w14:paraId="6DCD26BE">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工程竣工结算报告金额</w:t>
            </w:r>
          </w:p>
        </w:tc>
        <w:tc>
          <w:tcPr>
            <w:tcW w:w="5967" w:type="dxa"/>
            <w:tcBorders>
              <w:top w:val="single" w:color="auto" w:sz="4" w:space="0"/>
              <w:left w:val="nil"/>
              <w:bottom w:val="single" w:color="auto" w:sz="4" w:space="0"/>
              <w:right w:val="single" w:color="auto" w:sz="4" w:space="0"/>
            </w:tcBorders>
            <w:vAlign w:val="center"/>
          </w:tcPr>
          <w:p w14:paraId="46142311">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发包人审查时间</w:t>
            </w:r>
          </w:p>
        </w:tc>
      </w:tr>
      <w:tr w14:paraId="4568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7893D3D">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1</w:t>
            </w:r>
          </w:p>
        </w:tc>
        <w:tc>
          <w:tcPr>
            <w:tcW w:w="2466" w:type="dxa"/>
            <w:tcBorders>
              <w:top w:val="single" w:color="auto" w:sz="4" w:space="0"/>
              <w:left w:val="nil"/>
              <w:bottom w:val="single" w:color="auto" w:sz="4" w:space="0"/>
              <w:right w:val="single" w:color="auto" w:sz="4" w:space="0"/>
            </w:tcBorders>
            <w:vAlign w:val="center"/>
          </w:tcPr>
          <w:p w14:paraId="0DB6847F">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500万元以下</w:t>
            </w:r>
          </w:p>
        </w:tc>
        <w:tc>
          <w:tcPr>
            <w:tcW w:w="5967" w:type="dxa"/>
            <w:tcBorders>
              <w:top w:val="single" w:color="auto" w:sz="4" w:space="0"/>
              <w:left w:val="nil"/>
              <w:bottom w:val="single" w:color="auto" w:sz="4" w:space="0"/>
              <w:right w:val="single" w:color="auto" w:sz="4" w:space="0"/>
            </w:tcBorders>
            <w:vAlign w:val="center"/>
          </w:tcPr>
          <w:p w14:paraId="6A0493E2">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从接到竣工结算报告和完整的竣工结算资料之日起20天</w:t>
            </w:r>
          </w:p>
        </w:tc>
      </w:tr>
      <w:tr w14:paraId="1C7E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6FC2947C">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2</w:t>
            </w:r>
          </w:p>
        </w:tc>
        <w:tc>
          <w:tcPr>
            <w:tcW w:w="2466" w:type="dxa"/>
            <w:tcBorders>
              <w:top w:val="single" w:color="auto" w:sz="4" w:space="0"/>
              <w:left w:val="nil"/>
              <w:bottom w:val="single" w:color="auto" w:sz="4" w:space="0"/>
              <w:right w:val="single" w:color="auto" w:sz="4" w:space="0"/>
            </w:tcBorders>
            <w:vAlign w:val="center"/>
          </w:tcPr>
          <w:p w14:paraId="50FF0ACB">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500万元-2000万元</w:t>
            </w:r>
          </w:p>
        </w:tc>
        <w:tc>
          <w:tcPr>
            <w:tcW w:w="5967" w:type="dxa"/>
            <w:tcBorders>
              <w:top w:val="single" w:color="auto" w:sz="4" w:space="0"/>
              <w:left w:val="nil"/>
              <w:bottom w:val="single" w:color="auto" w:sz="4" w:space="0"/>
              <w:right w:val="single" w:color="auto" w:sz="4" w:space="0"/>
            </w:tcBorders>
            <w:vAlign w:val="center"/>
          </w:tcPr>
          <w:p w14:paraId="25B5E08D">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从接到竣工结算报告和完整的竣工结算资料之日起30天</w:t>
            </w:r>
          </w:p>
        </w:tc>
      </w:tr>
      <w:tr w14:paraId="6F27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6651003F">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3</w:t>
            </w:r>
          </w:p>
        </w:tc>
        <w:tc>
          <w:tcPr>
            <w:tcW w:w="2466" w:type="dxa"/>
            <w:tcBorders>
              <w:top w:val="single" w:color="auto" w:sz="4" w:space="0"/>
              <w:left w:val="nil"/>
              <w:bottom w:val="single" w:color="auto" w:sz="4" w:space="0"/>
              <w:right w:val="single" w:color="auto" w:sz="4" w:space="0"/>
            </w:tcBorders>
            <w:vAlign w:val="center"/>
          </w:tcPr>
          <w:p w14:paraId="7109F809">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2000万元-5000万元</w:t>
            </w:r>
          </w:p>
        </w:tc>
        <w:tc>
          <w:tcPr>
            <w:tcW w:w="5967" w:type="dxa"/>
            <w:tcBorders>
              <w:top w:val="single" w:color="auto" w:sz="4" w:space="0"/>
              <w:left w:val="nil"/>
              <w:bottom w:val="single" w:color="auto" w:sz="4" w:space="0"/>
              <w:right w:val="single" w:color="auto" w:sz="4" w:space="0"/>
            </w:tcBorders>
            <w:vAlign w:val="center"/>
          </w:tcPr>
          <w:p w14:paraId="352FE808">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从接到竣工结算报告和完整的竣工结算资料之日起45天</w:t>
            </w:r>
          </w:p>
        </w:tc>
      </w:tr>
      <w:tr w14:paraId="4738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FD31965">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4</w:t>
            </w:r>
          </w:p>
        </w:tc>
        <w:tc>
          <w:tcPr>
            <w:tcW w:w="2466" w:type="dxa"/>
            <w:tcBorders>
              <w:top w:val="single" w:color="auto" w:sz="4" w:space="0"/>
              <w:left w:val="nil"/>
              <w:bottom w:val="single" w:color="auto" w:sz="4" w:space="0"/>
              <w:right w:val="single" w:color="auto" w:sz="4" w:space="0"/>
            </w:tcBorders>
            <w:vAlign w:val="center"/>
          </w:tcPr>
          <w:p w14:paraId="5C093FC6">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5000万元以上</w:t>
            </w:r>
          </w:p>
        </w:tc>
        <w:tc>
          <w:tcPr>
            <w:tcW w:w="5967" w:type="dxa"/>
            <w:tcBorders>
              <w:top w:val="single" w:color="auto" w:sz="4" w:space="0"/>
              <w:left w:val="nil"/>
              <w:bottom w:val="single" w:color="auto" w:sz="4" w:space="0"/>
              <w:right w:val="single" w:color="auto" w:sz="4" w:space="0"/>
            </w:tcBorders>
            <w:vAlign w:val="center"/>
          </w:tcPr>
          <w:p w14:paraId="76AF25C0">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从接到竣工结算报告和完整的竣工结算资料之日起60天</w:t>
            </w:r>
          </w:p>
        </w:tc>
      </w:tr>
    </w:tbl>
    <w:p w14:paraId="6D16AC54">
      <w:pPr>
        <w:spacing w:line="400" w:lineRule="exact"/>
        <w:ind w:firstLine="420" w:firstLineChars="200"/>
        <w:jc w:val="left"/>
        <w:rPr>
          <w:rFonts w:ascii="Calibri"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因承包人提供的结算资料不完整而需要补充或承包人不按时对账耽误时间时，审查时间应相应顺延。</w:t>
      </w:r>
    </w:p>
    <w:p w14:paraId="2376BDE0">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发包人完成竣工付款的期限：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4C8CFA41">
      <w:pPr>
        <w:spacing w:line="360" w:lineRule="auto"/>
        <w:ind w:firstLine="420" w:firstLineChars="200"/>
        <w:jc w:val="left"/>
        <w:rPr>
          <w:rFonts w:ascii="Calibri" w:hAnsi="Calibri"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关于竣工付款证书异议部分复核的方式和程序：</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0671944D">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14.4 </w:t>
      </w:r>
      <w:r>
        <w:rPr>
          <w:rFonts w:hint="eastAsia" w:ascii="宋体" w:hAnsi="宋体" w:eastAsia="宋体" w:cs="Times New Roman"/>
          <w:color w:val="000000" w:themeColor="text1"/>
          <w:szCs w:val="21"/>
          <w:highlight w:val="none"/>
          <w14:textFill>
            <w14:solidFill>
              <w14:schemeClr w14:val="tx1"/>
            </w14:solidFill>
          </w14:textFill>
        </w:rPr>
        <w:t>最终结清</w:t>
      </w:r>
    </w:p>
    <w:p w14:paraId="6ABDD9BA">
      <w:pPr>
        <w:spacing w:line="360" w:lineRule="auto"/>
        <w:ind w:firstLine="420" w:firstLineChars="200"/>
        <w:jc w:val="left"/>
        <w:rPr>
          <w:rFonts w:ascii="宋体" w:hAnsi="宋体" w:eastAsia="宋体" w:cs="Times New Roman"/>
          <w:color w:val="000000" w:themeColor="text1"/>
          <w:kern w:val="0"/>
          <w:szCs w:val="21"/>
          <w:highlight w:val="none"/>
          <w14:textFill>
            <w14:solidFill>
              <w14:schemeClr w14:val="tx1"/>
            </w14:solidFill>
          </w14:textFill>
        </w:rPr>
      </w:pPr>
      <w:r>
        <w:rPr>
          <w:rFonts w:ascii="宋体" w:hAnsi="宋体" w:eastAsia="宋体" w:cs="Times New Roman"/>
          <w:color w:val="000000" w:themeColor="text1"/>
          <w:kern w:val="0"/>
          <w:szCs w:val="21"/>
          <w:highlight w:val="none"/>
          <w14:textFill>
            <w14:solidFill>
              <w14:schemeClr w14:val="tx1"/>
            </w14:solidFill>
          </w14:textFill>
        </w:rPr>
        <w:t xml:space="preserve">14.4.1 </w:t>
      </w:r>
      <w:r>
        <w:rPr>
          <w:rFonts w:hint="eastAsia" w:ascii="宋体" w:hAnsi="宋体" w:eastAsia="宋体" w:cs="Times New Roman"/>
          <w:color w:val="000000" w:themeColor="text1"/>
          <w:kern w:val="0"/>
          <w:szCs w:val="21"/>
          <w:highlight w:val="none"/>
          <w14:textFill>
            <w14:solidFill>
              <w14:schemeClr w14:val="tx1"/>
            </w14:solidFill>
          </w14:textFill>
        </w:rPr>
        <w:t>最终结清申请单</w:t>
      </w:r>
    </w:p>
    <w:p w14:paraId="485F1762">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承包人提交最终结清申请单的份数：</w:t>
      </w:r>
      <w:r>
        <w:rPr>
          <w:rFonts w:hint="eastAsia" w:ascii="宋体" w:hAnsi="宋体" w:eastAsia="宋体" w:cs="Calibri"/>
          <w:color w:val="000000" w:themeColor="text1"/>
          <w:kern w:val="0"/>
          <w:szCs w:val="21"/>
          <w:highlight w:val="none"/>
          <w:u w:val="single"/>
          <w14:textFill>
            <w14:solidFill>
              <w14:schemeClr w14:val="tx1"/>
            </w14:solidFill>
          </w14:textFill>
        </w:rPr>
        <w:t>2份</w:t>
      </w:r>
      <w:r>
        <w:rPr>
          <w:rFonts w:hint="eastAsia" w:ascii="宋体" w:hAnsi="宋体" w:eastAsia="宋体" w:cs="Calibri"/>
          <w:color w:val="000000" w:themeColor="text1"/>
          <w:szCs w:val="21"/>
          <w:highlight w:val="none"/>
          <w14:textFill>
            <w14:solidFill>
              <w14:schemeClr w14:val="tx1"/>
            </w14:solidFill>
          </w14:textFill>
        </w:rPr>
        <w:t>。</w:t>
      </w:r>
    </w:p>
    <w:p w14:paraId="08F05E22">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承包人提交最终结算申请单的期限：</w:t>
      </w:r>
      <w:r>
        <w:rPr>
          <w:rFonts w:hint="eastAsia" w:ascii="宋体" w:hAnsi="宋体" w:eastAsia="宋体" w:cs="Calibri"/>
          <w:color w:val="000000" w:themeColor="text1"/>
          <w:szCs w:val="21"/>
          <w:highlight w:val="none"/>
          <w:u w:val="single"/>
          <w14:textFill>
            <w14:solidFill>
              <w14:schemeClr w14:val="tx1"/>
            </w14:solidFill>
          </w14:textFill>
        </w:rPr>
        <w:t>保修期满后7天内</w:t>
      </w:r>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 xml:space="preserve"> </w:t>
      </w:r>
    </w:p>
    <w:p w14:paraId="7CF4951D">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14.4.2 </w:t>
      </w:r>
      <w:r>
        <w:rPr>
          <w:rFonts w:hint="eastAsia" w:ascii="宋体" w:hAnsi="宋体" w:eastAsia="宋体" w:cs="Times New Roman"/>
          <w:color w:val="000000" w:themeColor="text1"/>
          <w:szCs w:val="21"/>
          <w:highlight w:val="none"/>
          <w14:textFill>
            <w14:solidFill>
              <w14:schemeClr w14:val="tx1"/>
            </w14:solidFill>
          </w14:textFill>
        </w:rPr>
        <w:t>最终结清证书和支付</w:t>
      </w:r>
    </w:p>
    <w:bookmarkEnd w:id="1203"/>
    <w:bookmarkEnd w:id="1204"/>
    <w:bookmarkEnd w:id="1205"/>
    <w:bookmarkEnd w:id="1206"/>
    <w:bookmarkEnd w:id="1207"/>
    <w:bookmarkEnd w:id="1208"/>
    <w:bookmarkEnd w:id="1209"/>
    <w:bookmarkEnd w:id="1211"/>
    <w:p w14:paraId="5F62C84A">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bookmarkStart w:id="1227" w:name="_Toc351203647"/>
      <w:bookmarkStart w:id="1228" w:name="_Toc267251483"/>
      <w:bookmarkStart w:id="1229" w:name="_Toc267251482"/>
      <w:bookmarkStart w:id="1230" w:name="_Toc267251484"/>
      <w:bookmarkStart w:id="1231" w:name="_Toc267251490"/>
      <w:bookmarkStart w:id="1232" w:name="_Toc267251485"/>
      <w:bookmarkStart w:id="1233" w:name="_Toc267251489"/>
      <w:bookmarkStart w:id="1234" w:name="_Toc267251488"/>
      <w:bookmarkStart w:id="1235" w:name="_Toc267251486"/>
      <w:bookmarkStart w:id="1236" w:name="_Toc267251498"/>
      <w:bookmarkStart w:id="1237" w:name="_Toc267251499"/>
      <w:bookmarkStart w:id="1238" w:name="_Toc267251497"/>
      <w:bookmarkStart w:id="1239" w:name="_Toc267251493"/>
      <w:bookmarkStart w:id="1240" w:name="_Toc267251502"/>
      <w:bookmarkStart w:id="1241" w:name="_Toc267251492"/>
      <w:bookmarkStart w:id="1242" w:name="_Toc267251501"/>
      <w:bookmarkStart w:id="1243" w:name="_Toc267251495"/>
      <w:bookmarkStart w:id="1244" w:name="_Toc267251496"/>
      <w:bookmarkStart w:id="1245" w:name="_Toc267251491"/>
      <w:bookmarkStart w:id="1246" w:name="_Toc267251494"/>
      <w:bookmarkStart w:id="1247" w:name="_Toc267251503"/>
      <w:bookmarkStart w:id="1248" w:name="_Toc267251506"/>
      <w:bookmarkStart w:id="1249" w:name="_Toc267251504"/>
      <w:bookmarkStart w:id="1250" w:name="_Toc267251507"/>
      <w:bookmarkStart w:id="1251" w:name="_Toc267251508"/>
      <w:bookmarkStart w:id="1252" w:name="_Toc267251514"/>
      <w:bookmarkStart w:id="1253" w:name="_Toc267251511"/>
      <w:bookmarkStart w:id="1254" w:name="_Toc267251510"/>
      <w:bookmarkStart w:id="1255" w:name="_Toc267251513"/>
      <w:bookmarkStart w:id="1256" w:name="_Toc267251509"/>
      <w:bookmarkStart w:id="1257" w:name="_Toc267251515"/>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）发包人完成最终结清申请单的审批并颁发最终结清证书的期限：</w:t>
      </w:r>
      <w:r>
        <w:rPr>
          <w:rFonts w:hint="eastAsia" w:ascii="宋体" w:hAnsi="宋体" w:eastAsia="宋体" w:cs="Calibri"/>
          <w:color w:val="000000" w:themeColor="text1"/>
          <w:szCs w:val="21"/>
          <w:highlight w:val="none"/>
          <w:u w:val="single"/>
          <w14:textFill>
            <w14:solidFill>
              <w14:schemeClr w14:val="tx1"/>
            </w14:solidFill>
          </w14:textFill>
        </w:rPr>
        <w:t>收到最终结清申请单后30天内</w:t>
      </w:r>
      <w:r>
        <w:rPr>
          <w:rFonts w:hint="eastAsia" w:ascii="宋体" w:hAnsi="宋体" w:eastAsia="宋体" w:cs="Calibri"/>
          <w:color w:val="000000" w:themeColor="text1"/>
          <w:szCs w:val="21"/>
          <w:highlight w:val="none"/>
          <w14:textFill>
            <w14:solidFill>
              <w14:schemeClr w14:val="tx1"/>
            </w14:solidFill>
          </w14:textFill>
        </w:rPr>
        <w:t>。</w:t>
      </w:r>
    </w:p>
    <w:p w14:paraId="6194DB65">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）发包人完成支付的期限：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A86C289">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258" w:name="_Toc533863507"/>
      <w:bookmarkStart w:id="1259" w:name="_Toc30142"/>
      <w:r>
        <w:rPr>
          <w:rFonts w:ascii="宋体" w:hAnsi="宋体" w:eastAsia="宋体" w:cs="Times New Roman"/>
          <w:b/>
          <w:bCs/>
          <w:color w:val="000000" w:themeColor="text1"/>
          <w:szCs w:val="21"/>
          <w:highlight w:val="none"/>
          <w14:textFill>
            <w14:solidFill>
              <w14:schemeClr w14:val="tx1"/>
            </w14:solidFill>
          </w14:textFill>
        </w:rPr>
        <w:t xml:space="preserve">15. </w:t>
      </w:r>
      <w:r>
        <w:rPr>
          <w:rFonts w:hint="eastAsia" w:ascii="宋体" w:hAnsi="宋体" w:eastAsia="宋体" w:cs="Times New Roman"/>
          <w:b/>
          <w:bCs/>
          <w:color w:val="000000" w:themeColor="text1"/>
          <w:szCs w:val="21"/>
          <w:highlight w:val="none"/>
          <w14:textFill>
            <w14:solidFill>
              <w14:schemeClr w14:val="tx1"/>
            </w14:solidFill>
          </w14:textFill>
        </w:rPr>
        <w:t>缺陷责任期与保修</w:t>
      </w:r>
      <w:bookmarkEnd w:id="1227"/>
      <w:bookmarkEnd w:id="1258"/>
      <w:bookmarkEnd w:id="1259"/>
    </w:p>
    <w:p w14:paraId="799F87E3">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15.2</w:t>
      </w:r>
      <w:r>
        <w:rPr>
          <w:rFonts w:hint="eastAsia" w:ascii="宋体" w:hAnsi="宋体" w:eastAsia="宋体" w:cs="Times New Roman"/>
          <w:color w:val="000000" w:themeColor="text1"/>
          <w:szCs w:val="21"/>
          <w:highlight w:val="none"/>
          <w14:textFill>
            <w14:solidFill>
              <w14:schemeClr w14:val="tx1"/>
            </w14:solidFill>
          </w14:textFill>
        </w:rPr>
        <w:t>缺陷责任期</w:t>
      </w:r>
      <w:bookmarkEnd w:id="1228"/>
    </w:p>
    <w:p w14:paraId="0035EF82">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缺陷责任期的具体期限：</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本工程质保期（养护期）为一年</w:t>
      </w:r>
      <w:r>
        <w:rPr>
          <w:rFonts w:hint="eastAsia" w:ascii="宋体" w:hAnsi="宋体" w:eastAsia="宋体" w:cs="Calibri"/>
          <w:color w:val="000000" w:themeColor="text1"/>
          <w:szCs w:val="21"/>
          <w:highlight w:val="none"/>
          <w14:textFill>
            <w14:solidFill>
              <w14:schemeClr w14:val="tx1"/>
            </w14:solidFill>
          </w14:textFill>
        </w:rPr>
        <w:t>，以竣工验收合格之日起计算，养护至竣工验收合格及完成接养手续为止。如工程质量不能满足竣工验收及接养要求的，整改期间承包人必须继续免费养护至竣工验收合格及完成接养手续为止。</w:t>
      </w:r>
    </w:p>
    <w:p w14:paraId="75C13AC7">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ascii="宋体" w:hAnsi="宋体" w:eastAsia="宋体" w:cs="Calibri"/>
          <w:color w:val="000000" w:themeColor="text1"/>
          <w:szCs w:val="21"/>
          <w:highlight w:val="none"/>
          <w14:textFill>
            <w14:solidFill>
              <w14:schemeClr w14:val="tx1"/>
            </w14:solidFill>
          </w14:textFill>
        </w:rPr>
        <w:t xml:space="preserve">15.3 </w:t>
      </w:r>
      <w:r>
        <w:rPr>
          <w:rFonts w:hint="eastAsia" w:ascii="宋体" w:hAnsi="宋体" w:eastAsia="宋体" w:cs="Calibri"/>
          <w:color w:val="000000" w:themeColor="text1"/>
          <w:szCs w:val="21"/>
          <w:highlight w:val="none"/>
          <w14:textFill>
            <w14:solidFill>
              <w14:schemeClr w14:val="tx1"/>
            </w14:solidFill>
          </w14:textFill>
        </w:rPr>
        <w:t>质量保证金</w:t>
      </w:r>
    </w:p>
    <w:bookmarkEnd w:id="1229"/>
    <w:bookmarkEnd w:id="1230"/>
    <w:p w14:paraId="200414E5">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关于是否扣留质量保证金的约定：</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是</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w:t>
      </w:r>
    </w:p>
    <w:p w14:paraId="7DE536CD">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60" w:name="_Toc18781"/>
      <w:bookmarkStart w:id="1261" w:name="_Toc12908"/>
      <w:bookmarkStart w:id="1262" w:name="_Toc10487"/>
      <w:bookmarkStart w:id="1263" w:name="_Toc533863508"/>
      <w:bookmarkStart w:id="1264" w:name="_Toc9903"/>
      <w:bookmarkStart w:id="1265" w:name="_Toc31918"/>
      <w:r>
        <w:rPr>
          <w:rFonts w:cs="宋体" w:asciiTheme="minorEastAsia" w:hAnsiTheme="minorEastAsia"/>
          <w:color w:val="000000" w:themeColor="text1"/>
          <w:szCs w:val="21"/>
          <w:highlight w:val="none"/>
          <w14:textFill>
            <w14:solidFill>
              <w14:schemeClr w14:val="tx1"/>
            </w14:solidFill>
          </w14:textFill>
        </w:rPr>
        <w:t xml:space="preserve">15.3.1 </w:t>
      </w:r>
      <w:r>
        <w:rPr>
          <w:rFonts w:hint="eastAsia" w:cs="Calibri" w:asciiTheme="minorEastAsia" w:hAnsiTheme="minorEastAsia"/>
          <w:color w:val="000000" w:themeColor="text1"/>
          <w:szCs w:val="21"/>
          <w:highlight w:val="none"/>
          <w14:textFill>
            <w14:solidFill>
              <w14:schemeClr w14:val="tx1"/>
            </w14:solidFill>
          </w14:textFill>
        </w:rPr>
        <w:t>承包人提供质量保证金的方式</w:t>
      </w:r>
      <w:bookmarkEnd w:id="1260"/>
      <w:bookmarkEnd w:id="1261"/>
      <w:bookmarkEnd w:id="1262"/>
      <w:bookmarkEnd w:id="1263"/>
      <w:bookmarkEnd w:id="1264"/>
      <w:bookmarkEnd w:id="1265"/>
    </w:p>
    <w:p w14:paraId="22F7F6B3">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质量保证金采用以下第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3</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w:t>
      </w:r>
    </w:p>
    <w:p w14:paraId="0C834C0D">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）质量保证金保函，保证金额为：</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09D7827F">
      <w:pPr>
        <w:spacing w:line="360" w:lineRule="auto"/>
        <w:ind w:firstLine="420" w:firstLineChars="200"/>
        <w:jc w:val="left"/>
        <w:rPr>
          <w:rFonts w:hint="eastAsia" w:ascii="宋体" w:hAnsi="宋体" w:eastAsia="宋体" w:cs="Times New Roman"/>
          <w:b w:val="0"/>
          <w:bCs/>
          <w:color w:val="000000" w:themeColor="text1"/>
          <w:szCs w:val="21"/>
          <w:highlight w:val="none"/>
          <w:u w:val="single"/>
          <w:lang w:val="en-US" w:eastAsia="zh-CN"/>
          <w14:textFill>
            <w14:solidFill>
              <w14:schemeClr w14:val="tx1"/>
            </w14:solidFill>
          </w14:textFill>
        </w:rPr>
      </w:pP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（2）发包人按工程价款结算总额的</w:t>
      </w:r>
      <w:r>
        <w:rPr>
          <w:rFonts w:hint="eastAsia" w:ascii="宋体" w:hAnsi="宋体" w:eastAsia="宋体" w:cs="Times New Roman"/>
          <w:b w:val="0"/>
          <w:bCs/>
          <w:color w:val="000000" w:themeColor="text1"/>
          <w:szCs w:val="21"/>
          <w:highlight w:val="none"/>
          <w:u w:val="single"/>
          <w:lang w:val="en-US" w:eastAsia="zh-CN"/>
          <w14:textFill>
            <w14:solidFill>
              <w14:schemeClr w14:val="tx1"/>
            </w14:solidFill>
          </w14:textFill>
        </w:rPr>
        <w:t xml:space="preserve">  3  %</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预留工程质量保修金，待缺陷责任期满后返还；</w:t>
      </w:r>
    </w:p>
    <w:p w14:paraId="31989C72">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）其他方式：竣工结算经有关部门结算审定后，承包人向发包人提供经发包人认可的银行出具的、金额为审计结算价3%的质量保证金保函后。缺陷责任期(12个月)满后，无工程缺陷的，保函自行失效</w:t>
      </w:r>
      <w:r>
        <w:rPr>
          <w:rFonts w:hint="eastAsia" w:cs="Calibri" w:asciiTheme="minorEastAsia" w:hAnsiTheme="minorEastAsia"/>
          <w:color w:val="000000" w:themeColor="text1"/>
          <w:szCs w:val="21"/>
          <w:highlight w:val="none"/>
          <w14:textFill>
            <w14:solidFill>
              <w14:schemeClr w14:val="tx1"/>
            </w14:solidFill>
          </w14:textFill>
        </w:rPr>
        <w:t>。</w:t>
      </w:r>
    </w:p>
    <w:p w14:paraId="64559684">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66" w:name="_Toc19606"/>
      <w:bookmarkStart w:id="1267" w:name="_Toc12983"/>
      <w:bookmarkStart w:id="1268" w:name="_Toc31513"/>
      <w:bookmarkStart w:id="1269" w:name="_Toc533863509"/>
      <w:bookmarkStart w:id="1270" w:name="_Toc17783"/>
      <w:bookmarkStart w:id="1271" w:name="_Toc21732"/>
      <w:r>
        <w:rPr>
          <w:rFonts w:cs="宋体" w:asciiTheme="minorEastAsia" w:hAnsiTheme="minorEastAsia"/>
          <w:color w:val="000000" w:themeColor="text1"/>
          <w:szCs w:val="21"/>
          <w:highlight w:val="none"/>
          <w14:textFill>
            <w14:solidFill>
              <w14:schemeClr w14:val="tx1"/>
            </w14:solidFill>
          </w14:textFill>
        </w:rPr>
        <w:t xml:space="preserve">15.3.2 </w:t>
      </w:r>
      <w:r>
        <w:rPr>
          <w:rFonts w:hint="eastAsia" w:cs="Calibri" w:asciiTheme="minorEastAsia" w:hAnsiTheme="minorEastAsia"/>
          <w:color w:val="000000" w:themeColor="text1"/>
          <w:szCs w:val="21"/>
          <w:highlight w:val="none"/>
          <w14:textFill>
            <w14:solidFill>
              <w14:schemeClr w14:val="tx1"/>
            </w14:solidFill>
          </w14:textFill>
        </w:rPr>
        <w:t>质量保证金的扣留</w:t>
      </w:r>
      <w:bookmarkEnd w:id="1266"/>
      <w:bookmarkEnd w:id="1267"/>
      <w:bookmarkEnd w:id="1268"/>
      <w:bookmarkEnd w:id="1269"/>
      <w:bookmarkEnd w:id="1270"/>
      <w:bookmarkEnd w:id="1271"/>
    </w:p>
    <w:p w14:paraId="192F578C">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质量保证金的扣留采取以下第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 xml:space="preserve"> 3</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w:t>
      </w:r>
    </w:p>
    <w:p w14:paraId="3A9BEAA4">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）在支付工程进度款时逐次扣留，在此情形下，质量保证金的计算基数不包括预付款的支付、扣回以及价格调整的金额；</w:t>
      </w:r>
    </w:p>
    <w:p w14:paraId="4DD0CF57">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）工程竣工结算时一次性扣留质量保证金；</w:t>
      </w:r>
    </w:p>
    <w:p w14:paraId="61BBF9A4">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）其他扣留方式：</w:t>
      </w:r>
      <w:r>
        <w:rPr>
          <w:rFonts w:hint="eastAsia" w:cs="Calibri" w:asciiTheme="minorEastAsia" w:hAnsiTheme="minorEastAsia"/>
          <w:color w:val="000000" w:themeColor="text1"/>
          <w:kern w:val="0"/>
          <w:szCs w:val="21"/>
          <w:highlight w:val="none"/>
          <w:u w:val="single"/>
          <w14:textFill>
            <w14:solidFill>
              <w14:schemeClr w14:val="tx1"/>
            </w14:solidFill>
          </w14:textFill>
        </w:rPr>
        <w:t>竣工结算经有关部门结算审定后，承包人向发包人提供经发包人认可的银行出具的、金额为审计结算价3%的质量保证金保函后，工程款支付至结算总价的100%。缺陷责任期(12个月)满后，无工程缺陷的，保函自行失效</w:t>
      </w:r>
      <w:r>
        <w:rPr>
          <w:rFonts w:hint="eastAsia" w:cs="Calibri" w:asciiTheme="minorEastAsia" w:hAnsiTheme="minorEastAsia"/>
          <w:color w:val="000000" w:themeColor="text1"/>
          <w:szCs w:val="21"/>
          <w:highlight w:val="none"/>
          <w14:textFill>
            <w14:solidFill>
              <w14:schemeClr w14:val="tx1"/>
            </w14:solidFill>
          </w14:textFill>
        </w:rPr>
        <w:t>。</w:t>
      </w:r>
    </w:p>
    <w:p w14:paraId="4D34BACD">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关于质量保证金的补充约定：</w:t>
      </w:r>
      <w:r>
        <w:rPr>
          <w:rFonts w:hint="eastAsia" w:cs="Calibri" w:asciiTheme="minorEastAsia" w:hAnsiTheme="minorEastAsia"/>
          <w:color w:val="000000" w:themeColor="text1"/>
          <w:szCs w:val="21"/>
          <w:highlight w:val="none"/>
          <w:u w:val="single"/>
          <w:lang w:val="en-US" w:eastAsia="zh-CN"/>
          <w14:textFill>
            <w14:solidFill>
              <w14:schemeClr w14:val="tx1"/>
            </w14:solidFill>
          </w14:textFill>
        </w:rPr>
        <w:t>无</w:t>
      </w:r>
      <w:r>
        <w:rPr>
          <w:rFonts w:hint="eastAsia" w:cs="Calibri" w:asciiTheme="minorEastAsia" w:hAnsiTheme="minorEastAsia"/>
          <w:color w:val="000000" w:themeColor="text1"/>
          <w:szCs w:val="21"/>
          <w:highlight w:val="none"/>
          <w:u w:val="single"/>
          <w14:textFill>
            <w14:solidFill>
              <w14:schemeClr w14:val="tx1"/>
            </w14:solidFill>
          </w14:textFill>
        </w:rPr>
        <w:t>。</w:t>
      </w:r>
    </w:p>
    <w:p w14:paraId="0EAC5107">
      <w:pPr>
        <w:spacing w:after="120"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15.4</w:t>
      </w:r>
      <w:r>
        <w:rPr>
          <w:rFonts w:hint="eastAsia" w:cs="Times New Roman" w:asciiTheme="minorEastAsia" w:hAnsiTheme="minorEastAsia"/>
          <w:color w:val="000000" w:themeColor="text1"/>
          <w:szCs w:val="21"/>
          <w:highlight w:val="none"/>
          <w14:textFill>
            <w14:solidFill>
              <w14:schemeClr w14:val="tx1"/>
            </w14:solidFill>
          </w14:textFill>
        </w:rPr>
        <w:t>保修</w:t>
      </w:r>
    </w:p>
    <w:bookmarkEnd w:id="1231"/>
    <w:bookmarkEnd w:id="1232"/>
    <w:bookmarkEnd w:id="1233"/>
    <w:bookmarkEnd w:id="1234"/>
    <w:bookmarkEnd w:id="1235"/>
    <w:p w14:paraId="29480955">
      <w:pPr>
        <w:spacing w:line="360" w:lineRule="auto"/>
        <w:ind w:firstLine="409" w:firstLineChars="195"/>
        <w:jc w:val="left"/>
        <w:outlineLvl w:val="0"/>
        <w:rPr>
          <w:rFonts w:cs="宋体" w:asciiTheme="minorEastAsia" w:hAnsiTheme="minorEastAsia"/>
          <w:color w:val="000000" w:themeColor="text1"/>
          <w:szCs w:val="21"/>
          <w:highlight w:val="none"/>
          <w14:textFill>
            <w14:solidFill>
              <w14:schemeClr w14:val="tx1"/>
            </w14:solidFill>
          </w14:textFill>
        </w:rPr>
      </w:pPr>
      <w:bookmarkStart w:id="1272" w:name="_Toc11297"/>
      <w:bookmarkStart w:id="1273" w:name="_Toc16416"/>
      <w:bookmarkStart w:id="1274" w:name="_Toc1338"/>
      <w:bookmarkStart w:id="1275" w:name="_Toc24966"/>
      <w:bookmarkStart w:id="1276" w:name="_Toc20382"/>
      <w:bookmarkStart w:id="1277" w:name="_Toc533863510"/>
      <w:bookmarkStart w:id="1278" w:name="_Toc351203648"/>
      <w:bookmarkStart w:id="1279" w:name="_Toc280868717"/>
      <w:bookmarkStart w:id="1280" w:name="_Toc280868718"/>
      <w:r>
        <w:rPr>
          <w:rFonts w:cs="宋体" w:asciiTheme="minorEastAsia" w:hAnsiTheme="minorEastAsia"/>
          <w:color w:val="000000" w:themeColor="text1"/>
          <w:szCs w:val="21"/>
          <w:highlight w:val="none"/>
          <w14:textFill>
            <w14:solidFill>
              <w14:schemeClr w14:val="tx1"/>
            </w14:solidFill>
          </w14:textFill>
        </w:rPr>
        <w:t xml:space="preserve">15.4.1 </w:t>
      </w:r>
      <w:r>
        <w:rPr>
          <w:rFonts w:hint="eastAsia" w:cs="Calibri" w:asciiTheme="minorEastAsia" w:hAnsiTheme="minorEastAsia"/>
          <w:color w:val="000000" w:themeColor="text1"/>
          <w:szCs w:val="21"/>
          <w:highlight w:val="none"/>
          <w14:textFill>
            <w14:solidFill>
              <w14:schemeClr w14:val="tx1"/>
            </w14:solidFill>
          </w14:textFill>
        </w:rPr>
        <w:t>保修责任</w:t>
      </w:r>
      <w:bookmarkEnd w:id="1272"/>
      <w:bookmarkEnd w:id="1273"/>
      <w:bookmarkEnd w:id="1274"/>
      <w:bookmarkEnd w:id="1275"/>
      <w:bookmarkEnd w:id="1276"/>
      <w:bookmarkEnd w:id="1277"/>
    </w:p>
    <w:p w14:paraId="234C28FE">
      <w:pPr>
        <w:spacing w:line="360" w:lineRule="auto"/>
        <w:ind w:firstLine="422" w:firstLineChars="200"/>
        <w:jc w:val="left"/>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pPr>
      <w:r>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t>工程保修期为：</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一年，其他保修内容按工程质量保修书。</w:t>
      </w:r>
    </w:p>
    <w:p w14:paraId="7061200B">
      <w:pPr>
        <w:spacing w:line="360" w:lineRule="auto"/>
        <w:ind w:firstLine="409" w:firstLineChars="195"/>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工程保修书具体内容见合同附件8。</w:t>
      </w:r>
    </w:p>
    <w:p w14:paraId="1651BFF4">
      <w:pPr>
        <w:spacing w:line="360" w:lineRule="auto"/>
        <w:ind w:firstLine="409" w:firstLineChars="195"/>
        <w:jc w:val="left"/>
        <w:outlineLvl w:val="0"/>
        <w:rPr>
          <w:rFonts w:cs="宋体" w:asciiTheme="minorEastAsia" w:hAnsiTheme="minorEastAsia"/>
          <w:color w:val="000000" w:themeColor="text1"/>
          <w:szCs w:val="21"/>
          <w:highlight w:val="none"/>
          <w14:textFill>
            <w14:solidFill>
              <w14:schemeClr w14:val="tx1"/>
            </w14:solidFill>
          </w14:textFill>
        </w:rPr>
      </w:pPr>
      <w:bookmarkStart w:id="1281" w:name="_Toc29584"/>
      <w:bookmarkStart w:id="1282" w:name="_Toc18719"/>
      <w:bookmarkStart w:id="1283" w:name="_Toc3573"/>
      <w:bookmarkStart w:id="1284" w:name="_Toc533863511"/>
      <w:bookmarkStart w:id="1285" w:name="_Toc28363"/>
      <w:bookmarkStart w:id="1286" w:name="_Toc17188"/>
      <w:r>
        <w:rPr>
          <w:rFonts w:cs="宋体" w:asciiTheme="minorEastAsia" w:hAnsiTheme="minorEastAsia"/>
          <w:color w:val="000000" w:themeColor="text1"/>
          <w:szCs w:val="21"/>
          <w:highlight w:val="none"/>
          <w14:textFill>
            <w14:solidFill>
              <w14:schemeClr w14:val="tx1"/>
            </w14:solidFill>
          </w14:textFill>
        </w:rPr>
        <w:t xml:space="preserve">15.4.3 </w:t>
      </w:r>
      <w:r>
        <w:rPr>
          <w:rFonts w:hint="eastAsia" w:cs="Calibri" w:asciiTheme="minorEastAsia" w:hAnsiTheme="minorEastAsia"/>
          <w:color w:val="000000" w:themeColor="text1"/>
          <w:szCs w:val="21"/>
          <w:highlight w:val="none"/>
          <w14:textFill>
            <w14:solidFill>
              <w14:schemeClr w14:val="tx1"/>
            </w14:solidFill>
          </w14:textFill>
        </w:rPr>
        <w:t>修复通知</w:t>
      </w:r>
      <w:bookmarkEnd w:id="1281"/>
      <w:bookmarkEnd w:id="1282"/>
      <w:bookmarkEnd w:id="1283"/>
      <w:bookmarkEnd w:id="1284"/>
      <w:bookmarkEnd w:id="1285"/>
      <w:bookmarkEnd w:id="1286"/>
    </w:p>
    <w:p w14:paraId="7784483D">
      <w:pPr>
        <w:spacing w:line="360" w:lineRule="auto"/>
        <w:ind w:firstLine="409" w:firstLineChars="195"/>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承包人收到保修通知并到达工程现场的合理时间：</w:t>
      </w:r>
      <w:r>
        <w:rPr>
          <w:rFonts w:hint="eastAsia" w:cs="Calibri" w:asciiTheme="minorEastAsia" w:hAnsiTheme="minorEastAsia"/>
          <w:color w:val="000000" w:themeColor="text1"/>
          <w:kern w:val="0"/>
          <w:szCs w:val="21"/>
          <w:highlight w:val="none"/>
          <w:u w:val="single"/>
          <w14:textFill>
            <w14:solidFill>
              <w14:schemeClr w14:val="tx1"/>
            </w14:solidFill>
          </w14:textFill>
        </w:rPr>
        <w:t>48小时内</w:t>
      </w:r>
      <w:r>
        <w:rPr>
          <w:rFonts w:hint="eastAsia" w:cs="Calibri" w:asciiTheme="minorEastAsia" w:hAnsiTheme="minorEastAsia"/>
          <w:color w:val="000000" w:themeColor="text1"/>
          <w:kern w:val="0"/>
          <w:szCs w:val="21"/>
          <w:highlight w:val="none"/>
          <w14:textFill>
            <w14:solidFill>
              <w14:schemeClr w14:val="tx1"/>
            </w14:solidFill>
          </w14:textFill>
        </w:rPr>
        <w:t>。</w:t>
      </w:r>
    </w:p>
    <w:p w14:paraId="44B708E5">
      <w:pPr>
        <w:keepNext/>
        <w:keepLines/>
        <w:spacing w:before="260" w:after="260" w:line="360" w:lineRule="auto"/>
        <w:outlineLvl w:val="1"/>
        <w:rPr>
          <w:rFonts w:cs="Times New Roman" w:asciiTheme="minorEastAsia" w:hAnsiTheme="minorEastAsia"/>
          <w:b/>
          <w:bCs/>
          <w:color w:val="000000" w:themeColor="text1"/>
          <w:szCs w:val="21"/>
          <w:highlight w:val="none"/>
          <w14:textFill>
            <w14:solidFill>
              <w14:schemeClr w14:val="tx1"/>
            </w14:solidFill>
          </w14:textFill>
        </w:rPr>
      </w:pPr>
      <w:bookmarkStart w:id="1287" w:name="_Toc533863512"/>
      <w:bookmarkStart w:id="1288" w:name="_Toc17987"/>
      <w:r>
        <w:rPr>
          <w:rFonts w:cs="Times New Roman" w:asciiTheme="minorEastAsia" w:hAnsiTheme="minorEastAsia"/>
          <w:b/>
          <w:bCs/>
          <w:color w:val="000000" w:themeColor="text1"/>
          <w:szCs w:val="21"/>
          <w:highlight w:val="none"/>
          <w14:textFill>
            <w14:solidFill>
              <w14:schemeClr w14:val="tx1"/>
            </w14:solidFill>
          </w14:textFill>
        </w:rPr>
        <w:t xml:space="preserve">16. </w:t>
      </w:r>
      <w:r>
        <w:rPr>
          <w:rFonts w:hint="eastAsia" w:cs="Times New Roman" w:asciiTheme="minorEastAsia" w:hAnsiTheme="minorEastAsia"/>
          <w:b/>
          <w:bCs/>
          <w:color w:val="000000" w:themeColor="text1"/>
          <w:szCs w:val="21"/>
          <w:highlight w:val="none"/>
          <w14:textFill>
            <w14:solidFill>
              <w14:schemeClr w14:val="tx1"/>
            </w14:solidFill>
          </w14:textFill>
        </w:rPr>
        <w:t>违约</w:t>
      </w:r>
      <w:bookmarkEnd w:id="1278"/>
      <w:bookmarkEnd w:id="1287"/>
      <w:bookmarkEnd w:id="1288"/>
    </w:p>
    <w:p w14:paraId="247C4036">
      <w:pPr>
        <w:keepNext/>
        <w:keepLines/>
        <w:spacing w:before="260" w:after="260" w:line="360" w:lineRule="auto"/>
        <w:outlineLvl w:val="2"/>
        <w:rPr>
          <w:rFonts w:cs="Times New Roman" w:asciiTheme="minorEastAsia" w:hAnsiTheme="minorEastAsia"/>
          <w:b/>
          <w:bCs/>
          <w:color w:val="000000" w:themeColor="text1"/>
          <w:szCs w:val="21"/>
          <w:highlight w:val="none"/>
          <w14:textFill>
            <w14:solidFill>
              <w14:schemeClr w14:val="tx1"/>
            </w14:solidFill>
          </w14:textFill>
        </w:rPr>
      </w:pPr>
      <w:bookmarkStart w:id="1289" w:name="_Toc533863513"/>
      <w:r>
        <w:rPr>
          <w:rFonts w:cs="Times New Roman" w:asciiTheme="minorEastAsia" w:hAnsiTheme="minorEastAsia"/>
          <w:b/>
          <w:bCs/>
          <w:color w:val="000000" w:themeColor="text1"/>
          <w:szCs w:val="21"/>
          <w:highlight w:val="none"/>
          <w14:textFill>
            <w14:solidFill>
              <w14:schemeClr w14:val="tx1"/>
            </w14:solidFill>
          </w14:textFill>
        </w:rPr>
        <w:t xml:space="preserve">16.1 </w:t>
      </w:r>
      <w:r>
        <w:rPr>
          <w:rFonts w:hint="eastAsia" w:cs="Times New Roman" w:asciiTheme="minorEastAsia" w:hAnsiTheme="minorEastAsia"/>
          <w:b/>
          <w:bCs/>
          <w:color w:val="000000" w:themeColor="text1"/>
          <w:szCs w:val="21"/>
          <w:highlight w:val="none"/>
          <w14:textFill>
            <w14:solidFill>
              <w14:schemeClr w14:val="tx1"/>
            </w14:solidFill>
          </w14:textFill>
        </w:rPr>
        <w:t>发包人违约</w:t>
      </w:r>
      <w:bookmarkEnd w:id="1289"/>
    </w:p>
    <w:p w14:paraId="3CCBB5CB">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90" w:name="_Toc23337"/>
      <w:bookmarkStart w:id="1291" w:name="_Toc533863514"/>
      <w:bookmarkStart w:id="1292" w:name="_Toc27640"/>
      <w:bookmarkStart w:id="1293" w:name="_Toc14"/>
      <w:bookmarkStart w:id="1294" w:name="_Toc6850"/>
      <w:bookmarkStart w:id="1295" w:name="_Toc19200"/>
      <w:r>
        <w:rPr>
          <w:rFonts w:cs="宋体" w:asciiTheme="minorEastAsia" w:hAnsiTheme="minorEastAsia"/>
          <w:color w:val="000000" w:themeColor="text1"/>
          <w:szCs w:val="21"/>
          <w:highlight w:val="none"/>
          <w14:textFill>
            <w14:solidFill>
              <w14:schemeClr w14:val="tx1"/>
            </w14:solidFill>
          </w14:textFill>
        </w:rPr>
        <w:t>16.1.1</w:t>
      </w:r>
      <w:r>
        <w:rPr>
          <w:rFonts w:hint="eastAsia" w:cs="Calibri" w:asciiTheme="minorEastAsia" w:hAnsiTheme="minorEastAsia"/>
          <w:color w:val="000000" w:themeColor="text1"/>
          <w:szCs w:val="21"/>
          <w:highlight w:val="none"/>
          <w14:textFill>
            <w14:solidFill>
              <w14:schemeClr w14:val="tx1"/>
            </w14:solidFill>
          </w14:textFill>
        </w:rPr>
        <w:t>发包人违约的情形</w:t>
      </w:r>
      <w:bookmarkEnd w:id="1290"/>
      <w:bookmarkEnd w:id="1291"/>
      <w:bookmarkEnd w:id="1292"/>
      <w:bookmarkEnd w:id="1293"/>
      <w:bookmarkEnd w:id="1294"/>
      <w:bookmarkEnd w:id="1295"/>
    </w:p>
    <w:p w14:paraId="6E76A327">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发包人违约的其他情形：</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0BB3E22A">
      <w:pPr>
        <w:spacing w:line="360" w:lineRule="auto"/>
        <w:ind w:firstLine="420" w:firstLineChars="200"/>
        <w:jc w:val="left"/>
        <w:outlineLvl w:val="0"/>
        <w:rPr>
          <w:rFonts w:cs="宋体" w:asciiTheme="minorEastAsia" w:hAnsiTheme="minorEastAsia"/>
          <w:color w:val="000000" w:themeColor="text1"/>
          <w:kern w:val="0"/>
          <w:szCs w:val="21"/>
          <w:highlight w:val="none"/>
          <w14:textFill>
            <w14:solidFill>
              <w14:schemeClr w14:val="tx1"/>
            </w14:solidFill>
          </w14:textFill>
        </w:rPr>
      </w:pPr>
      <w:bookmarkStart w:id="1296" w:name="_Toc26965"/>
      <w:bookmarkStart w:id="1297" w:name="_Toc11045"/>
      <w:bookmarkStart w:id="1298" w:name="_Toc14509"/>
      <w:bookmarkStart w:id="1299" w:name="_Toc6686"/>
      <w:bookmarkStart w:id="1300" w:name="_Toc533863515"/>
      <w:bookmarkStart w:id="1301" w:name="_Toc22935"/>
      <w:r>
        <w:rPr>
          <w:rFonts w:cs="宋体" w:asciiTheme="minorEastAsia" w:hAnsiTheme="minorEastAsia"/>
          <w:color w:val="000000" w:themeColor="text1"/>
          <w:kern w:val="0"/>
          <w:szCs w:val="21"/>
          <w:highlight w:val="none"/>
          <w14:textFill>
            <w14:solidFill>
              <w14:schemeClr w14:val="tx1"/>
            </w14:solidFill>
          </w14:textFill>
        </w:rPr>
        <w:t xml:space="preserve">16.1.2 </w:t>
      </w:r>
      <w:r>
        <w:rPr>
          <w:rFonts w:hint="eastAsia" w:cs="Calibri" w:asciiTheme="minorEastAsia" w:hAnsiTheme="minorEastAsia"/>
          <w:color w:val="000000" w:themeColor="text1"/>
          <w:kern w:val="0"/>
          <w:szCs w:val="21"/>
          <w:highlight w:val="none"/>
          <w14:textFill>
            <w14:solidFill>
              <w14:schemeClr w14:val="tx1"/>
            </w14:solidFill>
          </w14:textFill>
        </w:rPr>
        <w:t>发包人违约的责任</w:t>
      </w:r>
      <w:bookmarkEnd w:id="1296"/>
      <w:bookmarkEnd w:id="1297"/>
      <w:bookmarkEnd w:id="1298"/>
      <w:bookmarkEnd w:id="1299"/>
      <w:bookmarkEnd w:id="1300"/>
      <w:bookmarkEnd w:id="1301"/>
    </w:p>
    <w:p w14:paraId="46714EAC">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发包人违约责任的承担方式和计算方法：</w:t>
      </w:r>
    </w:p>
    <w:p w14:paraId="5E032E9E">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）因发包人原因未能在计划开工日期前</w:t>
      </w:r>
      <w:r>
        <w:rPr>
          <w:rFonts w:cs="宋体" w:asciiTheme="minorEastAsia" w:hAnsiTheme="minorEastAsia"/>
          <w:color w:val="000000" w:themeColor="text1"/>
          <w:kern w:val="0"/>
          <w:szCs w:val="21"/>
          <w:highlight w:val="none"/>
          <w14:textFill>
            <w14:solidFill>
              <w14:schemeClr w14:val="tx1"/>
            </w14:solidFill>
          </w14:textFill>
        </w:rPr>
        <w:t>7</w:t>
      </w:r>
      <w:r>
        <w:rPr>
          <w:rFonts w:hint="eastAsia" w:cs="Calibri" w:asciiTheme="minorEastAsia" w:hAnsiTheme="minorEastAsia"/>
          <w:color w:val="000000" w:themeColor="text1"/>
          <w:kern w:val="0"/>
          <w:szCs w:val="21"/>
          <w:highlight w:val="none"/>
          <w14:textFill>
            <w14:solidFill>
              <w14:schemeClr w14:val="tx1"/>
            </w14:solidFill>
          </w14:textFill>
        </w:rPr>
        <w:t>天内下达开工通知的违约责任：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54A4F4A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）因发包人原因未能按合同约定支付合同价款的违约责任：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36251902">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）发包人违反第</w:t>
      </w:r>
      <w:r>
        <w:rPr>
          <w:rFonts w:cs="宋体" w:asciiTheme="minorEastAsia" w:hAnsiTheme="minorEastAsia"/>
          <w:color w:val="000000" w:themeColor="text1"/>
          <w:kern w:val="0"/>
          <w:szCs w:val="21"/>
          <w:highlight w:val="none"/>
          <w14:textFill>
            <w14:solidFill>
              <w14:schemeClr w14:val="tx1"/>
            </w14:solidFill>
          </w14:textFill>
        </w:rPr>
        <w:t>10.1</w:t>
      </w:r>
      <w:r>
        <w:rPr>
          <w:rFonts w:hint="eastAsia" w:cs="Calibri" w:asciiTheme="minorEastAsia" w:hAnsiTheme="minorEastAsia"/>
          <w:color w:val="000000" w:themeColor="text1"/>
          <w:kern w:val="0"/>
          <w:szCs w:val="21"/>
          <w:highlight w:val="none"/>
          <w14:textFill>
            <w14:solidFill>
              <w14:schemeClr w14:val="tx1"/>
            </w14:solidFill>
          </w14:textFill>
        </w:rPr>
        <w:t>款〔变更的范围〕第（</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）项约定，自行实施被取消的工作或转由他人实施的违约责任：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37548B63">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4</w:t>
      </w:r>
      <w:r>
        <w:rPr>
          <w:rFonts w:hint="eastAsia" w:cs="Calibri" w:asciiTheme="minorEastAsia" w:hAnsiTheme="minorEastAsia"/>
          <w:color w:val="000000" w:themeColor="text1"/>
          <w:kern w:val="0"/>
          <w:szCs w:val="21"/>
          <w:highlight w:val="none"/>
          <w14:textFill>
            <w14:solidFill>
              <w14:schemeClr w14:val="tx1"/>
            </w14:solidFill>
          </w14:textFill>
        </w:rPr>
        <w:t>）发包人提供的材料、工程设备的规格、数量或质量不符合合同约定，或因发包人原因导致交货日期延误或交货地点变更等情况的违约责任：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04123CCC">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5</w:t>
      </w:r>
      <w:r>
        <w:rPr>
          <w:rFonts w:hint="eastAsia" w:cs="Calibri" w:asciiTheme="minorEastAsia" w:hAnsiTheme="minorEastAsia"/>
          <w:color w:val="000000" w:themeColor="text1"/>
          <w:kern w:val="0"/>
          <w:szCs w:val="21"/>
          <w:highlight w:val="none"/>
          <w14:textFill>
            <w14:solidFill>
              <w14:schemeClr w14:val="tx1"/>
            </w14:solidFill>
          </w14:textFill>
        </w:rPr>
        <w:t>）因发包人违反合同约定造成暂停施工的违约责任：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590134A8">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6</w:t>
      </w:r>
      <w:r>
        <w:rPr>
          <w:rFonts w:hint="eastAsia" w:cs="Calibri" w:asciiTheme="minorEastAsia" w:hAnsiTheme="minorEastAsia"/>
          <w:color w:val="000000" w:themeColor="text1"/>
          <w:kern w:val="0"/>
          <w:szCs w:val="21"/>
          <w:highlight w:val="none"/>
          <w14:textFill>
            <w14:solidFill>
              <w14:schemeClr w14:val="tx1"/>
            </w14:solidFill>
          </w14:textFill>
        </w:rPr>
        <w:t>）发包人无正当理由没有在约定期限内发出复工指示，导致承包人无法复工的违约责任：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4BF299D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7</w:t>
      </w:r>
      <w:r>
        <w:rPr>
          <w:rFonts w:hint="eastAsia" w:cs="Calibri" w:asciiTheme="minorEastAsia" w:hAnsiTheme="minorEastAsia"/>
          <w:color w:val="000000" w:themeColor="text1"/>
          <w:kern w:val="0"/>
          <w:szCs w:val="21"/>
          <w:highlight w:val="none"/>
          <w14:textFill>
            <w14:solidFill>
              <w14:schemeClr w14:val="tx1"/>
            </w14:solidFill>
          </w14:textFill>
        </w:rPr>
        <w:t>）其他：</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bookmarkStart w:id="1302" w:name="_Toc533863516"/>
      <w:bookmarkStart w:id="1303" w:name="_Toc25661"/>
      <w:bookmarkStart w:id="1304" w:name="_Toc30541"/>
      <w:bookmarkStart w:id="1305" w:name="_Toc379"/>
      <w:bookmarkStart w:id="1306" w:name="_Toc23554"/>
      <w:bookmarkStart w:id="1307" w:name="_Toc11693"/>
    </w:p>
    <w:p w14:paraId="7411F84F">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cs="宋体" w:asciiTheme="minorEastAsia" w:hAnsiTheme="minorEastAsia"/>
          <w:color w:val="000000" w:themeColor="text1"/>
          <w:szCs w:val="21"/>
          <w:highlight w:val="none"/>
          <w14:textFill>
            <w14:solidFill>
              <w14:schemeClr w14:val="tx1"/>
            </w14:solidFill>
          </w14:textFill>
        </w:rPr>
        <w:t xml:space="preserve">16.1.3 </w:t>
      </w:r>
      <w:r>
        <w:rPr>
          <w:rFonts w:hint="eastAsia" w:cs="Calibri" w:asciiTheme="minorEastAsia" w:hAnsiTheme="minorEastAsia"/>
          <w:color w:val="000000" w:themeColor="text1"/>
          <w:szCs w:val="21"/>
          <w:highlight w:val="none"/>
          <w14:textFill>
            <w14:solidFill>
              <w14:schemeClr w14:val="tx1"/>
            </w14:solidFill>
          </w14:textFill>
        </w:rPr>
        <w:t>因发包人违约解除合同</w:t>
      </w:r>
      <w:bookmarkEnd w:id="1302"/>
      <w:bookmarkEnd w:id="1303"/>
      <w:bookmarkEnd w:id="1304"/>
      <w:bookmarkEnd w:id="1305"/>
      <w:bookmarkEnd w:id="1306"/>
      <w:bookmarkEnd w:id="1307"/>
    </w:p>
    <w:p w14:paraId="452FE3B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Times New Roman" w:asciiTheme="minorEastAsia" w:hAnsiTheme="minorEastAsia"/>
          <w:color w:val="000000" w:themeColor="text1"/>
          <w:kern w:val="0"/>
          <w:szCs w:val="21"/>
          <w:highlight w:val="none"/>
          <w14:textFill>
            <w14:solidFill>
              <w14:schemeClr w14:val="tx1"/>
            </w14:solidFill>
          </w14:textFill>
        </w:rPr>
        <w:t>承包人按</w:t>
      </w:r>
      <w:r>
        <w:rPr>
          <w:rFonts w:cs="Times New Roman" w:asciiTheme="minorEastAsia" w:hAnsiTheme="minorEastAsia"/>
          <w:color w:val="000000" w:themeColor="text1"/>
          <w:kern w:val="0"/>
          <w:szCs w:val="21"/>
          <w:highlight w:val="none"/>
          <w14:textFill>
            <w14:solidFill>
              <w14:schemeClr w14:val="tx1"/>
            </w14:solidFill>
          </w14:textFill>
        </w:rPr>
        <w:t>16.1.1</w:t>
      </w:r>
      <w:r>
        <w:rPr>
          <w:rFonts w:hint="eastAsia" w:cs="Times New Roman" w:asciiTheme="minorEastAsia" w:hAnsiTheme="minorEastAsia"/>
          <w:color w:val="000000" w:themeColor="text1"/>
          <w:kern w:val="0"/>
          <w:szCs w:val="21"/>
          <w:highlight w:val="none"/>
          <w14:textFill>
            <w14:solidFill>
              <w14:schemeClr w14:val="tx1"/>
            </w14:solidFill>
          </w14:textFill>
        </w:rPr>
        <w:t>项〔发包人违约的情形〕约定暂停施工满</w:t>
      </w:r>
      <w:r>
        <w:rPr>
          <w:rFonts w:cs="Times New Roman" w:asciiTheme="minorEastAsia" w:hAnsiTheme="minorEastAsia"/>
          <w:color w:val="000000" w:themeColor="text1"/>
          <w:kern w:val="0"/>
          <w:szCs w:val="21"/>
          <w:highlight w:val="none"/>
          <w:u w:val="single"/>
          <w14:textFill>
            <w14:solidFill>
              <w14:schemeClr w14:val="tx1"/>
            </w14:solidFill>
          </w14:textFill>
        </w:rPr>
        <w:t xml:space="preserve"> </w:t>
      </w:r>
      <w:r>
        <w:rPr>
          <w:rFonts w:hint="eastAsia" w:cs="Times New Roman" w:asciiTheme="minorEastAsia" w:hAnsiTheme="minorEastAsia"/>
          <w:color w:val="000000" w:themeColor="text1"/>
          <w:kern w:val="0"/>
          <w:szCs w:val="21"/>
          <w:highlight w:val="none"/>
          <w:u w:val="single"/>
          <w14:textFill>
            <w14:solidFill>
              <w14:schemeClr w14:val="tx1"/>
            </w14:solidFill>
          </w14:textFill>
        </w:rPr>
        <w:t>90</w:t>
      </w:r>
      <w:r>
        <w:rPr>
          <w:rFonts w:cs="Times New Roman" w:asciiTheme="minorEastAsia" w:hAnsiTheme="minorEastAsia"/>
          <w:color w:val="000000" w:themeColor="text1"/>
          <w:kern w:val="0"/>
          <w:szCs w:val="21"/>
          <w:highlight w:val="none"/>
          <w:u w:val="single"/>
          <w14:textFill>
            <w14:solidFill>
              <w14:schemeClr w14:val="tx1"/>
            </w14:solidFill>
          </w14:textFill>
        </w:rPr>
        <w:t xml:space="preserve"> </w:t>
      </w:r>
      <w:r>
        <w:rPr>
          <w:rFonts w:hint="eastAsia" w:cs="Times New Roman" w:asciiTheme="minorEastAsia" w:hAnsiTheme="minorEastAsia"/>
          <w:color w:val="000000" w:themeColor="text1"/>
          <w:kern w:val="0"/>
          <w:szCs w:val="21"/>
          <w:highlight w:val="none"/>
          <w14:textFill>
            <w14:solidFill>
              <w14:schemeClr w14:val="tx1"/>
            </w14:solidFill>
          </w14:textFill>
        </w:rPr>
        <w:t>天后发包人仍不纠正其违约行为并致使合同目的不能实现的，承包人有权解除合同。</w:t>
      </w:r>
    </w:p>
    <w:p w14:paraId="793DBD3E">
      <w:pPr>
        <w:keepNext/>
        <w:keepLines/>
        <w:spacing w:before="260" w:after="260" w:line="360" w:lineRule="auto"/>
        <w:outlineLvl w:val="2"/>
        <w:rPr>
          <w:rFonts w:cs="Times New Roman" w:asciiTheme="minorEastAsia" w:hAnsiTheme="minorEastAsia"/>
          <w:b/>
          <w:bCs/>
          <w:color w:val="000000" w:themeColor="text1"/>
          <w:szCs w:val="21"/>
          <w:highlight w:val="none"/>
          <w14:textFill>
            <w14:solidFill>
              <w14:schemeClr w14:val="tx1"/>
            </w14:solidFill>
          </w14:textFill>
        </w:rPr>
      </w:pPr>
      <w:bookmarkStart w:id="1308" w:name="_Toc533863517"/>
      <w:r>
        <w:rPr>
          <w:rFonts w:cs="Times New Roman" w:asciiTheme="minorEastAsia" w:hAnsiTheme="minorEastAsia"/>
          <w:b/>
          <w:bCs/>
          <w:color w:val="000000" w:themeColor="text1"/>
          <w:szCs w:val="21"/>
          <w:highlight w:val="none"/>
          <w14:textFill>
            <w14:solidFill>
              <w14:schemeClr w14:val="tx1"/>
            </w14:solidFill>
          </w14:textFill>
        </w:rPr>
        <w:t xml:space="preserve">16.2 </w:t>
      </w:r>
      <w:r>
        <w:rPr>
          <w:rFonts w:hint="eastAsia" w:cs="Times New Roman" w:asciiTheme="minorEastAsia" w:hAnsiTheme="minorEastAsia"/>
          <w:b/>
          <w:bCs/>
          <w:color w:val="000000" w:themeColor="text1"/>
          <w:szCs w:val="21"/>
          <w:highlight w:val="none"/>
          <w14:textFill>
            <w14:solidFill>
              <w14:schemeClr w14:val="tx1"/>
            </w14:solidFill>
          </w14:textFill>
        </w:rPr>
        <w:t>承包人违约</w:t>
      </w:r>
      <w:bookmarkEnd w:id="1308"/>
    </w:p>
    <w:p w14:paraId="22073A35">
      <w:pPr>
        <w:spacing w:line="360" w:lineRule="auto"/>
        <w:ind w:firstLine="420" w:firstLineChars="200"/>
        <w:jc w:val="left"/>
        <w:outlineLvl w:val="0"/>
        <w:rPr>
          <w:rFonts w:cs="宋体" w:asciiTheme="minorEastAsia" w:hAnsiTheme="minorEastAsia"/>
          <w:color w:val="000000" w:themeColor="text1"/>
          <w:kern w:val="0"/>
          <w:szCs w:val="21"/>
          <w:highlight w:val="none"/>
          <w14:textFill>
            <w14:solidFill>
              <w14:schemeClr w14:val="tx1"/>
            </w14:solidFill>
          </w14:textFill>
        </w:rPr>
      </w:pPr>
      <w:bookmarkStart w:id="1309" w:name="_Toc31620"/>
      <w:bookmarkStart w:id="1310" w:name="_Toc28479"/>
      <w:bookmarkStart w:id="1311" w:name="_Toc19670"/>
      <w:bookmarkStart w:id="1312" w:name="_Toc533863518"/>
      <w:bookmarkStart w:id="1313" w:name="_Toc11430"/>
      <w:bookmarkStart w:id="1314" w:name="_Toc10832"/>
      <w:bookmarkStart w:id="1315" w:name="_Toc351203649"/>
      <w:r>
        <w:rPr>
          <w:rFonts w:cs="宋体" w:asciiTheme="minorEastAsia" w:hAnsiTheme="minorEastAsia"/>
          <w:color w:val="000000" w:themeColor="text1"/>
          <w:kern w:val="0"/>
          <w:szCs w:val="21"/>
          <w:highlight w:val="none"/>
          <w14:textFill>
            <w14:solidFill>
              <w14:schemeClr w14:val="tx1"/>
            </w14:solidFill>
          </w14:textFill>
        </w:rPr>
        <w:t xml:space="preserve">16.2.1 </w:t>
      </w:r>
      <w:r>
        <w:rPr>
          <w:rFonts w:hint="eastAsia" w:cs="Calibri" w:asciiTheme="minorEastAsia" w:hAnsiTheme="minorEastAsia"/>
          <w:color w:val="000000" w:themeColor="text1"/>
          <w:kern w:val="0"/>
          <w:szCs w:val="21"/>
          <w:highlight w:val="none"/>
          <w14:textFill>
            <w14:solidFill>
              <w14:schemeClr w14:val="tx1"/>
            </w14:solidFill>
          </w14:textFill>
        </w:rPr>
        <w:t>承包人违约的情形</w:t>
      </w:r>
      <w:bookmarkEnd w:id="1309"/>
      <w:bookmarkEnd w:id="1310"/>
      <w:bookmarkEnd w:id="1311"/>
      <w:bookmarkEnd w:id="1312"/>
      <w:bookmarkEnd w:id="1313"/>
      <w:bookmarkEnd w:id="1314"/>
    </w:p>
    <w:p w14:paraId="0BB84FBC">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承包人违约的其他情形：</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77C52B4A">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16.2.2</w:t>
      </w:r>
      <w:r>
        <w:rPr>
          <w:rFonts w:hint="eastAsia" w:ascii="宋体" w:hAnsi="宋体" w:eastAsia="宋体" w:cs="Calibri"/>
          <w:color w:val="000000" w:themeColor="text1"/>
          <w:kern w:val="0"/>
          <w:szCs w:val="21"/>
          <w:highlight w:val="none"/>
          <w14:textFill>
            <w14:solidFill>
              <w14:schemeClr w14:val="tx1"/>
            </w14:solidFill>
          </w14:textFill>
        </w:rPr>
        <w:t>承包人违约的责任</w:t>
      </w:r>
    </w:p>
    <w:p w14:paraId="696A2F9E">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承包人违约责任的承担方式和计算方法：</w:t>
      </w:r>
      <w:r>
        <w:rPr>
          <w:rFonts w:hint="eastAsia" w:ascii="宋体" w:hAnsi="宋体" w:eastAsia="宋体" w:cs="Calibri"/>
          <w:color w:val="000000" w:themeColor="text1"/>
          <w:szCs w:val="21"/>
          <w:highlight w:val="none"/>
          <w:u w:val="single"/>
          <w14:textFill>
            <w14:solidFill>
              <w14:schemeClr w14:val="tx1"/>
            </w14:solidFill>
          </w14:textFill>
        </w:rPr>
        <w:t>每延误一天</w:t>
      </w:r>
      <w:r>
        <w:rPr>
          <w:rFonts w:hint="eastAsia" w:ascii="宋体" w:hAnsi="宋体" w:eastAsia="宋体" w:cs="Calibri"/>
          <w:color w:val="000000" w:themeColor="text1"/>
          <w:kern w:val="0"/>
          <w:szCs w:val="21"/>
          <w:highlight w:val="none"/>
          <w:u w:val="single"/>
          <w14:textFill>
            <w14:solidFill>
              <w14:schemeClr w14:val="tx1"/>
            </w14:solidFill>
          </w14:textFill>
        </w:rPr>
        <w:t>按合同价款的万分之二</w:t>
      </w:r>
      <w:r>
        <w:rPr>
          <w:rFonts w:hint="eastAsia" w:ascii="宋体" w:hAnsi="宋体" w:eastAsia="宋体" w:cs="Calibri"/>
          <w:color w:val="000000" w:themeColor="text1"/>
          <w:szCs w:val="21"/>
          <w:highlight w:val="none"/>
          <w:u w:val="single"/>
          <w14:textFill>
            <w14:solidFill>
              <w14:schemeClr w14:val="tx1"/>
            </w14:solidFill>
          </w14:textFill>
        </w:rPr>
        <w:t>赔偿给发包人。</w:t>
      </w:r>
    </w:p>
    <w:p w14:paraId="2BCFFFC9">
      <w:pPr>
        <w:spacing w:line="360" w:lineRule="auto"/>
        <w:ind w:firstLine="420" w:firstLineChars="200"/>
        <w:jc w:val="left"/>
        <w:outlineLvl w:val="0"/>
        <w:rPr>
          <w:rFonts w:ascii="Calibri" w:hAnsi="宋体" w:eastAsia="宋体" w:cs="宋体"/>
          <w:color w:val="000000" w:themeColor="text1"/>
          <w:szCs w:val="21"/>
          <w:highlight w:val="none"/>
          <w14:textFill>
            <w14:solidFill>
              <w14:schemeClr w14:val="tx1"/>
            </w14:solidFill>
          </w14:textFill>
        </w:rPr>
      </w:pPr>
      <w:bookmarkStart w:id="1316" w:name="_Toc13598"/>
      <w:bookmarkStart w:id="1317" w:name="_Toc17488"/>
      <w:bookmarkStart w:id="1318" w:name="_Toc16891"/>
      <w:bookmarkStart w:id="1319" w:name="_Toc18995"/>
      <w:bookmarkStart w:id="1320" w:name="_Toc19117"/>
      <w:bookmarkStart w:id="1321" w:name="_Toc533863519"/>
      <w:r>
        <w:rPr>
          <w:rFonts w:ascii="Calibri" w:hAnsi="Calibri" w:eastAsia="宋体" w:cs="宋体"/>
          <w:color w:val="000000" w:themeColor="text1"/>
          <w:szCs w:val="21"/>
          <w:highlight w:val="none"/>
          <w14:textFill>
            <w14:solidFill>
              <w14:schemeClr w14:val="tx1"/>
            </w14:solidFill>
          </w14:textFill>
        </w:rPr>
        <w:t xml:space="preserve">16.2.3 </w:t>
      </w:r>
      <w:r>
        <w:rPr>
          <w:rFonts w:hint="eastAsia" w:ascii="宋体" w:hAnsi="宋体" w:eastAsia="宋体" w:cs="Calibri"/>
          <w:color w:val="000000" w:themeColor="text1"/>
          <w:szCs w:val="21"/>
          <w:highlight w:val="none"/>
          <w14:textFill>
            <w14:solidFill>
              <w14:schemeClr w14:val="tx1"/>
            </w14:solidFill>
          </w14:textFill>
        </w:rPr>
        <w:t>因承包人违约解除合同</w:t>
      </w:r>
      <w:bookmarkEnd w:id="1316"/>
      <w:bookmarkEnd w:id="1317"/>
      <w:bookmarkEnd w:id="1318"/>
      <w:bookmarkEnd w:id="1319"/>
      <w:bookmarkEnd w:id="1320"/>
      <w:bookmarkEnd w:id="1321"/>
    </w:p>
    <w:p w14:paraId="27D37C56">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关于承包人违约解除合同的特别约定：</w:t>
      </w:r>
      <w:r>
        <w:rPr>
          <w:rFonts w:hint="eastAsia" w:ascii="宋体" w:hAnsi="宋体" w:eastAsia="宋体" w:cs="Calibri"/>
          <w:color w:val="000000" w:themeColor="text1"/>
          <w:kern w:val="0"/>
          <w:szCs w:val="21"/>
          <w:highlight w:val="none"/>
          <w:u w:val="single"/>
          <w14:textFill>
            <w14:solidFill>
              <w14:schemeClr w14:val="tx1"/>
            </w14:solidFill>
          </w14:textFill>
        </w:rPr>
        <w:t>承包人有违反以下情况之一的，发包人有权解除合同，并没收其全部履约保证金</w:t>
      </w:r>
      <w:r>
        <w:rPr>
          <w:rFonts w:hint="eastAsia" w:ascii="宋体" w:hAnsi="宋体" w:eastAsia="宋体" w:cs="Calibri"/>
          <w:color w:val="000000" w:themeColor="text1"/>
          <w:kern w:val="0"/>
          <w:szCs w:val="21"/>
          <w:highlight w:val="none"/>
          <w14:textFill>
            <w14:solidFill>
              <w14:schemeClr w14:val="tx1"/>
            </w14:solidFill>
          </w14:textFill>
        </w:rPr>
        <w:t>。</w:t>
      </w:r>
    </w:p>
    <w:p w14:paraId="50062442">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承包人无正当理由不按开工通知的要求及时进场组织施工和不按签订协议书时商定的进度计划有效地开展施工准备，造成工期延误的；</w:t>
      </w:r>
    </w:p>
    <w:p w14:paraId="5384D969">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14:textFill>
            <w14:solidFill>
              <w14:schemeClr w14:val="tx1"/>
            </w14:solidFill>
          </w14:textFill>
        </w:rPr>
        <w:t>承包人违反本合同通用条款第</w:t>
      </w:r>
      <w:r>
        <w:rPr>
          <w:rFonts w:ascii="Calibri" w:hAnsi="Calibri" w:eastAsia="宋体" w:cs="宋体"/>
          <w:color w:val="000000" w:themeColor="text1"/>
          <w:kern w:val="0"/>
          <w:szCs w:val="21"/>
          <w:highlight w:val="none"/>
          <w14:textFill>
            <w14:solidFill>
              <w14:schemeClr w14:val="tx1"/>
            </w14:solidFill>
          </w14:textFill>
        </w:rPr>
        <w:t>3.5</w:t>
      </w:r>
      <w:r>
        <w:rPr>
          <w:rFonts w:hint="eastAsia" w:ascii="宋体" w:hAnsi="宋体" w:eastAsia="宋体" w:cs="Calibri"/>
          <w:color w:val="000000" w:themeColor="text1"/>
          <w:kern w:val="0"/>
          <w:szCs w:val="21"/>
          <w:highlight w:val="none"/>
          <w14:textFill>
            <w14:solidFill>
              <w14:schemeClr w14:val="tx1"/>
            </w14:solidFill>
          </w14:textFill>
        </w:rPr>
        <w:t>条规定私自将合同或合同的任何部分或任何权利转让给其他人，或私自将工程或工程的一部分分包出去的；</w:t>
      </w:r>
    </w:p>
    <w:p w14:paraId="116F149B">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(3)</w:t>
      </w:r>
      <w:r>
        <w:rPr>
          <w:rFonts w:hint="eastAsia" w:ascii="宋体" w:hAnsi="宋体" w:eastAsia="宋体" w:cs="Calibri"/>
          <w:color w:val="000000" w:themeColor="text1"/>
          <w:kern w:val="0"/>
          <w:szCs w:val="21"/>
          <w:highlight w:val="none"/>
          <w14:textFill>
            <w14:solidFill>
              <w14:schemeClr w14:val="tx1"/>
            </w14:solidFill>
          </w14:textFill>
        </w:rPr>
        <w:t>未经监理人批准，承包人私自将已按投标文件承诺进入工地的工程设备、施工设备、临时工程或材料撤离工地的；</w:t>
      </w:r>
    </w:p>
    <w:p w14:paraId="341D44BD">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(4)</w:t>
      </w:r>
      <w:r>
        <w:rPr>
          <w:rFonts w:hint="eastAsia" w:ascii="宋体" w:hAnsi="宋体" w:eastAsia="宋体" w:cs="Calibri"/>
          <w:color w:val="000000" w:themeColor="text1"/>
          <w:kern w:val="0"/>
          <w:szCs w:val="21"/>
          <w:highlight w:val="none"/>
          <w14:textFill>
            <w14:solidFill>
              <w14:schemeClr w14:val="tx1"/>
            </w14:solidFill>
          </w14:textFill>
        </w:rPr>
        <w:t>由于承包人原因拒绝按合同进度计划及时完成合同规定的工程，而又未采取有效措施赶上进度，造成工期严重延误的；</w:t>
      </w:r>
    </w:p>
    <w:p w14:paraId="5057152C">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(5)</w:t>
      </w:r>
      <w:r>
        <w:rPr>
          <w:rFonts w:hint="eastAsia" w:ascii="宋体" w:hAnsi="宋体" w:eastAsia="宋体" w:cs="Calibri"/>
          <w:color w:val="000000" w:themeColor="text1"/>
          <w:kern w:val="0"/>
          <w:szCs w:val="21"/>
          <w:highlight w:val="none"/>
          <w14:textFill>
            <w14:solidFill>
              <w14:schemeClr w14:val="tx1"/>
            </w14:solidFill>
          </w14:textFill>
        </w:rPr>
        <w:t>承包人否认合同有效或拒绝履行合同规定的承包人义务，或由于法律、财务等原因导致承包人无法继续履行或实质上已停止履行合同的义务的；</w:t>
      </w:r>
    </w:p>
    <w:p w14:paraId="5504B6F7">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(6)</w:t>
      </w:r>
      <w:r>
        <w:rPr>
          <w:rFonts w:hint="eastAsia" w:ascii="宋体" w:hAnsi="宋体" w:eastAsia="宋体" w:cs="Calibri"/>
          <w:color w:val="000000" w:themeColor="text1"/>
          <w:kern w:val="0"/>
          <w:szCs w:val="21"/>
          <w:highlight w:val="none"/>
          <w14:textFill>
            <w14:solidFill>
              <w14:schemeClr w14:val="tx1"/>
            </w14:solidFill>
          </w14:textFill>
        </w:rPr>
        <w:t>合同签订之日起十五日内，承包人无法按合同规定及投标文件的承诺进场经监理工程师认可的全部人员和机械的。</w:t>
      </w:r>
    </w:p>
    <w:p w14:paraId="4C1DCD57">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eastAsia="宋体" w:cs="Calibri"/>
          <w:color w:val="000000" w:themeColor="text1"/>
          <w:kern w:val="0"/>
          <w:szCs w:val="21"/>
          <w:highlight w:val="none"/>
          <w:u w:val="single"/>
          <w14:textFill>
            <w14:solidFill>
              <w14:schemeClr w14:val="tx1"/>
            </w14:solidFill>
          </w14:textFill>
        </w:rPr>
        <w:t>由承包人承担相应费用</w:t>
      </w:r>
      <w:r>
        <w:rPr>
          <w:rFonts w:hint="eastAsia" w:ascii="宋体" w:hAnsi="宋体" w:eastAsia="宋体" w:cs="Calibri"/>
          <w:color w:val="000000" w:themeColor="text1"/>
          <w:kern w:val="0"/>
          <w:szCs w:val="21"/>
          <w:highlight w:val="none"/>
          <w14:textFill>
            <w14:solidFill>
              <w14:schemeClr w14:val="tx1"/>
            </w14:solidFill>
          </w14:textFill>
        </w:rPr>
        <w:t>。</w:t>
      </w:r>
    </w:p>
    <w:p w14:paraId="4977CE9A">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322" w:name="_Toc12467"/>
      <w:bookmarkStart w:id="1323" w:name="_Toc533863520"/>
      <w:r>
        <w:rPr>
          <w:rFonts w:ascii="宋体" w:hAnsi="宋体" w:eastAsia="宋体" w:cs="Times New Roman"/>
          <w:b/>
          <w:bCs/>
          <w:color w:val="000000" w:themeColor="text1"/>
          <w:szCs w:val="21"/>
          <w:highlight w:val="none"/>
          <w14:textFill>
            <w14:solidFill>
              <w14:schemeClr w14:val="tx1"/>
            </w14:solidFill>
          </w14:textFill>
        </w:rPr>
        <w:t xml:space="preserve">17. </w:t>
      </w:r>
      <w:r>
        <w:rPr>
          <w:rFonts w:hint="eastAsia" w:ascii="宋体" w:hAnsi="宋体" w:eastAsia="宋体" w:cs="Times New Roman"/>
          <w:b/>
          <w:bCs/>
          <w:color w:val="000000" w:themeColor="text1"/>
          <w:szCs w:val="21"/>
          <w:highlight w:val="none"/>
          <w14:textFill>
            <w14:solidFill>
              <w14:schemeClr w14:val="tx1"/>
            </w14:solidFill>
          </w14:textFill>
        </w:rPr>
        <w:t>不可抗力</w:t>
      </w:r>
      <w:bookmarkEnd w:id="1315"/>
      <w:bookmarkEnd w:id="1322"/>
      <w:bookmarkEnd w:id="1323"/>
      <w:r>
        <w:rPr>
          <w:rFonts w:ascii="宋体" w:hAnsi="宋体" w:eastAsia="宋体" w:cs="Times New Roman"/>
          <w:b/>
          <w:bCs/>
          <w:color w:val="000000" w:themeColor="text1"/>
          <w:szCs w:val="21"/>
          <w:highlight w:val="none"/>
          <w14:textFill>
            <w14:solidFill>
              <w14:schemeClr w14:val="tx1"/>
            </w14:solidFill>
          </w14:textFill>
        </w:rPr>
        <w:t xml:space="preserve"> </w:t>
      </w:r>
      <w:bookmarkEnd w:id="1279"/>
    </w:p>
    <w:p w14:paraId="2EE363DC">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17.1 </w:t>
      </w:r>
      <w:r>
        <w:rPr>
          <w:rFonts w:hint="eastAsia" w:ascii="宋体" w:hAnsi="宋体" w:eastAsia="宋体" w:cs="Times New Roman"/>
          <w:color w:val="000000" w:themeColor="text1"/>
          <w:szCs w:val="21"/>
          <w:highlight w:val="none"/>
          <w14:textFill>
            <w14:solidFill>
              <w14:schemeClr w14:val="tx1"/>
            </w14:solidFill>
          </w14:textFill>
        </w:rPr>
        <w:t>不可抗力的确认</w:t>
      </w:r>
    </w:p>
    <w:p w14:paraId="47716AAB">
      <w:pPr>
        <w:spacing w:line="360" w:lineRule="auto"/>
        <w:ind w:firstLine="420" w:firstLineChars="200"/>
        <w:jc w:val="left"/>
        <w:rPr>
          <w:rFonts w:ascii="Calibri" w:hAnsi="Calibri" w:eastAsia="宋体" w:cs="宋体"/>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除通用合同条款约定的不可抗力事件之外，视为不可抗力的其他情形：</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w:t>
      </w:r>
    </w:p>
    <w:p w14:paraId="7E5FC4A2">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17.4 </w:t>
      </w:r>
      <w:r>
        <w:rPr>
          <w:rFonts w:hint="eastAsia" w:ascii="宋体" w:hAnsi="宋体" w:eastAsia="宋体" w:cs="Times New Roman"/>
          <w:color w:val="000000" w:themeColor="text1"/>
          <w:szCs w:val="21"/>
          <w:highlight w:val="none"/>
          <w14:textFill>
            <w14:solidFill>
              <w14:schemeClr w14:val="tx1"/>
            </w14:solidFill>
          </w14:textFill>
        </w:rPr>
        <w:t>因不可抗力解除合同</w:t>
      </w:r>
    </w:p>
    <w:p w14:paraId="71D74FE1">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bookmarkStart w:id="1324" w:name="_Toc351203650"/>
      <w:r>
        <w:rPr>
          <w:rFonts w:hint="eastAsia" w:ascii="宋体" w:hAnsi="宋体" w:eastAsia="宋体" w:cs="Calibri"/>
          <w:color w:val="000000" w:themeColor="text1"/>
          <w:szCs w:val="21"/>
          <w:highlight w:val="none"/>
          <w14:textFill>
            <w14:solidFill>
              <w14:schemeClr w14:val="tx1"/>
            </w14:solidFill>
          </w14:textFill>
        </w:rPr>
        <w:t>合同解除后，发包人应在商定或确定发包人应支付款项后</w:t>
      </w:r>
      <w:r>
        <w:rPr>
          <w:rFonts w:ascii="Calibri" w:hAnsi="Calibri" w:eastAsia="宋体" w:cs="宋体"/>
          <w:color w:val="000000" w:themeColor="text1"/>
          <w:szCs w:val="21"/>
          <w:highlight w:val="none"/>
          <w:u w:val="single"/>
          <w14:textFill>
            <w14:solidFill>
              <w14:schemeClr w14:val="tx1"/>
            </w14:solidFill>
          </w14:textFill>
        </w:rPr>
        <w:t xml:space="preserve"> </w:t>
      </w:r>
      <w:r>
        <w:rPr>
          <w:rFonts w:hint="eastAsia" w:ascii="Calibri" w:hAnsi="Calibri" w:eastAsia="宋体" w:cs="Calibri"/>
          <w:color w:val="000000" w:themeColor="text1"/>
          <w:szCs w:val="21"/>
          <w:highlight w:val="none"/>
          <w:u w:val="single"/>
          <w14:textFill>
            <w14:solidFill>
              <w14:schemeClr w14:val="tx1"/>
            </w14:solidFill>
          </w14:textFill>
        </w:rPr>
        <w:t>28</w:t>
      </w:r>
      <w:r>
        <w:rPr>
          <w:rFonts w:ascii="Calibri" w:hAnsi="Calibri"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天内完成款项的支付。</w:t>
      </w:r>
    </w:p>
    <w:p w14:paraId="31D153E1">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325" w:name="_Toc533863521"/>
      <w:bookmarkStart w:id="1326" w:name="_Toc8451"/>
      <w:r>
        <w:rPr>
          <w:rFonts w:ascii="宋体" w:hAnsi="宋体" w:eastAsia="宋体" w:cs="Times New Roman"/>
          <w:b/>
          <w:bCs/>
          <w:color w:val="000000" w:themeColor="text1"/>
          <w:szCs w:val="21"/>
          <w:highlight w:val="none"/>
          <w14:textFill>
            <w14:solidFill>
              <w14:schemeClr w14:val="tx1"/>
            </w14:solidFill>
          </w14:textFill>
        </w:rPr>
        <w:t xml:space="preserve">18. </w:t>
      </w:r>
      <w:r>
        <w:rPr>
          <w:rFonts w:hint="eastAsia" w:ascii="宋体" w:hAnsi="宋体" w:eastAsia="宋体" w:cs="Times New Roman"/>
          <w:b/>
          <w:bCs/>
          <w:color w:val="000000" w:themeColor="text1"/>
          <w:szCs w:val="21"/>
          <w:highlight w:val="none"/>
          <w14:textFill>
            <w14:solidFill>
              <w14:schemeClr w14:val="tx1"/>
            </w14:solidFill>
          </w14:textFill>
        </w:rPr>
        <w:t>保险</w:t>
      </w:r>
      <w:bookmarkEnd w:id="1324"/>
      <w:bookmarkEnd w:id="1325"/>
      <w:bookmarkEnd w:id="1326"/>
    </w:p>
    <w:bookmarkEnd w:id="1280"/>
    <w:p w14:paraId="0D0E07A8">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18.1 </w:t>
      </w:r>
      <w:r>
        <w:rPr>
          <w:rFonts w:hint="eastAsia" w:ascii="宋体" w:hAnsi="宋体" w:eastAsia="宋体" w:cs="Times New Roman"/>
          <w:color w:val="000000" w:themeColor="text1"/>
          <w:szCs w:val="21"/>
          <w:highlight w:val="none"/>
          <w14:textFill>
            <w14:solidFill>
              <w14:schemeClr w14:val="tx1"/>
            </w14:solidFill>
          </w14:textFill>
        </w:rPr>
        <w:t>工程保险</w:t>
      </w:r>
    </w:p>
    <w:p w14:paraId="20E9AFAC">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关于工程保险的特别约定：</w:t>
      </w:r>
      <w:r>
        <w:rPr>
          <w:rFonts w:hint="eastAsia" w:cs="Calibri" w:asciiTheme="minorEastAsia" w:hAnsiTheme="minorEastAsia"/>
          <w:color w:val="000000" w:themeColor="text1"/>
          <w:kern w:val="0"/>
          <w:szCs w:val="21"/>
          <w:highlight w:val="none"/>
          <w:u w:val="single"/>
          <w14:textFill>
            <w14:solidFill>
              <w14:schemeClr w14:val="tx1"/>
            </w14:solidFill>
          </w14:textFill>
        </w:rPr>
        <w:t>由承包人投保建筑工程一切险或安装工程一切险并承担相应费用</w:t>
      </w:r>
      <w:r>
        <w:rPr>
          <w:rFonts w:hint="eastAsia" w:cs="Calibri" w:asciiTheme="minorEastAsia" w:hAnsiTheme="minorEastAsia"/>
          <w:color w:val="000000" w:themeColor="text1"/>
          <w:kern w:val="0"/>
          <w:szCs w:val="21"/>
          <w:highlight w:val="none"/>
          <w14:textFill>
            <w14:solidFill>
              <w14:schemeClr w14:val="tx1"/>
            </w14:solidFill>
          </w14:textFill>
        </w:rPr>
        <w:t>。</w:t>
      </w:r>
    </w:p>
    <w:p w14:paraId="25DC8E1A">
      <w:pPr>
        <w:spacing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 xml:space="preserve">18.3 </w:t>
      </w:r>
      <w:r>
        <w:rPr>
          <w:rFonts w:hint="eastAsia" w:cs="Times New Roman" w:asciiTheme="minorEastAsia" w:hAnsiTheme="minorEastAsia"/>
          <w:color w:val="000000" w:themeColor="text1"/>
          <w:szCs w:val="21"/>
          <w:highlight w:val="none"/>
          <w14:textFill>
            <w14:solidFill>
              <w14:schemeClr w14:val="tx1"/>
            </w14:solidFill>
          </w14:textFill>
        </w:rPr>
        <w:t>其他保险</w:t>
      </w:r>
    </w:p>
    <w:p w14:paraId="09608E63">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关于其他保险的约定：</w:t>
      </w:r>
      <w:r>
        <w:rPr>
          <w:rFonts w:hint="eastAsia" w:cs="Calibri" w:asciiTheme="minorEastAsia" w:hAnsiTheme="minorEastAsia"/>
          <w:color w:val="000000" w:themeColor="text1"/>
          <w:szCs w:val="21"/>
          <w:highlight w:val="none"/>
          <w:u w:val="single"/>
          <w14:textFill>
            <w14:solidFill>
              <w14:schemeClr w14:val="tx1"/>
            </w14:solidFill>
          </w14:textFill>
        </w:rPr>
        <w:t>发包人和承包人各自为其施工现场的全部人员办理意外伤害保险并支付保险费，包括其员工及为履行合同聘请的第三方的人员</w:t>
      </w:r>
      <w:r>
        <w:rPr>
          <w:rFonts w:hint="eastAsia" w:cs="Calibri" w:asciiTheme="minorEastAsia" w:hAnsiTheme="minorEastAsia"/>
          <w:color w:val="000000" w:themeColor="text1"/>
          <w:szCs w:val="21"/>
          <w:highlight w:val="none"/>
          <w14:textFill>
            <w14:solidFill>
              <w14:schemeClr w14:val="tx1"/>
            </w14:solidFill>
          </w14:textFill>
        </w:rPr>
        <w:t>。</w:t>
      </w:r>
    </w:p>
    <w:p w14:paraId="2B687B7A">
      <w:pPr>
        <w:spacing w:line="360" w:lineRule="auto"/>
        <w:ind w:firstLine="420" w:firstLineChars="200"/>
        <w:jc w:val="left"/>
        <w:rPr>
          <w:rFonts w:cs="宋体"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承包人是否应为其施工设备等办理财产保险：</w:t>
      </w:r>
      <w:r>
        <w:rPr>
          <w:rFonts w:hint="eastAsia" w:cs="Calibri" w:asciiTheme="minorEastAsia" w:hAnsiTheme="minorEastAsia"/>
          <w:color w:val="000000" w:themeColor="text1"/>
          <w:szCs w:val="21"/>
          <w:highlight w:val="none"/>
          <w:u w:val="single"/>
          <w14:textFill>
            <w14:solidFill>
              <w14:schemeClr w14:val="tx1"/>
            </w14:solidFill>
          </w14:textFill>
        </w:rPr>
        <w:t xml:space="preserve">  是  </w:t>
      </w:r>
      <w:r>
        <w:rPr>
          <w:rFonts w:hint="eastAsia" w:cs="Calibri" w:asciiTheme="minorEastAsia" w:hAnsiTheme="minorEastAsia"/>
          <w:color w:val="000000" w:themeColor="text1"/>
          <w:szCs w:val="21"/>
          <w:highlight w:val="none"/>
          <w14:textFill>
            <w14:solidFill>
              <w14:schemeClr w14:val="tx1"/>
            </w14:solidFill>
          </w14:textFill>
        </w:rPr>
        <w:t>。</w:t>
      </w:r>
    </w:p>
    <w:p w14:paraId="2E3629E1">
      <w:pPr>
        <w:spacing w:after="120"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 xml:space="preserve">18.7 </w:t>
      </w:r>
      <w:r>
        <w:rPr>
          <w:rFonts w:hint="eastAsia" w:cs="Times New Roman" w:asciiTheme="minorEastAsia" w:hAnsiTheme="minorEastAsia"/>
          <w:color w:val="000000" w:themeColor="text1"/>
          <w:szCs w:val="21"/>
          <w:highlight w:val="none"/>
          <w14:textFill>
            <w14:solidFill>
              <w14:schemeClr w14:val="tx1"/>
            </w14:solidFill>
          </w14:textFill>
        </w:rPr>
        <w:t>通知义务</w:t>
      </w:r>
    </w:p>
    <w:bookmarkEnd w:id="1236"/>
    <w:bookmarkEnd w:id="1237"/>
    <w:bookmarkEnd w:id="1238"/>
    <w:bookmarkEnd w:id="1239"/>
    <w:bookmarkEnd w:id="1240"/>
    <w:bookmarkEnd w:id="1241"/>
    <w:bookmarkEnd w:id="1242"/>
    <w:bookmarkEnd w:id="1243"/>
    <w:bookmarkEnd w:id="1244"/>
    <w:bookmarkEnd w:id="1245"/>
    <w:bookmarkEnd w:id="1246"/>
    <w:bookmarkEnd w:id="1247"/>
    <w:p w14:paraId="781C3F6D">
      <w:pPr>
        <w:spacing w:line="360" w:lineRule="auto"/>
        <w:ind w:firstLine="420" w:firstLineChars="200"/>
        <w:jc w:val="left"/>
        <w:rPr>
          <w:rFonts w:cs="宋体" w:asciiTheme="minorEastAsia" w:hAnsiTheme="minorEastAsia"/>
          <w:color w:val="000000" w:themeColor="text1"/>
          <w:szCs w:val="21"/>
          <w:highlight w:val="none"/>
          <w:u w:val="single"/>
          <w14:textFill>
            <w14:solidFill>
              <w14:schemeClr w14:val="tx1"/>
            </w14:solidFill>
          </w14:textFill>
        </w:rPr>
      </w:pPr>
      <w:bookmarkStart w:id="1327" w:name="_Toc351203651"/>
      <w:r>
        <w:rPr>
          <w:rFonts w:hint="eastAsia" w:cs="Calibri" w:asciiTheme="minorEastAsia" w:hAnsiTheme="minorEastAsia"/>
          <w:color w:val="000000" w:themeColor="text1"/>
          <w:kern w:val="0"/>
          <w:szCs w:val="21"/>
          <w:highlight w:val="none"/>
          <w14:textFill>
            <w14:solidFill>
              <w14:schemeClr w14:val="tx1"/>
            </w14:solidFill>
          </w14:textFill>
        </w:rPr>
        <w:t>关于变更保险合同时的通知义务的约定：</w:t>
      </w:r>
      <w:r>
        <w:rPr>
          <w:rFonts w:hint="eastAsia" w:cs="Calibri" w:asciiTheme="minorEastAsia" w:hAnsiTheme="minorEastAsia"/>
          <w:color w:val="000000" w:themeColor="text1"/>
          <w:szCs w:val="21"/>
          <w:highlight w:val="none"/>
          <w:u w:val="single"/>
          <w14:textFill>
            <w14:solidFill>
              <w14:schemeClr w14:val="tx1"/>
            </w14:solidFill>
          </w14:textFill>
        </w:rPr>
        <w:t>由承包人通知发包人和监理人</w:t>
      </w:r>
      <w:r>
        <w:rPr>
          <w:rFonts w:hint="eastAsia" w:cs="Calibri" w:asciiTheme="minorEastAsia" w:hAnsiTheme="minorEastAsia"/>
          <w:color w:val="000000" w:themeColor="text1"/>
          <w:szCs w:val="21"/>
          <w:highlight w:val="none"/>
          <w14:textFill>
            <w14:solidFill>
              <w14:schemeClr w14:val="tx1"/>
            </w14:solidFill>
          </w14:textFill>
        </w:rPr>
        <w:t>。</w:t>
      </w:r>
    </w:p>
    <w:p w14:paraId="05F44948">
      <w:pPr>
        <w:keepNext/>
        <w:keepLines/>
        <w:spacing w:before="260" w:after="260" w:line="360" w:lineRule="auto"/>
        <w:outlineLvl w:val="1"/>
        <w:rPr>
          <w:rFonts w:cs="Times New Roman" w:asciiTheme="minorEastAsia" w:hAnsiTheme="minorEastAsia"/>
          <w:b/>
          <w:bCs/>
          <w:color w:val="000000" w:themeColor="text1"/>
          <w:szCs w:val="21"/>
          <w:highlight w:val="none"/>
          <w14:textFill>
            <w14:solidFill>
              <w14:schemeClr w14:val="tx1"/>
            </w14:solidFill>
          </w14:textFill>
        </w:rPr>
      </w:pPr>
      <w:bookmarkStart w:id="1328" w:name="_Toc26075"/>
      <w:bookmarkStart w:id="1329" w:name="_Toc533863522"/>
      <w:r>
        <w:rPr>
          <w:rFonts w:cs="Times New Roman" w:asciiTheme="minorEastAsia" w:hAnsiTheme="minorEastAsia"/>
          <w:b/>
          <w:bCs/>
          <w:color w:val="000000" w:themeColor="text1"/>
          <w:szCs w:val="21"/>
          <w:highlight w:val="none"/>
          <w14:textFill>
            <w14:solidFill>
              <w14:schemeClr w14:val="tx1"/>
            </w14:solidFill>
          </w14:textFill>
        </w:rPr>
        <w:t xml:space="preserve">20. </w:t>
      </w:r>
      <w:r>
        <w:rPr>
          <w:rFonts w:hint="eastAsia" w:cs="Times New Roman" w:asciiTheme="minorEastAsia" w:hAnsiTheme="minorEastAsia"/>
          <w:b/>
          <w:bCs/>
          <w:color w:val="000000" w:themeColor="text1"/>
          <w:szCs w:val="21"/>
          <w:highlight w:val="none"/>
          <w14:textFill>
            <w14:solidFill>
              <w14:schemeClr w14:val="tx1"/>
            </w14:solidFill>
          </w14:textFill>
        </w:rPr>
        <w:t>争议解决</w:t>
      </w:r>
      <w:bookmarkEnd w:id="1327"/>
      <w:bookmarkEnd w:id="1328"/>
      <w:bookmarkEnd w:id="1329"/>
    </w:p>
    <w:bookmarkEnd w:id="1248"/>
    <w:bookmarkEnd w:id="1249"/>
    <w:p w14:paraId="25C7A7C9">
      <w:pPr>
        <w:spacing w:line="360" w:lineRule="auto"/>
        <w:ind w:firstLine="211" w:firstLineChars="100"/>
        <w:rPr>
          <w:rFonts w:cs="Times New Roman" w:asciiTheme="minorEastAsia" w:hAnsiTheme="minorEastAsia"/>
          <w:b/>
          <w:color w:val="000000" w:themeColor="text1"/>
          <w:szCs w:val="21"/>
          <w:highlight w:val="none"/>
          <w14:textFill>
            <w14:solidFill>
              <w14:schemeClr w14:val="tx1"/>
            </w14:solidFill>
          </w14:textFill>
        </w:rPr>
      </w:pPr>
      <w:r>
        <w:rPr>
          <w:rFonts w:cs="Times New Roman" w:asciiTheme="minorEastAsia" w:hAnsiTheme="minorEastAsia"/>
          <w:b/>
          <w:color w:val="000000" w:themeColor="text1"/>
          <w:szCs w:val="21"/>
          <w:highlight w:val="none"/>
          <w14:textFill>
            <w14:solidFill>
              <w14:schemeClr w14:val="tx1"/>
            </w14:solidFill>
          </w14:textFill>
        </w:rPr>
        <w:t xml:space="preserve">20.3 </w:t>
      </w:r>
      <w:r>
        <w:rPr>
          <w:rFonts w:hint="eastAsia" w:cs="Times New Roman" w:asciiTheme="minorEastAsia" w:hAnsiTheme="minorEastAsia"/>
          <w:b/>
          <w:color w:val="000000" w:themeColor="text1"/>
          <w:szCs w:val="21"/>
          <w:highlight w:val="none"/>
          <w14:textFill>
            <w14:solidFill>
              <w14:schemeClr w14:val="tx1"/>
            </w14:solidFill>
          </w14:textFill>
        </w:rPr>
        <w:t>争</w:t>
      </w:r>
      <w:bookmarkEnd w:id="1250"/>
      <w:r>
        <w:rPr>
          <w:rFonts w:hint="eastAsia" w:cs="Times New Roman" w:asciiTheme="minorEastAsia" w:hAnsiTheme="minorEastAsia"/>
          <w:b/>
          <w:color w:val="000000" w:themeColor="text1"/>
          <w:szCs w:val="21"/>
          <w:highlight w:val="none"/>
          <w14:textFill>
            <w14:solidFill>
              <w14:schemeClr w14:val="tx1"/>
            </w14:solidFill>
          </w14:textFill>
        </w:rPr>
        <w:t>议评审</w:t>
      </w:r>
    </w:p>
    <w:p w14:paraId="7C581178">
      <w:pPr>
        <w:spacing w:line="360" w:lineRule="auto"/>
        <w:ind w:left="149" w:leftChars="71" w:firstLine="315" w:firstLineChars="150"/>
        <w:jc w:val="left"/>
        <w:rPr>
          <w:rFonts w:cs="宋体"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合同当事人是否同意将工程争议提交争议评审小组决定：</w:t>
      </w:r>
      <w:r>
        <w:rPr>
          <w:rFonts w:hint="eastAsia" w:cs="Calibri" w:asciiTheme="minorEastAsia" w:hAnsiTheme="minorEastAsia"/>
          <w:color w:val="000000" w:themeColor="text1"/>
          <w:szCs w:val="21"/>
          <w:highlight w:val="none"/>
          <w:u w:val="single"/>
          <w14:textFill>
            <w14:solidFill>
              <w14:schemeClr w14:val="tx1"/>
            </w14:solidFill>
          </w14:textFill>
        </w:rPr>
        <w:t>同意</w:t>
      </w:r>
      <w:r>
        <w:rPr>
          <w:rFonts w:hint="eastAsia" w:cs="Calibri" w:asciiTheme="minorEastAsia" w:hAnsiTheme="minorEastAsia"/>
          <w:color w:val="000000" w:themeColor="text1"/>
          <w:szCs w:val="21"/>
          <w:highlight w:val="none"/>
          <w14:textFill>
            <w14:solidFill>
              <w14:schemeClr w14:val="tx1"/>
            </w14:solidFill>
          </w14:textFill>
        </w:rPr>
        <w:t>。</w:t>
      </w:r>
    </w:p>
    <w:p w14:paraId="04FB08AB">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cs="宋体" w:asciiTheme="minorEastAsia" w:hAnsiTheme="minorEastAsia"/>
          <w:color w:val="000000" w:themeColor="text1"/>
          <w:szCs w:val="21"/>
          <w:highlight w:val="none"/>
          <w14:textFill>
            <w14:solidFill>
              <w14:schemeClr w14:val="tx1"/>
            </w14:solidFill>
          </w14:textFill>
        </w:rPr>
        <w:t xml:space="preserve">20.3.1 </w:t>
      </w:r>
      <w:r>
        <w:rPr>
          <w:rFonts w:hint="eastAsia" w:cs="Calibri" w:asciiTheme="minorEastAsia" w:hAnsiTheme="minorEastAsia"/>
          <w:color w:val="000000" w:themeColor="text1"/>
          <w:szCs w:val="21"/>
          <w:highlight w:val="none"/>
          <w14:textFill>
            <w14:solidFill>
              <w14:schemeClr w14:val="tx1"/>
            </w14:solidFill>
          </w14:textFill>
        </w:rPr>
        <w:t>争议评审小组的确定</w:t>
      </w:r>
    </w:p>
    <w:p w14:paraId="245CCCD6">
      <w:pPr>
        <w:spacing w:line="360" w:lineRule="auto"/>
        <w:ind w:firstLine="420" w:firstLineChars="200"/>
        <w:jc w:val="left"/>
        <w:rPr>
          <w:rFonts w:cs="Calibri"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争议评审小组成员的确定：</w:t>
      </w:r>
      <w:r>
        <w:rPr>
          <w:rFonts w:hint="eastAsia" w:cs="Calibri" w:asciiTheme="minorEastAsia" w:hAnsiTheme="minorEastAsia"/>
          <w:color w:val="000000" w:themeColor="text1"/>
          <w:szCs w:val="21"/>
          <w:highlight w:val="none"/>
          <w:u w:val="single"/>
          <w14:textFill>
            <w14:solidFill>
              <w14:schemeClr w14:val="tx1"/>
            </w14:solidFill>
          </w14:textFill>
        </w:rPr>
        <w:t>根据实际情况双方再确定</w:t>
      </w:r>
      <w:r>
        <w:rPr>
          <w:rFonts w:hint="eastAsia" w:cs="Calibri" w:asciiTheme="minorEastAsia" w:hAnsiTheme="minorEastAsia"/>
          <w:color w:val="000000" w:themeColor="text1"/>
          <w:szCs w:val="21"/>
          <w:highlight w:val="none"/>
          <w14:textFill>
            <w14:solidFill>
              <w14:schemeClr w14:val="tx1"/>
            </w14:solidFill>
          </w14:textFill>
        </w:rPr>
        <w:t>。</w:t>
      </w:r>
    </w:p>
    <w:p w14:paraId="3EA54E4B">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选定争议评审员的期限：</w:t>
      </w:r>
      <w:r>
        <w:rPr>
          <w:rFonts w:hint="eastAsia" w:cs="Calibri" w:asciiTheme="minorEastAsia" w:hAnsiTheme="minorEastAsia"/>
          <w:color w:val="000000" w:themeColor="text1"/>
          <w:szCs w:val="21"/>
          <w:highlight w:val="none"/>
          <w:u w:val="single"/>
          <w14:textFill>
            <w14:solidFill>
              <w14:schemeClr w14:val="tx1"/>
            </w14:solidFill>
          </w14:textFill>
        </w:rPr>
        <w:t>本工程全建设期</w:t>
      </w:r>
      <w:r>
        <w:rPr>
          <w:rFonts w:hint="eastAsia" w:cs="Calibri" w:asciiTheme="minorEastAsia" w:hAnsiTheme="minorEastAsia"/>
          <w:color w:val="000000" w:themeColor="text1"/>
          <w:szCs w:val="21"/>
          <w:highlight w:val="none"/>
          <w14:textFill>
            <w14:solidFill>
              <w14:schemeClr w14:val="tx1"/>
            </w14:solidFill>
          </w14:textFill>
        </w:rPr>
        <w:t>。</w:t>
      </w:r>
    </w:p>
    <w:p w14:paraId="1E85651E">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争议评审小组成员的报酬承担方式：</w:t>
      </w:r>
      <w:r>
        <w:rPr>
          <w:rFonts w:hint="eastAsia" w:cs="Calibri" w:asciiTheme="minorEastAsia" w:hAnsiTheme="minorEastAsia"/>
          <w:color w:val="000000" w:themeColor="text1"/>
          <w:szCs w:val="21"/>
          <w:highlight w:val="none"/>
          <w:u w:val="single"/>
          <w14:textFill>
            <w14:solidFill>
              <w14:schemeClr w14:val="tx1"/>
            </w14:solidFill>
          </w14:textFill>
        </w:rPr>
        <w:t>双方协商确定</w:t>
      </w:r>
      <w:r>
        <w:rPr>
          <w:rFonts w:hint="eastAsia" w:cs="Calibri" w:asciiTheme="minorEastAsia" w:hAnsiTheme="minorEastAsia"/>
          <w:color w:val="000000" w:themeColor="text1"/>
          <w:szCs w:val="21"/>
          <w:highlight w:val="none"/>
          <w14:textFill>
            <w14:solidFill>
              <w14:schemeClr w14:val="tx1"/>
            </w14:solidFill>
          </w14:textFill>
        </w:rPr>
        <w:t>。</w:t>
      </w:r>
    </w:p>
    <w:p w14:paraId="5E94901C">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其他事项的约定：</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szCs w:val="21"/>
          <w:highlight w:val="none"/>
          <w14:textFill>
            <w14:solidFill>
              <w14:schemeClr w14:val="tx1"/>
            </w14:solidFill>
          </w14:textFill>
        </w:rPr>
        <w:t>。</w:t>
      </w:r>
    </w:p>
    <w:p w14:paraId="34368529">
      <w:pPr>
        <w:autoSpaceDE w:val="0"/>
        <w:autoSpaceDN w:val="0"/>
        <w:adjustRightInd w:val="0"/>
        <w:spacing w:line="360" w:lineRule="auto"/>
        <w:ind w:firstLine="420" w:firstLineChars="200"/>
        <w:jc w:val="left"/>
        <w:outlineLvl w:val="0"/>
        <w:rPr>
          <w:rFonts w:cs="Calibri" w:asciiTheme="minorEastAsia" w:hAnsiTheme="minorEastAsia"/>
          <w:color w:val="000000" w:themeColor="text1"/>
          <w:kern w:val="0"/>
          <w:szCs w:val="21"/>
          <w:highlight w:val="none"/>
          <w14:textFill>
            <w14:solidFill>
              <w14:schemeClr w14:val="tx1"/>
            </w14:solidFill>
          </w14:textFill>
        </w:rPr>
      </w:pPr>
      <w:bookmarkStart w:id="1330" w:name="_Toc14223"/>
      <w:bookmarkStart w:id="1331" w:name="_Toc19891"/>
      <w:bookmarkStart w:id="1332" w:name="_Toc29546"/>
      <w:bookmarkStart w:id="1333" w:name="_Toc533863523"/>
      <w:bookmarkStart w:id="1334" w:name="_Toc421"/>
      <w:bookmarkStart w:id="1335" w:name="_Toc22357"/>
      <w:r>
        <w:rPr>
          <w:rFonts w:cs="宋体" w:asciiTheme="minorEastAsia" w:hAnsiTheme="minorEastAsia"/>
          <w:color w:val="000000" w:themeColor="text1"/>
          <w:kern w:val="0"/>
          <w:szCs w:val="21"/>
          <w:highlight w:val="none"/>
          <w14:textFill>
            <w14:solidFill>
              <w14:schemeClr w14:val="tx1"/>
            </w14:solidFill>
          </w14:textFill>
        </w:rPr>
        <w:t xml:space="preserve">20.3.2 </w:t>
      </w:r>
      <w:r>
        <w:rPr>
          <w:rFonts w:hint="eastAsia" w:cs="Calibri" w:asciiTheme="minorEastAsia" w:hAnsiTheme="minorEastAsia"/>
          <w:color w:val="000000" w:themeColor="text1"/>
          <w:kern w:val="0"/>
          <w:szCs w:val="21"/>
          <w:highlight w:val="none"/>
          <w14:textFill>
            <w14:solidFill>
              <w14:schemeClr w14:val="tx1"/>
            </w14:solidFill>
          </w14:textFill>
        </w:rPr>
        <w:t>争议评审小组的决定</w:t>
      </w:r>
      <w:bookmarkEnd w:id="1330"/>
      <w:bookmarkEnd w:id="1331"/>
      <w:bookmarkEnd w:id="1332"/>
      <w:bookmarkEnd w:id="1333"/>
      <w:bookmarkEnd w:id="1334"/>
      <w:bookmarkEnd w:id="1335"/>
    </w:p>
    <w:p w14:paraId="3BDDD173">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合同当事人关于本项的约定：</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szCs w:val="21"/>
          <w:highlight w:val="none"/>
          <w14:textFill>
            <w14:solidFill>
              <w14:schemeClr w14:val="tx1"/>
            </w14:solidFill>
          </w14:textFill>
        </w:rPr>
        <w:t>。</w:t>
      </w:r>
    </w:p>
    <w:p w14:paraId="158B4BD0">
      <w:pPr>
        <w:tabs>
          <w:tab w:val="left" w:pos="2865"/>
        </w:tabs>
        <w:spacing w:line="360" w:lineRule="auto"/>
        <w:ind w:firstLine="211" w:firstLineChars="100"/>
        <w:rPr>
          <w:rFonts w:cs="Times New Roman" w:asciiTheme="minorEastAsia" w:hAnsiTheme="minorEastAsia"/>
          <w:b/>
          <w:color w:val="000000" w:themeColor="text1"/>
          <w:szCs w:val="21"/>
          <w:highlight w:val="none"/>
          <w14:textFill>
            <w14:solidFill>
              <w14:schemeClr w14:val="tx1"/>
            </w14:solidFill>
          </w14:textFill>
        </w:rPr>
      </w:pPr>
      <w:r>
        <w:rPr>
          <w:rFonts w:cs="Times New Roman" w:asciiTheme="minorEastAsia" w:hAnsiTheme="minorEastAsia"/>
          <w:b/>
          <w:color w:val="000000" w:themeColor="text1"/>
          <w:szCs w:val="21"/>
          <w:highlight w:val="none"/>
          <w14:textFill>
            <w14:solidFill>
              <w14:schemeClr w14:val="tx1"/>
            </w14:solidFill>
          </w14:textFill>
        </w:rPr>
        <w:t>20.4</w:t>
      </w:r>
      <w:r>
        <w:rPr>
          <w:rFonts w:hint="eastAsia" w:cs="Times New Roman" w:asciiTheme="minorEastAsia" w:hAnsiTheme="minorEastAsia"/>
          <w:b/>
          <w:color w:val="000000" w:themeColor="text1"/>
          <w:szCs w:val="21"/>
          <w:highlight w:val="none"/>
          <w14:textFill>
            <w14:solidFill>
              <w14:schemeClr w14:val="tx1"/>
            </w14:solidFill>
          </w14:textFill>
        </w:rPr>
        <w:t>仲裁或诉讼</w:t>
      </w:r>
      <w:bookmarkEnd w:id="1251"/>
      <w:r>
        <w:rPr>
          <w:rFonts w:cs="Times New Roman" w:asciiTheme="minorEastAsia" w:hAnsiTheme="minorEastAsia"/>
          <w:b/>
          <w:color w:val="000000" w:themeColor="text1"/>
          <w:szCs w:val="21"/>
          <w:highlight w:val="none"/>
          <w14:textFill>
            <w14:solidFill>
              <w14:schemeClr w14:val="tx1"/>
            </w14:solidFill>
          </w14:textFill>
        </w:rPr>
        <w:tab/>
      </w:r>
    </w:p>
    <w:bookmarkEnd w:id="1252"/>
    <w:bookmarkEnd w:id="1253"/>
    <w:bookmarkEnd w:id="1254"/>
    <w:bookmarkEnd w:id="1255"/>
    <w:bookmarkEnd w:id="1256"/>
    <w:bookmarkEnd w:id="1257"/>
    <w:p w14:paraId="4AB8AB27">
      <w:pPr>
        <w:spacing w:line="360" w:lineRule="auto"/>
        <w:ind w:firstLine="420" w:firstLineChars="200"/>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因合同及合同有关事项发生的争议，按下列第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2</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种方式解决：</w:t>
      </w:r>
    </w:p>
    <w:p w14:paraId="4900C055">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w:t>
      </w:r>
      <w:r>
        <w:rPr>
          <w:rFonts w:cs="宋体" w:asciiTheme="minorEastAsia" w:hAnsiTheme="minorEastAsia"/>
          <w:color w:val="000000" w:themeColor="text1"/>
          <w:szCs w:val="21"/>
          <w:highlight w:val="none"/>
          <w14:textFill>
            <w14:solidFill>
              <w14:schemeClr w14:val="tx1"/>
            </w14:solidFill>
          </w14:textFill>
        </w:rPr>
        <w:t>1</w:t>
      </w:r>
      <w:r>
        <w:rPr>
          <w:rFonts w:hint="eastAsia" w:cs="Calibri" w:asciiTheme="minorEastAsia" w:hAnsiTheme="minorEastAsia"/>
          <w:color w:val="000000" w:themeColor="text1"/>
          <w:szCs w:val="21"/>
          <w:highlight w:val="none"/>
          <w14:textFill>
            <w14:solidFill>
              <w14:schemeClr w14:val="tx1"/>
            </w14:solidFill>
          </w14:textFill>
        </w:rPr>
        <w:t>）提请</w:t>
      </w:r>
      <w:r>
        <w:rPr>
          <w:rFonts w:hint="eastAsia" w:cs="Calibri" w:asciiTheme="minorEastAsia" w:hAnsiTheme="minorEastAsia"/>
          <w:color w:val="000000" w:themeColor="text1"/>
          <w:szCs w:val="21"/>
          <w:highlight w:val="none"/>
          <w:u w:val="single"/>
          <w14:textFill>
            <w14:solidFill>
              <w14:schemeClr w14:val="tx1"/>
            </w14:solidFill>
          </w14:textFill>
        </w:rPr>
        <w:t>贵港市</w:t>
      </w:r>
      <w:r>
        <w:rPr>
          <w:rFonts w:hint="eastAsia" w:cs="Calibri" w:asciiTheme="minorEastAsia" w:hAnsiTheme="minorEastAsia"/>
          <w:color w:val="000000" w:themeColor="text1"/>
          <w:szCs w:val="21"/>
          <w:highlight w:val="none"/>
          <w14:textFill>
            <w14:solidFill>
              <w14:schemeClr w14:val="tx1"/>
            </w14:solidFill>
          </w14:textFill>
        </w:rPr>
        <w:t>仲裁委员会按照该会仲裁规则进行仲裁，仲裁裁决是终局的，对合同双方均有约束力。</w:t>
      </w:r>
    </w:p>
    <w:p w14:paraId="1D6290AF">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w:t>
      </w:r>
      <w:r>
        <w:rPr>
          <w:rFonts w:cs="宋体" w:asciiTheme="minorEastAsia" w:hAnsiTheme="minorEastAsia"/>
          <w:color w:val="000000" w:themeColor="text1"/>
          <w:szCs w:val="21"/>
          <w:highlight w:val="none"/>
          <w14:textFill>
            <w14:solidFill>
              <w14:schemeClr w14:val="tx1"/>
            </w14:solidFill>
          </w14:textFill>
        </w:rPr>
        <w:t>2</w:t>
      </w:r>
      <w:r>
        <w:rPr>
          <w:rFonts w:hint="eastAsia" w:cs="Calibri" w:asciiTheme="minorEastAsia" w:hAnsiTheme="minorEastAsia"/>
          <w:color w:val="000000" w:themeColor="text1"/>
          <w:szCs w:val="21"/>
          <w:highlight w:val="none"/>
          <w14:textFill>
            <w14:solidFill>
              <w14:schemeClr w14:val="tx1"/>
            </w14:solidFill>
          </w14:textFill>
        </w:rPr>
        <w:t>）向</w:t>
      </w:r>
      <w:r>
        <w:rPr>
          <w:rFonts w:hint="eastAsia" w:cs="Calibri" w:asciiTheme="minorEastAsia" w:hAnsiTheme="minorEastAsia"/>
          <w:color w:val="000000" w:themeColor="text1"/>
          <w:szCs w:val="21"/>
          <w:highlight w:val="none"/>
          <w:u w:val="single"/>
          <w14:textFill>
            <w14:solidFill>
              <w14:schemeClr w14:val="tx1"/>
            </w14:solidFill>
          </w14:textFill>
        </w:rPr>
        <w:t>贵港市</w:t>
      </w:r>
      <w:r>
        <w:rPr>
          <w:rFonts w:hint="eastAsia" w:cs="Calibri" w:asciiTheme="minorEastAsia" w:hAnsiTheme="minorEastAsia"/>
          <w:color w:val="000000" w:themeColor="text1"/>
          <w:szCs w:val="21"/>
          <w:highlight w:val="none"/>
          <w14:textFill>
            <w14:solidFill>
              <w14:schemeClr w14:val="tx1"/>
            </w14:solidFill>
          </w14:textFill>
        </w:rPr>
        <w:t>人民法院起诉。</w:t>
      </w:r>
    </w:p>
    <w:p w14:paraId="6766DDCF">
      <w:pPr>
        <w:spacing w:line="360" w:lineRule="auto"/>
        <w:rPr>
          <w:rFonts w:ascii="宋体" w:hAnsi="宋体" w:eastAsia="宋体" w:cs="宋体"/>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br w:type="page"/>
      </w:r>
      <w:bookmarkStart w:id="1336" w:name="_Toc351203652"/>
      <w:r>
        <w:rPr>
          <w:rFonts w:hint="eastAsia" w:ascii="宋体" w:hAnsi="宋体" w:eastAsia="宋体" w:cs="宋体"/>
          <w:color w:val="000000" w:themeColor="text1"/>
          <w:szCs w:val="21"/>
          <w:highlight w:val="none"/>
          <w14:textFill>
            <w14:solidFill>
              <w14:schemeClr w14:val="tx1"/>
            </w14:solidFill>
          </w14:textFill>
        </w:rPr>
        <w:t>附件</w:t>
      </w:r>
      <w:bookmarkEnd w:id="1336"/>
    </w:p>
    <w:p w14:paraId="7D50E4E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协议书附件：</w:t>
      </w:r>
    </w:p>
    <w:p w14:paraId="73BD87F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附件1：承包人承揽工程项目一览表</w:t>
      </w:r>
    </w:p>
    <w:p w14:paraId="499EC62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专用合同条款附件：</w:t>
      </w:r>
    </w:p>
    <w:p w14:paraId="634A7C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附件2：发包人供应材料设备一览表</w:t>
      </w:r>
    </w:p>
    <w:p w14:paraId="281E40D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附件3：工程质量保修书</w:t>
      </w:r>
    </w:p>
    <w:p w14:paraId="54A554D2">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附件4：主要建设工程文件目录</w:t>
      </w:r>
    </w:p>
    <w:p w14:paraId="31B57D7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附件5：承包人用于本工程施工的机械设备表</w:t>
      </w:r>
    </w:p>
    <w:p w14:paraId="2DC30C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附件6：承包人主要施工管理人员表</w:t>
      </w:r>
    </w:p>
    <w:p w14:paraId="7C43384E">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附件7：分包人主要施工管理人员表</w:t>
      </w:r>
    </w:p>
    <w:p w14:paraId="1A9FEC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附件8：履约担保格式</w:t>
      </w:r>
    </w:p>
    <w:p w14:paraId="4F8F3A1F">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附件9：预付款担保格式</w:t>
      </w:r>
    </w:p>
    <w:p w14:paraId="2210E1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附件10：支付担保格式</w:t>
      </w:r>
    </w:p>
    <w:p w14:paraId="343740B0">
      <w:pPr>
        <w:spacing w:line="360" w:lineRule="auto"/>
        <w:rPr>
          <w:rFonts w:ascii="宋体" w:hAnsi="宋体" w:eastAsia="宋体" w:cs="宋体"/>
          <w:color w:val="000000" w:themeColor="text1"/>
          <w:szCs w:val="21"/>
          <w:highlight w:val="none"/>
          <w14:textFill>
            <w14:solidFill>
              <w14:schemeClr w14:val="tx1"/>
            </w14:solidFill>
          </w14:textFill>
        </w:rPr>
        <w:sectPr>
          <w:pgSz w:w="11906" w:h="16838"/>
          <w:pgMar w:top="1440" w:right="1080" w:bottom="1440" w:left="1080" w:header="851" w:footer="992" w:gutter="0"/>
          <w:cols w:space="720" w:num="1"/>
          <w:titlePg/>
          <w:docGrid w:type="lines" w:linePitch="312" w:charSpace="0"/>
        </w:sectPr>
      </w:pPr>
      <w:r>
        <w:rPr>
          <w:rFonts w:hint="eastAsia" w:ascii="宋体" w:hAnsi="宋体" w:eastAsia="宋体" w:cs="宋体"/>
          <w:color w:val="000000" w:themeColor="text1"/>
          <w:szCs w:val="21"/>
          <w:highlight w:val="none"/>
          <w14:textFill>
            <w14:solidFill>
              <w14:schemeClr w14:val="tx1"/>
            </w14:solidFill>
          </w14:textFill>
        </w:rPr>
        <w:t>附件11：暂估价一览表</w:t>
      </w:r>
    </w:p>
    <w:p w14:paraId="02543DFE">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w:t>
      </w:r>
    </w:p>
    <w:p w14:paraId="3DDC507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承包人承揽工程项目一览表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22"/>
        <w:gridCol w:w="992"/>
        <w:gridCol w:w="2023"/>
        <w:gridCol w:w="1095"/>
        <w:gridCol w:w="851"/>
        <w:gridCol w:w="992"/>
        <w:gridCol w:w="1418"/>
        <w:gridCol w:w="1559"/>
        <w:gridCol w:w="1559"/>
        <w:gridCol w:w="1327"/>
      </w:tblGrid>
      <w:tr w14:paraId="42EB0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2" w:type="dxa"/>
            <w:tcBorders>
              <w:top w:val="single" w:color="auto" w:sz="12" w:space="0"/>
              <w:bottom w:val="double" w:color="auto" w:sz="6" w:space="0"/>
            </w:tcBorders>
            <w:vAlign w:val="center"/>
          </w:tcPr>
          <w:p w14:paraId="271670B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单位项目名称</w:t>
            </w:r>
          </w:p>
        </w:tc>
        <w:tc>
          <w:tcPr>
            <w:tcW w:w="992" w:type="dxa"/>
            <w:tcBorders>
              <w:top w:val="single" w:color="auto" w:sz="12" w:space="0"/>
              <w:bottom w:val="double" w:color="auto" w:sz="6" w:space="0"/>
            </w:tcBorders>
            <w:vAlign w:val="center"/>
          </w:tcPr>
          <w:p w14:paraId="5E17E93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建设规模</w:t>
            </w:r>
          </w:p>
        </w:tc>
        <w:tc>
          <w:tcPr>
            <w:tcW w:w="2023" w:type="dxa"/>
            <w:tcBorders>
              <w:top w:val="single" w:color="auto" w:sz="12" w:space="0"/>
              <w:bottom w:val="double" w:color="auto" w:sz="6" w:space="0"/>
            </w:tcBorders>
            <w:vAlign w:val="center"/>
          </w:tcPr>
          <w:p w14:paraId="2ADDE73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建筑面积(平方米)</w:t>
            </w:r>
          </w:p>
        </w:tc>
        <w:tc>
          <w:tcPr>
            <w:tcW w:w="1095" w:type="dxa"/>
            <w:tcBorders>
              <w:top w:val="single" w:color="auto" w:sz="12" w:space="0"/>
              <w:bottom w:val="double" w:color="auto" w:sz="6" w:space="0"/>
            </w:tcBorders>
            <w:vAlign w:val="center"/>
          </w:tcPr>
          <w:p w14:paraId="7C106F9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结构形式</w:t>
            </w:r>
          </w:p>
        </w:tc>
        <w:tc>
          <w:tcPr>
            <w:tcW w:w="851" w:type="dxa"/>
            <w:tcBorders>
              <w:top w:val="single" w:color="auto" w:sz="12" w:space="0"/>
              <w:bottom w:val="double" w:color="auto" w:sz="6" w:space="0"/>
            </w:tcBorders>
            <w:vAlign w:val="center"/>
          </w:tcPr>
          <w:p w14:paraId="213226D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层数</w:t>
            </w:r>
          </w:p>
        </w:tc>
        <w:tc>
          <w:tcPr>
            <w:tcW w:w="992" w:type="dxa"/>
            <w:tcBorders>
              <w:top w:val="single" w:color="auto" w:sz="12" w:space="0"/>
              <w:bottom w:val="double" w:color="auto" w:sz="6" w:space="0"/>
            </w:tcBorders>
            <w:vAlign w:val="center"/>
          </w:tcPr>
          <w:p w14:paraId="1209EE7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1418" w:type="dxa"/>
            <w:tcBorders>
              <w:top w:val="single" w:color="auto" w:sz="12" w:space="0"/>
              <w:bottom w:val="double" w:color="auto" w:sz="6" w:space="0"/>
            </w:tcBorders>
            <w:vAlign w:val="center"/>
          </w:tcPr>
          <w:p w14:paraId="58DD9DD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设备安装内容</w:t>
            </w:r>
          </w:p>
        </w:tc>
        <w:tc>
          <w:tcPr>
            <w:tcW w:w="1559" w:type="dxa"/>
            <w:tcBorders>
              <w:top w:val="single" w:color="auto" w:sz="12" w:space="0"/>
              <w:bottom w:val="double" w:color="auto" w:sz="6" w:space="0"/>
            </w:tcBorders>
            <w:vAlign w:val="center"/>
          </w:tcPr>
          <w:p w14:paraId="2B6620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合同价格（元）</w:t>
            </w:r>
          </w:p>
        </w:tc>
        <w:tc>
          <w:tcPr>
            <w:tcW w:w="1559" w:type="dxa"/>
            <w:tcBorders>
              <w:top w:val="single" w:color="auto" w:sz="12" w:space="0"/>
              <w:bottom w:val="double" w:color="auto" w:sz="6" w:space="0"/>
            </w:tcBorders>
            <w:vAlign w:val="center"/>
          </w:tcPr>
          <w:p w14:paraId="75457D3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开工日期</w:t>
            </w:r>
          </w:p>
        </w:tc>
        <w:tc>
          <w:tcPr>
            <w:tcW w:w="1327" w:type="dxa"/>
            <w:tcBorders>
              <w:top w:val="single" w:color="auto" w:sz="12" w:space="0"/>
              <w:bottom w:val="double" w:color="auto" w:sz="6" w:space="0"/>
            </w:tcBorders>
            <w:vAlign w:val="center"/>
          </w:tcPr>
          <w:p w14:paraId="4DD3B3E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竣工日期</w:t>
            </w:r>
          </w:p>
        </w:tc>
      </w:tr>
      <w:tr w14:paraId="0435A3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double" w:color="auto" w:sz="6" w:space="0"/>
              <w:bottom w:val="single" w:color="auto" w:sz="6" w:space="0"/>
            </w:tcBorders>
            <w:vAlign w:val="center"/>
          </w:tcPr>
          <w:p w14:paraId="61B859DD">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A5C9D11">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double" w:color="auto" w:sz="6" w:space="0"/>
              <w:bottom w:val="single" w:color="auto" w:sz="6" w:space="0"/>
            </w:tcBorders>
            <w:vAlign w:val="center"/>
          </w:tcPr>
          <w:p w14:paraId="1A5DD9D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double" w:color="auto" w:sz="6" w:space="0"/>
              <w:bottom w:val="single" w:color="auto" w:sz="6" w:space="0"/>
            </w:tcBorders>
            <w:vAlign w:val="center"/>
          </w:tcPr>
          <w:p w14:paraId="496EF8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30AADB0A">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19650C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1EE410D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67E9928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39D27D2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double" w:color="auto" w:sz="6" w:space="0"/>
              <w:bottom w:val="single" w:color="auto" w:sz="6" w:space="0"/>
            </w:tcBorders>
            <w:vAlign w:val="center"/>
          </w:tcPr>
          <w:p w14:paraId="2BE13905">
            <w:pPr>
              <w:spacing w:line="360" w:lineRule="auto"/>
              <w:rPr>
                <w:rFonts w:ascii="宋体" w:hAnsi="宋体" w:eastAsia="宋体" w:cs="宋体"/>
                <w:color w:val="000000" w:themeColor="text1"/>
                <w:szCs w:val="21"/>
                <w:highlight w:val="none"/>
                <w14:textFill>
                  <w14:solidFill>
                    <w14:schemeClr w14:val="tx1"/>
                  </w14:solidFill>
                </w14:textFill>
              </w:rPr>
            </w:pPr>
          </w:p>
        </w:tc>
      </w:tr>
      <w:tr w14:paraId="71B741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75B6E885">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C20DC68">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5BD83A9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03E392A4">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690DDFE2">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CDDC9E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7FEC895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02246FD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E1760B6">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174FE7C5">
            <w:pPr>
              <w:spacing w:line="360" w:lineRule="auto"/>
              <w:rPr>
                <w:rFonts w:ascii="宋体" w:hAnsi="宋体" w:eastAsia="宋体" w:cs="宋体"/>
                <w:color w:val="000000" w:themeColor="text1"/>
                <w:szCs w:val="21"/>
                <w:highlight w:val="none"/>
                <w14:textFill>
                  <w14:solidFill>
                    <w14:schemeClr w14:val="tx1"/>
                  </w14:solidFill>
                </w14:textFill>
              </w:rPr>
            </w:pPr>
          </w:p>
        </w:tc>
      </w:tr>
      <w:tr w14:paraId="474A0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46F7460C">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14DE9ACF">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08A6633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60B5926">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248846CF">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79D6B08">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9CE94C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AB77DF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4E760769">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33DB2D7E">
            <w:pPr>
              <w:spacing w:line="360" w:lineRule="auto"/>
              <w:rPr>
                <w:rFonts w:ascii="宋体" w:hAnsi="宋体" w:eastAsia="宋体" w:cs="宋体"/>
                <w:color w:val="000000" w:themeColor="text1"/>
                <w:szCs w:val="21"/>
                <w:highlight w:val="none"/>
                <w14:textFill>
                  <w14:solidFill>
                    <w14:schemeClr w14:val="tx1"/>
                  </w14:solidFill>
                </w14:textFill>
              </w:rPr>
            </w:pPr>
          </w:p>
        </w:tc>
      </w:tr>
      <w:tr w14:paraId="56202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731B7E6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827FE4D">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45EA0AF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3656FE19">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DFA6314">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5E19F4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3B8BCC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D4B4CD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5F97E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65514121">
            <w:pPr>
              <w:spacing w:line="360" w:lineRule="auto"/>
              <w:rPr>
                <w:rFonts w:ascii="宋体" w:hAnsi="宋体" w:eastAsia="宋体" w:cs="宋体"/>
                <w:color w:val="000000" w:themeColor="text1"/>
                <w:szCs w:val="21"/>
                <w:highlight w:val="none"/>
                <w14:textFill>
                  <w14:solidFill>
                    <w14:schemeClr w14:val="tx1"/>
                  </w14:solidFill>
                </w14:textFill>
              </w:rPr>
            </w:pPr>
          </w:p>
        </w:tc>
      </w:tr>
      <w:tr w14:paraId="02E3E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462A3FF7">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266B5DEF">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3328302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79B2DCD2">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7BC85B3C">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EA3FAE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0B61B0A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C1CB39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0C84ECB6">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6D80912C">
            <w:pPr>
              <w:spacing w:line="360" w:lineRule="auto"/>
              <w:rPr>
                <w:rFonts w:ascii="宋体" w:hAnsi="宋体" w:eastAsia="宋体" w:cs="宋体"/>
                <w:color w:val="000000" w:themeColor="text1"/>
                <w:szCs w:val="21"/>
                <w:highlight w:val="none"/>
                <w14:textFill>
                  <w14:solidFill>
                    <w14:schemeClr w14:val="tx1"/>
                  </w14:solidFill>
                </w14:textFill>
              </w:rPr>
            </w:pPr>
          </w:p>
        </w:tc>
      </w:tr>
      <w:tr w14:paraId="1F78E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02CDAF5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D467DEB">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7141CF3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147F46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7AF50F5">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9FBC50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A96089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A3EB7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32A0C6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6EA13621">
            <w:pPr>
              <w:spacing w:line="360" w:lineRule="auto"/>
              <w:rPr>
                <w:rFonts w:ascii="宋体" w:hAnsi="宋体" w:eastAsia="宋体" w:cs="宋体"/>
                <w:color w:val="000000" w:themeColor="text1"/>
                <w:szCs w:val="21"/>
                <w:highlight w:val="none"/>
                <w14:textFill>
                  <w14:solidFill>
                    <w14:schemeClr w14:val="tx1"/>
                  </w14:solidFill>
                </w14:textFill>
              </w:rPr>
            </w:pPr>
          </w:p>
        </w:tc>
      </w:tr>
      <w:tr w14:paraId="7FCDD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00B04D49">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4FBC1E4">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569D480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34753EE">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33473EDE">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2AA1ACB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2B887548">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A7FDC8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BD2F98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1B735F96">
            <w:pPr>
              <w:spacing w:line="360" w:lineRule="auto"/>
              <w:rPr>
                <w:rFonts w:ascii="宋体" w:hAnsi="宋体" w:eastAsia="宋体" w:cs="宋体"/>
                <w:color w:val="000000" w:themeColor="text1"/>
                <w:szCs w:val="21"/>
                <w:highlight w:val="none"/>
                <w14:textFill>
                  <w14:solidFill>
                    <w14:schemeClr w14:val="tx1"/>
                  </w14:solidFill>
                </w14:textFill>
              </w:rPr>
            </w:pPr>
          </w:p>
        </w:tc>
      </w:tr>
      <w:tr w14:paraId="55FA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7629D5C6">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C93C6EB">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0930364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EC7D35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46788F5A">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FCE46A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B1540B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84E166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5A6CCBC">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057E0C40">
            <w:pPr>
              <w:spacing w:line="360" w:lineRule="auto"/>
              <w:rPr>
                <w:rFonts w:ascii="宋体" w:hAnsi="宋体" w:eastAsia="宋体" w:cs="宋体"/>
                <w:color w:val="000000" w:themeColor="text1"/>
                <w:szCs w:val="21"/>
                <w:highlight w:val="none"/>
                <w14:textFill>
                  <w14:solidFill>
                    <w14:schemeClr w14:val="tx1"/>
                  </w14:solidFill>
                </w14:textFill>
              </w:rPr>
            </w:pPr>
          </w:p>
        </w:tc>
      </w:tr>
      <w:tr w14:paraId="2EE9A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574CD6C7">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2AF3A37">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69C97B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647D7D55">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B4D3612">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1AD163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1A3A01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C0D7DE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7B4AF1A">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75850545">
            <w:pPr>
              <w:spacing w:line="360" w:lineRule="auto"/>
              <w:rPr>
                <w:rFonts w:ascii="宋体" w:hAnsi="宋体" w:eastAsia="宋体" w:cs="宋体"/>
                <w:color w:val="000000" w:themeColor="text1"/>
                <w:szCs w:val="21"/>
                <w:highlight w:val="none"/>
                <w14:textFill>
                  <w14:solidFill>
                    <w14:schemeClr w14:val="tx1"/>
                  </w14:solidFill>
                </w14:textFill>
              </w:rPr>
            </w:pPr>
          </w:p>
        </w:tc>
      </w:tr>
      <w:tr w14:paraId="3DDF1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36D31E6F">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6FC8B1E3">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29DB022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64EB73B0">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4B5CE0D9">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6C009A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1C36B061">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1C71A6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307DEFEC">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6ADB4252">
            <w:pPr>
              <w:spacing w:line="360" w:lineRule="auto"/>
              <w:rPr>
                <w:rFonts w:ascii="宋体" w:hAnsi="宋体" w:eastAsia="宋体" w:cs="宋体"/>
                <w:color w:val="000000" w:themeColor="text1"/>
                <w:szCs w:val="21"/>
                <w:highlight w:val="none"/>
                <w14:textFill>
                  <w14:solidFill>
                    <w14:schemeClr w14:val="tx1"/>
                  </w14:solidFill>
                </w14:textFill>
              </w:rPr>
            </w:pPr>
          </w:p>
        </w:tc>
      </w:tr>
      <w:tr w14:paraId="4FAD1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596F457E">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D8121FE">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3AB452B1">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54ADCD88">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1806EC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5A8C0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FB46AB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463A10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4F9BDB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01960399">
            <w:pPr>
              <w:spacing w:line="360" w:lineRule="auto"/>
              <w:rPr>
                <w:rFonts w:ascii="宋体" w:hAnsi="宋体" w:eastAsia="宋体" w:cs="宋体"/>
                <w:color w:val="000000" w:themeColor="text1"/>
                <w:szCs w:val="21"/>
                <w:highlight w:val="none"/>
                <w14:textFill>
                  <w14:solidFill>
                    <w14:schemeClr w14:val="tx1"/>
                  </w14:solidFill>
                </w14:textFill>
              </w:rPr>
            </w:pPr>
          </w:p>
        </w:tc>
      </w:tr>
    </w:tbl>
    <w:p w14:paraId="3443B965">
      <w:pPr>
        <w:spacing w:line="360" w:lineRule="auto"/>
        <w:rPr>
          <w:rFonts w:ascii="宋体" w:hAnsi="宋体" w:eastAsia="宋体" w:cs="宋体"/>
          <w:color w:val="000000" w:themeColor="text1"/>
          <w:szCs w:val="21"/>
          <w:highlight w:val="none"/>
          <w14:textFill>
            <w14:solidFill>
              <w14:schemeClr w14:val="tx1"/>
            </w14:solidFill>
          </w14:textFill>
        </w:rPr>
        <w:sectPr>
          <w:pgSz w:w="16838" w:h="11906" w:orient="landscape"/>
          <w:pgMar w:top="1440" w:right="1080" w:bottom="1440" w:left="1080" w:header="851" w:footer="992" w:gutter="0"/>
          <w:cols w:space="720" w:num="1"/>
          <w:titlePg/>
          <w:docGrid w:type="linesAndChars" w:linePitch="312" w:charSpace="0"/>
        </w:sectPr>
      </w:pPr>
    </w:p>
    <w:p w14:paraId="1024691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bookmarkStart w:id="1337" w:name="_Toc296944564"/>
      <w:bookmarkStart w:id="1338" w:name="_Toc296891053"/>
      <w:bookmarkStart w:id="1339" w:name="_Toc296891265"/>
      <w:bookmarkStart w:id="1340" w:name="_Toc296346726"/>
      <w:bookmarkStart w:id="1341" w:name="_Toc296503225"/>
      <w:bookmarkStart w:id="1342" w:name="_Toc267261692"/>
      <w:bookmarkStart w:id="1343" w:name="_Toc296347224"/>
      <w:r>
        <w:rPr>
          <w:rFonts w:hint="eastAsia" w:ascii="宋体" w:hAnsi="宋体" w:eastAsia="宋体" w:cs="宋体"/>
          <w:color w:val="000000" w:themeColor="text1"/>
          <w:szCs w:val="21"/>
          <w:highlight w:val="none"/>
          <w14:textFill>
            <w14:solidFill>
              <w14:schemeClr w14:val="tx1"/>
            </w14:solidFill>
          </w14:textFill>
        </w:rPr>
        <w:t>件2：</w:t>
      </w:r>
    </w:p>
    <w:bookmarkEnd w:id="1337"/>
    <w:bookmarkEnd w:id="1338"/>
    <w:bookmarkEnd w:id="1339"/>
    <w:bookmarkEnd w:id="1340"/>
    <w:bookmarkEnd w:id="1341"/>
    <w:bookmarkEnd w:id="1342"/>
    <w:bookmarkEnd w:id="1343"/>
    <w:p w14:paraId="6FCE51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发包人供应材料设备一览表</w:t>
      </w:r>
    </w:p>
    <w:tbl>
      <w:tblPr>
        <w:tblStyle w:val="29"/>
        <w:tblW w:w="9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68"/>
        <w:gridCol w:w="1631"/>
        <w:gridCol w:w="992"/>
        <w:gridCol w:w="725"/>
        <w:gridCol w:w="851"/>
        <w:gridCol w:w="1044"/>
        <w:gridCol w:w="992"/>
        <w:gridCol w:w="961"/>
        <w:gridCol w:w="993"/>
        <w:gridCol w:w="567"/>
      </w:tblGrid>
      <w:tr w14:paraId="010B3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68" w:type="dxa"/>
            <w:tcBorders>
              <w:top w:val="single" w:color="auto" w:sz="12" w:space="0"/>
              <w:bottom w:val="double" w:color="auto" w:sz="6" w:space="0"/>
            </w:tcBorders>
            <w:vAlign w:val="center"/>
          </w:tcPr>
          <w:p w14:paraId="73EEE89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631" w:type="dxa"/>
            <w:tcBorders>
              <w:top w:val="single" w:color="auto" w:sz="12" w:space="0"/>
              <w:bottom w:val="double" w:color="auto" w:sz="6" w:space="0"/>
            </w:tcBorders>
            <w:vAlign w:val="center"/>
          </w:tcPr>
          <w:p w14:paraId="123536F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材料、设备品种</w:t>
            </w:r>
          </w:p>
        </w:tc>
        <w:tc>
          <w:tcPr>
            <w:tcW w:w="992" w:type="dxa"/>
            <w:tcBorders>
              <w:top w:val="single" w:color="auto" w:sz="12" w:space="0"/>
              <w:bottom w:val="double" w:color="auto" w:sz="6" w:space="0"/>
            </w:tcBorders>
            <w:vAlign w:val="center"/>
          </w:tcPr>
          <w:p w14:paraId="2E8466B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规格型号</w:t>
            </w:r>
          </w:p>
        </w:tc>
        <w:tc>
          <w:tcPr>
            <w:tcW w:w="725" w:type="dxa"/>
            <w:tcBorders>
              <w:top w:val="single" w:color="auto" w:sz="12" w:space="0"/>
              <w:bottom w:val="double" w:color="auto" w:sz="6" w:space="0"/>
            </w:tcBorders>
            <w:vAlign w:val="center"/>
          </w:tcPr>
          <w:p w14:paraId="035628F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851" w:type="dxa"/>
            <w:tcBorders>
              <w:top w:val="single" w:color="auto" w:sz="12" w:space="0"/>
              <w:bottom w:val="double" w:color="auto" w:sz="6" w:space="0"/>
            </w:tcBorders>
            <w:vAlign w:val="center"/>
          </w:tcPr>
          <w:p w14:paraId="0AFE85C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044" w:type="dxa"/>
            <w:tcBorders>
              <w:top w:val="single" w:color="auto" w:sz="12" w:space="0"/>
              <w:bottom w:val="double" w:color="auto" w:sz="6" w:space="0"/>
            </w:tcBorders>
            <w:vAlign w:val="center"/>
          </w:tcPr>
          <w:p w14:paraId="6E876E6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992" w:type="dxa"/>
            <w:tcBorders>
              <w:top w:val="single" w:color="auto" w:sz="12" w:space="0"/>
              <w:bottom w:val="double" w:color="auto" w:sz="6" w:space="0"/>
            </w:tcBorders>
            <w:vAlign w:val="center"/>
          </w:tcPr>
          <w:p w14:paraId="2C82488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质量等级</w:t>
            </w:r>
          </w:p>
        </w:tc>
        <w:tc>
          <w:tcPr>
            <w:tcW w:w="961" w:type="dxa"/>
            <w:tcBorders>
              <w:top w:val="single" w:color="auto" w:sz="12" w:space="0"/>
              <w:bottom w:val="double" w:color="auto" w:sz="6" w:space="0"/>
            </w:tcBorders>
            <w:vAlign w:val="center"/>
          </w:tcPr>
          <w:p w14:paraId="2C3D2BF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供应时间</w:t>
            </w:r>
          </w:p>
        </w:tc>
        <w:tc>
          <w:tcPr>
            <w:tcW w:w="993" w:type="dxa"/>
            <w:tcBorders>
              <w:top w:val="single" w:color="auto" w:sz="12" w:space="0"/>
              <w:bottom w:val="double" w:color="auto" w:sz="6" w:space="0"/>
            </w:tcBorders>
            <w:vAlign w:val="center"/>
          </w:tcPr>
          <w:p w14:paraId="349ABEA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送达地点</w:t>
            </w:r>
          </w:p>
        </w:tc>
        <w:tc>
          <w:tcPr>
            <w:tcW w:w="567" w:type="dxa"/>
            <w:tcBorders>
              <w:top w:val="single" w:color="auto" w:sz="12" w:space="0"/>
              <w:bottom w:val="double" w:color="auto" w:sz="6" w:space="0"/>
            </w:tcBorders>
            <w:vAlign w:val="center"/>
          </w:tcPr>
          <w:p w14:paraId="1C236F7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713D67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tcBorders>
              <w:top w:val="double" w:color="auto" w:sz="6" w:space="0"/>
              <w:bottom w:val="single" w:color="auto" w:sz="6" w:space="0"/>
            </w:tcBorders>
            <w:vAlign w:val="center"/>
          </w:tcPr>
          <w:p w14:paraId="5E21E7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tcBorders>
              <w:top w:val="double" w:color="auto" w:sz="6" w:space="0"/>
              <w:bottom w:val="single" w:color="auto" w:sz="6" w:space="0"/>
            </w:tcBorders>
            <w:vAlign w:val="center"/>
          </w:tcPr>
          <w:p w14:paraId="63F85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B894B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tcBorders>
              <w:top w:val="double" w:color="auto" w:sz="6" w:space="0"/>
              <w:bottom w:val="single" w:color="auto" w:sz="6" w:space="0"/>
            </w:tcBorders>
            <w:vAlign w:val="center"/>
          </w:tcPr>
          <w:p w14:paraId="545208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60C53A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tcBorders>
              <w:top w:val="double" w:color="auto" w:sz="6" w:space="0"/>
              <w:bottom w:val="single" w:color="auto" w:sz="6" w:space="0"/>
            </w:tcBorders>
            <w:vAlign w:val="center"/>
          </w:tcPr>
          <w:p w14:paraId="1189AD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7622EF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tcBorders>
              <w:top w:val="double" w:color="auto" w:sz="6" w:space="0"/>
              <w:bottom w:val="single" w:color="auto" w:sz="6" w:space="0"/>
            </w:tcBorders>
            <w:vAlign w:val="center"/>
          </w:tcPr>
          <w:p w14:paraId="600878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tcBorders>
              <w:top w:val="double" w:color="auto" w:sz="6" w:space="0"/>
              <w:bottom w:val="single" w:color="auto" w:sz="6" w:space="0"/>
            </w:tcBorders>
            <w:vAlign w:val="center"/>
          </w:tcPr>
          <w:p w14:paraId="5EA648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tcBorders>
              <w:top w:val="double" w:color="auto" w:sz="6" w:space="0"/>
              <w:bottom w:val="single" w:color="auto" w:sz="6" w:space="0"/>
            </w:tcBorders>
            <w:vAlign w:val="center"/>
          </w:tcPr>
          <w:p w14:paraId="68BD0F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C16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tcBorders>
              <w:top w:val="nil"/>
            </w:tcBorders>
            <w:vAlign w:val="center"/>
          </w:tcPr>
          <w:p w14:paraId="485D33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tcBorders>
              <w:top w:val="nil"/>
            </w:tcBorders>
            <w:vAlign w:val="center"/>
          </w:tcPr>
          <w:p w14:paraId="3621B0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75BAD6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tcBorders>
              <w:top w:val="nil"/>
            </w:tcBorders>
            <w:vAlign w:val="center"/>
          </w:tcPr>
          <w:p w14:paraId="44F478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5051A6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tcBorders>
              <w:top w:val="nil"/>
            </w:tcBorders>
            <w:vAlign w:val="center"/>
          </w:tcPr>
          <w:p w14:paraId="4A38AE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581857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tcBorders>
              <w:top w:val="nil"/>
            </w:tcBorders>
            <w:vAlign w:val="center"/>
          </w:tcPr>
          <w:p w14:paraId="4D9B4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tcBorders>
              <w:top w:val="nil"/>
            </w:tcBorders>
            <w:vAlign w:val="center"/>
          </w:tcPr>
          <w:p w14:paraId="59D1B1A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tcBorders>
              <w:top w:val="nil"/>
            </w:tcBorders>
            <w:vAlign w:val="center"/>
          </w:tcPr>
          <w:p w14:paraId="492801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79DD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DF9F8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720ADA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B863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F4ABC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339D8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A9F7C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74503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169DB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30AD32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2276AB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1573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95E78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AB3EE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0C9BE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353E4E0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81100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46B4B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F0BBC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B2048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FC425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2C7D43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ECC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D89BD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5E07B2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1178A9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2A908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96B53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6AE41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B49A3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7DDB7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6B073B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45FC3F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6603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694C8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0AA927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48410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0BF312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66EC9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63F5C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6B63B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B7221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72AF6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7DD75C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81CE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1DCE8F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77921B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C464D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C103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AEE157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5E9D6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404E1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11F9A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368B8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C293E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3305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712D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1F19E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FD371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98469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03C96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72AB2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3F7316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260D9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76118A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3AF30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D2A0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53CC20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091B03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CE24D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5EBF7F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30DC5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01BB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98076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B4ED8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12572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E6829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917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098982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F63B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2E06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B28E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4AC71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2548F3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33A0EA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58ECCB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418B7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6F198E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ABC83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2AC15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78971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DAB8C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40E6A3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8F8C1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9F415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855F3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004DC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47E3D4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D455A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B48C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2024B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32C032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CF8AE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3FC0C8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51120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569E77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7AC29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0D016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0DBC27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F7109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30A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CC42D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19179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11C8C0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5EEC48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0C37B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A75B5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F18231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243F86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202963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66CECE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A8DA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DA0F2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ED47B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FC124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7F369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4432C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F354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478C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8B511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3D915BF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0C6D46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9C15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0FC60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2FEC92C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2D8E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E325C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7ACD0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323B0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DD7A7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F9DC9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CF699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715968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31FF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342332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44DB16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DFEE8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027313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97638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A38B4D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BFCA1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33AD0E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6C1D2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FD75A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52E4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571A3B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AB449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0F13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197C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DADCF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7428E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BD28A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3D582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7D2EEF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574AB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FF7C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BFAE8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257FE6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987E6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74080A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7D923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21B9E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A2E8F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458BC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43CC7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6D1AB9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52DC0684">
      <w:pPr>
        <w:spacing w:line="360" w:lineRule="auto"/>
        <w:rPr>
          <w:rFonts w:ascii="宋体" w:hAnsi="宋体" w:eastAsia="宋体" w:cs="宋体"/>
          <w:color w:val="000000" w:themeColor="text1"/>
          <w:szCs w:val="21"/>
          <w:highlight w:val="none"/>
          <w14:textFill>
            <w14:solidFill>
              <w14:schemeClr w14:val="tx1"/>
            </w14:solidFill>
          </w14:textFill>
        </w:rPr>
      </w:pPr>
    </w:p>
    <w:p w14:paraId="060DE7DE">
      <w:pPr>
        <w:rPr>
          <w:rFonts w:ascii="Times New Roman" w:hAnsi="Times New Roman" w:eastAsia="宋体" w:cs="Times New Roman"/>
          <w:b/>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r>
        <w:rPr>
          <w:rFonts w:hint="eastAsia" w:ascii="Times New Roman" w:hAnsi="Times New Roman" w:eastAsia="宋体" w:cs="Times New Roman"/>
          <w:b/>
          <w:color w:val="000000" w:themeColor="text1"/>
          <w:highlight w:val="none"/>
          <w14:textFill>
            <w14:solidFill>
              <w14:schemeClr w14:val="tx1"/>
            </w14:solidFill>
          </w14:textFill>
        </w:rPr>
        <w:t>附</w:t>
      </w:r>
      <w:bookmarkStart w:id="1344" w:name="_Toc296944565"/>
      <w:bookmarkStart w:id="1345" w:name="_Toc296347225"/>
      <w:bookmarkStart w:id="1346" w:name="_Toc296891266"/>
      <w:bookmarkStart w:id="1347" w:name="_Toc296503226"/>
      <w:bookmarkStart w:id="1348" w:name="_Toc296891054"/>
      <w:bookmarkStart w:id="1349" w:name="_Toc296346727"/>
      <w:bookmarkStart w:id="1350" w:name="_Toc267261693"/>
      <w:r>
        <w:rPr>
          <w:rFonts w:hint="eastAsia" w:ascii="Times New Roman" w:hAnsi="Times New Roman" w:eastAsia="宋体" w:cs="Times New Roman"/>
          <w:b/>
          <w:color w:val="000000" w:themeColor="text1"/>
          <w:highlight w:val="none"/>
          <w14:textFill>
            <w14:solidFill>
              <w14:schemeClr w14:val="tx1"/>
            </w14:solidFill>
          </w14:textFill>
        </w:rPr>
        <w:t>件3：</w:t>
      </w:r>
      <w:bookmarkEnd w:id="1344"/>
      <w:bookmarkEnd w:id="1345"/>
      <w:bookmarkEnd w:id="1346"/>
      <w:bookmarkEnd w:id="1347"/>
      <w:bookmarkEnd w:id="1348"/>
      <w:bookmarkEnd w:id="1349"/>
      <w:bookmarkEnd w:id="1350"/>
      <w:r>
        <w:rPr>
          <w:rFonts w:hint="eastAsia" w:ascii="Times New Roman" w:hAnsi="Times New Roman" w:eastAsia="宋体" w:cs="Times New Roman"/>
          <w:b/>
          <w:color w:val="000000" w:themeColor="text1"/>
          <w:highlight w:val="none"/>
          <w14:textFill>
            <w14:solidFill>
              <w14:schemeClr w14:val="tx1"/>
            </w14:solidFill>
          </w14:textFill>
        </w:rPr>
        <w:t xml:space="preserve">    </w:t>
      </w:r>
    </w:p>
    <w:p w14:paraId="5BB252EF">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工程质量保修书</w:t>
      </w:r>
    </w:p>
    <w:p w14:paraId="1D7C81B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747C6533">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659182E4">
      <w:pPr>
        <w:rPr>
          <w:color w:val="000000" w:themeColor="text1"/>
          <w:highlight w:val="none"/>
          <w14:textFill>
            <w14:solidFill>
              <w14:schemeClr w14:val="tx1"/>
            </w14:solidFill>
          </w14:textFill>
        </w:rPr>
      </w:pPr>
    </w:p>
    <w:p w14:paraId="56F22A8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发包人和承包人根据《中华人民共和国建筑法》和《建设工程质量管理条例》，经协商一致就</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（工程全称）签订工程质量保修书。</w:t>
      </w:r>
    </w:p>
    <w:p w14:paraId="1055876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一、工程质量保修范围和内容</w:t>
      </w:r>
    </w:p>
    <w:p w14:paraId="53400A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承包人在质量保修期内，按照有关法律规定和合同约定，承担工程质量保修责任。</w:t>
      </w:r>
    </w:p>
    <w:p w14:paraId="16EB514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50ED19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二、质量保修期</w:t>
      </w:r>
    </w:p>
    <w:p w14:paraId="0147E97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根据《建设工程质量管理条例》及有关规定，工程的质量保修期如下：</w:t>
      </w:r>
    </w:p>
    <w:p w14:paraId="73CF14B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1．地基基础工程和主体结构工程为设计文件规定的工程合理使用年限；</w:t>
      </w:r>
    </w:p>
    <w:p w14:paraId="2046DD5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2．屋面防水工程、有防水要求的卫生间、房间和外墙面的防渗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509DE57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3．装修工程为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46F6BF1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4．电气管线、给排水管道、设备安装工程为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3B8903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5．供热与供冷系统为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个采暖期、供冷期；</w:t>
      </w:r>
    </w:p>
    <w:p w14:paraId="2F17E70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6．住宅小区内的给排水设施、道路等配套工程为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6F32F9A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7．其他项目保修期限约定如下：</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5BC6328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质量保修期自工程竣工验收合格之日起计算。</w:t>
      </w:r>
    </w:p>
    <w:p w14:paraId="058A03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三、缺陷责任期</w:t>
      </w:r>
    </w:p>
    <w:p w14:paraId="373B350F">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工程缺陷责任期为</w:t>
      </w:r>
      <w:r>
        <w:rPr>
          <w:rFonts w:hint="eastAsia" w:ascii="宋体" w:hAnsi="宋体" w:eastAsia="宋体" w:cs="宋体"/>
          <w:b/>
          <w:color w:val="000000" w:themeColor="text1"/>
          <w:szCs w:val="21"/>
          <w:highlight w:val="none"/>
          <w:u w:val="single"/>
          <w14:textFill>
            <w14:solidFill>
              <w14:schemeClr w14:val="tx1"/>
            </w14:solidFill>
          </w14:textFill>
        </w:rPr>
        <w:t xml:space="preserve">    </w:t>
      </w:r>
      <w:r>
        <w:rPr>
          <w:rFonts w:hint="eastAsia" w:ascii="宋体" w:hAnsi="宋体" w:eastAsia="宋体" w:cs="宋体"/>
          <w:b/>
          <w:color w:val="000000" w:themeColor="text1"/>
          <w:szCs w:val="21"/>
          <w:highlight w:val="none"/>
          <w14:textFill>
            <w14:solidFill>
              <w14:schemeClr w14:val="tx1"/>
            </w14:solidFill>
          </w14:textFill>
        </w:rPr>
        <w:t>个月</w:t>
      </w:r>
      <w:r>
        <w:rPr>
          <w:rFonts w:hint="eastAsia" w:ascii="宋体" w:hAnsi="宋体" w:eastAsia="宋体" w:cs="宋体"/>
          <w:color w:val="000000" w:themeColor="text1"/>
          <w:szCs w:val="21"/>
          <w:highlight w:val="none"/>
          <w14:textFill>
            <w14:solidFill>
              <w14:schemeClr w14:val="tx1"/>
            </w14:solidFill>
          </w14:textFill>
        </w:rPr>
        <w:t>，缺陷责任期自工程通过竣工验收之日起计算。单位工程先于全部工程进行验收，单位工程缺陷责任期自单位工程验收合格之日起算。</w:t>
      </w:r>
    </w:p>
    <w:p w14:paraId="5F6E4B5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缺陷责任期终止后，发包人应退还剩余的质量保证金。</w:t>
      </w:r>
    </w:p>
    <w:p w14:paraId="11ADC8E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四、质量保修责任</w:t>
      </w:r>
    </w:p>
    <w:p w14:paraId="62529E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88354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2．发生紧急事故需抢修的，承包人在接到事故通知后，应当立即到达事故现场抢修。</w:t>
      </w:r>
    </w:p>
    <w:p w14:paraId="16D988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82F2F5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4．质量保修完成后，由发包人组织验收。</w:t>
      </w:r>
    </w:p>
    <w:p w14:paraId="14ED67B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五、保修费用</w:t>
      </w:r>
    </w:p>
    <w:p w14:paraId="15A53F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保修费用由造成质量缺陷的责任方承担。</w:t>
      </w:r>
    </w:p>
    <w:p w14:paraId="3F2E64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六、双方约定的其他工程质量保修事项：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0BBD6EC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6488E7F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5F318F5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发包人(公章)：</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 xml:space="preserve"> 承包人(公章)：</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18EA4D3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地  址：</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67EC19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F093A0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B145FE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41D3A7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传  真：</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19B3EE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BBB1F3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账  号：</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账  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FD608E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A85BE00">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附件4：</w:t>
      </w:r>
    </w:p>
    <w:p w14:paraId="6BACAC3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主要建设工程文件目录</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80"/>
      </w:tblGrid>
      <w:tr w14:paraId="10202D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8DBD9F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文件名称</w:t>
            </w:r>
          </w:p>
        </w:tc>
        <w:tc>
          <w:tcPr>
            <w:tcW w:w="1276" w:type="dxa"/>
            <w:tcBorders>
              <w:top w:val="single" w:color="auto" w:sz="12" w:space="0"/>
              <w:bottom w:val="double" w:color="auto" w:sz="6" w:space="0"/>
            </w:tcBorders>
            <w:vAlign w:val="center"/>
          </w:tcPr>
          <w:p w14:paraId="2400837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套数</w:t>
            </w:r>
          </w:p>
        </w:tc>
        <w:tc>
          <w:tcPr>
            <w:tcW w:w="1450" w:type="dxa"/>
            <w:tcBorders>
              <w:top w:val="single" w:color="auto" w:sz="12" w:space="0"/>
              <w:bottom w:val="double" w:color="auto" w:sz="6" w:space="0"/>
            </w:tcBorders>
            <w:vAlign w:val="center"/>
          </w:tcPr>
          <w:p w14:paraId="70536D7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费用（元）</w:t>
            </w:r>
          </w:p>
        </w:tc>
        <w:tc>
          <w:tcPr>
            <w:tcW w:w="1243" w:type="dxa"/>
            <w:tcBorders>
              <w:top w:val="single" w:color="auto" w:sz="12" w:space="0"/>
              <w:bottom w:val="double" w:color="auto" w:sz="6" w:space="0"/>
            </w:tcBorders>
            <w:vAlign w:val="center"/>
          </w:tcPr>
          <w:p w14:paraId="314F8D8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w:t>
            </w:r>
          </w:p>
        </w:tc>
        <w:tc>
          <w:tcPr>
            <w:tcW w:w="1450" w:type="dxa"/>
            <w:tcBorders>
              <w:top w:val="single" w:color="auto" w:sz="12" w:space="0"/>
              <w:bottom w:val="double" w:color="auto" w:sz="6" w:space="0"/>
            </w:tcBorders>
            <w:vAlign w:val="center"/>
          </w:tcPr>
          <w:p w14:paraId="7919695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移交时间</w:t>
            </w:r>
          </w:p>
        </w:tc>
        <w:tc>
          <w:tcPr>
            <w:tcW w:w="1580" w:type="dxa"/>
            <w:tcBorders>
              <w:top w:val="single" w:color="auto" w:sz="12" w:space="0"/>
              <w:bottom w:val="double" w:color="auto" w:sz="6" w:space="0"/>
            </w:tcBorders>
            <w:vAlign w:val="center"/>
          </w:tcPr>
          <w:p w14:paraId="7BE5FFF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责任人</w:t>
            </w:r>
          </w:p>
        </w:tc>
      </w:tr>
      <w:tr w14:paraId="4FBE0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5BB283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50C64F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50EB4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tcBorders>
              <w:top w:val="double" w:color="auto" w:sz="6" w:space="0"/>
              <w:bottom w:val="single" w:color="auto" w:sz="6" w:space="0"/>
            </w:tcBorders>
            <w:vAlign w:val="center"/>
          </w:tcPr>
          <w:p w14:paraId="0EEA99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D6E96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tcBorders>
              <w:top w:val="double" w:color="auto" w:sz="6" w:space="0"/>
              <w:bottom w:val="single" w:color="auto" w:sz="6" w:space="0"/>
            </w:tcBorders>
            <w:vAlign w:val="center"/>
          </w:tcPr>
          <w:p w14:paraId="0C0907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6AEB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2E6A33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603E7E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nil"/>
            </w:tcBorders>
            <w:vAlign w:val="center"/>
          </w:tcPr>
          <w:p w14:paraId="42936F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tcBorders>
              <w:top w:val="nil"/>
            </w:tcBorders>
            <w:vAlign w:val="center"/>
          </w:tcPr>
          <w:p w14:paraId="615719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nil"/>
            </w:tcBorders>
            <w:vAlign w:val="center"/>
          </w:tcPr>
          <w:p w14:paraId="75542D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tcBorders>
              <w:top w:val="nil"/>
            </w:tcBorders>
            <w:vAlign w:val="center"/>
          </w:tcPr>
          <w:p w14:paraId="39683C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5A95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413B0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BB003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7CC4E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5B35A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AC9AB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4061E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D95C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C4CD1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40E5ED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E9BC3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22907C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C0013B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58544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C7F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EAD90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68272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8D4CD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10814F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FBE52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515DAE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697A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AEE47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9CA76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F065A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77CB93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0CBDE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B8058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6E9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85C17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E304DF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28D0C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6D4211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340B4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3D4B5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5C4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11F887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4FFD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86CFF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9B690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E88C19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0F71B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F93E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0752A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B3396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E0633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6527C1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738D5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04213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B738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B3E55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617EB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B58D4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786FD1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1F0F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235BBA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6108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9D5B9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FC6BA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478810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C8D10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1BC39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225ECD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9369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8620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1D40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F5A99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1544AF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01807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53333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9981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993AE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8F7A0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2326A6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8CB73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8C8E5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3C142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B256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61D3C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8213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8B24B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55E19D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0FE5CE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F4FB7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2ECD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1BD8C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394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B25C7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D32F3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615F08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8DD7B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13ED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EF589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B8B50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B1E3F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2AAC41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ED492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146FF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19CF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19704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05528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2DD77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76BE7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9209F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6000D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B352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4876D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EDF93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0D337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4D09BF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5E12C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4D625B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3C1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39FA0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9048F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C1814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5E79D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0B856C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4B710D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1EF47A6E">
      <w:pPr>
        <w:spacing w:line="360" w:lineRule="auto"/>
        <w:rPr>
          <w:rFonts w:ascii="宋体" w:hAnsi="宋体" w:eastAsia="宋体" w:cs="宋体"/>
          <w:color w:val="000000" w:themeColor="text1"/>
          <w:szCs w:val="21"/>
          <w:highlight w:val="none"/>
          <w14:textFill>
            <w14:solidFill>
              <w14:schemeClr w14:val="tx1"/>
            </w14:solidFill>
          </w14:textFill>
        </w:rPr>
      </w:pPr>
    </w:p>
    <w:p w14:paraId="0CB3C227">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51" w:name="_Toc267261698"/>
      <w:bookmarkStart w:id="1352" w:name="_Toc296944566"/>
      <w:bookmarkStart w:id="1353" w:name="_Toc296891267"/>
      <w:bookmarkStart w:id="1354" w:name="_Toc296347226"/>
      <w:bookmarkStart w:id="1355" w:name="_Toc296346728"/>
      <w:bookmarkStart w:id="1356" w:name="_Toc296503227"/>
      <w:bookmarkStart w:id="1357" w:name="_Toc296891055"/>
      <w:r>
        <w:rPr>
          <w:rFonts w:hint="eastAsia" w:ascii="宋体" w:hAnsi="宋体" w:eastAsia="宋体" w:cs="宋体"/>
          <w:color w:val="000000" w:themeColor="text1"/>
          <w:szCs w:val="21"/>
          <w:highlight w:val="none"/>
          <w14:textFill>
            <w14:solidFill>
              <w14:schemeClr w14:val="tx1"/>
            </w14:solidFill>
          </w14:textFill>
        </w:rPr>
        <w:t>件5：</w:t>
      </w:r>
    </w:p>
    <w:bookmarkEnd w:id="1351"/>
    <w:bookmarkEnd w:id="1352"/>
    <w:bookmarkEnd w:id="1353"/>
    <w:bookmarkEnd w:id="1354"/>
    <w:bookmarkEnd w:id="1355"/>
    <w:bookmarkEnd w:id="1356"/>
    <w:bookmarkEnd w:id="1357"/>
    <w:p w14:paraId="6CE5047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承包人用于本工程施工的机械设备表</w:t>
      </w:r>
    </w:p>
    <w:tbl>
      <w:tblPr>
        <w:tblStyle w:val="29"/>
        <w:tblW w:w="89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37"/>
        <w:gridCol w:w="1235"/>
        <w:gridCol w:w="1033"/>
        <w:gridCol w:w="1058"/>
        <w:gridCol w:w="880"/>
        <w:gridCol w:w="1020"/>
        <w:gridCol w:w="1480"/>
        <w:gridCol w:w="1020"/>
        <w:gridCol w:w="590"/>
      </w:tblGrid>
      <w:tr w14:paraId="663FD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37" w:type="dxa"/>
            <w:tcBorders>
              <w:top w:val="single" w:color="auto" w:sz="12" w:space="0"/>
              <w:bottom w:val="double" w:color="auto" w:sz="6" w:space="0"/>
            </w:tcBorders>
            <w:vAlign w:val="center"/>
          </w:tcPr>
          <w:p w14:paraId="0E3F987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235" w:type="dxa"/>
            <w:tcBorders>
              <w:top w:val="single" w:color="auto" w:sz="12" w:space="0"/>
              <w:bottom w:val="double" w:color="auto" w:sz="6" w:space="0"/>
            </w:tcBorders>
            <w:vAlign w:val="center"/>
          </w:tcPr>
          <w:p w14:paraId="1A9B77E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机械或设备名称</w:t>
            </w:r>
          </w:p>
        </w:tc>
        <w:tc>
          <w:tcPr>
            <w:tcW w:w="1033" w:type="dxa"/>
            <w:tcBorders>
              <w:top w:val="single" w:color="auto" w:sz="12" w:space="0"/>
              <w:bottom w:val="double" w:color="auto" w:sz="6" w:space="0"/>
            </w:tcBorders>
            <w:vAlign w:val="center"/>
          </w:tcPr>
          <w:p w14:paraId="1BD32E2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规格型号</w:t>
            </w:r>
          </w:p>
        </w:tc>
        <w:tc>
          <w:tcPr>
            <w:tcW w:w="1058" w:type="dxa"/>
            <w:tcBorders>
              <w:top w:val="single" w:color="auto" w:sz="12" w:space="0"/>
              <w:bottom w:val="double" w:color="auto" w:sz="6" w:space="0"/>
            </w:tcBorders>
            <w:vAlign w:val="center"/>
          </w:tcPr>
          <w:p w14:paraId="2814634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880" w:type="dxa"/>
            <w:tcBorders>
              <w:top w:val="single" w:color="auto" w:sz="12" w:space="0"/>
              <w:bottom w:val="double" w:color="auto" w:sz="6" w:space="0"/>
            </w:tcBorders>
            <w:vAlign w:val="center"/>
          </w:tcPr>
          <w:p w14:paraId="3B5607D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产地</w:t>
            </w:r>
          </w:p>
        </w:tc>
        <w:tc>
          <w:tcPr>
            <w:tcW w:w="1020" w:type="dxa"/>
            <w:tcBorders>
              <w:top w:val="single" w:color="auto" w:sz="12" w:space="0"/>
              <w:bottom w:val="double" w:color="auto" w:sz="6" w:space="0"/>
            </w:tcBorders>
            <w:vAlign w:val="center"/>
          </w:tcPr>
          <w:p w14:paraId="6E98462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制造年份</w:t>
            </w:r>
          </w:p>
        </w:tc>
        <w:tc>
          <w:tcPr>
            <w:tcW w:w="1480" w:type="dxa"/>
            <w:tcBorders>
              <w:top w:val="single" w:color="auto" w:sz="12" w:space="0"/>
              <w:bottom w:val="double" w:color="auto" w:sz="6" w:space="0"/>
            </w:tcBorders>
            <w:vAlign w:val="center"/>
          </w:tcPr>
          <w:p w14:paraId="2FF7812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额定功率(kW)</w:t>
            </w:r>
          </w:p>
        </w:tc>
        <w:tc>
          <w:tcPr>
            <w:tcW w:w="1020" w:type="dxa"/>
            <w:tcBorders>
              <w:top w:val="single" w:color="auto" w:sz="12" w:space="0"/>
              <w:bottom w:val="double" w:color="auto" w:sz="6" w:space="0"/>
            </w:tcBorders>
            <w:vAlign w:val="center"/>
          </w:tcPr>
          <w:p w14:paraId="2FE0BF6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590" w:type="dxa"/>
            <w:tcBorders>
              <w:top w:val="single" w:color="auto" w:sz="12" w:space="0"/>
              <w:bottom w:val="double" w:color="auto" w:sz="6" w:space="0"/>
            </w:tcBorders>
            <w:vAlign w:val="center"/>
          </w:tcPr>
          <w:p w14:paraId="4197E0A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4D5DDF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tcBorders>
              <w:top w:val="double" w:color="auto" w:sz="6" w:space="0"/>
              <w:bottom w:val="single" w:color="auto" w:sz="6" w:space="0"/>
            </w:tcBorders>
            <w:vAlign w:val="center"/>
          </w:tcPr>
          <w:p w14:paraId="5EE3D5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tcBorders>
              <w:top w:val="double" w:color="auto" w:sz="6" w:space="0"/>
              <w:bottom w:val="single" w:color="auto" w:sz="6" w:space="0"/>
            </w:tcBorders>
            <w:vAlign w:val="center"/>
          </w:tcPr>
          <w:p w14:paraId="029874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tcBorders>
              <w:top w:val="double" w:color="auto" w:sz="6" w:space="0"/>
              <w:bottom w:val="single" w:color="auto" w:sz="6" w:space="0"/>
            </w:tcBorders>
            <w:vAlign w:val="center"/>
          </w:tcPr>
          <w:p w14:paraId="25BE05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tcBorders>
              <w:top w:val="double" w:color="auto" w:sz="6" w:space="0"/>
              <w:bottom w:val="single" w:color="auto" w:sz="6" w:space="0"/>
            </w:tcBorders>
            <w:vAlign w:val="center"/>
          </w:tcPr>
          <w:p w14:paraId="74F42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tcBorders>
              <w:top w:val="double" w:color="auto" w:sz="6" w:space="0"/>
              <w:bottom w:val="single" w:color="auto" w:sz="6" w:space="0"/>
            </w:tcBorders>
            <w:vAlign w:val="center"/>
          </w:tcPr>
          <w:p w14:paraId="4338AA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double" w:color="auto" w:sz="6" w:space="0"/>
              <w:bottom w:val="single" w:color="auto" w:sz="6" w:space="0"/>
            </w:tcBorders>
            <w:vAlign w:val="center"/>
          </w:tcPr>
          <w:p w14:paraId="70F26B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tcBorders>
              <w:top w:val="double" w:color="auto" w:sz="6" w:space="0"/>
              <w:bottom w:val="single" w:color="auto" w:sz="6" w:space="0"/>
            </w:tcBorders>
            <w:vAlign w:val="center"/>
          </w:tcPr>
          <w:p w14:paraId="1C0903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double" w:color="auto" w:sz="6" w:space="0"/>
              <w:bottom w:val="single" w:color="auto" w:sz="6" w:space="0"/>
            </w:tcBorders>
            <w:vAlign w:val="center"/>
          </w:tcPr>
          <w:p w14:paraId="727A84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tcBorders>
              <w:top w:val="double" w:color="auto" w:sz="6" w:space="0"/>
              <w:bottom w:val="single" w:color="auto" w:sz="6" w:space="0"/>
            </w:tcBorders>
            <w:vAlign w:val="center"/>
          </w:tcPr>
          <w:p w14:paraId="454342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296B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tcBorders>
              <w:top w:val="nil"/>
            </w:tcBorders>
            <w:vAlign w:val="center"/>
          </w:tcPr>
          <w:p w14:paraId="64F653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tcBorders>
              <w:top w:val="nil"/>
            </w:tcBorders>
            <w:vAlign w:val="center"/>
          </w:tcPr>
          <w:p w14:paraId="7A15F3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tcBorders>
              <w:top w:val="nil"/>
            </w:tcBorders>
            <w:vAlign w:val="center"/>
          </w:tcPr>
          <w:p w14:paraId="1D62F3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tcBorders>
              <w:top w:val="nil"/>
            </w:tcBorders>
            <w:vAlign w:val="center"/>
          </w:tcPr>
          <w:p w14:paraId="5C5E8F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tcBorders>
              <w:top w:val="nil"/>
            </w:tcBorders>
            <w:vAlign w:val="center"/>
          </w:tcPr>
          <w:p w14:paraId="0F9CF7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nil"/>
            </w:tcBorders>
            <w:vAlign w:val="center"/>
          </w:tcPr>
          <w:p w14:paraId="29835D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tcBorders>
              <w:top w:val="nil"/>
            </w:tcBorders>
            <w:vAlign w:val="center"/>
          </w:tcPr>
          <w:p w14:paraId="354A7FF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nil"/>
            </w:tcBorders>
            <w:vAlign w:val="center"/>
          </w:tcPr>
          <w:p w14:paraId="0E3873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tcBorders>
              <w:top w:val="nil"/>
            </w:tcBorders>
            <w:vAlign w:val="center"/>
          </w:tcPr>
          <w:p w14:paraId="5624F1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390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24174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3AA3C41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6F9AB5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EDCB3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497FE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82141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E9288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FD619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1FE0A7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3358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5B7AC6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6D7D1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0956A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1C5AD3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5719C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D68BD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03206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E8962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2ACE6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1B5B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622E90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EADA6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139610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68F7CE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0D45DD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3CB78F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1F43E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331A4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E4421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83A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D57B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61376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B4B81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17110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1D1BA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DFD24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D2747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53C3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5399F5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2943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9E848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F6B32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1F350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1407C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610FE5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A46F7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F36BA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46934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2D4C9D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2724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560384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4DCE161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ED534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D7763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131E16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C7A4ED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51FDDA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3318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CB802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B10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6A622D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1FCB36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05AE2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4B426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56F26E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64CB51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353EF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E428BC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E5DD4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5EA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42DA5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A0DB4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3A608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5024F8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385F7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0D58EB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124B32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BE40B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F4127C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5FB4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10EC2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8538F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7759FF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34E7C0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BDEB8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26176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A7937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B5B951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293BCE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6491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42C904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1F5DA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65714F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1134EF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081EAA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FD2F3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EF946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CE485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7417CE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BDC8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F1192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35FD50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05B04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B04E1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AAE74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B787F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069950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E752F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2AA0A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351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C72FA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D8805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750247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0CFB740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58CEF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62BCDF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18FF74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EABC2C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EB3BA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A4CC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0965DE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523C9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028D9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70E27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47D1BE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FAF03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512E21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F4357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AA5AA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353E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3BE4D6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FCE74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4ED4C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EF8D2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4BA701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A03EC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75725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C333B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40E07F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AF8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232E42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A89CA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85383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E3923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529C7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C3604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7A748C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385D4F7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78B578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C896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0261B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9EF92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5D572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F2D7C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B2A71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66518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55118D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89715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7F41E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733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379C8E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7839FB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1825B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4E78F8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42744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A98F0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484BA7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E586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751B4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511AC281">
      <w:pPr>
        <w:spacing w:line="360" w:lineRule="auto"/>
        <w:rPr>
          <w:rFonts w:ascii="宋体" w:hAnsi="宋体" w:eastAsia="宋体" w:cs="宋体"/>
          <w:color w:val="000000" w:themeColor="text1"/>
          <w:szCs w:val="21"/>
          <w:highlight w:val="none"/>
          <w14:textFill>
            <w14:solidFill>
              <w14:schemeClr w14:val="tx1"/>
            </w14:solidFill>
          </w14:textFill>
        </w:rPr>
      </w:pPr>
    </w:p>
    <w:p w14:paraId="105173C2">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r>
        <w:rPr>
          <w:rFonts w:hint="eastAsia" w:ascii="Times New Roman" w:hAnsi="Times New Roman" w:eastAsia="宋体" w:cs="Times New Roman"/>
          <w:color w:val="000000" w:themeColor="text1"/>
          <w:highlight w:val="none"/>
          <w14:textFill>
            <w14:solidFill>
              <w14:schemeClr w14:val="tx1"/>
            </w14:solidFill>
          </w14:textFill>
        </w:rPr>
        <w:t>附</w:t>
      </w:r>
      <w:bookmarkStart w:id="1358" w:name="_Toc296944567"/>
      <w:bookmarkStart w:id="1359" w:name="_Toc296347227"/>
      <w:bookmarkStart w:id="1360" w:name="_Toc296503228"/>
      <w:bookmarkStart w:id="1361" w:name="_Toc296346729"/>
      <w:bookmarkStart w:id="1362" w:name="_Toc267261699"/>
      <w:bookmarkStart w:id="1363" w:name="_Toc296891056"/>
      <w:bookmarkStart w:id="1364" w:name="_Toc296891268"/>
      <w:r>
        <w:rPr>
          <w:rFonts w:hint="eastAsia" w:ascii="Times New Roman" w:hAnsi="Times New Roman" w:eastAsia="宋体" w:cs="Times New Roman"/>
          <w:color w:val="000000" w:themeColor="text1"/>
          <w:highlight w:val="none"/>
          <w14:textFill>
            <w14:solidFill>
              <w14:schemeClr w14:val="tx1"/>
            </w14:solidFill>
          </w14:textFill>
        </w:rPr>
        <w:t>件6：</w:t>
      </w:r>
    </w:p>
    <w:bookmarkEnd w:id="1358"/>
    <w:bookmarkEnd w:id="1359"/>
    <w:bookmarkEnd w:id="1360"/>
    <w:bookmarkEnd w:id="1361"/>
    <w:bookmarkEnd w:id="1362"/>
    <w:bookmarkEnd w:id="1363"/>
    <w:bookmarkEnd w:id="1364"/>
    <w:p w14:paraId="737127A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承包人主要施工管理人员表</w:t>
      </w:r>
    </w:p>
    <w:tbl>
      <w:tblPr>
        <w:tblStyle w:val="29"/>
        <w:tblW w:w="84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07"/>
        <w:gridCol w:w="1418"/>
        <w:gridCol w:w="1134"/>
        <w:gridCol w:w="1134"/>
        <w:gridCol w:w="3203"/>
      </w:tblGrid>
      <w:tr w14:paraId="55227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12" w:space="0"/>
              <w:bottom w:val="double" w:color="auto" w:sz="6" w:space="0"/>
            </w:tcBorders>
            <w:vAlign w:val="center"/>
          </w:tcPr>
          <w:p w14:paraId="6AD376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p>
        </w:tc>
        <w:tc>
          <w:tcPr>
            <w:tcW w:w="1418" w:type="dxa"/>
            <w:tcBorders>
              <w:top w:val="single" w:color="auto" w:sz="12" w:space="0"/>
              <w:bottom w:val="double" w:color="auto" w:sz="6" w:space="0"/>
            </w:tcBorders>
            <w:vAlign w:val="center"/>
          </w:tcPr>
          <w:p w14:paraId="45C1A91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vAlign w:val="center"/>
          </w:tcPr>
          <w:p w14:paraId="64F50F6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vAlign w:val="center"/>
          </w:tcPr>
          <w:p w14:paraId="5C3EBFC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203" w:type="dxa"/>
            <w:tcBorders>
              <w:top w:val="single" w:color="auto" w:sz="12" w:space="0"/>
              <w:bottom w:val="double" w:color="auto" w:sz="6" w:space="0"/>
            </w:tcBorders>
            <w:vAlign w:val="center"/>
          </w:tcPr>
          <w:p w14:paraId="7ED1882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14:paraId="169FC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96" w:type="dxa"/>
            <w:gridSpan w:val="5"/>
            <w:tcBorders>
              <w:top w:val="double" w:color="auto" w:sz="6" w:space="0"/>
              <w:bottom w:val="single" w:color="auto" w:sz="6" w:space="0"/>
            </w:tcBorders>
            <w:vAlign w:val="center"/>
          </w:tcPr>
          <w:p w14:paraId="49E2E7C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14:paraId="7A01F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76E6641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vAlign w:val="center"/>
          </w:tcPr>
          <w:p w14:paraId="38CFA2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0F7753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5751E10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top w:val="nil"/>
            </w:tcBorders>
            <w:vAlign w:val="center"/>
          </w:tcPr>
          <w:p w14:paraId="1FE4E6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82F8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nil"/>
            </w:tcBorders>
            <w:vAlign w:val="center"/>
          </w:tcPr>
          <w:p w14:paraId="231F59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BB9D9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7008C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E059E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B910F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0963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3FF6D9E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41080B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0FEF9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5645C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6C0091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48D7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2BDC26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6CD48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B4049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51D9D9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01A28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E281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96" w:type="dxa"/>
            <w:gridSpan w:val="5"/>
            <w:tcBorders>
              <w:top w:val="single" w:color="auto" w:sz="6" w:space="0"/>
              <w:bottom w:val="single" w:color="auto" w:sz="6" w:space="0"/>
            </w:tcBorders>
            <w:vAlign w:val="center"/>
          </w:tcPr>
          <w:p w14:paraId="6FBFFFB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14:paraId="3F916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6045FE1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vAlign w:val="center"/>
          </w:tcPr>
          <w:p w14:paraId="6411C9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E73A3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9397A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03A54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F3A5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418BA1B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8" w:type="dxa"/>
            <w:vAlign w:val="center"/>
          </w:tcPr>
          <w:p w14:paraId="3297AD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1135C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1796E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82A7E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A226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5226DBF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vAlign w:val="center"/>
          </w:tcPr>
          <w:p w14:paraId="1D50B7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04019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4F3D2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B429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01B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5D66636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vAlign w:val="center"/>
          </w:tcPr>
          <w:p w14:paraId="025CC8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842FB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D4234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4266EF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7BAF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2FDBB75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vAlign w:val="center"/>
          </w:tcPr>
          <w:p w14:paraId="50BB03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1E348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B3BB0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21308C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8F77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1611077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8" w:type="dxa"/>
            <w:vAlign w:val="center"/>
          </w:tcPr>
          <w:p w14:paraId="43A2C7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2B6BA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00672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30527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A50C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37D6DA7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vAlign w:val="center"/>
          </w:tcPr>
          <w:p w14:paraId="7EBCB8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9B2B7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DE2ED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58275F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6D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7F27C26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vAlign w:val="center"/>
          </w:tcPr>
          <w:p w14:paraId="169C83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4862E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AFAC4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19153A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6FE2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restart"/>
            <w:tcBorders>
              <w:top w:val="single" w:color="auto" w:sz="6" w:space="0"/>
            </w:tcBorders>
            <w:vAlign w:val="center"/>
          </w:tcPr>
          <w:p w14:paraId="1027E20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66A610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FA216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59C0B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50CAA3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CEB7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54F9C0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vAlign w:val="center"/>
          </w:tcPr>
          <w:p w14:paraId="6026D6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7A8067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2E6BDC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bottom w:val="nil"/>
            </w:tcBorders>
            <w:vAlign w:val="center"/>
          </w:tcPr>
          <w:p w14:paraId="0CE752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E994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6BF582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81A2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FF9D0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6A93C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1D590A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4D2E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6F9940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60EE0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D9F04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999DE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67BFF6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875A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08416C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4DE5F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A348C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C195E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24D26D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DB7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tcBorders>
              <w:bottom w:val="single" w:color="auto" w:sz="12" w:space="0"/>
            </w:tcBorders>
            <w:vAlign w:val="center"/>
          </w:tcPr>
          <w:p w14:paraId="12E0F3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vAlign w:val="center"/>
          </w:tcPr>
          <w:p w14:paraId="47422E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109D5E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15A6AE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bottom w:val="single" w:color="auto" w:sz="12" w:space="0"/>
            </w:tcBorders>
            <w:vAlign w:val="center"/>
          </w:tcPr>
          <w:p w14:paraId="3F6FFE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7A801C99">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65" w:name="_Toc296503229"/>
      <w:bookmarkStart w:id="1366" w:name="_Toc296347228"/>
      <w:bookmarkStart w:id="1367" w:name="_Toc296346730"/>
      <w:bookmarkStart w:id="1368" w:name="_Toc296891269"/>
      <w:bookmarkStart w:id="1369" w:name="_Toc296891057"/>
      <w:bookmarkStart w:id="1370" w:name="_Toc296944568"/>
      <w:r>
        <w:rPr>
          <w:rFonts w:hint="eastAsia" w:ascii="宋体" w:hAnsi="宋体" w:eastAsia="宋体" w:cs="宋体"/>
          <w:color w:val="000000" w:themeColor="text1"/>
          <w:szCs w:val="21"/>
          <w:highlight w:val="none"/>
          <w14:textFill>
            <w14:solidFill>
              <w14:schemeClr w14:val="tx1"/>
            </w14:solidFill>
          </w14:textFill>
        </w:rPr>
        <w:t>件7：</w:t>
      </w:r>
    </w:p>
    <w:bookmarkEnd w:id="1365"/>
    <w:bookmarkEnd w:id="1366"/>
    <w:bookmarkEnd w:id="1367"/>
    <w:bookmarkEnd w:id="1368"/>
    <w:bookmarkEnd w:id="1369"/>
    <w:bookmarkEnd w:id="1370"/>
    <w:p w14:paraId="63B90F1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分包人主要施工管理人员表</w:t>
      </w:r>
    </w:p>
    <w:tbl>
      <w:tblPr>
        <w:tblStyle w:val="29"/>
        <w:tblW w:w="87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189"/>
      </w:tblGrid>
      <w:tr w14:paraId="3CB8D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6BA0ECA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418" w:type="dxa"/>
            <w:tcBorders>
              <w:top w:val="single" w:color="auto" w:sz="12" w:space="0"/>
              <w:bottom w:val="double" w:color="auto" w:sz="6" w:space="0"/>
            </w:tcBorders>
            <w:vAlign w:val="center"/>
          </w:tcPr>
          <w:p w14:paraId="1C01E34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vAlign w:val="center"/>
          </w:tcPr>
          <w:p w14:paraId="204FC8D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vAlign w:val="center"/>
          </w:tcPr>
          <w:p w14:paraId="68FF594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189" w:type="dxa"/>
            <w:tcBorders>
              <w:top w:val="single" w:color="auto" w:sz="12" w:space="0"/>
              <w:bottom w:val="double" w:color="auto" w:sz="6" w:space="0"/>
            </w:tcBorders>
            <w:vAlign w:val="center"/>
          </w:tcPr>
          <w:p w14:paraId="6763DA9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14:paraId="085A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46" w:type="dxa"/>
            <w:gridSpan w:val="5"/>
            <w:tcBorders>
              <w:top w:val="double" w:color="auto" w:sz="6" w:space="0"/>
              <w:bottom w:val="single" w:color="auto" w:sz="6" w:space="0"/>
            </w:tcBorders>
            <w:vAlign w:val="center"/>
          </w:tcPr>
          <w:p w14:paraId="569E415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14:paraId="726BD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8008E0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vAlign w:val="center"/>
          </w:tcPr>
          <w:p w14:paraId="30CA0F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6C5B4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30E723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top w:val="nil"/>
            </w:tcBorders>
            <w:vAlign w:val="center"/>
          </w:tcPr>
          <w:p w14:paraId="61823E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C50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46CC69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968D2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8D344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9679B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CAEBF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CC2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447DC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330644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63488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ADD18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18D33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AA8A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9766C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A5534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4C779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4F166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F97D9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42EE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46" w:type="dxa"/>
            <w:gridSpan w:val="5"/>
            <w:tcBorders>
              <w:top w:val="single" w:color="auto" w:sz="6" w:space="0"/>
              <w:bottom w:val="single" w:color="auto" w:sz="6" w:space="0"/>
            </w:tcBorders>
            <w:vAlign w:val="center"/>
          </w:tcPr>
          <w:p w14:paraId="352FFF9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14:paraId="6E727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E8A620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vAlign w:val="center"/>
          </w:tcPr>
          <w:p w14:paraId="62CAB1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08097A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24312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6E3455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3E0E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7657BB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8" w:type="dxa"/>
            <w:vAlign w:val="center"/>
          </w:tcPr>
          <w:p w14:paraId="666905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3D27A5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114B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4709CA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0304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C058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vAlign w:val="center"/>
          </w:tcPr>
          <w:p w14:paraId="5457D3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E785F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D3540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348CC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E9EA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993090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vAlign w:val="center"/>
          </w:tcPr>
          <w:p w14:paraId="62A8FB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D6B02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10902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B29C3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EFED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10BFD1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vAlign w:val="center"/>
          </w:tcPr>
          <w:p w14:paraId="2DD0E8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679A1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18601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66A0D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C9EE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766BC9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8" w:type="dxa"/>
            <w:vAlign w:val="center"/>
          </w:tcPr>
          <w:p w14:paraId="08228E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0A4E2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96F14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D32D01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E9FB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346A40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vAlign w:val="center"/>
          </w:tcPr>
          <w:p w14:paraId="4DEAC0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F1628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BE04C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5C9E0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EC6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E14A26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vAlign w:val="center"/>
          </w:tcPr>
          <w:p w14:paraId="06B8D2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96805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B521C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54F62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FA1C4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6B3C12E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1B2202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34AC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E8E37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36DEC2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D9D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58FD7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vAlign w:val="center"/>
          </w:tcPr>
          <w:p w14:paraId="641711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6A1E02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1EEB9D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bottom w:val="nil"/>
            </w:tcBorders>
            <w:vAlign w:val="center"/>
          </w:tcPr>
          <w:p w14:paraId="62093F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1AEC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6F33D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3453F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0D8C6E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D4A2D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49312A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1F09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7867A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9CA075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0EBA5E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BC2D2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5BC2E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2B7F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D4EE1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AA1AC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0CA5E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9486E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CD0F2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D15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26ADE8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vAlign w:val="center"/>
          </w:tcPr>
          <w:p w14:paraId="13CC0F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675389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3EE236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bottom w:val="single" w:color="auto" w:sz="12" w:space="0"/>
            </w:tcBorders>
            <w:vAlign w:val="center"/>
          </w:tcPr>
          <w:p w14:paraId="14FC8C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7B17CA06">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bookmarkStart w:id="1371" w:name="_Toc267261701"/>
      <w:r>
        <w:rPr>
          <w:rFonts w:hint="eastAsia" w:ascii="宋体" w:hAnsi="宋体" w:eastAsia="宋体" w:cs="宋体"/>
          <w:color w:val="000000" w:themeColor="text1"/>
          <w:szCs w:val="21"/>
          <w:highlight w:val="none"/>
          <w14:textFill>
            <w14:solidFill>
              <w14:schemeClr w14:val="tx1"/>
            </w14:solidFill>
          </w14:textFill>
        </w:rPr>
        <w:t>附</w:t>
      </w:r>
      <w:bookmarkStart w:id="1372" w:name="_Toc296891059"/>
      <w:bookmarkStart w:id="1373" w:name="_Toc296347230"/>
      <w:bookmarkStart w:id="1374" w:name="_Toc296891271"/>
      <w:bookmarkStart w:id="1375" w:name="_Toc296346732"/>
      <w:bookmarkStart w:id="1376" w:name="_Toc296503231"/>
      <w:bookmarkStart w:id="1377" w:name="_Toc296944570"/>
      <w:r>
        <w:rPr>
          <w:rFonts w:hint="eastAsia" w:ascii="宋体" w:hAnsi="宋体" w:eastAsia="宋体" w:cs="宋体"/>
          <w:color w:val="000000" w:themeColor="text1"/>
          <w:szCs w:val="21"/>
          <w:highlight w:val="none"/>
          <w14:textFill>
            <w14:solidFill>
              <w14:schemeClr w14:val="tx1"/>
            </w14:solidFill>
          </w14:textFill>
        </w:rPr>
        <w:t>件8：</w:t>
      </w:r>
    </w:p>
    <w:bookmarkEnd w:id="1371"/>
    <w:bookmarkEnd w:id="1372"/>
    <w:bookmarkEnd w:id="1373"/>
    <w:bookmarkEnd w:id="1374"/>
    <w:bookmarkEnd w:id="1375"/>
    <w:bookmarkEnd w:id="1376"/>
    <w:bookmarkEnd w:id="1377"/>
    <w:p w14:paraId="0C9D3089">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履约担保</w:t>
      </w:r>
    </w:p>
    <w:p w14:paraId="34DF19A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14:textFill>
            <w14:solidFill>
              <w14:schemeClr w14:val="tx1"/>
            </w14:solidFill>
          </w14:textFill>
        </w:rPr>
        <w:t>（发包人名称）：</w:t>
      </w:r>
    </w:p>
    <w:p w14:paraId="25F50DA3">
      <w:pPr>
        <w:spacing w:line="360" w:lineRule="auto"/>
        <w:rPr>
          <w:rFonts w:ascii="宋体" w:hAnsi="宋体" w:eastAsia="宋体" w:cs="宋体"/>
          <w:color w:val="000000" w:themeColor="text1"/>
          <w:szCs w:val="21"/>
          <w:highlight w:val="none"/>
          <w14:textFill>
            <w14:solidFill>
              <w14:schemeClr w14:val="tx1"/>
            </w14:solidFill>
          </w14:textFill>
        </w:rPr>
      </w:pPr>
    </w:p>
    <w:p w14:paraId="2A8905A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（发包人名称，以下简称“发包人”）与</w:t>
      </w:r>
    </w:p>
    <w:p w14:paraId="0B0EB0B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（承包人名称）（以下称“承包人”）于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（项目名称）施工及有关事项协商一致共同签订《建设工程施工合同》。我方愿意无条件地、不可撤销地就承包人履行与你方签订的合同，向你方提供连带责任担保。 </w:t>
      </w:r>
    </w:p>
    <w:p w14:paraId="24823EA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担保金额人民币（大写）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3EF030F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01E430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1DE2986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你方和承包人按合同约定变更合同时，我方承担本担保规定的义务不变。</w:t>
      </w:r>
    </w:p>
    <w:p w14:paraId="2AED2F4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仲裁委员会仲裁。</w:t>
      </w:r>
    </w:p>
    <w:p w14:paraId="6BA431D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本保函自我方法定代表人（或其授权代理人）签字并加盖公章之日起生效。</w:t>
      </w:r>
    </w:p>
    <w:p w14:paraId="4D93C0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42EF310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 保 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357D282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51F7AF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FD4705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C56A4DD">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08F5C0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735F57C">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65134C9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484FAF11">
      <w:pPr>
        <w:spacing w:line="360" w:lineRule="auto"/>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br w:type="page"/>
      </w:r>
    </w:p>
    <w:p w14:paraId="482193D6">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bookmarkStart w:id="1378" w:name="_Toc296891272"/>
      <w:bookmarkStart w:id="1379" w:name="_Toc296944571"/>
      <w:bookmarkStart w:id="1380" w:name="_Toc296891060"/>
      <w:bookmarkStart w:id="1381" w:name="_Toc296347231"/>
      <w:bookmarkStart w:id="1382" w:name="_Toc267261702"/>
      <w:bookmarkStart w:id="1383" w:name="_Toc296503232"/>
      <w:bookmarkStart w:id="1384" w:name="_Toc296346733"/>
      <w:r>
        <w:rPr>
          <w:rFonts w:hint="eastAsia" w:ascii="宋体" w:hAnsi="宋体" w:eastAsia="宋体" w:cs="宋体"/>
          <w:color w:val="000000" w:themeColor="text1"/>
          <w:szCs w:val="21"/>
          <w:highlight w:val="none"/>
          <w14:textFill>
            <w14:solidFill>
              <w14:schemeClr w14:val="tx1"/>
            </w14:solidFill>
          </w14:textFill>
        </w:rPr>
        <w:t>件9 ：</w:t>
      </w:r>
    </w:p>
    <w:bookmarkEnd w:id="1378"/>
    <w:bookmarkEnd w:id="1379"/>
    <w:bookmarkEnd w:id="1380"/>
    <w:bookmarkEnd w:id="1381"/>
    <w:bookmarkEnd w:id="1382"/>
    <w:bookmarkEnd w:id="1383"/>
    <w:bookmarkEnd w:id="1384"/>
    <w:p w14:paraId="74DCA0EF">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预付款担保</w:t>
      </w:r>
    </w:p>
    <w:p w14:paraId="4B866E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（发包人名称）：</w:t>
      </w:r>
    </w:p>
    <w:p w14:paraId="75E0EDAF">
      <w:pPr>
        <w:spacing w:line="360" w:lineRule="auto"/>
        <w:rPr>
          <w:rFonts w:ascii="宋体" w:hAnsi="宋体" w:eastAsia="宋体" w:cs="宋体"/>
          <w:color w:val="000000" w:themeColor="text1"/>
          <w:szCs w:val="21"/>
          <w:highlight w:val="none"/>
          <w14:textFill>
            <w14:solidFill>
              <w14:schemeClr w14:val="tx1"/>
            </w14:solidFill>
          </w14:textFill>
        </w:rPr>
      </w:pPr>
    </w:p>
    <w:p w14:paraId="5F37655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（承包人名称）（以下称“承包人”）与</w:t>
      </w:r>
    </w:p>
    <w:p w14:paraId="130EEAF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（发包人名称）（以下简称“发包人”）</w:t>
      </w:r>
      <w:r>
        <w:rPr>
          <w:rFonts w:hint="eastAsia" w:ascii="宋体" w:hAnsi="宋体" w:eastAsia="宋体" w:cs="宋体"/>
          <w:color w:val="000000" w:themeColor="text1"/>
          <w:szCs w:val="21"/>
          <w:highlight w:val="none"/>
          <w14:textFill>
            <w14:solidFill>
              <w14:schemeClr w14:val="tx1"/>
            </w14:solidFill>
          </w14:textFill>
        </w:rPr>
        <w:t>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日签订的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（项目名称）《建设工程施工合同》，承包人按约定的金额向你方提交一份预付款担保，即有权得到你方支付相等金额的预付款。我方愿意就你方提供给承包人的预付款为承包人提供连带责任担保。</w:t>
      </w:r>
    </w:p>
    <w:p w14:paraId="179B3C4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担保金额人民币（大写）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152794E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19BF5FA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7DB0996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你方和承包人按合同约定变更合同时，我方承担本保函规定的义务不变。</w:t>
      </w:r>
    </w:p>
    <w:p w14:paraId="22759EC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仲裁委员会仲裁。</w:t>
      </w:r>
    </w:p>
    <w:p w14:paraId="3DA2A86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本保函自我方法定代表人（或其授权代理人）签字并加盖公章之日起生效。</w:t>
      </w:r>
    </w:p>
    <w:p w14:paraId="2975EE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01D0383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1F5484C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4149F1E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2654BE7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11C59B00">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236029C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04C829A1">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334F480F">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p>
    <w:p w14:paraId="42A910FB">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72ABF4A5">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7DB0BF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85" w:name="_Toc296891061"/>
      <w:bookmarkStart w:id="1386" w:name="_Toc296944572"/>
      <w:bookmarkStart w:id="1387" w:name="_Toc296346734"/>
      <w:bookmarkStart w:id="1388" w:name="_Toc296347232"/>
      <w:bookmarkStart w:id="1389" w:name="_Toc296891273"/>
      <w:bookmarkStart w:id="1390" w:name="_Toc296503233"/>
      <w:r>
        <w:rPr>
          <w:rFonts w:hint="eastAsia" w:ascii="宋体" w:hAnsi="宋体" w:eastAsia="宋体" w:cs="宋体"/>
          <w:color w:val="000000" w:themeColor="text1"/>
          <w:szCs w:val="21"/>
          <w:highlight w:val="none"/>
          <w14:textFill>
            <w14:solidFill>
              <w14:schemeClr w14:val="tx1"/>
            </w14:solidFill>
          </w14:textFill>
        </w:rPr>
        <w:t xml:space="preserve">件10:  </w:t>
      </w:r>
    </w:p>
    <w:bookmarkEnd w:id="1385"/>
    <w:bookmarkEnd w:id="1386"/>
    <w:bookmarkEnd w:id="1387"/>
    <w:bookmarkEnd w:id="1388"/>
    <w:bookmarkEnd w:id="1389"/>
    <w:bookmarkEnd w:id="1390"/>
    <w:p w14:paraId="7570AE86">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支付担保</w:t>
      </w:r>
    </w:p>
    <w:p w14:paraId="3EC8E017">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w:t>
      </w:r>
    </w:p>
    <w:p w14:paraId="52DC4936">
      <w:pPr>
        <w:spacing w:line="360" w:lineRule="auto"/>
        <w:rPr>
          <w:rFonts w:ascii="宋体" w:hAnsi="宋体" w:eastAsia="宋体" w:cs="宋体"/>
          <w:color w:val="000000" w:themeColor="text1"/>
          <w:szCs w:val="21"/>
          <w:highlight w:val="none"/>
          <w14:textFill>
            <w14:solidFill>
              <w14:schemeClr w14:val="tx1"/>
            </w14:solidFill>
          </w14:textFill>
        </w:rPr>
      </w:pPr>
    </w:p>
    <w:p w14:paraId="08DD98C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鉴于你方作为承包人已经与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（发包人名称）（以下称“发包人”）于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日签订了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（项目名称）《建设工程施工合同》（以下称“主合同”），应发包人的申请，我方愿就发包人履行主合同约定的工程款支付义务以保证的方式向你方提供如下担保：</w:t>
      </w:r>
    </w:p>
    <w:p w14:paraId="0A694CF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一、保证的范围及保证金额</w:t>
      </w:r>
    </w:p>
    <w:p w14:paraId="7F1AC3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我方的保证范围是主合同约定的工程款。</w:t>
      </w:r>
    </w:p>
    <w:p w14:paraId="23C77D4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46097D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我方保证的金额是主合同约定的工程款的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%，数额最高不超过人民币元（大写：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62B5B28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二、保证的方式及保证期间</w:t>
      </w:r>
    </w:p>
    <w:p w14:paraId="396BCCF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我方保证的方式为：连带责任保证。</w:t>
      </w:r>
    </w:p>
    <w:p w14:paraId="372DA5A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日内。</w:t>
      </w:r>
    </w:p>
    <w:p w14:paraId="195D7BA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79F4419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三、承担保证责任的形式</w:t>
      </w:r>
    </w:p>
    <w:p w14:paraId="4FF1EE9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794B405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四、代偿的安排</w:t>
      </w:r>
    </w:p>
    <w:p w14:paraId="5CE950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0AB955C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255341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我方收到你方的书面索赔通知及相应的证明材料后７天内无条件支付。</w:t>
      </w:r>
    </w:p>
    <w:p w14:paraId="5732F99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五、保证责任的解除</w:t>
      </w:r>
    </w:p>
    <w:p w14:paraId="7284809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30486D0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9EB134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26224B3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760FD1C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4133789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个工作日内，将本保函原件返还我方。</w:t>
      </w:r>
    </w:p>
    <w:p w14:paraId="3B3DE8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六、免责条款</w:t>
      </w:r>
    </w:p>
    <w:p w14:paraId="7B37DC1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因你方违约致使发包人不能履行义务的，我方不承担保证责任。</w:t>
      </w:r>
    </w:p>
    <w:p w14:paraId="7D4022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4EFD8BC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116F29D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因不可抗力造成发包人不能履行义务的，我方不承担保证责任。</w:t>
      </w:r>
    </w:p>
    <w:p w14:paraId="12C18FA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七、争议解决</w:t>
      </w:r>
    </w:p>
    <w:p w14:paraId="7132DB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种方式解决：</w:t>
      </w:r>
    </w:p>
    <w:p w14:paraId="2E2F5FE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（1）向</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仲裁委员会申请仲裁；</w:t>
      </w:r>
    </w:p>
    <w:p w14:paraId="232ED66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（2）向</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人民法院起诉。</w:t>
      </w:r>
    </w:p>
    <w:p w14:paraId="12983B9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八、保函的生效</w:t>
      </w:r>
    </w:p>
    <w:p w14:paraId="53D37B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本保函自我方法定代表人（或其授权代理人）签字并加盖公章之日起生效。</w:t>
      </w:r>
    </w:p>
    <w:p w14:paraId="707EBE3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2252296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00E4CCD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（盖章）</w:t>
      </w:r>
    </w:p>
    <w:p w14:paraId="1C87B9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0440AD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BA58CF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1B73A5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5525BA">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7C8D542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58FE50E9">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附件11：</w:t>
      </w:r>
    </w:p>
    <w:p w14:paraId="209E360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11-1：材料暂估价表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559"/>
      </w:tblGrid>
      <w:tr w14:paraId="300F2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vAlign w:val="center"/>
          </w:tcPr>
          <w:p w14:paraId="0B55EBF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304C52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51" w:type="dxa"/>
            <w:tcBorders>
              <w:top w:val="single" w:color="auto" w:sz="12" w:space="0"/>
              <w:bottom w:val="double" w:color="auto" w:sz="6" w:space="0"/>
            </w:tcBorders>
            <w:vAlign w:val="center"/>
          </w:tcPr>
          <w:p w14:paraId="6BA8ADB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74" w:type="dxa"/>
            <w:tcBorders>
              <w:top w:val="single" w:color="auto" w:sz="12" w:space="0"/>
              <w:bottom w:val="double" w:color="auto" w:sz="6" w:space="0"/>
            </w:tcBorders>
            <w:vAlign w:val="center"/>
          </w:tcPr>
          <w:p w14:paraId="3182306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352" w:type="dxa"/>
            <w:tcBorders>
              <w:top w:val="single" w:color="auto" w:sz="12" w:space="0"/>
              <w:bottom w:val="double" w:color="auto" w:sz="6" w:space="0"/>
            </w:tcBorders>
            <w:vAlign w:val="center"/>
          </w:tcPr>
          <w:p w14:paraId="7C2B989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1418" w:type="dxa"/>
            <w:tcBorders>
              <w:top w:val="single" w:color="auto" w:sz="12" w:space="0"/>
              <w:bottom w:val="double" w:color="auto" w:sz="6" w:space="0"/>
            </w:tcBorders>
            <w:vAlign w:val="center"/>
          </w:tcPr>
          <w:p w14:paraId="1757F0D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合价（元）</w:t>
            </w:r>
          </w:p>
        </w:tc>
        <w:tc>
          <w:tcPr>
            <w:tcW w:w="1559" w:type="dxa"/>
            <w:tcBorders>
              <w:top w:val="single" w:color="auto" w:sz="12" w:space="0"/>
              <w:bottom w:val="double" w:color="auto" w:sz="6" w:space="0"/>
            </w:tcBorders>
            <w:vAlign w:val="center"/>
          </w:tcPr>
          <w:p w14:paraId="3A89DC8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5298F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vAlign w:val="center"/>
          </w:tcPr>
          <w:p w14:paraId="04A2C4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294E9B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05CB83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double" w:color="auto" w:sz="6" w:space="0"/>
              <w:bottom w:val="single" w:color="auto" w:sz="6" w:space="0"/>
            </w:tcBorders>
            <w:vAlign w:val="center"/>
          </w:tcPr>
          <w:p w14:paraId="329C83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double" w:color="auto" w:sz="6" w:space="0"/>
              <w:bottom w:val="single" w:color="auto" w:sz="6" w:space="0"/>
            </w:tcBorders>
            <w:vAlign w:val="center"/>
          </w:tcPr>
          <w:p w14:paraId="4A60E1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460A04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28D9A7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F5E2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vAlign w:val="center"/>
          </w:tcPr>
          <w:p w14:paraId="0843ED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0BBA63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08443C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nil"/>
            </w:tcBorders>
            <w:vAlign w:val="center"/>
          </w:tcPr>
          <w:p w14:paraId="3821A1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nil"/>
            </w:tcBorders>
            <w:vAlign w:val="center"/>
          </w:tcPr>
          <w:p w14:paraId="106436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765A59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F922A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FCC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8525B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24ADD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5E3C4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DD1389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D06189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D3E7E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D964D9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F32C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8E3E8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904D5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7B10E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D5AB5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02522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89FE5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D00C3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EC35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7EF0BC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F7537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AF4B7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D9B77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1AAA0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C3A44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6FA2C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A969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273AC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D8309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5DA1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885CB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4F757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BA7AD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64F34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AFF6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8C60D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DEC6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87360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A2BB0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0A87B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C7C40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C9367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9932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C19D0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2650F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A7363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8D6CB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0D2B7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448F2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C13DC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2D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153116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ED8B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027D8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743A5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E08FC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A9E06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87B2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F99E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31C39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9CF98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A9102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CDB90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06FB5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A8B1A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4A99C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DE20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44F1E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9D4D3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FF6E2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8B12A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637C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F0375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92D9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6AAE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C9FC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35E68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E3AC2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E03FE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F754F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0A434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C7AE6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513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4E935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4FEF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BA57C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790B1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AF31F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5E3D50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FB6D0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0309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88408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61D0AC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AD11F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13A72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21F47B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E02C1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91354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B48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54FEC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CD7C9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FC713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F1186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7ED3E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01CD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0881E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11BB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355A9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8C22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040610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C783E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29C11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003CD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40D98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347B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AC811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A446A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9A7B3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5B36A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3C097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336E0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5E105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1C7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F52F3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D6EF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16770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F3E34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A2D3D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B6C71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16EFD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9C1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0E3D0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5D9AD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F51DD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F4727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314AD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6A19B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4422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5C2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06532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86E96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4DD45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D1686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95EC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0B044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EAADC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8CDC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C3925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4D034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90AFC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31965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A4544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931E7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A7C2F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47AC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22CD3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9BE8B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5D5E7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430F9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E91CC9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3C37CB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3981A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6F4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71E8D1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99681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1EF0B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BC958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5887A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BC8BB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2D471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B031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E2997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3EF5F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0E5FF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A343E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632A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8C7F3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D5419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B1D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928AF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DC8CB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735A9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3653D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0B2B49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60CD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BDBD7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04A78CCD">
      <w:pPr>
        <w:spacing w:line="360" w:lineRule="auto"/>
        <w:rPr>
          <w:rFonts w:ascii="宋体" w:hAnsi="宋体" w:eastAsia="宋体" w:cs="宋体"/>
          <w:color w:val="000000" w:themeColor="text1"/>
          <w:szCs w:val="21"/>
          <w:highlight w:val="none"/>
          <w14:textFill>
            <w14:solidFill>
              <w14:schemeClr w14:val="tx1"/>
            </w14:solidFill>
          </w14:textFill>
        </w:rPr>
      </w:pPr>
    </w:p>
    <w:p w14:paraId="39CBD363">
      <w:pPr>
        <w:spacing w:line="360" w:lineRule="auto"/>
        <w:rPr>
          <w:rFonts w:ascii="宋体" w:hAnsi="宋体" w:eastAsia="宋体" w:cs="宋体"/>
          <w:color w:val="000000" w:themeColor="text1"/>
          <w:szCs w:val="21"/>
          <w:highlight w:val="none"/>
          <w14:textFill>
            <w14:solidFill>
              <w14:schemeClr w14:val="tx1"/>
            </w14:solidFill>
          </w14:textFill>
        </w:rPr>
      </w:pPr>
    </w:p>
    <w:p w14:paraId="5B3D2A49">
      <w:pPr>
        <w:spacing w:line="360" w:lineRule="auto"/>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br w:type="page"/>
      </w:r>
    </w:p>
    <w:p w14:paraId="788693D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11-2：工程设备暂估价表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275"/>
      </w:tblGrid>
      <w:tr w14:paraId="30DA0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vAlign w:val="center"/>
          </w:tcPr>
          <w:p w14:paraId="6E5F7F4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077203C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51" w:type="dxa"/>
            <w:tcBorders>
              <w:top w:val="single" w:color="auto" w:sz="12" w:space="0"/>
              <w:bottom w:val="double" w:color="auto" w:sz="6" w:space="0"/>
            </w:tcBorders>
            <w:vAlign w:val="center"/>
          </w:tcPr>
          <w:p w14:paraId="4246548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74" w:type="dxa"/>
            <w:tcBorders>
              <w:top w:val="single" w:color="auto" w:sz="12" w:space="0"/>
              <w:bottom w:val="double" w:color="auto" w:sz="6" w:space="0"/>
            </w:tcBorders>
            <w:vAlign w:val="center"/>
          </w:tcPr>
          <w:p w14:paraId="265F88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352" w:type="dxa"/>
            <w:tcBorders>
              <w:top w:val="single" w:color="auto" w:sz="12" w:space="0"/>
              <w:bottom w:val="double" w:color="auto" w:sz="6" w:space="0"/>
            </w:tcBorders>
            <w:vAlign w:val="center"/>
          </w:tcPr>
          <w:p w14:paraId="6BF9E63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1418" w:type="dxa"/>
            <w:tcBorders>
              <w:top w:val="single" w:color="auto" w:sz="12" w:space="0"/>
              <w:bottom w:val="double" w:color="auto" w:sz="6" w:space="0"/>
            </w:tcBorders>
            <w:vAlign w:val="center"/>
          </w:tcPr>
          <w:p w14:paraId="08252EA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合价（元）</w:t>
            </w:r>
          </w:p>
        </w:tc>
        <w:tc>
          <w:tcPr>
            <w:tcW w:w="1275" w:type="dxa"/>
            <w:tcBorders>
              <w:top w:val="single" w:color="auto" w:sz="12" w:space="0"/>
              <w:bottom w:val="double" w:color="auto" w:sz="6" w:space="0"/>
            </w:tcBorders>
            <w:vAlign w:val="center"/>
          </w:tcPr>
          <w:p w14:paraId="2F2BD3A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01318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vAlign w:val="center"/>
          </w:tcPr>
          <w:p w14:paraId="71A9ED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79C9E7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79D33B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double" w:color="auto" w:sz="6" w:space="0"/>
              <w:bottom w:val="single" w:color="auto" w:sz="6" w:space="0"/>
            </w:tcBorders>
            <w:vAlign w:val="center"/>
          </w:tcPr>
          <w:p w14:paraId="5B8C14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double" w:color="auto" w:sz="6" w:space="0"/>
              <w:bottom w:val="single" w:color="auto" w:sz="6" w:space="0"/>
            </w:tcBorders>
            <w:vAlign w:val="center"/>
          </w:tcPr>
          <w:p w14:paraId="0DFD8A4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2DE5C8A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tcBorders>
              <w:top w:val="double" w:color="auto" w:sz="6" w:space="0"/>
              <w:bottom w:val="single" w:color="auto" w:sz="6" w:space="0"/>
            </w:tcBorders>
            <w:vAlign w:val="center"/>
          </w:tcPr>
          <w:p w14:paraId="7AF7BA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0DCC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vAlign w:val="center"/>
          </w:tcPr>
          <w:p w14:paraId="6B7386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33D16F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788C83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nil"/>
            </w:tcBorders>
            <w:vAlign w:val="center"/>
          </w:tcPr>
          <w:p w14:paraId="2D9386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nil"/>
            </w:tcBorders>
            <w:vAlign w:val="center"/>
          </w:tcPr>
          <w:p w14:paraId="3876A9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ACAD5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tcBorders>
              <w:top w:val="nil"/>
            </w:tcBorders>
            <w:vAlign w:val="center"/>
          </w:tcPr>
          <w:p w14:paraId="7177C4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1BB8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37635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0A3E8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5870D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3AAC8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BAE67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691F6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06783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5DF3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F38CC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FD48B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7CCF6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6810F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7A63F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3B75D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F658D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DE0D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1301F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5C53A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C3F538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72566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AE048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844FD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5518D8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4A5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CD690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E132F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F21C9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05963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B2D8E0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F251E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9EF8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6E0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DAC0D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8727D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58A8D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77ED3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0959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4FD37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5FFD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6AF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FE04B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5703A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2C998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471CE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8FA3B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EFE9C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2F9019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707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9419E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35D9B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5C704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F457A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9A54B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5589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2C4CC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DF82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2D040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AEF8D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49E6A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C403D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A4760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18C74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5E24C70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56F2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793B1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3A90F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74BA2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9396A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05AF7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2AC1B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4989D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4567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6DA9C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29444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BD701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EB6A8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05440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6E4AB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0B339B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6ADD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DCAC5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BE9D2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3BD1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21427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48A08E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EDE69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786D4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539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3C6CE1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6B92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8581B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1FBEA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80612B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D90FD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240202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5D75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2E375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16248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EF41F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1693C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8A585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0FBD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AD95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C9D3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D1498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B808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A511D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D45A6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3AED31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7CE81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469E8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76AE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4CD25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0668F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9AABF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BB556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11B84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4CED5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BA2F9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14B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352CC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262F8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405536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433F7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0A37F9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F3A1B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69B203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F23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8F6E7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6C7CF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B6375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50D52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89144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60136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AA6E1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879C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6340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65D3E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CC9890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58DB6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3210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A2818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0D84E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8BD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ADA61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B537C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FB98E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9131C1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AD11F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41255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89EDE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A03A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25A62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05A99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F7E73E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3E69D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D06B6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30016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63E74C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854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853DA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6A02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35150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E185F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CCC1B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8C8A6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0E5174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A942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FEA24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C57B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33810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7B47A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E41B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DCCDA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C4A1B9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54E5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F6F03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D931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4C2AAD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06169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1B744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5C725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89DCA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49D93151">
      <w:pPr>
        <w:spacing w:line="360" w:lineRule="auto"/>
        <w:rPr>
          <w:rFonts w:ascii="宋体" w:hAnsi="宋体" w:eastAsia="宋体" w:cs="宋体"/>
          <w:color w:val="000000" w:themeColor="text1"/>
          <w:szCs w:val="21"/>
          <w:highlight w:val="none"/>
          <w14:textFill>
            <w14:solidFill>
              <w14:schemeClr w14:val="tx1"/>
            </w14:solidFill>
          </w14:textFill>
        </w:rPr>
      </w:pPr>
    </w:p>
    <w:p w14:paraId="1AF8998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11-3：专业工程暂估价表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2B520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single" w:color="auto" w:sz="12" w:space="0"/>
              <w:bottom w:val="double" w:color="auto" w:sz="6" w:space="0"/>
            </w:tcBorders>
            <w:vAlign w:val="center"/>
          </w:tcPr>
          <w:p w14:paraId="735437E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3982989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专业项目名称</w:t>
            </w:r>
          </w:p>
        </w:tc>
        <w:tc>
          <w:tcPr>
            <w:tcW w:w="4678" w:type="dxa"/>
            <w:tcBorders>
              <w:top w:val="single" w:color="auto" w:sz="12" w:space="0"/>
              <w:bottom w:val="double" w:color="auto" w:sz="6" w:space="0"/>
            </w:tcBorders>
            <w:vAlign w:val="center"/>
          </w:tcPr>
          <w:p w14:paraId="77CD720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工程内容</w:t>
            </w:r>
          </w:p>
        </w:tc>
        <w:tc>
          <w:tcPr>
            <w:tcW w:w="1276" w:type="dxa"/>
            <w:tcBorders>
              <w:top w:val="single" w:color="auto" w:sz="12" w:space="0"/>
              <w:bottom w:val="double" w:color="auto" w:sz="6" w:space="0"/>
            </w:tcBorders>
            <w:vAlign w:val="center"/>
          </w:tcPr>
          <w:p w14:paraId="2605293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金额</w:t>
            </w:r>
          </w:p>
        </w:tc>
      </w:tr>
      <w:tr w14:paraId="0603F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double" w:color="auto" w:sz="6" w:space="0"/>
              <w:bottom w:val="single" w:color="auto" w:sz="6" w:space="0"/>
            </w:tcBorders>
            <w:vAlign w:val="center"/>
          </w:tcPr>
          <w:p w14:paraId="64C764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79E804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double" w:color="auto" w:sz="6" w:space="0"/>
              <w:bottom w:val="single" w:color="auto" w:sz="6" w:space="0"/>
            </w:tcBorders>
            <w:vAlign w:val="center"/>
          </w:tcPr>
          <w:p w14:paraId="1017DFC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16D46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00D7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vAlign w:val="center"/>
          </w:tcPr>
          <w:p w14:paraId="2004A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659068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nil"/>
            </w:tcBorders>
            <w:vAlign w:val="center"/>
          </w:tcPr>
          <w:p w14:paraId="307C1D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38DF2C4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B3CF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vAlign w:val="center"/>
          </w:tcPr>
          <w:p w14:paraId="7DFE0B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1D3673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nil"/>
            </w:tcBorders>
            <w:vAlign w:val="center"/>
          </w:tcPr>
          <w:p w14:paraId="5E5EE7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3EB791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3BB5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22428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5F46F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555728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4A100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05E1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3BBC7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7CD31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1B98D1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8226E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99CA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4C91F5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82AED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C5FBA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DFA4D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2E11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397FB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DEFF96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0CC06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12FF7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27B8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91969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D7FD0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3501F6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CCA3F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B0EF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45BF6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5EDA9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CA270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D721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D5ED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74068C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80BDC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A9FBF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F9F5E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DAA5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97308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EECF9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4BC49B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40AE7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9FE7C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DE772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16978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562D5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98DB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D9D3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88A38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E2434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3E7A4D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1F096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1997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36B6D4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4119C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EB02E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B03A4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5F5B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C95AA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930621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8FB38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A362C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42E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635F6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C83AB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6C783D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90AE8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FAEA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6BB5EA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4D117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9B98B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4EF1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0840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0A130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93367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6EAD4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803F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010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DCF52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6A2E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1A80F4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34310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D6B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978B6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F1812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3B306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47621C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428C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F1A09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7A476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6D5FF6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41478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9F3D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05F00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C24D1F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87E0C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67A5F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415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43EAFE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1EF49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5263C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E1B99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AD7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D7386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DEC5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7E940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7520E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09B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DDE3B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358BE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5239FF4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9A27A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B692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676EE0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8605D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63BB0C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E580BF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690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817" w:type="dxa"/>
            <w:gridSpan w:val="4"/>
            <w:vAlign w:val="center"/>
          </w:tcPr>
          <w:p w14:paraId="7C04FEB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小计：</w:t>
            </w:r>
          </w:p>
        </w:tc>
      </w:tr>
    </w:tbl>
    <w:p w14:paraId="214047BB">
      <w:pPr>
        <w:spacing w:line="360" w:lineRule="auto"/>
        <w:rPr>
          <w:rFonts w:ascii="宋体" w:hAnsi="宋体" w:eastAsia="宋体" w:cs="宋体"/>
          <w:color w:val="000000" w:themeColor="text1"/>
          <w:szCs w:val="21"/>
          <w:highlight w:val="none"/>
          <w14:textFill>
            <w14:solidFill>
              <w14:schemeClr w14:val="tx1"/>
            </w14:solidFill>
          </w14:textFill>
        </w:rPr>
      </w:pPr>
    </w:p>
    <w:p w14:paraId="26B90045">
      <w:pPr>
        <w:spacing w:line="500" w:lineRule="exact"/>
        <w:rPr>
          <w:rFonts w:ascii="宋体" w:hAnsi="宋体" w:eastAsia="宋体" w:cs="Times New Roman"/>
          <w:color w:val="000000" w:themeColor="text1"/>
          <w:highlight w:val="none"/>
          <w14:textFill>
            <w14:solidFill>
              <w14:schemeClr w14:val="tx1"/>
            </w14:solidFill>
          </w14:textFill>
        </w:rPr>
      </w:pPr>
    </w:p>
    <w:p w14:paraId="616F0435">
      <w:pPr>
        <w:spacing w:line="500" w:lineRule="exact"/>
        <w:rPr>
          <w:rFonts w:ascii="宋体" w:hAnsi="宋体" w:eastAsia="宋体" w:cs="Times New Roman"/>
          <w:color w:val="000000" w:themeColor="text1"/>
          <w:highlight w:val="none"/>
          <w14:textFill>
            <w14:solidFill>
              <w14:schemeClr w14:val="tx1"/>
            </w14:solidFill>
          </w14:textFill>
        </w:rPr>
      </w:pPr>
    </w:p>
    <w:p w14:paraId="49E18B78">
      <w:pPr>
        <w:keepNext/>
        <w:keepLines/>
        <w:spacing w:before="260" w:after="260" w:line="415" w:lineRule="auto"/>
        <w:jc w:val="center"/>
        <w:outlineLvl w:val="1"/>
        <w:rPr>
          <w:rFonts w:ascii="Cambria" w:hAnsi="Cambria" w:eastAsia="宋体" w:cs="Times New Roman"/>
          <w:b/>
          <w:bCs/>
          <w:color w:val="000000" w:themeColor="text1"/>
          <w:sz w:val="44"/>
          <w:szCs w:val="32"/>
          <w:highlight w:val="none"/>
          <w14:textFill>
            <w14:solidFill>
              <w14:schemeClr w14:val="tx1"/>
            </w14:solidFill>
          </w14:textFill>
        </w:rPr>
      </w:pPr>
      <w:bookmarkStart w:id="1391" w:name="_Toc10219643"/>
      <w:bookmarkStart w:id="1392" w:name="_Toc7723"/>
      <w:r>
        <w:rPr>
          <w:rFonts w:hint="eastAsia" w:ascii="Cambria" w:hAnsi="Cambria" w:eastAsia="宋体" w:cs="Times New Roman"/>
          <w:b/>
          <w:bCs/>
          <w:color w:val="000000" w:themeColor="text1"/>
          <w:sz w:val="44"/>
          <w:szCs w:val="32"/>
          <w:highlight w:val="none"/>
          <w14:textFill>
            <w14:solidFill>
              <w14:schemeClr w14:val="tx1"/>
            </w14:solidFill>
          </w14:textFill>
        </w:rPr>
        <w:t>第五章   响应文件格</w:t>
      </w:r>
      <w:bookmarkEnd w:id="77"/>
      <w:r>
        <w:rPr>
          <w:rFonts w:hint="eastAsia" w:ascii="Cambria" w:hAnsi="Cambria" w:eastAsia="宋体" w:cs="Times New Roman"/>
          <w:b/>
          <w:bCs/>
          <w:color w:val="000000" w:themeColor="text1"/>
          <w:sz w:val="44"/>
          <w:szCs w:val="32"/>
          <w:highlight w:val="none"/>
          <w14:textFill>
            <w14:solidFill>
              <w14:schemeClr w14:val="tx1"/>
            </w14:solidFill>
          </w14:textFill>
        </w:rPr>
        <w:t>式</w:t>
      </w:r>
      <w:bookmarkEnd w:id="1391"/>
      <w:bookmarkEnd w:id="1392"/>
    </w:p>
    <w:p w14:paraId="65F11EFF">
      <w:pPr>
        <w:rPr>
          <w:rFonts w:ascii="宋体" w:hAnsi="Times New Roman" w:eastAsia="宋体" w:cs="Times New Roman"/>
          <w:color w:val="000000" w:themeColor="text1"/>
          <w:sz w:val="36"/>
          <w:szCs w:val="36"/>
          <w:highlight w:val="none"/>
          <w14:textFill>
            <w14:solidFill>
              <w14:schemeClr w14:val="tx1"/>
            </w14:solidFill>
          </w14:textFill>
        </w:rPr>
      </w:pPr>
      <w:r>
        <w:rPr>
          <w:rFonts w:hint="eastAsia" w:ascii="宋体" w:hAnsi="Times New Roman" w:eastAsia="宋体" w:cs="Times New Roman"/>
          <w:color w:val="000000" w:themeColor="text1"/>
          <w:sz w:val="36"/>
          <w:szCs w:val="36"/>
          <w:highlight w:val="none"/>
          <w14:textFill>
            <w14:solidFill>
              <w14:schemeClr w14:val="tx1"/>
            </w14:solidFill>
          </w14:textFill>
        </w:rPr>
        <w:t>1</w:t>
      </w:r>
      <w:r>
        <w:rPr>
          <w:rFonts w:ascii="宋体" w:hAnsi="Times New Roman" w:eastAsia="宋体" w:cs="Times New Roman"/>
          <w:color w:val="000000" w:themeColor="text1"/>
          <w:sz w:val="36"/>
          <w:szCs w:val="36"/>
          <w:highlight w:val="none"/>
          <w14:textFill>
            <w14:solidFill>
              <w14:schemeClr w14:val="tx1"/>
            </w14:solidFill>
          </w14:textFill>
        </w:rPr>
        <w:t>.</w:t>
      </w:r>
      <w:r>
        <w:rPr>
          <w:rFonts w:hint="eastAsia" w:ascii="宋体" w:hAnsi="Times New Roman" w:eastAsia="宋体" w:cs="Times New Roman"/>
          <w:color w:val="000000" w:themeColor="text1"/>
          <w:sz w:val="36"/>
          <w:szCs w:val="36"/>
          <w:highlight w:val="none"/>
          <w14:textFill>
            <w14:solidFill>
              <w14:schemeClr w14:val="tx1"/>
            </w14:solidFill>
          </w14:textFill>
        </w:rPr>
        <w:t xml:space="preserve">响应文件封面格式： </w:t>
      </w:r>
    </w:p>
    <w:p w14:paraId="57856022">
      <w:pPr>
        <w:rPr>
          <w:rFonts w:ascii="宋体" w:hAnsi="Times New Roman" w:eastAsia="宋体" w:cs="Times New Roman"/>
          <w:color w:val="000000" w:themeColor="text1"/>
          <w:sz w:val="36"/>
          <w:szCs w:val="36"/>
          <w:highlight w:val="none"/>
          <w14:textFill>
            <w14:solidFill>
              <w14:schemeClr w14:val="tx1"/>
            </w14:solidFill>
          </w14:textFill>
        </w:rPr>
      </w:pPr>
    </w:p>
    <w:p w14:paraId="07F2186D">
      <w:pPr>
        <w:rPr>
          <w:rFonts w:ascii="宋体" w:hAnsi="Times New Roman" w:eastAsia="宋体" w:cs="Times New Roman"/>
          <w:color w:val="000000" w:themeColor="text1"/>
          <w:sz w:val="36"/>
          <w:szCs w:val="36"/>
          <w:highlight w:val="none"/>
          <w14:textFill>
            <w14:solidFill>
              <w14:schemeClr w14:val="tx1"/>
            </w14:solidFill>
          </w14:textFill>
        </w:rPr>
      </w:pPr>
    </w:p>
    <w:p w14:paraId="19A60990">
      <w:pPr>
        <w:rPr>
          <w:rFonts w:ascii="宋体" w:hAnsi="Times New Roman" w:eastAsia="宋体" w:cs="Times New Roman"/>
          <w:color w:val="000000" w:themeColor="text1"/>
          <w:sz w:val="36"/>
          <w:szCs w:val="36"/>
          <w:highlight w:val="none"/>
          <w14:textFill>
            <w14:solidFill>
              <w14:schemeClr w14:val="tx1"/>
            </w14:solidFill>
          </w14:textFill>
        </w:rPr>
      </w:pPr>
    </w:p>
    <w:p w14:paraId="6A9B205C">
      <w:pPr>
        <w:spacing w:line="500" w:lineRule="exact"/>
        <w:ind w:firstLine="2160" w:firstLineChars="600"/>
        <w:jc w:val="right"/>
        <w:rPr>
          <w:rFonts w:ascii="宋体" w:hAnsi="Times New Roman" w:eastAsia="宋体" w:cs="Times New Roman"/>
          <w:color w:val="000000" w:themeColor="text1"/>
          <w:sz w:val="36"/>
          <w:szCs w:val="36"/>
          <w:highlight w:val="none"/>
          <w14:textFill>
            <w14:solidFill>
              <w14:schemeClr w14:val="tx1"/>
            </w14:solidFill>
          </w14:textFill>
        </w:rPr>
      </w:pPr>
      <w:r>
        <w:rPr>
          <w:rFonts w:hint="eastAsia" w:ascii="宋体" w:hAnsi="Times New Roman" w:eastAsia="宋体" w:cs="Times New Roman"/>
          <w:color w:val="000000" w:themeColor="text1"/>
          <w:sz w:val="36"/>
          <w:szCs w:val="36"/>
          <w:highlight w:val="none"/>
          <w14:textFill>
            <w14:solidFill>
              <w14:schemeClr w14:val="tx1"/>
            </w14:solidFill>
          </w14:textFill>
        </w:rPr>
        <w:t xml:space="preserve">                      </w:t>
      </w:r>
    </w:p>
    <w:p w14:paraId="72EC3419">
      <w:pPr>
        <w:spacing w:line="800" w:lineRule="exact"/>
        <w:jc w:val="center"/>
        <w:rPr>
          <w:rFonts w:ascii="宋体" w:hAnsi="Times New Roman" w:eastAsia="宋体" w:cs="Times New Roman"/>
          <w:color w:val="000000" w:themeColor="text1"/>
          <w:sz w:val="72"/>
          <w:szCs w:val="72"/>
          <w:highlight w:val="none"/>
          <w14:textFill>
            <w14:solidFill>
              <w14:schemeClr w14:val="tx1"/>
            </w14:solidFill>
          </w14:textFill>
        </w:rPr>
      </w:pPr>
      <w:r>
        <w:rPr>
          <w:rFonts w:hint="eastAsia" w:ascii="宋体" w:hAnsi="Times New Roman" w:eastAsia="宋体" w:cs="Times New Roman"/>
          <w:color w:val="000000" w:themeColor="text1"/>
          <w:sz w:val="72"/>
          <w:szCs w:val="72"/>
          <w:highlight w:val="none"/>
          <w14:textFill>
            <w14:solidFill>
              <w14:schemeClr w14:val="tx1"/>
            </w14:solidFill>
          </w14:textFill>
        </w:rPr>
        <w:t>竞争性磋商响应文件</w:t>
      </w:r>
    </w:p>
    <w:p w14:paraId="66C31164">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3A8F5D48">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3D16DA51">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5AB2BCCB">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0275A33E">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项目名称：</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3B568A14">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项目编号：</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0B8F21BF">
      <w:pPr>
        <w:spacing w:line="500" w:lineRule="exact"/>
        <w:ind w:firstLine="2560" w:firstLineChars="800"/>
        <w:rPr>
          <w:rFonts w:ascii="宋体" w:hAnsi="Times New Roman" w:eastAsia="宋体" w:cs="Times New Roman"/>
          <w:color w:val="000000" w:themeColor="text1"/>
          <w:sz w:val="32"/>
          <w:szCs w:val="32"/>
          <w:highlight w:val="none"/>
          <w14:textFill>
            <w14:solidFill>
              <w14:schemeClr w14:val="tx1"/>
            </w14:solidFill>
          </w14:textFill>
        </w:rPr>
      </w:pPr>
    </w:p>
    <w:p w14:paraId="0E9522D9">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p>
    <w:p w14:paraId="71736FE8">
      <w:pPr>
        <w:spacing w:line="500" w:lineRule="exact"/>
        <w:rPr>
          <w:rFonts w:ascii="宋体" w:hAnsi="Times New Roman" w:eastAsia="宋体" w:cs="Times New Roman"/>
          <w:color w:val="000000" w:themeColor="text1"/>
          <w:sz w:val="32"/>
          <w:szCs w:val="32"/>
          <w:highlight w:val="none"/>
          <w:u w:val="single"/>
          <w14:textFill>
            <w14:solidFill>
              <w14:schemeClr w14:val="tx1"/>
            </w14:solidFill>
          </w14:textFill>
        </w:rPr>
      </w:pPr>
    </w:p>
    <w:p w14:paraId="6894E6B3">
      <w:pPr>
        <w:spacing w:line="500" w:lineRule="exact"/>
        <w:ind w:firstLine="800" w:firstLineChars="25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供应商：</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4158676C">
      <w:pPr>
        <w:spacing w:line="500" w:lineRule="exact"/>
        <w:ind w:firstLine="800" w:firstLineChars="250"/>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法定代表人或其委托代理人：</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0BFC2317">
      <w:pPr>
        <w:spacing w:line="500" w:lineRule="exact"/>
        <w:ind w:firstLine="480" w:firstLineChars="150"/>
        <w:rPr>
          <w:rFonts w:ascii="宋体" w:hAnsi="Times New Roman" w:eastAsia="宋体" w:cs="Times New Roman"/>
          <w:color w:val="000000" w:themeColor="text1"/>
          <w:sz w:val="32"/>
          <w:szCs w:val="32"/>
          <w:highlight w:val="none"/>
          <w14:textFill>
            <w14:solidFill>
              <w14:schemeClr w14:val="tx1"/>
            </w14:solidFill>
          </w14:textFill>
        </w:rPr>
      </w:pPr>
    </w:p>
    <w:p w14:paraId="2A8D1A2A">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p>
    <w:p w14:paraId="13F5F259">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日期：</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年</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月</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日</w:t>
      </w:r>
    </w:p>
    <w:p w14:paraId="7158988F">
      <w:pPr>
        <w:tabs>
          <w:tab w:val="left" w:pos="7560"/>
          <w:tab w:val="left" w:pos="7920"/>
        </w:tabs>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bookmarkStart w:id="1393" w:name="_Toc417029006"/>
      <w:bookmarkStart w:id="1394" w:name="_Toc397585461"/>
    </w:p>
    <w:p w14:paraId="72DE2F9F">
      <w:pPr>
        <w:tabs>
          <w:tab w:val="left" w:pos="7560"/>
          <w:tab w:val="left" w:pos="7920"/>
        </w:tabs>
        <w:spacing w:line="500" w:lineRule="exact"/>
        <w:jc w:val="center"/>
        <w:rPr>
          <w:rFonts w:ascii="宋体" w:hAnsi="Times New Roman" w:eastAsia="宋体" w:cs="Times New Roman"/>
          <w:color w:val="000000" w:themeColor="text1"/>
          <w:sz w:val="28"/>
          <w:szCs w:val="28"/>
          <w:highlight w:val="none"/>
          <w14:textFill>
            <w14:solidFill>
              <w14:schemeClr w14:val="tx1"/>
            </w14:solidFill>
          </w14:textFill>
        </w:rPr>
      </w:pPr>
      <w:r>
        <w:rPr>
          <w:rFonts w:ascii="宋体" w:hAnsi="Times New Roman" w:eastAsia="宋体" w:cs="Times New Roman"/>
          <w:color w:val="000000" w:themeColor="text1"/>
          <w:sz w:val="36"/>
          <w:szCs w:val="36"/>
          <w:highlight w:val="none"/>
          <w14:textFill>
            <w14:solidFill>
              <w14:schemeClr w14:val="tx1"/>
            </w14:solidFill>
          </w14:textFill>
        </w:rPr>
        <w:br w:type="page"/>
      </w:r>
    </w:p>
    <w:p w14:paraId="60A8F87E">
      <w:pPr>
        <w:jc w:val="center"/>
        <w:rPr>
          <w:rFonts w:ascii="宋体" w:hAnsi="宋体" w:eastAsia="宋体" w:cs="Times New Roman"/>
          <w:b/>
          <w:color w:val="000000" w:themeColor="text1"/>
          <w:sz w:val="44"/>
          <w:szCs w:val="52"/>
          <w:highlight w:val="none"/>
          <w14:textFill>
            <w14:solidFill>
              <w14:schemeClr w14:val="tx1"/>
            </w14:solidFill>
          </w14:textFill>
        </w:rPr>
      </w:pPr>
      <w:r>
        <w:rPr>
          <w:rFonts w:hint="eastAsia" w:ascii="宋体" w:hAnsi="宋体" w:eastAsia="宋体" w:cs="Times New Roman"/>
          <w:b/>
          <w:color w:val="000000" w:themeColor="text1"/>
          <w:sz w:val="44"/>
          <w:szCs w:val="52"/>
          <w:highlight w:val="none"/>
          <w14:textFill>
            <w14:solidFill>
              <w14:schemeClr w14:val="tx1"/>
            </w14:solidFill>
          </w14:textFill>
        </w:rPr>
        <w:t>目录</w:t>
      </w:r>
    </w:p>
    <w:p w14:paraId="4A15242E">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1、</w:t>
      </w:r>
      <w:r>
        <w:rPr>
          <w:rFonts w:hint="eastAsia" w:ascii="宋体" w:hAnsi="宋体" w:eastAsia="宋体" w:cs="Times New Roman"/>
          <w:b/>
          <w:color w:val="000000" w:themeColor="text1"/>
          <w:szCs w:val="21"/>
          <w:highlight w:val="none"/>
          <w14:textFill>
            <w14:solidFill>
              <w14:schemeClr w14:val="tx1"/>
            </w14:solidFill>
          </w14:textFill>
        </w:rPr>
        <w:t>资格证明文件</w:t>
      </w:r>
    </w:p>
    <w:p w14:paraId="504C5DF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磋商单位有效的营业执照复印件、</w:t>
      </w:r>
      <w:r>
        <w:rPr>
          <w:rFonts w:hint="eastAsia" w:ascii="宋体" w:hAnsi="宋体" w:eastAsia="宋体" w:cs="Times New Roman"/>
          <w:b/>
          <w:bCs/>
          <w:color w:val="000000" w:themeColor="text1"/>
          <w:szCs w:val="21"/>
          <w:highlight w:val="none"/>
          <w14:textFill>
            <w14:solidFill>
              <w14:schemeClr w14:val="tx1"/>
            </w14:solidFill>
          </w14:textFill>
        </w:rPr>
        <w:t>有效的资质证书复印件、安全生产许可证复印件</w:t>
      </w:r>
      <w:r>
        <w:rPr>
          <w:rFonts w:hint="eastAsia" w:ascii="宋体" w:hAnsi="宋体" w:eastAsia="宋体" w:cs="Times New Roman"/>
          <w:color w:val="000000" w:themeColor="text1"/>
          <w:szCs w:val="21"/>
          <w:highlight w:val="none"/>
          <w14:textFill>
            <w14:solidFill>
              <w14:schemeClr w14:val="tx1"/>
            </w14:solidFill>
          </w14:textFill>
        </w:rPr>
        <w:t>、有效的组织机构代码证复印件（如按国家规定三证合一的，不用提供）</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E75A09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（2）拟担任本工程项目项目经理（注册建造师）简历表；附拟投入本工程项目经理持有</w:t>
      </w:r>
      <w:r>
        <w:rPr>
          <w:rFonts w:hint="eastAsia" w:ascii="宋体" w:hAnsi="宋体" w:eastAsia="宋体" w:cs="Times New Roman"/>
          <w:color w:val="000000" w:themeColor="text1"/>
          <w:szCs w:val="21"/>
          <w:highlight w:val="none"/>
          <w:lang w:eastAsia="zh-CN"/>
          <w14:textFill>
            <w14:solidFill>
              <w14:schemeClr w14:val="tx1"/>
            </w14:solidFill>
          </w14:textFill>
        </w:rPr>
        <w:t>市政公用工程专业二级以上（含本级）</w:t>
      </w:r>
      <w:r>
        <w:rPr>
          <w:rFonts w:hint="eastAsia" w:ascii="宋体" w:hAnsi="宋体" w:eastAsia="宋体" w:cs="Times New Roman"/>
          <w:color w:val="000000" w:themeColor="text1"/>
          <w:highlight w:val="none"/>
          <w14:textFill>
            <w14:solidFill>
              <w14:schemeClr w14:val="tx1"/>
            </w14:solidFill>
          </w14:textFill>
        </w:rPr>
        <w:t>注册建造师执业资格；持有省级或省级以上行政主管部门颁发的B类安全生产考核合格证复印件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kern w:val="0"/>
          <w:szCs w:val="21"/>
          <w:highlight w:val="none"/>
          <w14:textFill>
            <w14:solidFill>
              <w14:schemeClr w14:val="tx1"/>
            </w14:solidFill>
          </w14:textFill>
        </w:rPr>
        <w:t>；</w:t>
      </w:r>
    </w:p>
    <w:p w14:paraId="634FD8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（3）贵港市政府采购项目投标资格承诺函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0F011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（4）信用承诺书</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3DFFAB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（5）磋商人为</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的证明材料【①如属于</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（必须提供，加盖单位电子公章）</w:t>
      </w:r>
      <w:r>
        <w:rPr>
          <w:rFonts w:hint="eastAsia" w:ascii="宋体" w:hAnsi="宋体" w:eastAsia="宋体" w:cs="Times New Roman"/>
          <w:b/>
          <w:bCs/>
          <w:color w:val="000000" w:themeColor="text1"/>
          <w:kern w:val="0"/>
          <w:szCs w:val="21"/>
          <w:highlight w:val="none"/>
          <w14:textFill>
            <w14:solidFill>
              <w14:schemeClr w14:val="tx1"/>
            </w14:solidFill>
          </w14:textFill>
        </w:rPr>
        <w:t>；</w:t>
      </w:r>
    </w:p>
    <w:p w14:paraId="162001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宋体"/>
          <w:color w:val="000000" w:themeColor="text1"/>
          <w:szCs w:val="21"/>
          <w:highlight w:val="none"/>
          <w14:textFill>
            <w14:solidFill>
              <w14:schemeClr w14:val="tx1"/>
            </w14:solidFill>
          </w14:textFill>
        </w:rPr>
        <w:t>。</w:t>
      </w:r>
    </w:p>
    <w:p w14:paraId="432A760C">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2、</w:t>
      </w:r>
      <w:r>
        <w:rPr>
          <w:rFonts w:hint="eastAsia" w:ascii="宋体" w:hAnsi="宋体" w:eastAsia="宋体" w:cs="Times New Roman"/>
          <w:b/>
          <w:color w:val="000000" w:themeColor="text1"/>
          <w:szCs w:val="21"/>
          <w:highlight w:val="none"/>
          <w14:textFill>
            <w14:solidFill>
              <w14:schemeClr w14:val="tx1"/>
            </w14:solidFill>
          </w14:textFill>
        </w:rPr>
        <w:t>报价文件</w:t>
      </w:r>
    </w:p>
    <w:p w14:paraId="292B90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（1）磋商函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highlight w:val="none"/>
          <w14:textFill>
            <w14:solidFill>
              <w14:schemeClr w14:val="tx1"/>
            </w14:solidFill>
          </w14:textFill>
        </w:rPr>
        <w:t>；</w:t>
      </w:r>
    </w:p>
    <w:p w14:paraId="0F7CBC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（2）工程量清单报价有关资料</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6F101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（3）按本</w:t>
      </w:r>
      <w:r>
        <w:rPr>
          <w:rFonts w:hint="eastAsia" w:ascii="宋体" w:hAnsi="宋体" w:eastAsia="宋体" w:cs="宋体"/>
          <w:color w:val="000000" w:themeColor="text1"/>
          <w:szCs w:val="21"/>
          <w:highlight w:val="none"/>
          <w14:textFill>
            <w14:solidFill>
              <w14:schemeClr w14:val="tx1"/>
            </w14:solidFill>
          </w14:textFill>
        </w:rPr>
        <w:t>竞争性磋商文件</w:t>
      </w:r>
      <w:r>
        <w:rPr>
          <w:rFonts w:hint="eastAsia" w:ascii="宋体" w:hAnsi="宋体" w:eastAsia="宋体" w:cs="Times New Roman"/>
          <w:color w:val="000000" w:themeColor="text1"/>
          <w:szCs w:val="21"/>
          <w:highlight w:val="none"/>
          <w14:textFill>
            <w14:solidFill>
              <w14:schemeClr w14:val="tx1"/>
            </w14:solidFill>
          </w14:textFill>
        </w:rPr>
        <w:t>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AA01D57">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3、</w:t>
      </w:r>
      <w:r>
        <w:rPr>
          <w:rFonts w:hint="eastAsia" w:ascii="宋体" w:hAnsi="宋体" w:eastAsia="宋体" w:cs="Times New Roman"/>
          <w:b/>
          <w:color w:val="000000" w:themeColor="text1"/>
          <w:szCs w:val="21"/>
          <w:highlight w:val="none"/>
          <w14:textFill>
            <w14:solidFill>
              <w14:schemeClr w14:val="tx1"/>
            </w14:solidFill>
          </w14:textFill>
        </w:rPr>
        <w:t>商务技术文件</w:t>
      </w:r>
    </w:p>
    <w:p w14:paraId="3B5B73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（1）无串通竞标行为的承诺函（格式后附）</w:t>
      </w:r>
      <w:r>
        <w:rPr>
          <w:rFonts w:hint="eastAsia" w:ascii="宋体" w:hAnsi="宋体" w:eastAsia="宋体" w:cs="Times New Roman"/>
          <w:b/>
          <w:bCs/>
          <w:color w:val="000000" w:themeColor="text1"/>
          <w:kern w:val="0"/>
          <w:szCs w:val="21"/>
          <w:highlight w:val="none"/>
          <w14:textFill>
            <w14:solidFill>
              <w14:schemeClr w14:val="tx1"/>
            </w14:solidFill>
          </w14:textFill>
        </w:rPr>
        <w:t>（必须提供，否则响应文件按无效响应处理）</w:t>
      </w:r>
      <w:r>
        <w:rPr>
          <w:rFonts w:hint="eastAsia" w:ascii="宋体" w:hAnsi="宋体" w:eastAsia="宋体" w:cs="Times New Roman"/>
          <w:color w:val="000000" w:themeColor="text1"/>
          <w:szCs w:val="21"/>
          <w:highlight w:val="none"/>
          <w14:textFill>
            <w14:solidFill>
              <w14:schemeClr w14:val="tx1"/>
            </w14:solidFill>
          </w14:textFill>
        </w:rPr>
        <w:t>；</w:t>
      </w:r>
    </w:p>
    <w:p w14:paraId="21D0F5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（2）法定代表人身份证明书及其有效的身份证正反面复印件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75126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（3）法定代表人授权委托书原件和委托代理人有效的身份证正反面复印件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（委托代理时必须提供，加盖单位电子公章）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BA98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（4）施工组织设计</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54C780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（5）项目管理机构配备情况表</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附安全生产管理人员、施工员等其他相关人员的上岗证和安全生产管理人员安全生产考核合格证复印件；</w:t>
      </w:r>
    </w:p>
    <w:p w14:paraId="3BCB15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（6）202</w:t>
      </w:r>
      <w:r>
        <w:rPr>
          <w:rFonts w:hint="eastAsia" w:ascii="宋体" w:hAnsi="宋体" w:eastAsia="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年1月1日以来至今企业完成</w:t>
      </w:r>
      <w:r>
        <w:rPr>
          <w:rFonts w:hint="eastAsia" w:ascii="宋体" w:hAnsi="宋体" w:eastAsia="宋体" w:cs="Times New Roman"/>
          <w:b w:val="0"/>
          <w:bCs w:val="0"/>
          <w:color w:val="000000" w:themeColor="text1"/>
          <w:szCs w:val="21"/>
          <w:highlight w:val="none"/>
          <w14:textFill>
            <w14:solidFill>
              <w14:schemeClr w14:val="tx1"/>
            </w14:solidFill>
          </w14:textFill>
        </w:rPr>
        <w:t>过</w:t>
      </w:r>
      <w:r>
        <w:rPr>
          <w:rFonts w:hint="eastAsia" w:ascii="宋体" w:hAnsi="宋体" w:eastAsia="宋体" w:cs="Times New Roman"/>
          <w:b/>
          <w:bCs/>
          <w:color w:val="000000" w:themeColor="text1"/>
          <w:szCs w:val="21"/>
          <w:highlight w:val="none"/>
          <w:u w:val="none"/>
          <w:lang w:eastAsia="zh-CN"/>
          <w14:textFill>
            <w14:solidFill>
              <w14:schemeClr w14:val="tx1"/>
            </w14:solidFill>
          </w14:textFill>
        </w:rPr>
        <w:t>市政公用工程</w:t>
      </w:r>
      <w:r>
        <w:rPr>
          <w:rFonts w:hint="eastAsia" w:ascii="宋体" w:hAnsi="宋体" w:eastAsia="宋体" w:cs="Times New Roman"/>
          <w:b w:val="0"/>
          <w:bCs w:val="0"/>
          <w:color w:val="000000" w:themeColor="text1"/>
          <w:szCs w:val="21"/>
          <w:highlight w:val="none"/>
          <w14:textFill>
            <w14:solidFill>
              <w14:schemeClr w14:val="tx1"/>
            </w14:solidFill>
          </w14:textFill>
        </w:rPr>
        <w:t>项</w:t>
      </w:r>
      <w:r>
        <w:rPr>
          <w:rFonts w:hint="eastAsia" w:ascii="宋体" w:hAnsi="宋体" w:eastAsia="宋体" w:cs="Times New Roman"/>
          <w:color w:val="000000" w:themeColor="text1"/>
          <w:szCs w:val="21"/>
          <w:highlight w:val="none"/>
          <w14:textFill>
            <w14:solidFill>
              <w14:schemeClr w14:val="tx1"/>
            </w14:solidFill>
          </w14:textFill>
        </w:rPr>
        <w:t>目情况表（格式自拟）。附成交（中标）通知书或施工合同复印件</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C850E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A939D6C">
      <w:pPr>
        <w:rPr>
          <w:rFonts w:ascii="Times New Roman" w:hAnsi="Times New Roman" w:eastAsia="宋体" w:cs="Times New Roman"/>
          <w:color w:val="000000" w:themeColor="text1"/>
          <w:szCs w:val="21"/>
          <w:highlight w:val="none"/>
          <w14:textFill>
            <w14:solidFill>
              <w14:schemeClr w14:val="tx1"/>
            </w14:solidFill>
          </w14:textFill>
        </w:rPr>
      </w:pPr>
    </w:p>
    <w:bookmarkEnd w:id="1393"/>
    <w:bookmarkEnd w:id="1394"/>
    <w:p w14:paraId="6F679DAD">
      <w:pPr>
        <w:keepNext/>
        <w:keepLines/>
        <w:spacing w:before="260" w:after="260" w:line="500" w:lineRule="exact"/>
        <w:jc w:val="center"/>
        <w:outlineLvl w:val="1"/>
        <w:rPr>
          <w:rFonts w:ascii="Cambria" w:hAnsi="Cambria" w:eastAsia="宋体" w:cs="Times New Roman"/>
          <w:b/>
          <w:bCs/>
          <w:color w:val="000000" w:themeColor="text1"/>
          <w:sz w:val="32"/>
          <w:szCs w:val="32"/>
          <w:highlight w:val="none"/>
          <w14:textFill>
            <w14:solidFill>
              <w14:schemeClr w14:val="tx1"/>
            </w14:solidFill>
          </w14:textFill>
        </w:rPr>
        <w:sectPr>
          <w:footerReference r:id="rId11" w:type="first"/>
          <w:footerReference r:id="rId10" w:type="default"/>
          <w:pgSz w:w="11906" w:h="16838"/>
          <w:pgMar w:top="1440" w:right="1080" w:bottom="1440" w:left="1080" w:header="567" w:footer="624" w:gutter="0"/>
          <w:cols w:space="720" w:num="1"/>
          <w:docGrid w:linePitch="312" w:charSpace="0"/>
        </w:sectPr>
      </w:pPr>
      <w:bookmarkStart w:id="1395" w:name="_Toc354479504"/>
      <w:bookmarkStart w:id="1396" w:name="_Toc358477286"/>
      <w:bookmarkStart w:id="1397" w:name="_Toc357157412"/>
    </w:p>
    <w:bookmarkEnd w:id="1395"/>
    <w:bookmarkEnd w:id="1396"/>
    <w:bookmarkEnd w:id="1397"/>
    <w:p w14:paraId="70A25B07">
      <w:pPr>
        <w:jc w:val="center"/>
        <w:rPr>
          <w:rFonts w:ascii="Times New Roman" w:hAnsi="Times New Roman" w:eastAsia="宋体" w:cs="Times New Roman"/>
          <w:b/>
          <w:color w:val="000000" w:themeColor="text1"/>
          <w:sz w:val="28"/>
          <w:highlight w:val="none"/>
          <w14:textFill>
            <w14:solidFill>
              <w14:schemeClr w14:val="tx1"/>
            </w14:solidFill>
          </w14:textFill>
        </w:rPr>
      </w:pPr>
      <w:bookmarkStart w:id="1398" w:name="_Toc451430990"/>
      <w:bookmarkStart w:id="1399" w:name="_Toc417029008"/>
      <w:bookmarkStart w:id="1400" w:name="_Toc451430922"/>
      <w:bookmarkStart w:id="1401" w:name="_Toc397585463"/>
      <w:r>
        <w:rPr>
          <w:rFonts w:hint="eastAsia" w:ascii="Times New Roman" w:hAnsi="Times New Roman" w:eastAsia="宋体" w:cs="Times New Roman"/>
          <w:b/>
          <w:color w:val="000000" w:themeColor="text1"/>
          <w:sz w:val="28"/>
          <w:highlight w:val="none"/>
          <w14:textFill>
            <w14:solidFill>
              <w14:schemeClr w14:val="tx1"/>
            </w14:solidFill>
          </w14:textFill>
        </w:rPr>
        <w:t>一、资格证明文件</w:t>
      </w:r>
    </w:p>
    <w:p w14:paraId="299B82D4">
      <w:pPr>
        <w:spacing w:line="440" w:lineRule="exact"/>
        <w:jc w:val="center"/>
        <w:rPr>
          <w:rFonts w:ascii="宋体" w:hAnsi="宋体" w:eastAsia="宋体" w:cs="Times New Roman"/>
          <w:b/>
          <w:color w:val="000000" w:themeColor="text1"/>
          <w:sz w:val="22"/>
          <w:szCs w:val="36"/>
          <w:highlight w:val="none"/>
          <w14:textFill>
            <w14:solidFill>
              <w14:schemeClr w14:val="tx1"/>
            </w14:solidFill>
          </w14:textFill>
        </w:rPr>
      </w:pPr>
      <w:r>
        <w:rPr>
          <w:rFonts w:hint="eastAsia" w:ascii="宋体" w:hAnsi="宋体" w:eastAsia="宋体" w:cs="Times New Roman"/>
          <w:b/>
          <w:color w:val="000000" w:themeColor="text1"/>
          <w:sz w:val="22"/>
          <w:szCs w:val="36"/>
          <w:highlight w:val="none"/>
          <w14:textFill>
            <w14:solidFill>
              <w14:schemeClr w14:val="tx1"/>
            </w14:solidFill>
          </w14:textFill>
        </w:rPr>
        <w:t>1、磋商单位有效的营业执照复印件、有效的资质证书复印件、安全生产许可证复印件、有效的组织机构代码证复印件（如按国家规定三证合一的，不用提供）（必须提供，加盖单位电子公章）；</w:t>
      </w:r>
    </w:p>
    <w:p w14:paraId="72C637CA">
      <w:pPr>
        <w:spacing w:line="440" w:lineRule="exact"/>
        <w:rPr>
          <w:rFonts w:ascii="宋体" w:hAnsi="宋体" w:eastAsia="宋体" w:cs="Times New Roman"/>
          <w:b/>
          <w:color w:val="000000" w:themeColor="text1"/>
          <w:sz w:val="30"/>
          <w:szCs w:val="36"/>
          <w:highlight w:val="none"/>
          <w14:textFill>
            <w14:solidFill>
              <w14:schemeClr w14:val="tx1"/>
            </w14:solidFill>
          </w14:textFill>
        </w:rPr>
      </w:pPr>
    </w:p>
    <w:p w14:paraId="13E0DEA5">
      <w:pPr>
        <w:spacing w:line="440" w:lineRule="exact"/>
        <w:rPr>
          <w:rFonts w:ascii="宋体" w:hAnsi="宋体" w:eastAsia="宋体" w:cs="Times New Roman"/>
          <w:b/>
          <w:color w:val="000000" w:themeColor="text1"/>
          <w:sz w:val="30"/>
          <w:szCs w:val="36"/>
          <w:highlight w:val="none"/>
          <w14:textFill>
            <w14:solidFill>
              <w14:schemeClr w14:val="tx1"/>
            </w14:solidFill>
          </w14:textFill>
        </w:rPr>
      </w:pPr>
    </w:p>
    <w:p w14:paraId="1DF8F94C">
      <w:pPr>
        <w:jc w:val="center"/>
        <w:rPr>
          <w:rFonts w:ascii="Times New Roman" w:hAnsi="Times New Roman" w:eastAsia="宋体" w:cs="Times New Roman"/>
          <w:color w:val="000000" w:themeColor="text1"/>
          <w:sz w:val="30"/>
          <w:szCs w:val="30"/>
          <w:highlight w:val="none"/>
          <w14:textFill>
            <w14:solidFill>
              <w14:schemeClr w14:val="tx1"/>
            </w14:solidFill>
          </w14:textFill>
        </w:rPr>
      </w:pPr>
    </w:p>
    <w:p w14:paraId="538BC3F9">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2、拟担任本工程项目项目经理（注册建造师）简历表；（必须提供，加盖单位电子公章）；</w:t>
      </w:r>
    </w:p>
    <w:tbl>
      <w:tblPr>
        <w:tblStyle w:val="29"/>
        <w:tblpPr w:leftFromText="180" w:rightFromText="180" w:vertAnchor="text" w:horzAnchor="margin" w:tblpXSpec="center" w:tblpY="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54"/>
        <w:gridCol w:w="1623"/>
        <w:gridCol w:w="1079"/>
        <w:gridCol w:w="899"/>
        <w:gridCol w:w="360"/>
        <w:gridCol w:w="1430"/>
        <w:gridCol w:w="1015"/>
        <w:gridCol w:w="1499"/>
      </w:tblGrid>
      <w:tr w14:paraId="6FF5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3EA973FF">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姓名</w:t>
            </w:r>
          </w:p>
        </w:tc>
        <w:tc>
          <w:tcPr>
            <w:tcW w:w="1623" w:type="dxa"/>
            <w:tcBorders>
              <w:top w:val="single" w:color="auto" w:sz="4" w:space="0"/>
              <w:left w:val="single" w:color="auto" w:sz="4" w:space="0"/>
              <w:bottom w:val="single" w:color="auto" w:sz="4" w:space="0"/>
              <w:right w:val="single" w:color="auto" w:sz="4" w:space="0"/>
            </w:tcBorders>
          </w:tcPr>
          <w:p w14:paraId="6EC1AC9C">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1079" w:type="dxa"/>
            <w:tcBorders>
              <w:top w:val="single" w:color="auto" w:sz="4" w:space="0"/>
              <w:left w:val="single" w:color="auto" w:sz="4" w:space="0"/>
              <w:bottom w:val="single" w:color="auto" w:sz="4" w:space="0"/>
              <w:right w:val="single" w:color="auto" w:sz="4" w:space="0"/>
            </w:tcBorders>
            <w:vAlign w:val="center"/>
          </w:tcPr>
          <w:p w14:paraId="7766C187">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年龄</w:t>
            </w:r>
          </w:p>
        </w:tc>
        <w:tc>
          <w:tcPr>
            <w:tcW w:w="1259" w:type="dxa"/>
            <w:gridSpan w:val="2"/>
            <w:tcBorders>
              <w:top w:val="single" w:color="auto" w:sz="4" w:space="0"/>
              <w:left w:val="single" w:color="auto" w:sz="4" w:space="0"/>
              <w:bottom w:val="single" w:color="auto" w:sz="4" w:space="0"/>
              <w:right w:val="single" w:color="auto" w:sz="4" w:space="0"/>
            </w:tcBorders>
          </w:tcPr>
          <w:p w14:paraId="4959C2AE">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2445" w:type="dxa"/>
            <w:gridSpan w:val="2"/>
            <w:tcBorders>
              <w:top w:val="single" w:color="auto" w:sz="4" w:space="0"/>
              <w:left w:val="single" w:color="auto" w:sz="4" w:space="0"/>
              <w:bottom w:val="single" w:color="auto" w:sz="4" w:space="0"/>
              <w:right w:val="single" w:color="auto" w:sz="4" w:space="0"/>
            </w:tcBorders>
            <w:vAlign w:val="center"/>
          </w:tcPr>
          <w:p w14:paraId="25165024">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学 历</w:t>
            </w:r>
          </w:p>
        </w:tc>
        <w:tc>
          <w:tcPr>
            <w:tcW w:w="1499" w:type="dxa"/>
            <w:tcBorders>
              <w:top w:val="single" w:color="auto" w:sz="4" w:space="0"/>
              <w:left w:val="single" w:color="auto" w:sz="4" w:space="0"/>
              <w:bottom w:val="single" w:color="auto" w:sz="4" w:space="0"/>
              <w:right w:val="single" w:color="auto" w:sz="4" w:space="0"/>
            </w:tcBorders>
          </w:tcPr>
          <w:p w14:paraId="057D124A">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r>
      <w:tr w14:paraId="3595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5BC67017">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职称</w:t>
            </w:r>
          </w:p>
        </w:tc>
        <w:tc>
          <w:tcPr>
            <w:tcW w:w="1623" w:type="dxa"/>
            <w:tcBorders>
              <w:top w:val="single" w:color="auto" w:sz="4" w:space="0"/>
              <w:left w:val="single" w:color="auto" w:sz="4" w:space="0"/>
              <w:bottom w:val="single" w:color="auto" w:sz="4" w:space="0"/>
              <w:right w:val="single" w:color="auto" w:sz="4" w:space="0"/>
            </w:tcBorders>
          </w:tcPr>
          <w:p w14:paraId="6A487124">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1079" w:type="dxa"/>
            <w:tcBorders>
              <w:top w:val="single" w:color="auto" w:sz="4" w:space="0"/>
              <w:left w:val="single" w:color="auto" w:sz="4" w:space="0"/>
              <w:bottom w:val="single" w:color="auto" w:sz="4" w:space="0"/>
              <w:right w:val="single" w:color="auto" w:sz="4" w:space="0"/>
            </w:tcBorders>
            <w:vAlign w:val="center"/>
          </w:tcPr>
          <w:p w14:paraId="2E34E51F">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职务</w:t>
            </w:r>
          </w:p>
        </w:tc>
        <w:tc>
          <w:tcPr>
            <w:tcW w:w="1259" w:type="dxa"/>
            <w:gridSpan w:val="2"/>
            <w:tcBorders>
              <w:top w:val="single" w:color="auto" w:sz="4" w:space="0"/>
              <w:left w:val="single" w:color="auto" w:sz="4" w:space="0"/>
              <w:bottom w:val="single" w:color="auto" w:sz="4" w:space="0"/>
              <w:right w:val="single" w:color="auto" w:sz="4" w:space="0"/>
            </w:tcBorders>
          </w:tcPr>
          <w:p w14:paraId="306BE2CD">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2445" w:type="dxa"/>
            <w:gridSpan w:val="2"/>
            <w:tcBorders>
              <w:top w:val="single" w:color="auto" w:sz="4" w:space="0"/>
              <w:left w:val="single" w:color="auto" w:sz="4" w:space="0"/>
              <w:bottom w:val="single" w:color="auto" w:sz="4" w:space="0"/>
              <w:right w:val="single" w:color="auto" w:sz="4" w:space="0"/>
            </w:tcBorders>
            <w:vAlign w:val="center"/>
          </w:tcPr>
          <w:p w14:paraId="6CA0CD2C">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注册建造师证号</w:t>
            </w:r>
          </w:p>
        </w:tc>
        <w:tc>
          <w:tcPr>
            <w:tcW w:w="1499" w:type="dxa"/>
            <w:tcBorders>
              <w:top w:val="single" w:color="auto" w:sz="4" w:space="0"/>
              <w:left w:val="single" w:color="auto" w:sz="4" w:space="0"/>
              <w:bottom w:val="single" w:color="auto" w:sz="4" w:space="0"/>
              <w:right w:val="single" w:color="auto" w:sz="4" w:space="0"/>
            </w:tcBorders>
          </w:tcPr>
          <w:p w14:paraId="146FBF01">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r>
      <w:tr w14:paraId="53CD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54F86370">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毕业学校</w:t>
            </w:r>
          </w:p>
        </w:tc>
        <w:tc>
          <w:tcPr>
            <w:tcW w:w="7905" w:type="dxa"/>
            <w:gridSpan w:val="7"/>
            <w:tcBorders>
              <w:top w:val="single" w:color="auto" w:sz="4" w:space="0"/>
              <w:left w:val="single" w:color="auto" w:sz="4" w:space="0"/>
              <w:bottom w:val="single" w:color="auto" w:sz="4" w:space="0"/>
              <w:right w:val="single" w:color="auto" w:sz="4" w:space="0"/>
            </w:tcBorders>
          </w:tcPr>
          <w:p w14:paraId="75A6792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年毕业于                 学校         专业</w:t>
            </w:r>
          </w:p>
        </w:tc>
      </w:tr>
      <w:tr w14:paraId="6C97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518" w:type="dxa"/>
            <w:gridSpan w:val="9"/>
            <w:tcBorders>
              <w:top w:val="single" w:color="auto" w:sz="4" w:space="0"/>
              <w:left w:val="single" w:color="auto" w:sz="4" w:space="0"/>
              <w:bottom w:val="single" w:color="auto" w:sz="4" w:space="0"/>
              <w:right w:val="single" w:color="auto" w:sz="4" w:space="0"/>
            </w:tcBorders>
          </w:tcPr>
          <w:p w14:paraId="2CF38BF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主要工作经历</w:t>
            </w:r>
          </w:p>
        </w:tc>
      </w:tr>
      <w:tr w14:paraId="40CF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59" w:type="dxa"/>
            <w:tcBorders>
              <w:top w:val="single" w:color="auto" w:sz="4" w:space="0"/>
              <w:left w:val="single" w:color="auto" w:sz="4" w:space="0"/>
              <w:bottom w:val="single" w:color="auto" w:sz="4" w:space="0"/>
              <w:right w:val="single" w:color="auto" w:sz="4" w:space="0"/>
            </w:tcBorders>
            <w:vAlign w:val="center"/>
          </w:tcPr>
          <w:p w14:paraId="322AFF32">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时间</w:t>
            </w:r>
          </w:p>
        </w:tc>
        <w:tc>
          <w:tcPr>
            <w:tcW w:w="3955" w:type="dxa"/>
            <w:gridSpan w:val="4"/>
            <w:tcBorders>
              <w:top w:val="single" w:color="auto" w:sz="4" w:space="0"/>
              <w:left w:val="single" w:color="auto" w:sz="4" w:space="0"/>
              <w:bottom w:val="single" w:color="auto" w:sz="4" w:space="0"/>
              <w:right w:val="single" w:color="auto" w:sz="4" w:space="0"/>
            </w:tcBorders>
            <w:vAlign w:val="center"/>
          </w:tcPr>
          <w:p w14:paraId="634946E1">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完成过的类似项目</w:t>
            </w:r>
          </w:p>
        </w:tc>
        <w:tc>
          <w:tcPr>
            <w:tcW w:w="1790" w:type="dxa"/>
            <w:gridSpan w:val="2"/>
            <w:tcBorders>
              <w:top w:val="single" w:color="auto" w:sz="4" w:space="0"/>
              <w:left w:val="single" w:color="auto" w:sz="4" w:space="0"/>
              <w:bottom w:val="single" w:color="auto" w:sz="4" w:space="0"/>
              <w:right w:val="single" w:color="auto" w:sz="4" w:space="0"/>
            </w:tcBorders>
            <w:vAlign w:val="center"/>
          </w:tcPr>
          <w:p w14:paraId="629A1831">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结构类型</w:t>
            </w:r>
          </w:p>
        </w:tc>
        <w:tc>
          <w:tcPr>
            <w:tcW w:w="2514" w:type="dxa"/>
            <w:gridSpan w:val="2"/>
            <w:tcBorders>
              <w:top w:val="single" w:color="auto" w:sz="4" w:space="0"/>
              <w:left w:val="single" w:color="auto" w:sz="4" w:space="0"/>
              <w:bottom w:val="single" w:color="auto" w:sz="4" w:space="0"/>
              <w:right w:val="single" w:color="auto" w:sz="4" w:space="0"/>
            </w:tcBorders>
            <w:vAlign w:val="center"/>
          </w:tcPr>
          <w:p w14:paraId="232DC8C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合同价</w:t>
            </w:r>
          </w:p>
        </w:tc>
      </w:tr>
      <w:tr w14:paraId="461B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59" w:type="dxa"/>
            <w:tcBorders>
              <w:top w:val="single" w:color="auto" w:sz="4" w:space="0"/>
              <w:left w:val="single" w:color="auto" w:sz="4" w:space="0"/>
              <w:bottom w:val="single" w:color="auto" w:sz="4" w:space="0"/>
              <w:right w:val="single" w:color="auto" w:sz="4" w:space="0"/>
            </w:tcBorders>
          </w:tcPr>
          <w:p w14:paraId="3E9BA681">
            <w:pPr>
              <w:rPr>
                <w:rFonts w:ascii="宋体" w:hAnsi="宋体" w:eastAsia="宋体" w:cs="Times New Roman"/>
                <w:color w:val="000000" w:themeColor="text1"/>
                <w:kern w:val="56"/>
                <w:szCs w:val="21"/>
                <w:highlight w:val="none"/>
                <w14:textFill>
                  <w14:solidFill>
                    <w14:schemeClr w14:val="tx1"/>
                  </w14:solidFill>
                </w14:textFill>
              </w:rPr>
            </w:pPr>
          </w:p>
        </w:tc>
        <w:tc>
          <w:tcPr>
            <w:tcW w:w="3955" w:type="dxa"/>
            <w:gridSpan w:val="4"/>
            <w:tcBorders>
              <w:top w:val="single" w:color="auto" w:sz="4" w:space="0"/>
              <w:left w:val="single" w:color="auto" w:sz="4" w:space="0"/>
              <w:bottom w:val="single" w:color="auto" w:sz="4" w:space="0"/>
              <w:right w:val="single" w:color="auto" w:sz="4" w:space="0"/>
            </w:tcBorders>
          </w:tcPr>
          <w:p w14:paraId="777688BB">
            <w:pPr>
              <w:rPr>
                <w:rFonts w:ascii="宋体" w:hAnsi="宋体" w:eastAsia="宋体" w:cs="Times New Roman"/>
                <w:color w:val="000000" w:themeColor="text1"/>
                <w:kern w:val="56"/>
                <w:szCs w:val="21"/>
                <w:highlight w:val="none"/>
                <w14:textFill>
                  <w14:solidFill>
                    <w14:schemeClr w14:val="tx1"/>
                  </w14:solidFill>
                </w14:textFill>
              </w:rPr>
            </w:pPr>
          </w:p>
        </w:tc>
        <w:tc>
          <w:tcPr>
            <w:tcW w:w="1790" w:type="dxa"/>
            <w:gridSpan w:val="2"/>
            <w:tcBorders>
              <w:top w:val="single" w:color="auto" w:sz="4" w:space="0"/>
              <w:left w:val="single" w:color="auto" w:sz="4" w:space="0"/>
              <w:bottom w:val="single" w:color="auto" w:sz="4" w:space="0"/>
              <w:right w:val="single" w:color="auto" w:sz="4" w:space="0"/>
            </w:tcBorders>
          </w:tcPr>
          <w:p w14:paraId="3E570808">
            <w:pPr>
              <w:rPr>
                <w:rFonts w:ascii="宋体" w:hAnsi="宋体" w:eastAsia="宋体" w:cs="Times New Roman"/>
                <w:color w:val="000000" w:themeColor="text1"/>
                <w:kern w:val="56"/>
                <w:szCs w:val="21"/>
                <w:highlight w:val="none"/>
                <w14:textFill>
                  <w14:solidFill>
                    <w14:schemeClr w14:val="tx1"/>
                  </w14:solidFill>
                </w14:textFill>
              </w:rPr>
            </w:pPr>
          </w:p>
        </w:tc>
        <w:tc>
          <w:tcPr>
            <w:tcW w:w="2514" w:type="dxa"/>
            <w:gridSpan w:val="2"/>
            <w:tcBorders>
              <w:top w:val="single" w:color="auto" w:sz="4" w:space="0"/>
              <w:left w:val="single" w:color="auto" w:sz="4" w:space="0"/>
              <w:bottom w:val="single" w:color="auto" w:sz="4" w:space="0"/>
              <w:right w:val="single" w:color="auto" w:sz="4" w:space="0"/>
            </w:tcBorders>
          </w:tcPr>
          <w:p w14:paraId="32DF2423">
            <w:pPr>
              <w:rPr>
                <w:rFonts w:ascii="宋体" w:hAnsi="宋体" w:eastAsia="宋体" w:cs="Times New Roman"/>
                <w:color w:val="000000" w:themeColor="text1"/>
                <w:kern w:val="56"/>
                <w:szCs w:val="21"/>
                <w:highlight w:val="none"/>
                <w14:textFill>
                  <w14:solidFill>
                    <w14:schemeClr w14:val="tx1"/>
                  </w14:solidFill>
                </w14:textFill>
              </w:rPr>
            </w:pPr>
          </w:p>
        </w:tc>
      </w:tr>
      <w:tr w14:paraId="0422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59" w:type="dxa"/>
            <w:tcBorders>
              <w:top w:val="single" w:color="auto" w:sz="4" w:space="0"/>
              <w:left w:val="single" w:color="auto" w:sz="4" w:space="0"/>
              <w:bottom w:val="single" w:color="auto" w:sz="4" w:space="0"/>
              <w:right w:val="single" w:color="auto" w:sz="4" w:space="0"/>
            </w:tcBorders>
          </w:tcPr>
          <w:p w14:paraId="5BCCBB55">
            <w:pPr>
              <w:rPr>
                <w:rFonts w:ascii="宋体" w:hAnsi="宋体" w:eastAsia="宋体" w:cs="Times New Roman"/>
                <w:color w:val="000000" w:themeColor="text1"/>
                <w:kern w:val="56"/>
                <w:sz w:val="24"/>
                <w:highlight w:val="none"/>
                <w14:textFill>
                  <w14:solidFill>
                    <w14:schemeClr w14:val="tx1"/>
                  </w14:solidFill>
                </w14:textFill>
              </w:rPr>
            </w:pPr>
          </w:p>
        </w:tc>
        <w:tc>
          <w:tcPr>
            <w:tcW w:w="3955" w:type="dxa"/>
            <w:gridSpan w:val="4"/>
            <w:tcBorders>
              <w:top w:val="single" w:color="auto" w:sz="4" w:space="0"/>
              <w:left w:val="single" w:color="auto" w:sz="4" w:space="0"/>
              <w:bottom w:val="single" w:color="auto" w:sz="4" w:space="0"/>
              <w:right w:val="single" w:color="auto" w:sz="4" w:space="0"/>
            </w:tcBorders>
          </w:tcPr>
          <w:p w14:paraId="19E25566">
            <w:pPr>
              <w:rPr>
                <w:rFonts w:ascii="宋体" w:hAnsi="宋体" w:eastAsia="宋体" w:cs="Times New Roman"/>
                <w:color w:val="000000" w:themeColor="text1"/>
                <w:kern w:val="56"/>
                <w:sz w:val="24"/>
                <w:highlight w:val="none"/>
                <w14:textFill>
                  <w14:solidFill>
                    <w14:schemeClr w14:val="tx1"/>
                  </w14:solidFill>
                </w14:textFill>
              </w:rPr>
            </w:pPr>
          </w:p>
        </w:tc>
        <w:tc>
          <w:tcPr>
            <w:tcW w:w="1790" w:type="dxa"/>
            <w:gridSpan w:val="2"/>
            <w:tcBorders>
              <w:top w:val="single" w:color="auto" w:sz="4" w:space="0"/>
              <w:left w:val="single" w:color="auto" w:sz="4" w:space="0"/>
              <w:bottom w:val="single" w:color="auto" w:sz="4" w:space="0"/>
              <w:right w:val="single" w:color="auto" w:sz="4" w:space="0"/>
            </w:tcBorders>
          </w:tcPr>
          <w:p w14:paraId="65398815">
            <w:pPr>
              <w:rPr>
                <w:rFonts w:ascii="宋体" w:hAnsi="宋体" w:eastAsia="宋体" w:cs="Times New Roman"/>
                <w:color w:val="000000" w:themeColor="text1"/>
                <w:kern w:val="56"/>
                <w:sz w:val="24"/>
                <w:highlight w:val="none"/>
                <w14:textFill>
                  <w14:solidFill>
                    <w14:schemeClr w14:val="tx1"/>
                  </w14:solidFill>
                </w14:textFill>
              </w:rPr>
            </w:pPr>
          </w:p>
        </w:tc>
        <w:tc>
          <w:tcPr>
            <w:tcW w:w="2514" w:type="dxa"/>
            <w:gridSpan w:val="2"/>
            <w:tcBorders>
              <w:top w:val="single" w:color="auto" w:sz="4" w:space="0"/>
              <w:left w:val="single" w:color="auto" w:sz="4" w:space="0"/>
              <w:bottom w:val="single" w:color="auto" w:sz="4" w:space="0"/>
              <w:right w:val="single" w:color="auto" w:sz="4" w:space="0"/>
            </w:tcBorders>
          </w:tcPr>
          <w:p w14:paraId="2529D4AE">
            <w:pPr>
              <w:rPr>
                <w:rFonts w:ascii="宋体" w:hAnsi="宋体" w:eastAsia="宋体" w:cs="Times New Roman"/>
                <w:color w:val="000000" w:themeColor="text1"/>
                <w:kern w:val="56"/>
                <w:sz w:val="24"/>
                <w:highlight w:val="none"/>
                <w14:textFill>
                  <w14:solidFill>
                    <w14:schemeClr w14:val="tx1"/>
                  </w14:solidFill>
                </w14:textFill>
              </w:rPr>
            </w:pPr>
          </w:p>
        </w:tc>
      </w:tr>
    </w:tbl>
    <w:p w14:paraId="2778CBAA">
      <w:pPr>
        <w:jc w:val="center"/>
        <w:rPr>
          <w:rFonts w:ascii="Times New Roman" w:hAnsi="Times New Roman" w:eastAsia="宋体" w:cs="Times New Roman"/>
          <w:b/>
          <w:color w:val="000000" w:themeColor="text1"/>
          <w:highlight w:val="none"/>
          <w14:textFill>
            <w14:solidFill>
              <w14:schemeClr w14:val="tx1"/>
            </w14:solidFill>
          </w14:textFill>
        </w:rPr>
      </w:pPr>
      <w:r>
        <w:rPr>
          <w:rFonts w:hint="eastAsia" w:ascii="Times New Roman" w:hAnsi="Times New Roman" w:eastAsia="宋体" w:cs="Times New Roman"/>
          <w:b/>
          <w:color w:val="000000" w:themeColor="text1"/>
          <w:highlight w:val="none"/>
          <w14:textFill>
            <w14:solidFill>
              <w14:schemeClr w14:val="tx1"/>
            </w14:solidFill>
          </w14:textFill>
        </w:rPr>
        <w:t>注：附注册建造师资格证及其安全生产考核合格证复印件加盖磋商单位公章</w:t>
      </w:r>
    </w:p>
    <w:p w14:paraId="64E85874">
      <w:pPr>
        <w:jc w:val="center"/>
        <w:rPr>
          <w:rFonts w:ascii="宋体" w:hAnsi="宋体" w:eastAsia="宋体" w:cs="Times New Roman"/>
          <w:b/>
          <w:bCs/>
          <w:color w:val="000000" w:themeColor="text1"/>
          <w:sz w:val="30"/>
          <w:szCs w:val="30"/>
          <w:highlight w:val="none"/>
          <w14:textFill>
            <w14:solidFill>
              <w14:schemeClr w14:val="tx1"/>
            </w14:solidFill>
          </w14:textFill>
        </w:rPr>
      </w:pPr>
      <w:r>
        <w:rPr>
          <w:rFonts w:ascii="宋体" w:hAnsi="宋体" w:eastAsia="宋体" w:cs="Times New Roman"/>
          <w:b/>
          <w:bCs/>
          <w:color w:val="000000" w:themeColor="text1"/>
          <w:sz w:val="28"/>
          <w:szCs w:val="28"/>
          <w:highlight w:val="none"/>
          <w14:textFill>
            <w14:solidFill>
              <w14:schemeClr w14:val="tx1"/>
            </w14:solidFill>
          </w14:textFill>
        </w:rPr>
        <w:br w:type="page"/>
      </w:r>
    </w:p>
    <w:p w14:paraId="239805A6">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3、贵港市政府采购项目投标资格承诺函（必须提供，加盖单位电子公章）；</w:t>
      </w:r>
    </w:p>
    <w:p w14:paraId="3DA230F5">
      <w:pPr>
        <w:widowControl/>
        <w:spacing w:line="360" w:lineRule="auto"/>
        <w:ind w:firstLine="480" w:firstLineChars="200"/>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20C0C1BB">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0CB6DE1E">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1.具有独立承担民事责任的能力。 </w:t>
      </w:r>
    </w:p>
    <w:p w14:paraId="22033B3F">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2.具有良好的商业信誉和健全的财务会计制度。 </w:t>
      </w:r>
    </w:p>
    <w:p w14:paraId="6401699D">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3.具有履行合同所必需的设备和专业技术能力。 </w:t>
      </w:r>
    </w:p>
    <w:p w14:paraId="625080FC">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4.有依法缴纳税收和社会保障资金的良好记录。 </w:t>
      </w:r>
    </w:p>
    <w:p w14:paraId="4B48FC09">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5. 提交投标文件截止日期前三年内，在经营活动中没有重大 违法记录。 </w:t>
      </w:r>
    </w:p>
    <w:p w14:paraId="0677C16F">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41C85B42">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p>
    <w:p w14:paraId="5FC994BE">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p>
    <w:p w14:paraId="76B92FBF">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企业名称（电子公章）： </w:t>
      </w:r>
    </w:p>
    <w:p w14:paraId="5A6A406F">
      <w:pPr>
        <w:widowControl/>
        <w:spacing w:line="560" w:lineRule="exact"/>
        <w:ind w:firstLine="480" w:firstLineChars="200"/>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法定代表人（签名或签章）： </w:t>
      </w:r>
    </w:p>
    <w:p w14:paraId="79E9891D">
      <w:pPr>
        <w:widowControl/>
        <w:spacing w:line="560" w:lineRule="exact"/>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日期： 年 月 日</w:t>
      </w:r>
    </w:p>
    <w:p w14:paraId="60B90FF1">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ascii="宋体" w:hAnsi="宋体" w:eastAsia="宋体" w:cs="宋体"/>
          <w:color w:val="000000" w:themeColor="text1"/>
          <w:kern w:val="0"/>
          <w:sz w:val="24"/>
          <w:szCs w:val="24"/>
          <w:highlight w:val="none"/>
          <w:lang w:bidi="ar"/>
          <w14:textFill>
            <w14:solidFill>
              <w14:schemeClr w14:val="tx1"/>
            </w14:solidFill>
          </w14:textFill>
        </w:rPr>
        <w:br w:type="page"/>
      </w:r>
    </w:p>
    <w:p w14:paraId="4394CD7B">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4、信用承诺书（必须提供，加盖单位电子公章）；</w:t>
      </w:r>
    </w:p>
    <w:p w14:paraId="4F39857F">
      <w:pPr>
        <w:jc w:val="center"/>
        <w:rPr>
          <w:rFonts w:ascii="Times New Roman" w:hAnsi="Times New Roman" w:eastAsia="宋体" w:cs="Times New Roman"/>
          <w:b/>
          <w:color w:val="000000" w:themeColor="text1"/>
          <w:sz w:val="28"/>
          <w:szCs w:val="28"/>
          <w:highlight w:val="none"/>
          <w14:textFill>
            <w14:solidFill>
              <w14:schemeClr w14:val="tx1"/>
            </w14:solidFill>
          </w14:textFill>
        </w:rPr>
      </w:pPr>
    </w:p>
    <w:p w14:paraId="05D2C7D7">
      <w:pPr>
        <w:jc w:val="center"/>
        <w:rPr>
          <w:rFonts w:ascii="Times New Roman" w:hAnsi="Times New Roman" w:eastAsia="宋体" w:cs="Times New Roman"/>
          <w:b/>
          <w:bCs/>
          <w:color w:val="000000" w:themeColor="text1"/>
          <w:sz w:val="24"/>
          <w:szCs w:val="28"/>
          <w:highlight w:val="none"/>
          <w14:textFill>
            <w14:solidFill>
              <w14:schemeClr w14:val="tx1"/>
            </w14:solidFill>
          </w14:textFill>
        </w:rPr>
      </w:pPr>
      <w:r>
        <w:rPr>
          <w:rFonts w:hint="eastAsia" w:ascii="Times New Roman" w:hAnsi="Times New Roman" w:eastAsia="宋体" w:cs="Times New Roman"/>
          <w:b/>
          <w:color w:val="000000" w:themeColor="text1"/>
          <w:sz w:val="24"/>
          <w:szCs w:val="28"/>
          <w:highlight w:val="none"/>
          <w14:textFill>
            <w14:solidFill>
              <w14:schemeClr w14:val="tx1"/>
            </w14:solidFill>
          </w14:textFill>
        </w:rPr>
        <w:t>信用承诺书</w:t>
      </w:r>
    </w:p>
    <w:p w14:paraId="4C8C7C64">
      <w:pPr>
        <w:spacing w:line="500" w:lineRule="exact"/>
        <w:jc w:val="center"/>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（投标单位范本）</w:t>
      </w:r>
    </w:p>
    <w:p w14:paraId="73A4AAB9">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为营造我市公开、公平、公正、诚实守信的公共资源交易环境，树立诚信守法的投标人形象，本人代表本单位作出以下承诺： </w:t>
      </w:r>
    </w:p>
    <w:p w14:paraId="1BD6C16F">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单位对所提交的企（事）业单位基本信息、企（事）业单位负责人、项目负责人、技术负责人，从业资质和资格，业绩、财务状况、信誉等所有资料，均合法、真实、准确、有效，无任何伪造、修改、夸张成分，并对所提供资料的真实性负责；</w:t>
      </w:r>
    </w:p>
    <w:p w14:paraId="582D9A8E">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严格依照国家、自治区及我市关于公共资源交易招标投标领域的法律、法规、规章、规范性文件参加公共资源交易招标投标活动：活动中积极履行社会责任，促进廉政建设；</w:t>
      </w:r>
    </w:p>
    <w:p w14:paraId="5A728497">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自我约束、自我管理，守合同、重信用，不参与围标串标、弄虚作假、骗取中标、干扰评标、违约毁约等行为，自觉维护公共资源交易市场秩序； </w:t>
      </w:r>
    </w:p>
    <w:p w14:paraId="293650F5">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自觉接受政府、行业组织、社会公众、新闻舆论的监督；</w:t>
      </w:r>
    </w:p>
    <w:p w14:paraId="3C7170E0">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近三年参与的历史公共资源交易中，我单位及关联企业无发生重大违法记录，没有因违法经营受到刑事处罚或责令停产停业、吊销许可证或执照等行政处罚，且未在被禁止参加公共资源交易、政府采购活动的处罚期限内；</w:t>
      </w:r>
    </w:p>
    <w:p w14:paraId="233275EA">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我单位目前不存在以下情形：被人民法院列入失信惩戒对象，单位、法定代表人或拟派项目经理（项目负责人）被人民检察院列入行贿犯罪档案，被市场监督管理部门列入企业经营异常名录，被税务部门列入重大税收违法案件当事人名单，被政府采购监管部门列入政府采购严重违法失信行为记录名单；</w:t>
      </w:r>
    </w:p>
    <w:p w14:paraId="455EBA34">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单位自愿接受我市公共资源交易招标投标综合监管部门及行业主管部门的依法检查。如发生违法违规或不良行为，自愿接受行政主管部门依法给予的取消投标、取消中标资格等行政处罚（处理）、记录失信行为并依法承担相应的赔偿责任和刑事责任；</w:t>
      </w:r>
    </w:p>
    <w:p w14:paraId="537DAD88">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本人已认真阅读了上述承诺，并向本单位员工作了宣传教育。</w:t>
      </w:r>
    </w:p>
    <w:p w14:paraId="2B324847">
      <w:pPr>
        <w:spacing w:line="500" w:lineRule="exact"/>
        <w:rPr>
          <w:rFonts w:ascii="Times New Roman" w:hAnsi="Times New Roman" w:eastAsia="宋体" w:cs="Times New Roman"/>
          <w:color w:val="000000" w:themeColor="text1"/>
          <w:sz w:val="24"/>
          <w:szCs w:val="24"/>
          <w:highlight w:val="none"/>
          <w14:textFill>
            <w14:solidFill>
              <w14:schemeClr w14:val="tx1"/>
            </w14:solidFill>
          </w14:textFill>
        </w:rPr>
      </w:pPr>
    </w:p>
    <w:p w14:paraId="0932B07B">
      <w:pPr>
        <w:spacing w:line="500" w:lineRule="exact"/>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                 法定代表人（签名或签章）：   </w:t>
      </w:r>
    </w:p>
    <w:p w14:paraId="1D120CE5">
      <w:pPr>
        <w:spacing w:line="500" w:lineRule="exact"/>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                 企业名称（电子公章）： </w:t>
      </w:r>
    </w:p>
    <w:p w14:paraId="4DEF5578">
      <w:pPr>
        <w:widowControl/>
        <w:spacing w:line="360" w:lineRule="auto"/>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年  月  日</w:t>
      </w:r>
    </w:p>
    <w:p w14:paraId="75CD1614">
      <w:pPr>
        <w:spacing w:line="360" w:lineRule="auto"/>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ascii="Times New Roman" w:hAnsi="Times New Roman" w:eastAsia="宋体" w:cs="Times New Roman"/>
          <w:color w:val="000000" w:themeColor="text1"/>
          <w:sz w:val="28"/>
          <w:szCs w:val="28"/>
          <w:highlight w:val="none"/>
          <w:lang w:bidi="ar"/>
          <w14:textFill>
            <w14:solidFill>
              <w14:schemeClr w14:val="tx1"/>
            </w14:solidFill>
          </w14:textFill>
        </w:rPr>
        <w:br w:type="page"/>
      </w:r>
      <w:r>
        <w:rPr>
          <w:rFonts w:hint="eastAsia" w:ascii="Times New Roman" w:hAnsi="Times New Roman" w:eastAsia="宋体" w:cs="Times New Roman"/>
          <w:b/>
          <w:color w:val="000000" w:themeColor="text1"/>
          <w:sz w:val="24"/>
          <w:szCs w:val="30"/>
          <w:highlight w:val="none"/>
          <w:lang w:bidi="ar"/>
          <w14:textFill>
            <w14:solidFill>
              <w14:schemeClr w14:val="tx1"/>
            </w14:solidFill>
          </w14:textFill>
        </w:rPr>
        <w:t>5、</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磋商人为</w:t>
      </w:r>
      <w:r>
        <w:rPr>
          <w:rFonts w:hint="eastAsia" w:ascii="Times New Roman" w:hAnsi="Times New Roman" w:eastAsia="宋体" w:cs="Times New Roman"/>
          <w:b w:val="0"/>
          <w:bCs/>
          <w:color w:val="000000" w:themeColor="text1"/>
          <w:sz w:val="24"/>
          <w:szCs w:val="30"/>
          <w:highlight w:val="none"/>
          <w:lang w:val="en-US" w:eastAsia="zh-CN"/>
          <w14:textFill>
            <w14:solidFill>
              <w14:schemeClr w14:val="tx1"/>
            </w14:solidFill>
          </w14:textFill>
        </w:rPr>
        <w:t>中小微企业</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的证明材料【①如属于</w:t>
      </w:r>
      <w:r>
        <w:rPr>
          <w:rFonts w:hint="eastAsia" w:ascii="Times New Roman" w:hAnsi="Times New Roman" w:eastAsia="宋体" w:cs="Times New Roman"/>
          <w:b w:val="0"/>
          <w:bCs/>
          <w:color w:val="000000" w:themeColor="text1"/>
          <w:sz w:val="24"/>
          <w:szCs w:val="30"/>
          <w:highlight w:val="none"/>
          <w:lang w:val="en-US" w:eastAsia="zh-CN"/>
          <w14:textFill>
            <w14:solidFill>
              <w14:schemeClr w14:val="tx1"/>
            </w14:solidFill>
          </w14:textFill>
        </w:rPr>
        <w:t>中小微企业</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Times New Roman" w:hAnsi="Times New Roman" w:eastAsia="宋体" w:cs="Times New Roman"/>
          <w:b/>
          <w:color w:val="000000" w:themeColor="text1"/>
          <w:sz w:val="24"/>
          <w:szCs w:val="30"/>
          <w:highlight w:val="none"/>
          <w14:textFill>
            <w14:solidFill>
              <w14:schemeClr w14:val="tx1"/>
            </w14:solidFill>
          </w14:textFill>
        </w:rPr>
        <w:t>（必须提供，加盖单位电子公章）。</w:t>
      </w:r>
    </w:p>
    <w:p w14:paraId="0C4B4A64">
      <w:pPr>
        <w:widowControl/>
        <w:shd w:val="clear" w:color="auto" w:fill="FFFFFF"/>
        <w:spacing w:before="100" w:beforeAutospacing="1" w:after="100" w:afterAutospacing="1" w:line="482" w:lineRule="atLeast"/>
        <w:jc w:val="center"/>
        <w:rPr>
          <w:rFonts w:ascii="宋体" w:hAnsi="宋体" w:eastAsia="宋体" w:cs="Times New Roman"/>
          <w:color w:val="000000" w:themeColor="text1"/>
          <w:kern w:val="0"/>
          <w:sz w:val="24"/>
          <w:szCs w:val="32"/>
          <w:highlight w:val="none"/>
          <w14:textFill>
            <w14:solidFill>
              <w14:schemeClr w14:val="tx1"/>
            </w14:solidFill>
          </w14:textFill>
        </w:rPr>
      </w:pPr>
      <w:r>
        <w:rPr>
          <w:rFonts w:hint="eastAsia" w:ascii="宋体" w:hAnsi="宋体" w:eastAsia="宋体" w:cs="Times New Roman"/>
          <w:b/>
          <w:bCs/>
          <w:color w:val="000000" w:themeColor="text1"/>
          <w:kern w:val="0"/>
          <w:sz w:val="24"/>
          <w:szCs w:val="32"/>
          <w:highlight w:val="none"/>
          <w14:textFill>
            <w14:solidFill>
              <w14:schemeClr w14:val="tx1"/>
            </w14:solidFill>
          </w14:textFill>
        </w:rPr>
        <w:t>中小企业声明函（工程、服务）</w:t>
      </w:r>
    </w:p>
    <w:p w14:paraId="32C31FBC">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（单位名称）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 的</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（项目名称）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0CD4831B">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1.</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（标的名称）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；承建（承接）企业为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（企业名称）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，从业人员</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人，营业收入为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万元，资产总额为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（中型企业、小型企业、微型企业） ；</w:t>
      </w:r>
    </w:p>
    <w:p w14:paraId="221B8D3C">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2.</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（标的名称）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；承建（承接）企业为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（企业名称）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 ，从业人员</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人，营业收入为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万元，资产总额为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（中型企业、小型企业、微型企业）；</w:t>
      </w:r>
    </w:p>
    <w:p w14:paraId="3819A49A">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w:t>
      </w:r>
    </w:p>
    <w:p w14:paraId="5DC29B31">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43B0BDB4">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本企业对上述声明内容的真实性负责。如有虚假，将依法承担相应责任。</w:t>
      </w:r>
    </w:p>
    <w:p w14:paraId="0744C708">
      <w:pPr>
        <w:widowControl/>
        <w:shd w:val="clear" w:color="auto" w:fill="FFFFFF"/>
        <w:spacing w:line="360" w:lineRule="auto"/>
        <w:ind w:firstLine="539"/>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0146C225">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14014BFA">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企业名称（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电子公章</w:t>
      </w:r>
      <w:r>
        <w:rPr>
          <w:rFonts w:ascii="Times New Roman" w:hAnsi="Times New Roman" w:eastAsia="宋体" w:cs="Times New Roman"/>
          <w:color w:val="000000" w:themeColor="text1"/>
          <w:kern w:val="0"/>
          <w:sz w:val="24"/>
          <w:szCs w:val="24"/>
          <w:highlight w:val="none"/>
          <w14:textFill>
            <w14:solidFill>
              <w14:schemeClr w14:val="tx1"/>
            </w14:solidFill>
          </w14:textFill>
        </w:rPr>
        <w:t>）：</w:t>
      </w:r>
    </w:p>
    <w:p w14:paraId="2ECC89FE">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日    期：</w:t>
      </w:r>
    </w:p>
    <w:p w14:paraId="233FE57D">
      <w:pPr>
        <w:rPr>
          <w:rFonts w:ascii="宋体" w:hAnsi="宋体" w:eastAsia="宋体" w:cs="Times New Roman"/>
          <w:color w:val="000000" w:themeColor="text1"/>
          <w:highlight w:val="none"/>
          <w14:textFill>
            <w14:solidFill>
              <w14:schemeClr w14:val="tx1"/>
            </w14:solidFill>
          </w14:textFill>
        </w:rPr>
      </w:pPr>
    </w:p>
    <w:p w14:paraId="1BC191A1">
      <w:pPr>
        <w:rPr>
          <w:rFonts w:ascii="宋体" w:hAnsi="宋体" w:eastAsia="宋体" w:cs="Times New Roman"/>
          <w:color w:val="000000" w:themeColor="text1"/>
          <w:highlight w:val="none"/>
          <w14:textFill>
            <w14:solidFill>
              <w14:schemeClr w14:val="tx1"/>
            </w14:solidFill>
          </w14:textFill>
        </w:rPr>
      </w:pPr>
    </w:p>
    <w:p w14:paraId="3B2C2492">
      <w:pPr>
        <w:rPr>
          <w:rFonts w:ascii="宋体" w:hAnsi="宋体" w:eastAsia="宋体" w:cs="Times New Roman"/>
          <w:color w:val="000000" w:themeColor="text1"/>
          <w:highlight w:val="none"/>
          <w14:textFill>
            <w14:solidFill>
              <w14:schemeClr w14:val="tx1"/>
            </w14:solidFill>
          </w14:textFill>
        </w:rPr>
      </w:pPr>
    </w:p>
    <w:p w14:paraId="260AC374">
      <w:pPr>
        <w:rPr>
          <w:rFonts w:ascii="宋体" w:hAnsi="宋体" w:eastAsia="宋体" w:cs="Times New Roman"/>
          <w:color w:val="000000" w:themeColor="text1"/>
          <w:sz w:val="30"/>
          <w:szCs w:val="30"/>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br w:type="page"/>
      </w:r>
    </w:p>
    <w:p w14:paraId="6F3E0A32">
      <w:pPr>
        <w:widowControl/>
        <w:shd w:val="clear" w:color="auto" w:fill="FFFFFF"/>
        <w:spacing w:line="360" w:lineRule="exact"/>
        <w:jc w:val="center"/>
        <w:rPr>
          <w:rFonts w:ascii="宋体" w:hAnsi="宋体" w:eastAsia="宋体" w:cs="宋体"/>
          <w:b/>
          <w:color w:val="000000" w:themeColor="text1"/>
          <w:spacing w:val="6"/>
          <w:sz w:val="24"/>
          <w:szCs w:val="30"/>
          <w:highlight w:val="none"/>
          <w14:textFill>
            <w14:solidFill>
              <w14:schemeClr w14:val="tx1"/>
            </w14:solidFill>
          </w14:textFill>
        </w:rPr>
      </w:pPr>
      <w:r>
        <w:rPr>
          <w:rFonts w:hint="eastAsia" w:ascii="宋体" w:hAnsi="宋体" w:eastAsia="宋体" w:cs="宋体"/>
          <w:b/>
          <w:color w:val="000000" w:themeColor="text1"/>
          <w:spacing w:val="6"/>
          <w:sz w:val="24"/>
          <w:szCs w:val="30"/>
          <w:highlight w:val="none"/>
          <w14:textFill>
            <w14:solidFill>
              <w14:schemeClr w14:val="tx1"/>
            </w14:solidFill>
          </w14:textFill>
        </w:rPr>
        <w:t>《残疾人福利性单位声明函》格式（非残疾人福利性单位无需填写）</w:t>
      </w:r>
    </w:p>
    <w:p w14:paraId="2832A19C">
      <w:pPr>
        <w:spacing w:line="588" w:lineRule="exact"/>
        <w:jc w:val="center"/>
        <w:rPr>
          <w:rFonts w:ascii="宋体" w:hAnsi="宋体" w:eastAsia="宋体" w:cs="宋体"/>
          <w:b/>
          <w:color w:val="000000" w:themeColor="text1"/>
          <w:spacing w:val="6"/>
          <w:sz w:val="32"/>
          <w:szCs w:val="32"/>
          <w:highlight w:val="none"/>
          <w14:textFill>
            <w14:solidFill>
              <w14:schemeClr w14:val="tx1"/>
            </w14:solidFill>
          </w14:textFill>
        </w:rPr>
      </w:pPr>
      <w:bookmarkStart w:id="1402" w:name="OLE_LINK14"/>
      <w:bookmarkStart w:id="1403" w:name="OLE_LINK13"/>
    </w:p>
    <w:p w14:paraId="24A6BB5F">
      <w:pPr>
        <w:widowControl/>
        <w:shd w:val="clear" w:color="auto" w:fill="FFFFFF"/>
        <w:spacing w:before="100" w:beforeAutospacing="1" w:after="100" w:afterAutospacing="1" w:line="482" w:lineRule="atLeast"/>
        <w:jc w:val="center"/>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残疾人福利性单位声明函</w:t>
      </w:r>
    </w:p>
    <w:bookmarkEnd w:id="1402"/>
    <w:bookmarkEnd w:id="1403"/>
    <w:p w14:paraId="2B64AFC9">
      <w:pPr>
        <w:spacing w:line="588" w:lineRule="exact"/>
        <w:rPr>
          <w:rFonts w:ascii="宋体" w:hAnsi="宋体" w:eastAsia="宋体" w:cs="Times New Roman"/>
          <w:b/>
          <w:color w:val="000000" w:themeColor="text1"/>
          <w:spacing w:val="6"/>
          <w:szCs w:val="21"/>
          <w:highlight w:val="none"/>
          <w14:textFill>
            <w14:solidFill>
              <w14:schemeClr w14:val="tx1"/>
            </w14:solidFill>
          </w14:textFill>
        </w:rPr>
      </w:pPr>
    </w:p>
    <w:p w14:paraId="6FA65D19">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Cs w:val="21"/>
          <w:highlight w:val="none"/>
          <w14:textFill>
            <w14:solidFill>
              <w14:schemeClr w14:val="tx1"/>
            </w14:solidFill>
          </w14:textFill>
        </w:rPr>
        <w:t>〔2017〕141</w:t>
      </w:r>
      <w:r>
        <w:rPr>
          <w:rFonts w:hint="eastAsia" w:ascii="宋体" w:hAnsi="宋体" w:eastAsia="宋体" w:cs="宋体"/>
          <w:color w:val="000000" w:themeColor="text1"/>
          <w:spacing w:val="6"/>
          <w:szCs w:val="21"/>
          <w:highlight w:val="none"/>
          <w14:textFill>
            <w14:solidFill>
              <w14:schemeClr w14:val="tx1"/>
            </w14:solidFill>
          </w14:textFill>
        </w:rPr>
        <w:t>号）的规定，本单位为符合条件的残疾人福利性单位，且本单位参加</w:t>
      </w:r>
    </w:p>
    <w:p w14:paraId="7BC0C15C">
      <w:pPr>
        <w:spacing w:line="588" w:lineRule="exact"/>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单位的</w:t>
      </w: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项目磋商活动提供的服务（由本单位承担工程/提供服务），或者由其他残疾人福利性单位提供的服务。</w:t>
      </w:r>
    </w:p>
    <w:p w14:paraId="2D577BA8">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7F44E5E6">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p>
    <w:p w14:paraId="748F1EC2">
      <w:pPr>
        <w:spacing w:line="588" w:lineRule="exact"/>
        <w:ind w:firstLine="444" w:firstLineChars="200"/>
        <w:rPr>
          <w:rFonts w:ascii="宋体" w:hAnsi="宋体" w:eastAsia="宋体" w:cs="Times New Roman"/>
          <w:color w:val="000000" w:themeColor="text1"/>
          <w:spacing w:val="6"/>
          <w:szCs w:val="21"/>
          <w:highlight w:val="none"/>
          <w14:textFill>
            <w14:solidFill>
              <w14:schemeClr w14:val="tx1"/>
            </w14:solidFill>
          </w14:textFill>
        </w:rPr>
      </w:pPr>
    </w:p>
    <w:p w14:paraId="7F4001D9">
      <w:pPr>
        <w:tabs>
          <w:tab w:val="left" w:pos="4860"/>
        </w:tabs>
        <w:spacing w:line="588" w:lineRule="exact"/>
        <w:ind w:firstLine="4440" w:firstLineChars="20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单位名称（电子公章）：</w:t>
      </w:r>
    </w:p>
    <w:p w14:paraId="760B8DD2">
      <w:pPr>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 xml:space="preserve">        日    期：</w:t>
      </w:r>
    </w:p>
    <w:p w14:paraId="0D882DD1">
      <w:pPr>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Times New Roman" w:hAnsi="Times New Roman" w:eastAsia="宋体" w:cs="Times New Roman"/>
          <w:color w:val="000000" w:themeColor="text1"/>
          <w:sz w:val="32"/>
          <w:szCs w:val="32"/>
          <w:highlight w:val="none"/>
          <w14:textFill>
            <w14:solidFill>
              <w14:schemeClr w14:val="tx1"/>
            </w14:solidFill>
          </w14:textFill>
        </w:rPr>
        <w:t xml:space="preserve"> </w:t>
      </w:r>
    </w:p>
    <w:p w14:paraId="61BDCCC9">
      <w:pPr>
        <w:widowControl/>
        <w:jc w:val="left"/>
        <w:rPr>
          <w:rFonts w:ascii="宋体" w:hAnsi="宋体" w:eastAsia="宋体" w:cs="宋体"/>
          <w:b/>
          <w:color w:val="000000" w:themeColor="text1"/>
          <w:spacing w:val="6"/>
          <w:sz w:val="24"/>
          <w:szCs w:val="30"/>
          <w:highlight w:val="none"/>
          <w14:textFill>
            <w14:solidFill>
              <w14:schemeClr w14:val="tx1"/>
            </w14:solidFill>
          </w14:textFill>
        </w:rPr>
      </w:pPr>
    </w:p>
    <w:p w14:paraId="7E36F362">
      <w:pPr>
        <w:widowControl/>
        <w:jc w:val="left"/>
        <w:rPr>
          <w:rFonts w:ascii="宋体" w:hAnsi="宋体" w:eastAsia="宋体" w:cs="宋体"/>
          <w:b/>
          <w:color w:val="000000" w:themeColor="text1"/>
          <w:spacing w:val="6"/>
          <w:sz w:val="24"/>
          <w:szCs w:val="30"/>
          <w:highlight w:val="none"/>
          <w14:textFill>
            <w14:solidFill>
              <w14:schemeClr w14:val="tx1"/>
            </w14:solidFill>
          </w14:textFill>
        </w:rPr>
      </w:pPr>
    </w:p>
    <w:p w14:paraId="6AFB5663">
      <w:pPr>
        <w:widowControl/>
        <w:jc w:val="left"/>
        <w:rPr>
          <w:rFonts w:ascii="宋体" w:hAnsi="宋体" w:eastAsia="宋体" w:cs="宋体"/>
          <w:b/>
          <w:color w:val="000000" w:themeColor="text1"/>
          <w:spacing w:val="6"/>
          <w:sz w:val="24"/>
          <w:szCs w:val="30"/>
          <w:highlight w:val="none"/>
          <w14:textFill>
            <w14:solidFill>
              <w14:schemeClr w14:val="tx1"/>
            </w14:solidFill>
          </w14:textFill>
        </w:rPr>
      </w:pPr>
      <w:r>
        <w:rPr>
          <w:rFonts w:hint="eastAsia" w:ascii="宋体" w:hAnsi="宋体" w:eastAsia="宋体" w:cs="宋体"/>
          <w:b/>
          <w:color w:val="000000" w:themeColor="text1"/>
          <w:spacing w:val="6"/>
          <w:sz w:val="24"/>
          <w:szCs w:val="30"/>
          <w:highlight w:val="none"/>
          <w14:textFill>
            <w14:solidFill>
              <w14:schemeClr w14:val="tx1"/>
            </w14:solidFill>
          </w14:textFill>
        </w:rPr>
        <w:t>6、</w:t>
      </w:r>
      <w:r>
        <w:rPr>
          <w:rFonts w:hint="eastAsia" w:ascii="Times New Roman" w:hAnsi="Times New Roman" w:eastAsia="宋体" w:cs="Times New Roman"/>
          <w:b/>
          <w:color w:val="000000" w:themeColor="text1"/>
          <w:sz w:val="24"/>
          <w:szCs w:val="30"/>
          <w:highlight w:val="none"/>
          <w14:textFill>
            <w14:solidFill>
              <w14:schemeClr w14:val="tx1"/>
            </w14:solidFill>
          </w14:textFill>
        </w:rPr>
        <w:t>按本竞争性磋商文件规定提交的其它资料（如有请提供，加盖单位电子公章）。</w:t>
      </w:r>
      <w:r>
        <w:rPr>
          <w:rFonts w:ascii="Times New Roman" w:hAnsi="Times New Roman" w:eastAsia="宋体" w:cs="Times New Roman"/>
          <w:color w:val="000000" w:themeColor="text1"/>
          <w:sz w:val="24"/>
          <w:szCs w:val="32"/>
          <w:highlight w:val="none"/>
          <w14:textFill>
            <w14:solidFill>
              <w14:schemeClr w14:val="tx1"/>
            </w14:solidFill>
          </w14:textFill>
        </w:rPr>
        <w:br w:type="page"/>
      </w:r>
      <w:r>
        <w:rPr>
          <w:rFonts w:hint="eastAsia" w:ascii="仿宋_GB2312" w:hAnsi="仿宋_GB2312" w:eastAsia="宋体" w:cs="Times New Roman"/>
          <w:b/>
          <w:color w:val="000000" w:themeColor="text1"/>
          <w:sz w:val="28"/>
          <w:szCs w:val="44"/>
          <w:highlight w:val="none"/>
          <w14:textFill>
            <w14:solidFill>
              <w14:schemeClr w14:val="tx1"/>
            </w14:solidFill>
          </w14:textFill>
        </w:rPr>
        <w:t>二、</w:t>
      </w:r>
      <w:bookmarkEnd w:id="1398"/>
      <w:bookmarkEnd w:id="1399"/>
      <w:bookmarkEnd w:id="1400"/>
      <w:bookmarkEnd w:id="1401"/>
      <w:r>
        <w:rPr>
          <w:rFonts w:hint="eastAsia" w:ascii="仿宋_GB2312" w:hAnsi="仿宋_GB2312" w:eastAsia="宋体" w:cs="Times New Roman"/>
          <w:b/>
          <w:color w:val="000000" w:themeColor="text1"/>
          <w:sz w:val="28"/>
          <w:szCs w:val="44"/>
          <w:highlight w:val="none"/>
          <w14:textFill>
            <w14:solidFill>
              <w14:schemeClr w14:val="tx1"/>
            </w14:solidFill>
          </w14:textFill>
        </w:rPr>
        <w:t>报价文件</w:t>
      </w:r>
    </w:p>
    <w:p w14:paraId="0BC1347B">
      <w:pPr>
        <w:jc w:val="center"/>
        <w:rPr>
          <w:rFonts w:ascii="Times New Roman" w:hAnsi="Times New Roman" w:eastAsia="宋体" w:cs="Times New Roman"/>
          <w:b/>
          <w:color w:val="000000" w:themeColor="text1"/>
          <w:sz w:val="24"/>
          <w:szCs w:val="36"/>
          <w:highlight w:val="none"/>
          <w14:textFill>
            <w14:solidFill>
              <w14:schemeClr w14:val="tx1"/>
            </w14:solidFill>
          </w14:textFill>
        </w:rPr>
      </w:pPr>
    </w:p>
    <w:p w14:paraId="76FF19E8">
      <w:pPr>
        <w:jc w:val="center"/>
        <w:rPr>
          <w:rFonts w:ascii="宋体" w:hAnsi="Times New Roman" w:eastAsia="宋体" w:cs="Times New Roman"/>
          <w:b/>
          <w:color w:val="000000" w:themeColor="text1"/>
          <w:sz w:val="24"/>
          <w:szCs w:val="36"/>
          <w:highlight w:val="none"/>
          <w14:textFill>
            <w14:solidFill>
              <w14:schemeClr w14:val="tx1"/>
            </w14:solidFill>
          </w14:textFill>
        </w:rPr>
      </w:pPr>
      <w:r>
        <w:rPr>
          <w:rFonts w:hint="eastAsia" w:ascii="Times New Roman" w:hAnsi="Times New Roman" w:eastAsia="宋体" w:cs="Times New Roman"/>
          <w:b/>
          <w:color w:val="000000" w:themeColor="text1"/>
          <w:sz w:val="24"/>
          <w:szCs w:val="36"/>
          <w:highlight w:val="none"/>
          <w14:textFill>
            <w14:solidFill>
              <w14:schemeClr w14:val="tx1"/>
            </w14:solidFill>
          </w14:textFill>
        </w:rPr>
        <w:t>1、磋商函（格式）</w:t>
      </w:r>
    </w:p>
    <w:p w14:paraId="50451B5A">
      <w:pPr>
        <w:spacing w:line="360" w:lineRule="auto"/>
        <w:rPr>
          <w:rFonts w:ascii="宋体" w:hAnsi="宋体" w:eastAsia="宋体" w:cs="Times New Roman"/>
          <w:color w:val="000000" w:themeColor="text1"/>
          <w:kern w:val="56"/>
          <w:szCs w:val="21"/>
          <w:highlight w:val="none"/>
          <w14:textFill>
            <w14:solidFill>
              <w14:schemeClr w14:val="tx1"/>
            </w14:solidFill>
          </w14:textFill>
        </w:rPr>
      </w:pPr>
    </w:p>
    <w:p w14:paraId="7E61F962">
      <w:pPr>
        <w:spacing w:line="360" w:lineRule="auto"/>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致：</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（采购代理机构名称）</w:t>
      </w:r>
    </w:p>
    <w:p w14:paraId="36946072">
      <w:pPr>
        <w:spacing w:line="360" w:lineRule="auto"/>
        <w:ind w:left="210" w:leftChars="100" w:firstLine="165" w:firstLineChars="79"/>
        <w:jc w:val="left"/>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1、我方已仔细研究了</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竞争性磋商文件的全部内容，愿意以人民币(大写)</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元（¥</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）的磋商总报价，工期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日历天，按工程建设标准、合同约定实施和完成承包</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（项目名称）</w:t>
      </w:r>
      <w:r>
        <w:rPr>
          <w:rFonts w:hint="eastAsia" w:ascii="宋体" w:hAnsi="宋体" w:eastAsia="宋体" w:cs="Times New Roman"/>
          <w:color w:val="000000" w:themeColor="text1"/>
          <w:kern w:val="56"/>
          <w:szCs w:val="21"/>
          <w:highlight w:val="none"/>
          <w14:textFill>
            <w14:solidFill>
              <w14:schemeClr w14:val="tx1"/>
            </w14:solidFill>
          </w14:textFill>
        </w:rPr>
        <w:t>，工程质量达到</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w:t>
      </w:r>
    </w:p>
    <w:p w14:paraId="476A0D6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2、我方承诺在磋商有效期内不修改、撤销磋商相应文件。</w:t>
      </w:r>
    </w:p>
    <w:p w14:paraId="05940483">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3、如我方成交：</w:t>
      </w:r>
    </w:p>
    <w:p w14:paraId="5247D03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（1）我方承诺在收到成交通知书后，在成交通知书规定的期限内与你方签订合同。</w:t>
      </w:r>
    </w:p>
    <w:p w14:paraId="3BE911AA">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（2）我方承诺按照竞争性磋商文件规定向你方交纳履约保证金。</w:t>
      </w:r>
    </w:p>
    <w:p w14:paraId="706A1C19">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（3）我方承诺在合同约定的期限内完成并移交全部合同工程。</w:t>
      </w:r>
    </w:p>
    <w:p w14:paraId="3770A597">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4、我方在此声明，所递交磋商响应文件及有关资料内容完整、真实和准确，且不存在与本采购项目的各方主体有任何利害关系。</w:t>
      </w:r>
    </w:p>
    <w:p w14:paraId="085AECB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        </w:t>
      </w:r>
    </w:p>
    <w:p w14:paraId="0D7688E0">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磋商单位：</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 xml:space="preserve">（电子公章）     　　　 </w:t>
      </w:r>
    </w:p>
    <w:p w14:paraId="2D135C5B">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单 位 地 址：</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688A301">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法定代表人或其委托代理人：</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（签名或签章） </w:t>
      </w:r>
    </w:p>
    <w:p w14:paraId="09FE2FC1">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邮 政 编 码：</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电 话：</w:t>
      </w:r>
      <w:r>
        <w:rPr>
          <w:rFonts w:hint="eastAsia" w:ascii="宋体" w:hAnsi="宋体" w:eastAsia="宋体" w:cs="Times New Roman"/>
          <w:color w:val="000000" w:themeColor="text1"/>
          <w:kern w:val="56"/>
          <w:szCs w:val="21"/>
          <w:highlight w:val="none"/>
          <w:u w:val="single"/>
          <w14:textFill>
            <w14:solidFill>
              <w14:schemeClr w14:val="tx1"/>
            </w14:solidFill>
          </w14:textFill>
        </w:rPr>
        <w:t>　　　　　　</w:t>
      </w:r>
      <w:r>
        <w:rPr>
          <w:rFonts w:hint="eastAsia" w:ascii="宋体" w:hAnsi="宋体" w:eastAsia="宋体" w:cs="Times New Roman"/>
          <w:color w:val="000000" w:themeColor="text1"/>
          <w:kern w:val="56"/>
          <w:szCs w:val="21"/>
          <w:highlight w:val="none"/>
          <w14:textFill>
            <w14:solidFill>
              <w14:schemeClr w14:val="tx1"/>
            </w14:solidFill>
          </w14:textFill>
        </w:rPr>
        <w:t>传真：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104EF6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开户行名称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21649DA1">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银 行 帐 号：</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5C6A1EC">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日   期 ：   </w:t>
      </w:r>
      <w:bookmarkStart w:id="1404" w:name="_Hlt76275027"/>
      <w:bookmarkEnd w:id="1404"/>
      <w:r>
        <w:rPr>
          <w:rFonts w:hint="eastAsia" w:ascii="宋体" w:hAnsi="宋体" w:eastAsia="宋体" w:cs="Times New Roman"/>
          <w:color w:val="000000" w:themeColor="text1"/>
          <w:kern w:val="56"/>
          <w:szCs w:val="21"/>
          <w:highlight w:val="none"/>
          <w14:textFill>
            <w14:solidFill>
              <w14:schemeClr w14:val="tx1"/>
            </w14:solidFill>
          </w14:textFill>
        </w:rPr>
        <w:t xml:space="preserve">  年    月    日</w:t>
      </w:r>
    </w:p>
    <w:p w14:paraId="466EC743">
      <w:pPr>
        <w:spacing w:line="360" w:lineRule="exact"/>
        <w:ind w:firstLine="5460" w:firstLineChars="2600"/>
        <w:rPr>
          <w:rFonts w:ascii="宋体" w:hAnsi="宋体" w:eastAsia="宋体" w:cs="Times New Roman"/>
          <w:bCs/>
          <w:color w:val="000000" w:themeColor="text1"/>
          <w:szCs w:val="21"/>
          <w:highlight w:val="none"/>
          <w14:textFill>
            <w14:solidFill>
              <w14:schemeClr w14:val="tx1"/>
            </w14:solidFill>
          </w14:textFill>
        </w:rPr>
      </w:pPr>
    </w:p>
    <w:p w14:paraId="15ADC78C">
      <w:pPr>
        <w:rPr>
          <w:rFonts w:ascii="宋体" w:hAnsi="宋体" w:eastAsia="宋体" w:cs="Times New Roman"/>
          <w:bCs/>
          <w:color w:val="000000" w:themeColor="text1"/>
          <w:szCs w:val="21"/>
          <w:highlight w:val="none"/>
          <w14:textFill>
            <w14:solidFill>
              <w14:schemeClr w14:val="tx1"/>
            </w14:solidFill>
          </w14:textFill>
        </w:rPr>
      </w:pPr>
      <w:r>
        <w:rPr>
          <w:rFonts w:hint="eastAsia" w:ascii="Times New Roman" w:hAnsi="宋体" w:eastAsia="宋体" w:cs="Times New Roman"/>
          <w:bCs/>
          <w:color w:val="000000" w:themeColor="text1"/>
          <w:highlight w:val="none"/>
          <w14:textFill>
            <w14:solidFill>
              <w14:schemeClr w14:val="tx1"/>
            </w14:solidFill>
          </w14:textFill>
        </w:rPr>
        <w:br w:type="page"/>
      </w:r>
    </w:p>
    <w:p w14:paraId="1C19DBE0">
      <w:pPr>
        <w:jc w:val="center"/>
        <w:rPr>
          <w:rFonts w:ascii="宋体" w:hAnsi="宋体" w:eastAsia="宋体" w:cs="Times New Roman"/>
          <w:b/>
          <w:color w:val="000000" w:themeColor="text1"/>
          <w:sz w:val="24"/>
          <w:szCs w:val="36"/>
          <w:highlight w:val="none"/>
          <w14:textFill>
            <w14:solidFill>
              <w14:schemeClr w14:val="tx1"/>
            </w14:solidFill>
          </w14:textFill>
        </w:rPr>
      </w:pPr>
      <w:bookmarkStart w:id="1405" w:name="_Toc15800"/>
      <w:r>
        <w:rPr>
          <w:rFonts w:hint="eastAsia" w:ascii="宋体" w:hAnsi="宋体" w:eastAsia="宋体" w:cs="Times New Roman"/>
          <w:b/>
          <w:color w:val="000000" w:themeColor="text1"/>
          <w:sz w:val="24"/>
          <w:szCs w:val="36"/>
          <w:highlight w:val="none"/>
          <w14:textFill>
            <w14:solidFill>
              <w14:schemeClr w14:val="tx1"/>
            </w14:solidFill>
          </w14:textFill>
        </w:rPr>
        <w:t>2、</w:t>
      </w:r>
      <w:bookmarkEnd w:id="1405"/>
      <w:r>
        <w:rPr>
          <w:rFonts w:hint="eastAsia" w:ascii="宋体" w:hAnsi="宋体" w:eastAsia="宋体" w:cs="Times New Roman"/>
          <w:b/>
          <w:color w:val="000000" w:themeColor="text1"/>
          <w:sz w:val="24"/>
          <w:szCs w:val="36"/>
          <w:highlight w:val="none"/>
          <w14:textFill>
            <w14:solidFill>
              <w14:schemeClr w14:val="tx1"/>
            </w14:solidFill>
          </w14:textFill>
        </w:rPr>
        <w:t>工程量清单报价有关资料</w:t>
      </w:r>
    </w:p>
    <w:p w14:paraId="5727FBB5">
      <w:pPr>
        <w:jc w:val="center"/>
        <w:rPr>
          <w:rFonts w:ascii="宋体" w:hAnsi="宋体" w:eastAsia="宋体" w:cs="Times New Roman"/>
          <w:color w:val="000000" w:themeColor="text1"/>
          <w:szCs w:val="21"/>
          <w:highlight w:val="none"/>
          <w14:textFill>
            <w14:solidFill>
              <w14:schemeClr w14:val="tx1"/>
            </w14:solidFill>
          </w14:textFill>
        </w:rPr>
      </w:pPr>
    </w:p>
    <w:p w14:paraId="0EAD584F">
      <w:pPr>
        <w:jc w:val="center"/>
        <w:rPr>
          <w:color w:val="000000" w:themeColor="text1"/>
          <w:highlight w:val="none"/>
          <w14:textFill>
            <w14:solidFill>
              <w14:schemeClr w14:val="tx1"/>
            </w14:solidFill>
          </w14:textFill>
        </w:rPr>
      </w:pPr>
    </w:p>
    <w:p w14:paraId="4052478D">
      <w:pPr>
        <w:jc w:val="center"/>
        <w:rPr>
          <w:color w:val="000000" w:themeColor="text1"/>
          <w:highlight w:val="none"/>
          <w14:textFill>
            <w14:solidFill>
              <w14:schemeClr w14:val="tx1"/>
            </w14:solidFill>
          </w14:textFill>
        </w:rPr>
      </w:pPr>
    </w:p>
    <w:p w14:paraId="7332A376">
      <w:pPr>
        <w:widowControl/>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6A1082B8">
      <w:pPr>
        <w:jc w:val="center"/>
        <w:rPr>
          <w:color w:val="000000" w:themeColor="text1"/>
          <w:highlight w:val="none"/>
          <w14:textFill>
            <w14:solidFill>
              <w14:schemeClr w14:val="tx1"/>
            </w14:solidFill>
          </w14:textFill>
        </w:rPr>
      </w:pPr>
    </w:p>
    <w:p w14:paraId="5B96C73C">
      <w:pPr>
        <w:jc w:val="center"/>
        <w:rPr>
          <w:rFonts w:ascii="宋体" w:hAnsi="宋体" w:eastAsia="宋体" w:cs="Times New Roman"/>
          <w:color w:val="000000" w:themeColor="text1"/>
          <w:kern w:val="56"/>
          <w:sz w:val="24"/>
          <w:highlight w:val="none"/>
          <w14:textFill>
            <w14:solidFill>
              <w14:schemeClr w14:val="tx1"/>
            </w14:solidFill>
          </w14:textFill>
        </w:rPr>
      </w:pPr>
      <w:bookmarkStart w:id="1406" w:name="_Toc12196"/>
      <w:r>
        <w:rPr>
          <w:rFonts w:hint="eastAsia" w:ascii="宋体" w:hAnsi="宋体" w:eastAsia="宋体" w:cs="Times New Roman"/>
          <w:b/>
          <w:color w:val="000000" w:themeColor="text1"/>
          <w:sz w:val="24"/>
          <w:szCs w:val="36"/>
          <w:highlight w:val="none"/>
          <w14:textFill>
            <w14:solidFill>
              <w14:schemeClr w14:val="tx1"/>
            </w14:solidFill>
          </w14:textFill>
        </w:rPr>
        <w:t>3、</w:t>
      </w:r>
      <w:bookmarkEnd w:id="1406"/>
      <w:r>
        <w:rPr>
          <w:rFonts w:hint="eastAsia" w:ascii="宋体" w:hAnsi="宋体" w:eastAsia="宋体" w:cs="Times New Roman"/>
          <w:b/>
          <w:color w:val="000000" w:themeColor="text1"/>
          <w:sz w:val="24"/>
          <w:szCs w:val="36"/>
          <w:highlight w:val="none"/>
          <w14:textFill>
            <w14:solidFill>
              <w14:schemeClr w14:val="tx1"/>
            </w14:solidFill>
          </w14:textFill>
        </w:rPr>
        <w:t>按本竞争性磋商文件规定提交的其它资料（如有请提供，加盖单位电子公章）。</w:t>
      </w:r>
    </w:p>
    <w:p w14:paraId="1C90FBC7">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p>
    <w:p w14:paraId="5A6A4274">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p>
    <w:p w14:paraId="4D9EFAD7">
      <w:pPr>
        <w:tabs>
          <w:tab w:val="left" w:pos="7380"/>
        </w:tabs>
        <w:spacing w:line="500" w:lineRule="exact"/>
        <w:ind w:right="-153" w:rightChars="-73"/>
        <w:jc w:val="center"/>
        <w:rPr>
          <w:rFonts w:ascii="宋体" w:hAnsi="宋体" w:eastAsia="宋体" w:cs="Times New Roman"/>
          <w:b/>
          <w:color w:val="000000" w:themeColor="text1"/>
          <w:sz w:val="28"/>
          <w:szCs w:val="36"/>
          <w:highlight w:val="none"/>
          <w14:textFill>
            <w14:solidFill>
              <w14:schemeClr w14:val="tx1"/>
            </w14:solidFill>
          </w14:textFill>
        </w:rPr>
      </w:pPr>
      <w:r>
        <w:rPr>
          <w:rFonts w:ascii="宋体" w:hAnsi="宋体" w:eastAsia="宋体" w:cs="Times New Roman"/>
          <w:color w:val="000000" w:themeColor="text1"/>
          <w:highlight w:val="none"/>
          <w14:textFill>
            <w14:solidFill>
              <w14:schemeClr w14:val="tx1"/>
            </w14:solidFill>
          </w14:textFill>
        </w:rPr>
        <w:br w:type="page"/>
      </w:r>
      <w:r>
        <w:rPr>
          <w:rFonts w:hint="eastAsia" w:ascii="宋体" w:hAnsi="宋体" w:eastAsia="宋体" w:cs="Times New Roman"/>
          <w:b/>
          <w:color w:val="000000" w:themeColor="text1"/>
          <w:sz w:val="28"/>
          <w:szCs w:val="36"/>
          <w:highlight w:val="none"/>
          <w14:textFill>
            <w14:solidFill>
              <w14:schemeClr w14:val="tx1"/>
            </w14:solidFill>
          </w14:textFill>
        </w:rPr>
        <w:t>三、商务技术标文件</w:t>
      </w:r>
    </w:p>
    <w:p w14:paraId="7C4FAD49">
      <w:pPr>
        <w:spacing w:line="440" w:lineRule="exact"/>
        <w:jc w:val="center"/>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1、无串通竞标行为的承</w:t>
      </w:r>
      <w:r>
        <w:rPr>
          <w:rFonts w:hint="eastAsia" w:ascii="宋体" w:hAnsi="宋体" w:eastAsia="宋体" w:cs="Times New Roman"/>
          <w:b/>
          <w:color w:val="000000" w:themeColor="text1"/>
          <w:sz w:val="24"/>
          <w:szCs w:val="24"/>
          <w:highlight w:val="none"/>
          <w14:textFill>
            <w14:solidFill>
              <w14:schemeClr w14:val="tx1"/>
            </w14:solidFill>
          </w14:textFill>
        </w:rPr>
        <w:t>诺函（格式后附）；（必须提供，</w:t>
      </w:r>
      <w:r>
        <w:rPr>
          <w:rFonts w:hint="eastAsia" w:ascii="宋体" w:hAnsi="宋体" w:eastAsia="宋体" w:cs="Times New Roman"/>
          <w:b/>
          <w:bCs/>
          <w:color w:val="000000" w:themeColor="text1"/>
          <w:sz w:val="24"/>
          <w:szCs w:val="24"/>
          <w:highlight w:val="none"/>
          <w14:textFill>
            <w14:solidFill>
              <w14:schemeClr w14:val="tx1"/>
            </w14:solidFill>
          </w14:textFill>
        </w:rPr>
        <w:t>必须提供，加盖单位电子公章</w:t>
      </w:r>
      <w:r>
        <w:rPr>
          <w:rFonts w:hint="eastAsia" w:ascii="宋体" w:hAnsi="宋体" w:eastAsia="宋体" w:cs="Times New Roman"/>
          <w:b/>
          <w:color w:val="000000" w:themeColor="text1"/>
          <w:sz w:val="24"/>
          <w:szCs w:val="24"/>
          <w:highlight w:val="none"/>
          <w14:textFill>
            <w14:solidFill>
              <w14:schemeClr w14:val="tx1"/>
            </w14:solidFill>
          </w14:textFill>
        </w:rPr>
        <w:t>）；</w:t>
      </w:r>
    </w:p>
    <w:p w14:paraId="09A1E64B">
      <w:pPr>
        <w:widowControl/>
        <w:jc w:val="left"/>
        <w:rPr>
          <w:rFonts w:ascii="宋体" w:hAnsi="宋体" w:eastAsia="宋体" w:cs="Times New Roman"/>
          <w:b/>
          <w:color w:val="000000" w:themeColor="text1"/>
          <w:sz w:val="24"/>
          <w:szCs w:val="36"/>
          <w:highlight w:val="none"/>
          <w14:textFill>
            <w14:solidFill>
              <w14:schemeClr w14:val="tx1"/>
            </w14:solidFill>
          </w14:textFill>
        </w:rPr>
      </w:pPr>
    </w:p>
    <w:p w14:paraId="179FD2F3">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一、我方承诺无下列相互串通竞标的情形：</w:t>
      </w:r>
    </w:p>
    <w:p w14:paraId="5DA820A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1.不同供应商的响应文件由同一单位或者个人编制； </w:t>
      </w:r>
    </w:p>
    <w:p w14:paraId="14B2F5E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2.不同供应商委托同一单位或者个人办理竞标事宜；</w:t>
      </w:r>
    </w:p>
    <w:p w14:paraId="5EBA6370">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3.不同供应商的响应文件载明的项目管理员为同一个人；</w:t>
      </w:r>
    </w:p>
    <w:p w14:paraId="3A0F739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4.不</w:t>
      </w:r>
      <w:r>
        <w:rPr>
          <w:rFonts w:hint="eastAsia" w:ascii="宋体" w:hAnsi="宋体" w:eastAsia="宋体" w:cs="宋体"/>
          <w:color w:val="000000" w:themeColor="text1"/>
          <w:spacing w:val="-6"/>
          <w:sz w:val="24"/>
          <w:szCs w:val="24"/>
          <w:highlight w:val="none"/>
          <w14:textFill>
            <w14:solidFill>
              <w14:schemeClr w14:val="tx1"/>
            </w14:solidFill>
          </w14:textFill>
        </w:rPr>
        <w:t>同供应商的响应文件异常一致或者竞标报价呈规律性差异；</w:t>
      </w:r>
    </w:p>
    <w:p w14:paraId="665EB421">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5.不同供应商的响应文件相互混装。</w:t>
      </w:r>
    </w:p>
    <w:p w14:paraId="20E60493">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二、我方承诺无下列恶意串通的情形：</w:t>
      </w:r>
    </w:p>
    <w:p w14:paraId="5A69633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1.供应商直接或者间接从采购人或者采购代理机构处获得其他供应商的相关信息并修改其响应文件；</w:t>
      </w:r>
    </w:p>
    <w:p w14:paraId="2623C288">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2.供应商按照采购人或者采购代理机构的授意撤换、修改响应文件；</w:t>
      </w:r>
    </w:p>
    <w:p w14:paraId="50CACC2D">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3.供</w:t>
      </w:r>
      <w:r>
        <w:rPr>
          <w:rFonts w:hint="eastAsia" w:ascii="宋体" w:hAnsi="宋体" w:eastAsia="宋体" w:cs="宋体"/>
          <w:color w:val="000000" w:themeColor="text1"/>
          <w:spacing w:val="-6"/>
          <w:sz w:val="24"/>
          <w:szCs w:val="24"/>
          <w:highlight w:val="none"/>
          <w14:textFill>
            <w14:solidFill>
              <w14:schemeClr w14:val="tx1"/>
            </w14:solidFill>
          </w14:textFill>
        </w:rPr>
        <w:t>应商之间协商报价、技术方案等响应文件的实质性内容；</w:t>
      </w:r>
    </w:p>
    <w:p w14:paraId="687393B2">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14:paraId="2E4A735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461BF4FB">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6.供应商之间商定部分供应商放弃参加政府采购活动或者放弃成交；</w:t>
      </w:r>
    </w:p>
    <w:p w14:paraId="130556F4">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7.供应商与采购人或者采购代理机构之间、供应商相互之间，为</w:t>
      </w:r>
      <w:r>
        <w:rPr>
          <w:rFonts w:hint="eastAsia" w:ascii="宋体" w:hAnsi="宋体" w:eastAsia="宋体" w:cs="宋体"/>
          <w:color w:val="000000" w:themeColor="text1"/>
          <w:spacing w:val="-6"/>
          <w:sz w:val="24"/>
          <w:szCs w:val="24"/>
          <w:highlight w:val="none"/>
          <w14:textFill>
            <w14:solidFill>
              <w14:schemeClr w14:val="tx1"/>
            </w14:solidFill>
          </w14:textFill>
        </w:rPr>
        <w:t>谋求特定供应商成交或者排斥其他供应商的其他串通行为。</w:t>
      </w:r>
    </w:p>
    <w:p w14:paraId="6190815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p>
    <w:p w14:paraId="26F9A979">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以上情形一经核查属实，我方愿意承担一切后果，并不再寻求任何旨在减轻或者免除法律责任的辩解。</w:t>
      </w:r>
    </w:p>
    <w:p w14:paraId="3A673B40">
      <w:pPr>
        <w:spacing w:line="500" w:lineRule="exact"/>
        <w:rPr>
          <w:rFonts w:ascii="宋体" w:hAnsi="宋体" w:eastAsia="宋体" w:cs="宋体"/>
          <w:color w:val="000000" w:themeColor="text1"/>
          <w:sz w:val="24"/>
          <w:szCs w:val="24"/>
          <w:highlight w:val="none"/>
          <w14:textFill>
            <w14:solidFill>
              <w14:schemeClr w14:val="tx1"/>
            </w14:solidFill>
          </w14:textFill>
        </w:rPr>
      </w:pPr>
    </w:p>
    <w:p w14:paraId="1233E612">
      <w:pPr>
        <w:spacing w:line="500" w:lineRule="exact"/>
        <w:ind w:firstLine="480" w:firstLineChars="200"/>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供应商（CA电子签章）：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D7DE196">
      <w:pPr>
        <w:widowControl/>
        <w:jc w:val="left"/>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年   月   日</w:t>
      </w:r>
    </w:p>
    <w:p w14:paraId="05CF092B">
      <w:pPr>
        <w:widowControl/>
        <w:jc w:val="left"/>
        <w:rPr>
          <w:rFonts w:ascii="宋体" w:hAnsi="宋体" w:eastAsia="宋体" w:cs="Times New Roman"/>
          <w:b/>
          <w:color w:val="000000" w:themeColor="text1"/>
          <w:sz w:val="24"/>
          <w:szCs w:val="36"/>
          <w:highlight w:val="none"/>
          <w14:textFill>
            <w14:solidFill>
              <w14:schemeClr w14:val="tx1"/>
            </w14:solidFill>
          </w14:textFill>
        </w:rPr>
      </w:pPr>
    </w:p>
    <w:p w14:paraId="0B6BE72F">
      <w:pPr>
        <w:widowControl/>
        <w:jc w:val="left"/>
        <w:rPr>
          <w:rFonts w:ascii="宋体" w:hAnsi="宋体" w:eastAsia="宋体" w:cs="Times New Roman"/>
          <w:b/>
          <w:color w:val="000000" w:themeColor="text1"/>
          <w:sz w:val="24"/>
          <w:szCs w:val="36"/>
          <w:highlight w:val="none"/>
          <w14:textFill>
            <w14:solidFill>
              <w14:schemeClr w14:val="tx1"/>
            </w14:solidFill>
          </w14:textFill>
        </w:rPr>
      </w:pPr>
      <w:r>
        <w:rPr>
          <w:rFonts w:ascii="宋体" w:hAnsi="宋体" w:eastAsia="宋体" w:cs="Times New Roman"/>
          <w:b/>
          <w:color w:val="000000" w:themeColor="text1"/>
          <w:sz w:val="24"/>
          <w:szCs w:val="36"/>
          <w:highlight w:val="none"/>
          <w14:textFill>
            <w14:solidFill>
              <w14:schemeClr w14:val="tx1"/>
            </w14:solidFill>
          </w14:textFill>
        </w:rPr>
        <w:br w:type="page"/>
      </w:r>
    </w:p>
    <w:p w14:paraId="23C46B9A">
      <w:pPr>
        <w:spacing w:line="440" w:lineRule="exact"/>
        <w:jc w:val="center"/>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2、法定代表人身份证明书及其有效的身份证正反面复印件（必须提供，加盖单位电子公章）；</w:t>
      </w:r>
    </w:p>
    <w:p w14:paraId="02601D8F">
      <w:pPr>
        <w:rPr>
          <w:rFonts w:ascii="宋体" w:hAnsi="宋体" w:eastAsia="宋体" w:cs="Times New Roman"/>
          <w:b/>
          <w:color w:val="000000" w:themeColor="text1"/>
          <w:sz w:val="24"/>
          <w:szCs w:val="36"/>
          <w:highlight w:val="none"/>
          <w14:textFill>
            <w14:solidFill>
              <w14:schemeClr w14:val="tx1"/>
            </w14:solidFill>
          </w14:textFill>
        </w:rPr>
      </w:pPr>
    </w:p>
    <w:p w14:paraId="68E7B01C">
      <w:pPr>
        <w:spacing w:line="520" w:lineRule="exact"/>
        <w:jc w:val="center"/>
        <w:rPr>
          <w:rFonts w:ascii="宋体" w:hAnsi="宋体" w:cs="宋体"/>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4"/>
          <w:szCs w:val="36"/>
          <w:highlight w:val="none"/>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法定代表人证明书</w:t>
      </w:r>
    </w:p>
    <w:p w14:paraId="70010111">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供应商名称：</w:t>
      </w:r>
      <w:r>
        <w:rPr>
          <w:rFonts w:hint="eastAsia" w:ascii="宋体" w:hAnsi="宋体" w:cs="宋体"/>
          <w:color w:val="000000" w:themeColor="text1"/>
          <w:sz w:val="21"/>
          <w:szCs w:val="21"/>
          <w:u w:val="single"/>
          <w14:textFill>
            <w14:solidFill>
              <w14:schemeClr w14:val="tx1"/>
            </w14:solidFill>
          </w14:textFill>
        </w:rPr>
        <w:t xml:space="preserve">                            </w:t>
      </w:r>
    </w:p>
    <w:p w14:paraId="07756F5C">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地    址：</w:t>
      </w:r>
      <w:r>
        <w:rPr>
          <w:rFonts w:hint="eastAsia" w:ascii="宋体" w:hAnsi="宋体" w:cs="宋体"/>
          <w:color w:val="000000" w:themeColor="text1"/>
          <w:sz w:val="21"/>
          <w:szCs w:val="21"/>
          <w:u w:val="single"/>
          <w14:textFill>
            <w14:solidFill>
              <w14:schemeClr w14:val="tx1"/>
            </w14:solidFill>
          </w14:textFill>
        </w:rPr>
        <w:t xml:space="preserve">                              </w:t>
      </w:r>
    </w:p>
    <w:p w14:paraId="4D564AE3">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姓    名：</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性     别：</w:t>
      </w:r>
      <w:r>
        <w:rPr>
          <w:rFonts w:hint="eastAsia" w:ascii="宋体" w:hAnsi="宋体" w:cs="宋体"/>
          <w:color w:val="000000" w:themeColor="text1"/>
          <w:sz w:val="21"/>
          <w:szCs w:val="21"/>
          <w:u w:val="single"/>
          <w14:textFill>
            <w14:solidFill>
              <w14:schemeClr w14:val="tx1"/>
            </w14:solidFill>
          </w14:textFill>
        </w:rPr>
        <w:t xml:space="preserve">                </w:t>
      </w:r>
    </w:p>
    <w:p w14:paraId="33DCB647">
      <w:pPr>
        <w:spacing w:line="360" w:lineRule="auto"/>
        <w:ind w:left="540"/>
        <w:contextualSpacing/>
        <w:rPr>
          <w:rFonts w:hint="eastAsia" w:ascii="宋体" w:hAnsi="宋体" w:cs="宋体"/>
          <w:color w:val="000000" w:themeColor="text1"/>
          <w:sz w:val="21"/>
          <w:szCs w:val="21"/>
          <w:u w:val="single"/>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年    龄：</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职     务：</w:t>
      </w:r>
      <w:r>
        <w:rPr>
          <w:rFonts w:hint="eastAsia" w:ascii="宋体" w:hAnsi="宋体" w:cs="宋体"/>
          <w:color w:val="000000" w:themeColor="text1"/>
          <w:sz w:val="21"/>
          <w:szCs w:val="21"/>
          <w:u w:val="single"/>
          <w14:textFill>
            <w14:solidFill>
              <w14:schemeClr w14:val="tx1"/>
            </w14:solidFill>
          </w14:textFill>
        </w:rPr>
        <w:t xml:space="preserve">                </w:t>
      </w:r>
    </w:p>
    <w:p w14:paraId="3C1FE791">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身份证号码：</w:t>
      </w:r>
      <w:r>
        <w:rPr>
          <w:rFonts w:hint="eastAsia" w:ascii="宋体" w:hAnsi="宋体" w:cs="宋体"/>
          <w:color w:val="000000" w:themeColor="text1"/>
          <w:sz w:val="21"/>
          <w:szCs w:val="21"/>
          <w:u w:val="single"/>
          <w14:textFill>
            <w14:solidFill>
              <w14:schemeClr w14:val="tx1"/>
            </w14:solidFill>
          </w14:textFill>
        </w:rPr>
        <w:t xml:space="preserve">                                        </w:t>
      </w:r>
    </w:p>
    <w:p w14:paraId="4A47E887">
      <w:pPr>
        <w:spacing w:line="360" w:lineRule="auto"/>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系</w:t>
      </w:r>
      <w:r>
        <w:rPr>
          <w:rFonts w:hint="eastAsia" w:ascii="宋体" w:hAnsi="宋体" w:cs="宋体"/>
          <w:color w:val="000000" w:themeColor="text1"/>
          <w:sz w:val="21"/>
          <w:szCs w:val="21"/>
          <w:u w:val="single"/>
          <w14:textFill>
            <w14:solidFill>
              <w14:schemeClr w14:val="tx1"/>
            </w14:solidFill>
          </w14:textFill>
        </w:rPr>
        <w:t>（供应商名称）</w:t>
      </w:r>
      <w:r>
        <w:rPr>
          <w:rFonts w:hint="eastAsia" w:ascii="宋体" w:hAnsi="宋体" w:cs="宋体"/>
          <w:color w:val="000000" w:themeColor="text1"/>
          <w:sz w:val="21"/>
          <w:szCs w:val="21"/>
          <w14:textFill>
            <w14:solidFill>
              <w14:schemeClr w14:val="tx1"/>
            </w14:solidFill>
          </w14:textFill>
        </w:rPr>
        <w:t>的法定代表人。</w:t>
      </w:r>
    </w:p>
    <w:p w14:paraId="2D3F0F52">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特此证明。</w:t>
      </w:r>
    </w:p>
    <w:p w14:paraId="701AB1C4">
      <w:pPr>
        <w:spacing w:line="360" w:lineRule="auto"/>
        <w:ind w:left="540"/>
        <w:contextualSpacing/>
        <w:rPr>
          <w:rFonts w:hint="eastAsia" w:ascii="宋体" w:hAnsi="宋体" w:cs="宋体"/>
          <w:color w:val="000000" w:themeColor="text1"/>
          <w:sz w:val="21"/>
          <w:szCs w:val="21"/>
          <w14:textFill>
            <w14:solidFill>
              <w14:schemeClr w14:val="tx1"/>
            </w14:solidFill>
          </w14:textFill>
        </w:rPr>
      </w:pPr>
    </w:p>
    <w:p w14:paraId="359DB1CA">
      <w:pPr>
        <w:spacing w:line="360" w:lineRule="auto"/>
        <w:ind w:left="540"/>
        <w:contextualSpacing/>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附件：法定代表人有效身份证正反面复印件</w:t>
      </w:r>
    </w:p>
    <w:p w14:paraId="7C2E43B2">
      <w:pPr>
        <w:spacing w:line="360" w:lineRule="auto"/>
        <w:ind w:left="540"/>
        <w:contextualSpacing/>
        <w:rPr>
          <w:rFonts w:hint="eastAsia" w:ascii="宋体" w:hAnsi="宋体" w:cs="宋体"/>
          <w:color w:val="000000" w:themeColor="text1"/>
          <w:sz w:val="21"/>
          <w:szCs w:val="21"/>
          <w14:textFill>
            <w14:solidFill>
              <w14:schemeClr w14:val="tx1"/>
            </w14:solidFill>
          </w14:textFill>
        </w:rPr>
      </w:pPr>
    </w:p>
    <w:p w14:paraId="2BD5477A">
      <w:pPr>
        <w:spacing w:line="360" w:lineRule="auto"/>
        <w:ind w:leftChars="1300" w:firstLine="840" w:firstLineChars="4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（CA电子签章）</w:t>
      </w: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 xml:space="preserve">                            </w:t>
      </w:r>
    </w:p>
    <w:p w14:paraId="2C8272DB">
      <w:pPr>
        <w:spacing w:line="360" w:lineRule="auto"/>
        <w:ind w:leftChars="1300" w:firstLine="840" w:firstLineChars="4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月</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日</w:t>
      </w:r>
    </w:p>
    <w:p w14:paraId="0AD352E2">
      <w:pPr>
        <w:rPr>
          <w:rFonts w:ascii="宋体" w:hAnsi="宋体" w:eastAsia="宋体" w:cs="Times New Roman"/>
          <w:b/>
          <w:color w:val="000000" w:themeColor="text1"/>
          <w:sz w:val="24"/>
          <w:szCs w:val="36"/>
          <w:highlight w:val="none"/>
          <w14:textFill>
            <w14:solidFill>
              <w14:schemeClr w14:val="tx1"/>
            </w14:solidFill>
          </w14:textFill>
        </w:rPr>
      </w:pPr>
    </w:p>
    <w:p w14:paraId="213C97AF">
      <w:pPr>
        <w:rPr>
          <w:rFonts w:ascii="宋体" w:hAnsi="宋体" w:eastAsia="宋体" w:cs="Times New Roman"/>
          <w:b/>
          <w:color w:val="000000" w:themeColor="text1"/>
          <w:sz w:val="24"/>
          <w:szCs w:val="36"/>
          <w:highlight w:val="none"/>
          <w14:textFill>
            <w14:solidFill>
              <w14:schemeClr w14:val="tx1"/>
            </w14:solidFill>
          </w14:textFill>
        </w:rPr>
      </w:pPr>
    </w:p>
    <w:p w14:paraId="2132E8FD">
      <w:pPr>
        <w:rPr>
          <w:rFonts w:ascii="宋体" w:hAnsi="宋体" w:eastAsia="宋体" w:cs="Times New Roman"/>
          <w:b/>
          <w:color w:val="000000" w:themeColor="text1"/>
          <w:sz w:val="24"/>
          <w:szCs w:val="36"/>
          <w:highlight w:val="none"/>
          <w14:textFill>
            <w14:solidFill>
              <w14:schemeClr w14:val="tx1"/>
            </w14:solidFill>
          </w14:textFill>
        </w:rPr>
      </w:pPr>
    </w:p>
    <w:p w14:paraId="2C15FFB7">
      <w:pPr>
        <w:rPr>
          <w:rFonts w:hint="eastAsia"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br w:type="page"/>
      </w:r>
    </w:p>
    <w:p w14:paraId="60A1028E">
      <w:pPr>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3、法定代表人授权委托书原件和委托代理人有效的身份证正反面复印件（委托代理时必须提供，加盖单位电子公章）；</w:t>
      </w:r>
    </w:p>
    <w:p w14:paraId="73E03715">
      <w:pPr>
        <w:spacing w:line="440" w:lineRule="exact"/>
        <w:jc w:val="center"/>
        <w:rPr>
          <w:rFonts w:ascii="宋体" w:hAnsi="宋体" w:eastAsia="宋体" w:cs="Times New Roman"/>
          <w:b/>
          <w:color w:val="000000" w:themeColor="text1"/>
          <w:sz w:val="32"/>
          <w:szCs w:val="32"/>
          <w:highlight w:val="none"/>
          <w14:textFill>
            <w14:solidFill>
              <w14:schemeClr w14:val="tx1"/>
            </w14:solidFill>
          </w14:textFill>
        </w:rPr>
      </w:pPr>
    </w:p>
    <w:p w14:paraId="530F8909">
      <w:pPr>
        <w:spacing w:line="440" w:lineRule="exact"/>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授权委托书（格式）</w:t>
      </w:r>
    </w:p>
    <w:p w14:paraId="01377D3C">
      <w:pPr>
        <w:rPr>
          <w:rFonts w:ascii="宋体" w:hAnsi="宋体" w:eastAsia="宋体" w:cs="Times New Roman"/>
          <w:color w:val="000000" w:themeColor="text1"/>
          <w:szCs w:val="21"/>
          <w:highlight w:val="none"/>
          <w14:textFill>
            <w14:solidFill>
              <w14:schemeClr w14:val="tx1"/>
            </w14:solidFill>
          </w14:textFill>
        </w:rPr>
      </w:pPr>
    </w:p>
    <w:p w14:paraId="033226DF">
      <w:pPr>
        <w:spacing w:line="500" w:lineRule="exact"/>
        <w:ind w:firstLine="420"/>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本授权委托书声明：我</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(姓名)系</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(磋商单位名称)的法定代表人，现授权委托</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 xml:space="preserve">(姓名)为我单位代理人，以本单位的名义参加 </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p>
    <w:p w14:paraId="498B9648">
      <w:pPr>
        <w:spacing w:line="500" w:lineRule="exac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的政府采购活动，代理人在磋商过程中所签署的一切文件和处理与之有关的一切事务，我均予以承认。</w:t>
      </w:r>
    </w:p>
    <w:p w14:paraId="7BFF507A">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代理人无转委权。特此委托。</w:t>
      </w:r>
    </w:p>
    <w:p w14:paraId="3ABF1DC7">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代理人：              性别：               年龄：</w:t>
      </w:r>
    </w:p>
    <w:p w14:paraId="16149BF6">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单位：                部门：               职务：</w:t>
      </w:r>
    </w:p>
    <w:p w14:paraId="6F187E57">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身份证号码：</w:t>
      </w:r>
    </w:p>
    <w:p w14:paraId="2617DA58">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磋商单位：(电子公章)</w:t>
      </w:r>
    </w:p>
    <w:p w14:paraId="340CC9F9">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法定代表人：(签名或签章)</w:t>
      </w:r>
    </w:p>
    <w:p w14:paraId="7026E6ED">
      <w:pPr>
        <w:spacing w:line="500" w:lineRule="exact"/>
        <w:ind w:firstLine="420"/>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日期：         年        月        日</w:t>
      </w:r>
    </w:p>
    <w:p w14:paraId="589A9726">
      <w:pPr>
        <w:spacing w:line="500" w:lineRule="exact"/>
        <w:ind w:firstLine="420"/>
        <w:jc w:val="left"/>
        <w:rPr>
          <w:rFonts w:ascii="宋体" w:hAnsi="宋体" w:eastAsia="宋体" w:cs="Times New Roman"/>
          <w:color w:val="000000" w:themeColor="text1"/>
          <w:szCs w:val="21"/>
          <w:highlight w:val="none"/>
          <w14:textFill>
            <w14:solidFill>
              <w14:schemeClr w14:val="tx1"/>
            </w14:solidFill>
          </w14:textFill>
        </w:rPr>
      </w:pPr>
    </w:p>
    <w:p w14:paraId="4911202B">
      <w:pPr>
        <w:widowControl/>
        <w:jc w:val="left"/>
        <w:rPr>
          <w:rFonts w:ascii="Times New Roman" w:hAnsi="Times New Roman" w:eastAsia="宋体" w:cs="Times New Roman"/>
          <w:b/>
          <w:color w:val="000000" w:themeColor="text1"/>
          <w:sz w:val="24"/>
          <w:szCs w:val="24"/>
          <w:highlight w:val="none"/>
          <w14:textFill>
            <w14:solidFill>
              <w14:schemeClr w14:val="tx1"/>
            </w14:solidFill>
          </w14:textFill>
        </w:rPr>
      </w:pPr>
      <w:bookmarkStart w:id="1407" w:name="_Toc23432"/>
      <w:r>
        <w:rPr>
          <w:rFonts w:ascii="Times New Roman" w:hAnsi="Times New Roman" w:eastAsia="宋体" w:cs="Times New Roman"/>
          <w:b/>
          <w:color w:val="000000" w:themeColor="text1"/>
          <w:sz w:val="24"/>
          <w:szCs w:val="24"/>
          <w:highlight w:val="none"/>
          <w14:textFill>
            <w14:solidFill>
              <w14:schemeClr w14:val="tx1"/>
            </w14:solidFill>
          </w14:textFill>
        </w:rPr>
        <w:br w:type="page"/>
      </w:r>
    </w:p>
    <w:p w14:paraId="1886AFAB">
      <w:pPr>
        <w:jc w:val="center"/>
        <w:rPr>
          <w:rFonts w:ascii="Times New Roman" w:hAnsi="Times New Roman" w:eastAsia="宋体" w:cs="Times New Roman"/>
          <w:b/>
          <w:color w:val="000000" w:themeColor="text1"/>
          <w:sz w:val="24"/>
          <w:szCs w:val="24"/>
          <w:highlight w:val="none"/>
          <w14:textFill>
            <w14:solidFill>
              <w14:schemeClr w14:val="tx1"/>
            </w14:solidFill>
          </w14:textFill>
        </w:rPr>
      </w:pPr>
      <w:r>
        <w:rPr>
          <w:rFonts w:hint="eastAsia" w:ascii="Times New Roman" w:hAnsi="Times New Roman" w:eastAsia="宋体" w:cs="Times New Roman"/>
          <w:b/>
          <w:color w:val="000000" w:themeColor="text1"/>
          <w:sz w:val="24"/>
          <w:szCs w:val="24"/>
          <w:highlight w:val="none"/>
          <w14:textFill>
            <w14:solidFill>
              <w14:schemeClr w14:val="tx1"/>
            </w14:solidFill>
          </w14:textFill>
        </w:rPr>
        <w:t>4、施工组织设计</w:t>
      </w:r>
      <w:bookmarkEnd w:id="1407"/>
    </w:p>
    <w:p w14:paraId="1678930D">
      <w:pPr>
        <w:jc w:val="center"/>
        <w:rPr>
          <w:rFonts w:ascii="Times New Roman" w:hAnsi="Times New Roman" w:eastAsia="宋体" w:cs="Times New Roman"/>
          <w:b/>
          <w:color w:val="000000" w:themeColor="text1"/>
          <w:sz w:val="24"/>
          <w:szCs w:val="24"/>
          <w:highlight w:val="none"/>
          <w14:textFill>
            <w14:solidFill>
              <w14:schemeClr w14:val="tx1"/>
            </w14:solidFill>
          </w14:textFill>
        </w:rPr>
      </w:pPr>
    </w:p>
    <w:p w14:paraId="299871CA">
      <w:pPr>
        <w:jc w:val="center"/>
        <w:rPr>
          <w:rFonts w:ascii="宋体" w:hAnsi="宋体" w:eastAsia="宋体" w:cs="Times New Roman"/>
          <w:b/>
          <w:bCs/>
          <w:color w:val="000000" w:themeColor="text1"/>
          <w:kern w:val="56"/>
          <w:sz w:val="24"/>
          <w:szCs w:val="24"/>
          <w:highlight w:val="none"/>
          <w14:textFill>
            <w14:solidFill>
              <w14:schemeClr w14:val="tx1"/>
            </w14:solidFill>
          </w14:textFill>
        </w:rPr>
      </w:pPr>
      <w:r>
        <w:rPr>
          <w:rFonts w:hint="eastAsia" w:ascii="宋体" w:hAnsi="宋体" w:eastAsia="宋体" w:cs="Times New Roman"/>
          <w:b/>
          <w:bCs/>
          <w:color w:val="000000" w:themeColor="text1"/>
          <w:kern w:val="56"/>
          <w:sz w:val="24"/>
          <w:szCs w:val="24"/>
          <w:highlight w:val="none"/>
          <w14:textFill>
            <w14:solidFill>
              <w14:schemeClr w14:val="tx1"/>
            </w14:solidFill>
          </w14:textFill>
        </w:rPr>
        <w:t>（1）施工方案或施工组织设计</w:t>
      </w:r>
    </w:p>
    <w:p w14:paraId="44651ACE">
      <w:pPr>
        <w:spacing w:line="500" w:lineRule="exact"/>
        <w:rPr>
          <w:rFonts w:ascii="宋体" w:hAnsi="宋体" w:eastAsia="宋体" w:cs="Times New Roman"/>
          <w:color w:val="000000" w:themeColor="text1"/>
          <w:kern w:val="56"/>
          <w:sz w:val="24"/>
          <w:szCs w:val="24"/>
          <w:highlight w:val="none"/>
          <w14:textFill>
            <w14:solidFill>
              <w14:schemeClr w14:val="tx1"/>
            </w14:solidFill>
          </w14:textFill>
        </w:rPr>
      </w:pPr>
      <w:r>
        <w:rPr>
          <w:rFonts w:hint="eastAsia" w:ascii="宋体" w:hAnsi="宋体" w:eastAsia="宋体" w:cs="Times New Roman"/>
          <w:color w:val="000000" w:themeColor="text1"/>
          <w:kern w:val="56"/>
          <w:sz w:val="24"/>
          <w:szCs w:val="24"/>
          <w:highlight w:val="none"/>
          <w14:textFill>
            <w14:solidFill>
              <w14:schemeClr w14:val="tx1"/>
            </w14:solidFill>
          </w14:textFill>
        </w:rPr>
        <w:t xml:space="preserve">    磋商单位应递交完整的施工方案或施工组织设计，施工总布置图及其他必须的图表、文字说明书等资料，包括：</w:t>
      </w:r>
      <w:r>
        <w:rPr>
          <w:rFonts w:ascii="宋体" w:hAnsi="宋体" w:eastAsia="宋体" w:cs="Times New Roman"/>
          <w:color w:val="000000" w:themeColor="text1"/>
          <w:kern w:val="56"/>
          <w:sz w:val="24"/>
          <w:szCs w:val="24"/>
          <w:highlight w:val="none"/>
          <w14:textFill>
            <w14:solidFill>
              <w14:schemeClr w14:val="tx1"/>
            </w14:solidFill>
          </w14:textFill>
        </w:rPr>
        <w:t>主要施工方法</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拟投入的主要物资计划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拟投入的主要施工机械、设备计划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劳动力安排计划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确保工程质量的技术组织措施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确保安全生产的技术组织措施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确保工期的技术组织措施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确保文明施工的技术组织措施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等。</w:t>
      </w:r>
    </w:p>
    <w:p w14:paraId="4DACD91F">
      <w:pPr>
        <w:spacing w:line="500" w:lineRule="exact"/>
        <w:ind w:firstLine="432" w:firstLineChars="180"/>
        <w:rPr>
          <w:rFonts w:ascii="宋体" w:hAnsi="宋体" w:eastAsia="宋体" w:cs="Times New Roman"/>
          <w:color w:val="000000" w:themeColor="text1"/>
          <w:kern w:val="56"/>
          <w:sz w:val="24"/>
          <w:szCs w:val="24"/>
          <w:highlight w:val="none"/>
          <w14:textFill>
            <w14:solidFill>
              <w14:schemeClr w14:val="tx1"/>
            </w14:solidFill>
          </w14:textFill>
        </w:rPr>
      </w:pPr>
    </w:p>
    <w:p w14:paraId="783B6052">
      <w:pPr>
        <w:spacing w:line="500" w:lineRule="exact"/>
        <w:jc w:val="center"/>
        <w:rPr>
          <w:rFonts w:ascii="宋体" w:hAnsi="宋体" w:eastAsia="宋体" w:cs="Times New Roman"/>
          <w:b/>
          <w:bCs/>
          <w:color w:val="000000" w:themeColor="text1"/>
          <w:kern w:val="56"/>
          <w:sz w:val="24"/>
          <w:szCs w:val="24"/>
          <w:highlight w:val="none"/>
          <w14:textFill>
            <w14:solidFill>
              <w14:schemeClr w14:val="tx1"/>
            </w14:solidFill>
          </w14:textFill>
        </w:rPr>
      </w:pPr>
      <w:r>
        <w:rPr>
          <w:rFonts w:hint="eastAsia" w:ascii="宋体" w:hAnsi="宋体" w:eastAsia="宋体" w:cs="Times New Roman"/>
          <w:b/>
          <w:bCs/>
          <w:color w:val="000000" w:themeColor="text1"/>
          <w:kern w:val="56"/>
          <w:sz w:val="24"/>
          <w:szCs w:val="24"/>
          <w:highlight w:val="none"/>
          <w14:textFill>
            <w14:solidFill>
              <w14:schemeClr w14:val="tx1"/>
            </w14:solidFill>
          </w14:textFill>
        </w:rPr>
        <w:t>（2）计划开、竣工日期和施工进度表</w:t>
      </w:r>
    </w:p>
    <w:p w14:paraId="3AFD3359">
      <w:pPr>
        <w:spacing w:line="500" w:lineRule="exact"/>
        <w:rPr>
          <w:rFonts w:ascii="宋体" w:hAnsi="宋体" w:eastAsia="宋体" w:cs="Times New Roman"/>
          <w:color w:val="000000" w:themeColor="text1"/>
          <w:kern w:val="56"/>
          <w:sz w:val="24"/>
          <w:szCs w:val="24"/>
          <w:highlight w:val="none"/>
          <w14:textFill>
            <w14:solidFill>
              <w14:schemeClr w14:val="tx1"/>
            </w14:solidFill>
          </w14:textFill>
        </w:rPr>
      </w:pPr>
      <w:r>
        <w:rPr>
          <w:rFonts w:hint="eastAsia" w:ascii="宋体" w:hAnsi="宋体" w:eastAsia="宋体" w:cs="Times New Roman"/>
          <w:color w:val="000000" w:themeColor="text1"/>
          <w:kern w:val="56"/>
          <w:sz w:val="24"/>
          <w:szCs w:val="24"/>
          <w:highlight w:val="none"/>
          <w14:textFill>
            <w14:solidFill>
              <w14:schemeClr w14:val="tx1"/>
            </w14:solidFill>
          </w14:textFill>
        </w:rPr>
        <w:t xml:space="preserve">    磋商单位应提交初步的施工进度表，说明按竞争性磋商文件要求的工期进行施工的各个关键日期。磋商单位还要按合同条件有关条款的要求提交详细的施工进度计划。初步施工进度表可采用横道图（或关键线路网络图）表示，说明计划开工日期和各分项工程各阶段的完工日期和分包合同签订的日期。施工进度计划应与施工方案或施工组织设计相适应。</w:t>
      </w:r>
    </w:p>
    <w:p w14:paraId="4E82D6E8">
      <w:pPr>
        <w:rPr>
          <w:rFonts w:ascii="Times New Roman" w:hAnsi="Times New Roman" w:eastAsia="宋体" w:cs="Times New Roman"/>
          <w:color w:val="000000" w:themeColor="text1"/>
          <w:highlight w:val="none"/>
          <w14:textFill>
            <w14:solidFill>
              <w14:schemeClr w14:val="tx1"/>
            </w14:solidFill>
          </w14:textFill>
        </w:rPr>
      </w:pPr>
    </w:p>
    <w:p w14:paraId="6832CFD9">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6F07A021">
      <w:pPr>
        <w:jc w:val="center"/>
        <w:rPr>
          <w:rFonts w:ascii="Times New Roman" w:hAnsi="Times New Roman" w:eastAsia="宋体" w:cs="Times New Roman"/>
          <w:b/>
          <w:color w:val="000000" w:themeColor="text1"/>
          <w:sz w:val="24"/>
          <w:highlight w:val="none"/>
          <w14:textFill>
            <w14:solidFill>
              <w14:schemeClr w14:val="tx1"/>
            </w14:solidFill>
          </w14:textFill>
        </w:rPr>
      </w:pPr>
      <w:bookmarkStart w:id="1408" w:name="_Toc26068"/>
      <w:r>
        <w:rPr>
          <w:rFonts w:hint="eastAsia" w:ascii="Times New Roman" w:hAnsi="Times New Roman" w:eastAsia="宋体" w:cs="Times New Roman"/>
          <w:b/>
          <w:color w:val="000000" w:themeColor="text1"/>
          <w:sz w:val="24"/>
          <w:highlight w:val="none"/>
          <w14:textFill>
            <w14:solidFill>
              <w14:schemeClr w14:val="tx1"/>
            </w14:solidFill>
          </w14:textFill>
        </w:rPr>
        <w:t>5、项目管理机构配备情况表；附安全生产管理人员、施工员等其他相关人员的上岗证和安全生产管理人员安全生产考核合格证复印件</w:t>
      </w:r>
      <w:bookmarkEnd w:id="1408"/>
    </w:p>
    <w:p w14:paraId="7A9A0C09">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p w14:paraId="5CF94F8F">
      <w:pPr>
        <w:ind w:firstLine="378" w:firstLineChars="180"/>
        <w:jc w:val="cente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(由供应商根据《第三章 评定标准》自行填写)。</w:t>
      </w:r>
    </w:p>
    <w:p w14:paraId="4F594073">
      <w:pPr>
        <w:jc w:val="center"/>
        <w:rPr>
          <w:rFonts w:ascii="Times New Roman" w:hAnsi="Times New Roman" w:eastAsia="宋体" w:cs="Times New Roman"/>
          <w:b/>
          <w:color w:val="000000" w:themeColor="text1"/>
          <w:sz w:val="24"/>
          <w:highlight w:val="none"/>
          <w14:textFill>
            <w14:solidFill>
              <w14:schemeClr w14:val="tx1"/>
            </w14:solidFill>
          </w14:textFill>
        </w:rPr>
      </w:pPr>
      <w:bookmarkStart w:id="1409" w:name="_Toc9273"/>
    </w:p>
    <w:p w14:paraId="2AD21805">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项目管理机构配备情况表</w:t>
      </w:r>
      <w:bookmarkEnd w:id="140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1843"/>
        <w:gridCol w:w="1134"/>
        <w:gridCol w:w="1276"/>
        <w:gridCol w:w="2835"/>
      </w:tblGrid>
      <w:tr w14:paraId="3D2C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18C7230">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名    称</w:t>
            </w:r>
          </w:p>
        </w:tc>
        <w:tc>
          <w:tcPr>
            <w:tcW w:w="1843" w:type="dxa"/>
            <w:tcBorders>
              <w:top w:val="single" w:color="auto" w:sz="4" w:space="0"/>
              <w:left w:val="single" w:color="auto" w:sz="4" w:space="0"/>
              <w:bottom w:val="single" w:color="auto" w:sz="4" w:space="0"/>
              <w:right w:val="single" w:color="auto" w:sz="4" w:space="0"/>
            </w:tcBorders>
            <w:vAlign w:val="center"/>
          </w:tcPr>
          <w:p w14:paraId="19132A2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姓    名</w:t>
            </w:r>
          </w:p>
        </w:tc>
        <w:tc>
          <w:tcPr>
            <w:tcW w:w="1134" w:type="dxa"/>
            <w:tcBorders>
              <w:top w:val="single" w:color="auto" w:sz="4" w:space="0"/>
              <w:left w:val="single" w:color="auto" w:sz="4" w:space="0"/>
              <w:bottom w:val="single" w:color="auto" w:sz="4" w:space="0"/>
              <w:right w:val="single" w:color="auto" w:sz="4" w:space="0"/>
            </w:tcBorders>
            <w:vAlign w:val="center"/>
          </w:tcPr>
          <w:p w14:paraId="5952BCE5">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bCs/>
                <w:color w:val="000000" w:themeColor="text1"/>
                <w:kern w:val="56"/>
                <w:sz w:val="24"/>
                <w:highlight w:val="none"/>
                <w14:textFill>
                  <w14:solidFill>
                    <w14:schemeClr w14:val="tx1"/>
                  </w14:solidFill>
                </w14:textFill>
              </w:rPr>
              <w:t xml:space="preserve">职 </w:t>
            </w:r>
            <w:r>
              <w:rPr>
                <w:rFonts w:hint="eastAsia" w:ascii="宋体" w:hAnsi="宋体" w:eastAsia="宋体" w:cs="Times New Roman"/>
                <w:color w:val="000000" w:themeColor="text1"/>
                <w:kern w:val="56"/>
                <w:sz w:val="24"/>
                <w:highlight w:val="none"/>
                <w14:textFill>
                  <w14:solidFill>
                    <w14:schemeClr w14:val="tx1"/>
                  </w14:solidFill>
                </w14:textFill>
              </w:rPr>
              <w:t>务</w:t>
            </w:r>
          </w:p>
        </w:tc>
        <w:tc>
          <w:tcPr>
            <w:tcW w:w="1276" w:type="dxa"/>
            <w:tcBorders>
              <w:top w:val="single" w:color="auto" w:sz="4" w:space="0"/>
              <w:left w:val="single" w:color="auto" w:sz="4" w:space="0"/>
              <w:bottom w:val="single" w:color="auto" w:sz="4" w:space="0"/>
              <w:right w:val="single" w:color="auto" w:sz="4" w:space="0"/>
            </w:tcBorders>
            <w:vAlign w:val="center"/>
          </w:tcPr>
          <w:p w14:paraId="39DDE02D">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职   称</w:t>
            </w:r>
          </w:p>
        </w:tc>
        <w:tc>
          <w:tcPr>
            <w:tcW w:w="2835" w:type="dxa"/>
            <w:tcBorders>
              <w:top w:val="single" w:color="auto" w:sz="4" w:space="0"/>
              <w:left w:val="single" w:color="auto" w:sz="4" w:space="0"/>
              <w:bottom w:val="single" w:color="auto" w:sz="4" w:space="0"/>
              <w:right w:val="single" w:color="auto" w:sz="4" w:space="0"/>
            </w:tcBorders>
            <w:vAlign w:val="center"/>
          </w:tcPr>
          <w:p w14:paraId="5ECC9D93">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任职务及资格经历</w:t>
            </w:r>
          </w:p>
        </w:tc>
      </w:tr>
      <w:tr w14:paraId="7BE1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726D8D6">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一、总   部</w:t>
            </w:r>
          </w:p>
        </w:tc>
        <w:tc>
          <w:tcPr>
            <w:tcW w:w="1843" w:type="dxa"/>
            <w:tcBorders>
              <w:top w:val="single" w:color="auto" w:sz="4" w:space="0"/>
              <w:left w:val="single" w:color="auto" w:sz="4" w:space="0"/>
              <w:bottom w:val="single" w:color="auto" w:sz="4" w:space="0"/>
              <w:right w:val="single" w:color="auto" w:sz="4" w:space="0"/>
            </w:tcBorders>
            <w:vAlign w:val="center"/>
          </w:tcPr>
          <w:p w14:paraId="10EE3AC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75DB5B4">
            <w:pPr>
              <w:rPr>
                <w:rFonts w:ascii="Times New Roman" w:hAnsi="Times New Roman" w:eastAsia="宋体" w:cs="Times New Roman"/>
                <w:color w:val="000000" w:themeColor="text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34F72D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6AE3592">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42B3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55E333E0">
            <w:pPr>
              <w:widowControl/>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1、项目主管</w:t>
            </w:r>
          </w:p>
        </w:tc>
        <w:tc>
          <w:tcPr>
            <w:tcW w:w="1843" w:type="dxa"/>
            <w:tcBorders>
              <w:top w:val="single" w:color="auto" w:sz="4" w:space="0"/>
              <w:left w:val="single" w:color="auto" w:sz="4" w:space="0"/>
              <w:bottom w:val="single" w:color="auto" w:sz="4" w:space="0"/>
              <w:right w:val="single" w:color="auto" w:sz="4" w:space="0"/>
            </w:tcBorders>
            <w:vAlign w:val="center"/>
          </w:tcPr>
          <w:p w14:paraId="572B154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70D3A15">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4C929E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4CCCFE7D">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6EDA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ADF8985">
            <w:pPr>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4BDABEB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F592EA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82A4060">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A6B38AB">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772E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A1295B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7A57644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45E686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A2BD03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32A745A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6F23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3A21DA1">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5F09C5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270DC2F">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0D6AE3D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307E5B4C">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001E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30406AE7">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二、现   场</w:t>
            </w:r>
          </w:p>
        </w:tc>
        <w:tc>
          <w:tcPr>
            <w:tcW w:w="1843" w:type="dxa"/>
            <w:tcBorders>
              <w:top w:val="single" w:color="auto" w:sz="4" w:space="0"/>
              <w:left w:val="single" w:color="auto" w:sz="4" w:space="0"/>
              <w:bottom w:val="single" w:color="auto" w:sz="4" w:space="0"/>
              <w:right w:val="single" w:color="auto" w:sz="4" w:space="0"/>
            </w:tcBorders>
            <w:vAlign w:val="center"/>
          </w:tcPr>
          <w:p w14:paraId="654BED1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81C14F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BB8EDA4">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6FED4EC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1129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62036B64">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1、项目经理</w:t>
            </w:r>
          </w:p>
          <w:p w14:paraId="1C1D049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（建造师）</w:t>
            </w:r>
          </w:p>
        </w:tc>
        <w:tc>
          <w:tcPr>
            <w:tcW w:w="1843" w:type="dxa"/>
            <w:tcBorders>
              <w:top w:val="single" w:color="auto" w:sz="4" w:space="0"/>
              <w:left w:val="single" w:color="auto" w:sz="4" w:space="0"/>
              <w:bottom w:val="single" w:color="auto" w:sz="4" w:space="0"/>
              <w:right w:val="single" w:color="auto" w:sz="4" w:space="0"/>
            </w:tcBorders>
            <w:vAlign w:val="center"/>
          </w:tcPr>
          <w:p w14:paraId="3A59342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68BC15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1BA4BAF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24E0D3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4FF4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0D239B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2、技术负责人</w:t>
            </w:r>
          </w:p>
        </w:tc>
        <w:tc>
          <w:tcPr>
            <w:tcW w:w="1843" w:type="dxa"/>
            <w:tcBorders>
              <w:top w:val="single" w:color="auto" w:sz="4" w:space="0"/>
              <w:left w:val="single" w:color="auto" w:sz="4" w:space="0"/>
              <w:bottom w:val="single" w:color="auto" w:sz="4" w:space="0"/>
              <w:right w:val="single" w:color="auto" w:sz="4" w:space="0"/>
            </w:tcBorders>
            <w:vAlign w:val="center"/>
          </w:tcPr>
          <w:p w14:paraId="5A84991A">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2B291A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87D07E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C4D139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2DFE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6566F05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3、安全生产管理人员</w:t>
            </w:r>
          </w:p>
        </w:tc>
        <w:tc>
          <w:tcPr>
            <w:tcW w:w="1843" w:type="dxa"/>
            <w:tcBorders>
              <w:top w:val="single" w:color="auto" w:sz="4" w:space="0"/>
              <w:left w:val="single" w:color="auto" w:sz="4" w:space="0"/>
              <w:bottom w:val="single" w:color="auto" w:sz="4" w:space="0"/>
              <w:right w:val="single" w:color="auto" w:sz="4" w:space="0"/>
            </w:tcBorders>
            <w:vAlign w:val="center"/>
          </w:tcPr>
          <w:p w14:paraId="128455C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B4E360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1E9703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2A1DC2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3F65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386FB9A4">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4、材料员</w:t>
            </w:r>
          </w:p>
        </w:tc>
        <w:tc>
          <w:tcPr>
            <w:tcW w:w="1843" w:type="dxa"/>
            <w:tcBorders>
              <w:top w:val="single" w:color="auto" w:sz="4" w:space="0"/>
              <w:left w:val="single" w:color="auto" w:sz="4" w:space="0"/>
              <w:bottom w:val="single" w:color="auto" w:sz="4" w:space="0"/>
              <w:right w:val="single" w:color="auto" w:sz="4" w:space="0"/>
            </w:tcBorders>
            <w:vAlign w:val="center"/>
          </w:tcPr>
          <w:p w14:paraId="7748653E">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AB07E8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742910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7C9AACC2">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182F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1BD7EB6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5、质检员</w:t>
            </w:r>
          </w:p>
        </w:tc>
        <w:tc>
          <w:tcPr>
            <w:tcW w:w="1843" w:type="dxa"/>
            <w:tcBorders>
              <w:top w:val="single" w:color="auto" w:sz="4" w:space="0"/>
              <w:left w:val="single" w:color="auto" w:sz="4" w:space="0"/>
              <w:bottom w:val="single" w:color="auto" w:sz="4" w:space="0"/>
              <w:right w:val="single" w:color="auto" w:sz="4" w:space="0"/>
            </w:tcBorders>
            <w:vAlign w:val="center"/>
          </w:tcPr>
          <w:p w14:paraId="69C70A0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C66B5E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0BCD26D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2583F47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4355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20CFD59B">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6、施工员</w:t>
            </w:r>
          </w:p>
        </w:tc>
        <w:tc>
          <w:tcPr>
            <w:tcW w:w="1843" w:type="dxa"/>
            <w:tcBorders>
              <w:top w:val="single" w:color="auto" w:sz="4" w:space="0"/>
              <w:left w:val="single" w:color="auto" w:sz="4" w:space="0"/>
              <w:bottom w:val="single" w:color="auto" w:sz="4" w:space="0"/>
              <w:right w:val="single" w:color="auto" w:sz="4" w:space="0"/>
            </w:tcBorders>
            <w:vAlign w:val="center"/>
          </w:tcPr>
          <w:p w14:paraId="2A7CC74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0A0D263">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CBB1E7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0B5804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1448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1FA6455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372CA7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01EBB3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1F05D0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7D76E3F">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bl>
    <w:p w14:paraId="0B5344EB">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bCs/>
          <w:color w:val="000000" w:themeColor="text1"/>
          <w:kern w:val="56"/>
          <w:sz w:val="24"/>
          <w:highlight w:val="none"/>
          <w14:textFill>
            <w14:solidFill>
              <w14:schemeClr w14:val="tx1"/>
            </w14:solidFill>
          </w14:textFill>
        </w:rPr>
        <w:t>注：</w:t>
      </w:r>
      <w:r>
        <w:rPr>
          <w:rFonts w:hint="eastAsia" w:ascii="宋体" w:hAnsi="宋体" w:eastAsia="宋体" w:cs="Times New Roman"/>
          <w:color w:val="000000" w:themeColor="text1"/>
          <w:kern w:val="56"/>
          <w:sz w:val="24"/>
          <w:highlight w:val="none"/>
          <w14:textFill>
            <w14:solidFill>
              <w14:schemeClr w14:val="tx1"/>
            </w14:solidFill>
          </w14:textFill>
        </w:rPr>
        <w:t xml:space="preserve">附上岗证和安全生产管理人员安全考核合格证复印件。 </w:t>
      </w:r>
    </w:p>
    <w:p w14:paraId="3AAE936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p w14:paraId="78308768">
      <w:pPr>
        <w:widowControl/>
        <w:jc w:val="left"/>
        <w:rPr>
          <w:rFonts w:ascii="Times New Roman" w:hAnsi="Times New Roman" w:eastAsia="宋体" w:cs="Times New Roman"/>
          <w:b/>
          <w:color w:val="000000" w:themeColor="text1"/>
          <w:sz w:val="24"/>
          <w:highlight w:val="none"/>
          <w14:textFill>
            <w14:solidFill>
              <w14:schemeClr w14:val="tx1"/>
            </w14:solidFill>
          </w14:textFill>
        </w:rPr>
      </w:pPr>
      <w:r>
        <w:rPr>
          <w:rFonts w:ascii="Times New Roman" w:hAnsi="Times New Roman" w:eastAsia="宋体" w:cs="Times New Roman"/>
          <w:b/>
          <w:color w:val="000000" w:themeColor="text1"/>
          <w:sz w:val="24"/>
          <w:highlight w:val="none"/>
          <w14:textFill>
            <w14:solidFill>
              <w14:schemeClr w14:val="tx1"/>
            </w14:solidFill>
          </w14:textFill>
        </w:rPr>
        <w:br w:type="page"/>
      </w:r>
    </w:p>
    <w:p w14:paraId="3B61D62E">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6、202</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b/>
          <w:color w:val="000000" w:themeColor="text1"/>
          <w:sz w:val="24"/>
          <w:highlight w:val="none"/>
          <w14:textFill>
            <w14:solidFill>
              <w14:schemeClr w14:val="tx1"/>
            </w14:solidFill>
          </w14:textFill>
        </w:rPr>
        <w:t>年1月1日以来至今企业完成过</w:t>
      </w:r>
      <w:r>
        <w:rPr>
          <w:rFonts w:hint="eastAsia" w:ascii="宋体" w:hAnsi="宋体" w:eastAsia="宋体" w:cs="Times New Roman"/>
          <w:b/>
          <w:color w:val="000000" w:themeColor="text1"/>
          <w:sz w:val="24"/>
          <w:szCs w:val="24"/>
          <w:highlight w:val="none"/>
          <w:u w:val="none"/>
          <w:lang w:val="en-US" w:eastAsia="zh-CN"/>
          <w14:textFill>
            <w14:solidFill>
              <w14:schemeClr w14:val="tx1"/>
            </w14:solidFill>
          </w14:textFill>
        </w:rPr>
        <w:t>市政公用工程项目</w:t>
      </w:r>
      <w:r>
        <w:rPr>
          <w:rFonts w:hint="eastAsia" w:ascii="Times New Roman" w:hAnsi="Times New Roman" w:eastAsia="宋体" w:cs="Times New Roman"/>
          <w:b/>
          <w:color w:val="000000" w:themeColor="text1"/>
          <w:sz w:val="24"/>
          <w:highlight w:val="none"/>
          <w14:textFill>
            <w14:solidFill>
              <w14:schemeClr w14:val="tx1"/>
            </w14:solidFill>
          </w14:textFill>
        </w:rPr>
        <w:t>情况表（格式自拟）。附成交（中标）通知书或施工合同复印件（如有请提供，加盖单位电子公章）。</w:t>
      </w:r>
    </w:p>
    <w:p w14:paraId="5937E5A6">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601806AA">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3569BD34">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270D10D3">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1F6B25B7">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0F23ADBD">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5CB82A35">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3E955778">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7、按本竞争性磋商文件规定提交的其它资料（如有请提供，加盖单位电子公章）。</w:t>
      </w:r>
    </w:p>
    <w:p w14:paraId="33838314">
      <w:pPr>
        <w:rPr>
          <w:rFonts w:ascii="Times New Roman" w:hAnsi="Times New Roman" w:eastAsia="宋体" w:cs="Times New Roman"/>
          <w:color w:val="000000" w:themeColor="text1"/>
          <w:highlight w:val="none"/>
          <w14:textFill>
            <w14:solidFill>
              <w14:schemeClr w14:val="tx1"/>
            </w14:solidFill>
          </w14:textFill>
        </w:rPr>
      </w:pPr>
    </w:p>
    <w:p w14:paraId="04D55130">
      <w:pPr>
        <w:rPr>
          <w:rFonts w:ascii="Times New Roman" w:hAnsi="Times New Roman" w:eastAsia="宋体" w:cs="Times New Roman"/>
          <w:color w:val="000000" w:themeColor="text1"/>
          <w:highlight w:val="none"/>
          <w14:textFill>
            <w14:solidFill>
              <w14:schemeClr w14:val="tx1"/>
            </w14:solidFill>
          </w14:textFill>
        </w:rPr>
      </w:pPr>
    </w:p>
    <w:p w14:paraId="5CCCC9AC">
      <w:pPr>
        <w:rPr>
          <w:rFonts w:ascii="Times New Roman" w:hAnsi="Times New Roman" w:eastAsia="宋体" w:cs="Times New Roman"/>
          <w:color w:val="000000" w:themeColor="text1"/>
          <w:highlight w:val="none"/>
          <w14:textFill>
            <w14:solidFill>
              <w14:schemeClr w14:val="tx1"/>
            </w14:solidFill>
          </w14:textFill>
        </w:rPr>
      </w:pPr>
    </w:p>
    <w:p w14:paraId="414DD7AE">
      <w:pPr>
        <w:rPr>
          <w:rFonts w:ascii="Times New Roman" w:hAnsi="Times New Roman" w:eastAsia="宋体" w:cs="Times New Roman"/>
          <w:color w:val="000000" w:themeColor="text1"/>
          <w:highlight w:val="none"/>
          <w14:textFill>
            <w14:solidFill>
              <w14:schemeClr w14:val="tx1"/>
            </w14:solidFill>
          </w14:textFill>
        </w:rPr>
      </w:pPr>
    </w:p>
    <w:p w14:paraId="7225F00D">
      <w:pPr>
        <w:rPr>
          <w:rFonts w:ascii="Times New Roman" w:hAnsi="Times New Roman" w:eastAsia="宋体" w:cs="Times New Roman"/>
          <w:color w:val="000000" w:themeColor="text1"/>
          <w:highlight w:val="none"/>
          <w14:textFill>
            <w14:solidFill>
              <w14:schemeClr w14:val="tx1"/>
            </w14:solidFill>
          </w14:textFill>
        </w:rPr>
      </w:pPr>
    </w:p>
    <w:p w14:paraId="3200175D">
      <w:pPr>
        <w:rPr>
          <w:rFonts w:ascii="Times New Roman" w:hAnsi="Times New Roman" w:eastAsia="宋体" w:cs="Times New Roman"/>
          <w:color w:val="000000" w:themeColor="text1"/>
          <w:highlight w:val="none"/>
          <w14:textFill>
            <w14:solidFill>
              <w14:schemeClr w14:val="tx1"/>
            </w14:solidFill>
          </w14:textFill>
        </w:rPr>
      </w:pPr>
    </w:p>
    <w:p w14:paraId="0170EA2C">
      <w:pPr>
        <w:rPr>
          <w:rFonts w:ascii="Times New Roman" w:hAnsi="Times New Roman" w:eastAsia="宋体" w:cs="Times New Roman"/>
          <w:color w:val="000000" w:themeColor="text1"/>
          <w:highlight w:val="none"/>
          <w14:textFill>
            <w14:solidFill>
              <w14:schemeClr w14:val="tx1"/>
            </w14:solidFill>
          </w14:textFill>
        </w:rPr>
      </w:pPr>
    </w:p>
    <w:p w14:paraId="34D78DB9">
      <w:pPr>
        <w:rPr>
          <w:rFonts w:ascii="Times New Roman" w:hAnsi="Times New Roman" w:eastAsia="宋体" w:cs="Times New Roman"/>
          <w:color w:val="000000" w:themeColor="text1"/>
          <w:highlight w:val="none"/>
          <w14:textFill>
            <w14:solidFill>
              <w14:schemeClr w14:val="tx1"/>
            </w14:solidFill>
          </w14:textFill>
        </w:rPr>
      </w:pPr>
    </w:p>
    <w:p w14:paraId="471C53B0">
      <w:pPr>
        <w:rPr>
          <w:rFonts w:ascii="Times New Roman" w:hAnsi="Times New Roman" w:eastAsia="宋体" w:cs="Times New Roman"/>
          <w:color w:val="000000" w:themeColor="text1"/>
          <w:highlight w:val="none"/>
          <w14:textFill>
            <w14:solidFill>
              <w14:schemeClr w14:val="tx1"/>
            </w14:solidFill>
          </w14:textFill>
        </w:rPr>
      </w:pPr>
    </w:p>
    <w:p w14:paraId="16581585">
      <w:pPr>
        <w:rPr>
          <w:rFonts w:ascii="Times New Roman" w:hAnsi="Times New Roman" w:eastAsia="宋体" w:cs="Times New Roman"/>
          <w:color w:val="000000" w:themeColor="text1"/>
          <w:highlight w:val="none"/>
          <w14:textFill>
            <w14:solidFill>
              <w14:schemeClr w14:val="tx1"/>
            </w14:solidFill>
          </w14:textFill>
        </w:rPr>
      </w:pPr>
    </w:p>
    <w:p w14:paraId="655BDD90">
      <w:pPr>
        <w:rPr>
          <w:rFonts w:ascii="Times New Roman" w:hAnsi="Times New Roman" w:eastAsia="宋体" w:cs="Times New Roman"/>
          <w:color w:val="000000" w:themeColor="text1"/>
          <w:highlight w:val="none"/>
          <w14:textFill>
            <w14:solidFill>
              <w14:schemeClr w14:val="tx1"/>
            </w14:solidFill>
          </w14:textFill>
        </w:rPr>
      </w:pPr>
    </w:p>
    <w:p w14:paraId="10EC06EE">
      <w:pPr>
        <w:rPr>
          <w:rFonts w:ascii="Times New Roman" w:hAnsi="Times New Roman" w:eastAsia="宋体" w:cs="Times New Roman"/>
          <w:color w:val="000000" w:themeColor="text1"/>
          <w:highlight w:val="none"/>
          <w14:textFill>
            <w14:solidFill>
              <w14:schemeClr w14:val="tx1"/>
            </w14:solidFill>
          </w14:textFill>
        </w:rPr>
      </w:pPr>
    </w:p>
    <w:p w14:paraId="40B61E4C">
      <w:pPr>
        <w:rPr>
          <w:rFonts w:ascii="Times New Roman" w:hAnsi="Times New Roman" w:eastAsia="宋体" w:cs="Times New Roman"/>
          <w:color w:val="000000" w:themeColor="text1"/>
          <w:highlight w:val="none"/>
          <w14:textFill>
            <w14:solidFill>
              <w14:schemeClr w14:val="tx1"/>
            </w14:solidFill>
          </w14:textFill>
        </w:rPr>
      </w:pPr>
    </w:p>
    <w:p w14:paraId="3B9274EB">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1277C4FB">
      <w:pPr>
        <w:rPr>
          <w:rFonts w:ascii="宋体" w:hAnsi="宋体" w:eastAsia="宋体" w:cs="Times New Roman"/>
          <w:color w:val="000000" w:themeColor="text1"/>
          <w:kern w:val="56"/>
          <w:sz w:val="24"/>
          <w:highlight w:val="none"/>
          <w14:textFill>
            <w14:solidFill>
              <w14:schemeClr w14:val="tx1"/>
            </w14:solidFill>
          </w14:textFill>
        </w:rPr>
      </w:pPr>
    </w:p>
    <w:p w14:paraId="71F37C64">
      <w:pPr>
        <w:rPr>
          <w:rFonts w:ascii="宋体" w:hAnsi="宋体" w:eastAsia="宋体" w:cs="Times New Roman"/>
          <w:b/>
          <w:color w:val="000000" w:themeColor="text1"/>
          <w:sz w:val="28"/>
          <w:szCs w:val="36"/>
          <w:highlight w:val="none"/>
          <w14:textFill>
            <w14:solidFill>
              <w14:schemeClr w14:val="tx1"/>
            </w14:solidFill>
          </w14:textFill>
        </w:rPr>
      </w:pPr>
      <w:r>
        <w:rPr>
          <w:rFonts w:hint="eastAsia" w:ascii="宋体" w:hAnsi="宋体" w:eastAsia="宋体" w:cs="Times New Roman"/>
          <w:b/>
          <w:color w:val="000000" w:themeColor="text1"/>
          <w:sz w:val="28"/>
          <w:szCs w:val="36"/>
          <w:highlight w:val="none"/>
          <w14:textFill>
            <w14:solidFill>
              <w14:schemeClr w14:val="tx1"/>
            </w14:solidFill>
          </w14:textFill>
        </w:rPr>
        <w:t>三、二次报价封面格式</w:t>
      </w:r>
    </w:p>
    <w:p w14:paraId="3D2886CB">
      <w:pPr>
        <w:spacing w:line="520" w:lineRule="exact"/>
        <w:jc w:val="center"/>
        <w:rPr>
          <w:rFonts w:ascii="宋体" w:hAnsi="宋体" w:eastAsia="宋体" w:cs="Times New Roman"/>
          <w:b/>
          <w:color w:val="000000" w:themeColor="text1"/>
          <w:sz w:val="40"/>
          <w:szCs w:val="36"/>
          <w:highlight w:val="none"/>
          <w14:textFill>
            <w14:solidFill>
              <w14:schemeClr w14:val="tx1"/>
            </w14:solidFill>
          </w14:textFill>
        </w:rPr>
      </w:pPr>
      <w:bookmarkStart w:id="1410" w:name="_Toc293903940"/>
      <w:bookmarkStart w:id="1411" w:name="_Toc31650"/>
      <w:bookmarkStart w:id="1412" w:name="_Toc300661871"/>
    </w:p>
    <w:p w14:paraId="2D856015">
      <w:pPr>
        <w:spacing w:line="520" w:lineRule="exact"/>
        <w:jc w:val="center"/>
        <w:rPr>
          <w:rFonts w:ascii="宋体" w:hAnsi="宋体" w:eastAsia="宋体" w:cs="Times New Roman"/>
          <w:b/>
          <w:color w:val="000000" w:themeColor="text1"/>
          <w:sz w:val="40"/>
          <w:szCs w:val="36"/>
          <w:highlight w:val="none"/>
          <w14:textFill>
            <w14:solidFill>
              <w14:schemeClr w14:val="tx1"/>
            </w14:solidFill>
          </w14:textFill>
        </w:rPr>
      </w:pPr>
      <w:r>
        <w:rPr>
          <w:rFonts w:hint="eastAsia" w:ascii="宋体" w:hAnsi="宋体" w:eastAsia="宋体" w:cs="Times New Roman"/>
          <w:b/>
          <w:color w:val="000000" w:themeColor="text1"/>
          <w:sz w:val="48"/>
          <w:szCs w:val="36"/>
          <w:highlight w:val="none"/>
          <w14:textFill>
            <w14:solidFill>
              <w14:schemeClr w14:val="tx1"/>
            </w14:solidFill>
          </w14:textFill>
        </w:rPr>
        <w:t>第二次报价文件</w:t>
      </w:r>
    </w:p>
    <w:p w14:paraId="4BE3FC85">
      <w:pPr>
        <w:spacing w:line="520" w:lineRule="exact"/>
        <w:jc w:val="center"/>
        <w:rPr>
          <w:rFonts w:ascii="宋体" w:hAnsi="宋体" w:eastAsia="宋体" w:cs="Times New Roman"/>
          <w:b/>
          <w:color w:val="000000" w:themeColor="text1"/>
          <w:sz w:val="28"/>
          <w:szCs w:val="36"/>
          <w:highlight w:val="none"/>
          <w14:textFill>
            <w14:solidFill>
              <w14:schemeClr w14:val="tx1"/>
            </w14:solidFill>
          </w14:textFill>
        </w:rPr>
      </w:pPr>
    </w:p>
    <w:p w14:paraId="3BAC2B62">
      <w:pPr>
        <w:spacing w:line="520" w:lineRule="exact"/>
        <w:jc w:val="center"/>
        <w:rPr>
          <w:rFonts w:ascii="Times New Roman" w:hAnsi="宋体" w:eastAsia="宋体" w:cs="Times New Roman"/>
          <w:bCs/>
          <w:color w:val="000000" w:themeColor="text1"/>
          <w:sz w:val="24"/>
          <w:highlight w:val="none"/>
          <w14:textFill>
            <w14:solidFill>
              <w14:schemeClr w14:val="tx1"/>
            </w14:solidFill>
          </w14:textFill>
        </w:rPr>
      </w:pPr>
    </w:p>
    <w:p w14:paraId="2D0B25DD">
      <w:pPr>
        <w:rPr>
          <w:rFonts w:ascii="Times New Roman" w:hAnsi="Times New Roman" w:eastAsia="宋体" w:cs="Times New Roman"/>
          <w:color w:val="000000" w:themeColor="text1"/>
          <w:highlight w:val="none"/>
          <w14:textFill>
            <w14:solidFill>
              <w14:schemeClr w14:val="tx1"/>
            </w14:solidFill>
          </w14:textFill>
        </w:rPr>
      </w:pPr>
    </w:p>
    <w:p w14:paraId="265314A5">
      <w:pPr>
        <w:rPr>
          <w:rFonts w:ascii="Times New Roman" w:hAnsi="Times New Roman" w:eastAsia="宋体" w:cs="Times New Roman"/>
          <w:color w:val="000000" w:themeColor="text1"/>
          <w:highlight w:val="none"/>
          <w14:textFill>
            <w14:solidFill>
              <w14:schemeClr w14:val="tx1"/>
            </w14:solidFill>
          </w14:textFill>
        </w:rPr>
      </w:pPr>
    </w:p>
    <w:p w14:paraId="2E0FA672">
      <w:pPr>
        <w:rPr>
          <w:rFonts w:ascii="Times New Roman" w:hAnsi="Times New Roman" w:eastAsia="宋体" w:cs="Times New Roman"/>
          <w:color w:val="000000" w:themeColor="text1"/>
          <w:highlight w:val="none"/>
          <w14:textFill>
            <w14:solidFill>
              <w14:schemeClr w14:val="tx1"/>
            </w14:solidFill>
          </w14:textFill>
        </w:rPr>
      </w:pPr>
    </w:p>
    <w:p w14:paraId="4430FA42">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项目名称：</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40A1F0F7">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项目编号：</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51261F98">
      <w:pPr>
        <w:spacing w:line="500" w:lineRule="exact"/>
        <w:ind w:firstLine="2560" w:firstLineChars="800"/>
        <w:rPr>
          <w:rFonts w:ascii="宋体" w:hAnsi="Times New Roman" w:eastAsia="宋体" w:cs="Times New Roman"/>
          <w:color w:val="000000" w:themeColor="text1"/>
          <w:sz w:val="32"/>
          <w:szCs w:val="32"/>
          <w:highlight w:val="none"/>
          <w14:textFill>
            <w14:solidFill>
              <w14:schemeClr w14:val="tx1"/>
            </w14:solidFill>
          </w14:textFill>
        </w:rPr>
      </w:pPr>
    </w:p>
    <w:p w14:paraId="5C70ACBA">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p>
    <w:p w14:paraId="0E46B8EE">
      <w:pPr>
        <w:spacing w:line="500" w:lineRule="exact"/>
        <w:rPr>
          <w:rFonts w:ascii="宋体" w:hAnsi="Times New Roman" w:eastAsia="宋体" w:cs="Times New Roman"/>
          <w:color w:val="000000" w:themeColor="text1"/>
          <w:sz w:val="32"/>
          <w:szCs w:val="32"/>
          <w:highlight w:val="none"/>
          <w:u w:val="single"/>
          <w14:textFill>
            <w14:solidFill>
              <w14:schemeClr w14:val="tx1"/>
            </w14:solidFill>
          </w14:textFill>
        </w:rPr>
      </w:pPr>
    </w:p>
    <w:p w14:paraId="3246243B">
      <w:pPr>
        <w:spacing w:line="500" w:lineRule="exact"/>
        <w:ind w:firstLine="800" w:firstLineChars="25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供应商：</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77E9859F">
      <w:pPr>
        <w:spacing w:line="500" w:lineRule="exact"/>
        <w:ind w:firstLine="800" w:firstLineChars="250"/>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法定代表人或其委托代理人：</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1C16838E">
      <w:pPr>
        <w:spacing w:line="500" w:lineRule="exact"/>
        <w:ind w:firstLine="480" w:firstLineChars="150"/>
        <w:rPr>
          <w:rFonts w:ascii="宋体" w:hAnsi="Times New Roman" w:eastAsia="宋体" w:cs="Times New Roman"/>
          <w:color w:val="000000" w:themeColor="text1"/>
          <w:sz w:val="32"/>
          <w:szCs w:val="32"/>
          <w:highlight w:val="none"/>
          <w14:textFill>
            <w14:solidFill>
              <w14:schemeClr w14:val="tx1"/>
            </w14:solidFill>
          </w14:textFill>
        </w:rPr>
      </w:pPr>
    </w:p>
    <w:p w14:paraId="09B040D0">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p>
    <w:p w14:paraId="6BA75EAA">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日期：</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年</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月</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日</w:t>
      </w:r>
    </w:p>
    <w:p w14:paraId="64565593">
      <w:pPr>
        <w:rPr>
          <w:rFonts w:ascii="Times New Roman" w:hAnsi="Times New Roman" w:eastAsia="宋体" w:cs="Times New Roman"/>
          <w:color w:val="000000" w:themeColor="text1"/>
          <w:highlight w:val="none"/>
          <w14:textFill>
            <w14:solidFill>
              <w14:schemeClr w14:val="tx1"/>
            </w14:solidFill>
          </w14:textFill>
        </w:rPr>
      </w:pPr>
    </w:p>
    <w:p w14:paraId="18FB14DD">
      <w:pPr>
        <w:rPr>
          <w:rFonts w:ascii="Times New Roman" w:hAnsi="Times New Roman" w:eastAsia="宋体" w:cs="Times New Roman"/>
          <w:color w:val="000000" w:themeColor="text1"/>
          <w:highlight w:val="none"/>
          <w14:textFill>
            <w14:solidFill>
              <w14:schemeClr w14:val="tx1"/>
            </w14:solidFill>
          </w14:textFill>
        </w:rPr>
      </w:pPr>
    </w:p>
    <w:p w14:paraId="12B943C2">
      <w:pPr>
        <w:spacing w:line="520" w:lineRule="exact"/>
        <w:jc w:val="center"/>
        <w:rPr>
          <w:rFonts w:ascii="Times New Roman" w:hAnsi="宋体" w:eastAsia="宋体" w:cs="Times New Roman"/>
          <w:b/>
          <w:color w:val="000000" w:themeColor="text1"/>
          <w:sz w:val="24"/>
          <w:highlight w:val="none"/>
          <w14:textFill>
            <w14:solidFill>
              <w14:schemeClr w14:val="tx1"/>
            </w14:solidFill>
          </w14:textFill>
        </w:rPr>
      </w:pPr>
    </w:p>
    <w:p w14:paraId="617D001B">
      <w:pPr>
        <w:spacing w:line="520" w:lineRule="exact"/>
        <w:jc w:val="center"/>
        <w:rPr>
          <w:rFonts w:ascii="Times New Roman" w:hAnsi="宋体" w:eastAsia="宋体" w:cs="Times New Roman"/>
          <w:b/>
          <w:color w:val="000000" w:themeColor="text1"/>
          <w:sz w:val="24"/>
          <w:highlight w:val="none"/>
          <w14:textFill>
            <w14:solidFill>
              <w14:schemeClr w14:val="tx1"/>
            </w14:solidFill>
          </w14:textFill>
        </w:rPr>
      </w:pPr>
    </w:p>
    <w:p w14:paraId="017D5D54">
      <w:pPr>
        <w:spacing w:line="520" w:lineRule="exact"/>
        <w:rPr>
          <w:rFonts w:ascii="Times New Roman" w:hAnsi="宋体" w:eastAsia="宋体" w:cs="Times New Roman"/>
          <w:b/>
          <w:color w:val="000000" w:themeColor="text1"/>
          <w:sz w:val="24"/>
          <w:highlight w:val="none"/>
          <w14:textFill>
            <w14:solidFill>
              <w14:schemeClr w14:val="tx1"/>
            </w14:solidFill>
          </w14:textFill>
        </w:rPr>
      </w:pPr>
    </w:p>
    <w:p w14:paraId="57EE7A56">
      <w:pPr>
        <w:spacing w:line="360" w:lineRule="auto"/>
        <w:jc w:val="center"/>
        <w:rPr>
          <w:rFonts w:ascii="Times New Roman" w:hAnsi="宋体" w:eastAsia="宋体" w:cs="Times New Roman"/>
          <w:b/>
          <w:bCs/>
          <w:color w:val="000000" w:themeColor="text1"/>
          <w:sz w:val="48"/>
          <w:szCs w:val="48"/>
          <w:highlight w:val="none"/>
          <w14:textFill>
            <w14:solidFill>
              <w14:schemeClr w14:val="tx1"/>
            </w14:solidFill>
          </w14:textFill>
        </w:rPr>
      </w:pPr>
      <w:r>
        <w:rPr>
          <w:rFonts w:ascii="宋体" w:hAnsi="宋体" w:eastAsia="宋体" w:cs="Times New Roman"/>
          <w:b/>
          <w:bCs/>
          <w:color w:val="000000" w:themeColor="text1"/>
          <w:kern w:val="56"/>
          <w:sz w:val="48"/>
          <w:szCs w:val="48"/>
          <w:highlight w:val="none"/>
          <w14:textFill>
            <w14:solidFill>
              <w14:schemeClr w14:val="tx1"/>
            </w14:solidFill>
          </w14:textFill>
        </w:rPr>
        <w:br w:type="page"/>
      </w:r>
      <w:r>
        <w:rPr>
          <w:rFonts w:hint="eastAsia" w:ascii="宋体" w:hAnsi="宋体" w:eastAsia="宋体" w:cs="Times New Roman"/>
          <w:b/>
          <w:bCs/>
          <w:color w:val="000000" w:themeColor="text1"/>
          <w:kern w:val="56"/>
          <w:sz w:val="28"/>
          <w:szCs w:val="48"/>
          <w:highlight w:val="none"/>
          <w14:textFill>
            <w14:solidFill>
              <w14:schemeClr w14:val="tx1"/>
            </w14:solidFill>
          </w14:textFill>
        </w:rPr>
        <w:t>二次报价磋商函</w:t>
      </w:r>
    </w:p>
    <w:p w14:paraId="5239B116">
      <w:pPr>
        <w:jc w:val="center"/>
        <w:rPr>
          <w:rFonts w:ascii="宋体"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1. 磋商函（格式）</w:t>
      </w:r>
    </w:p>
    <w:p w14:paraId="6CF3D4B6">
      <w:pPr>
        <w:rPr>
          <w:color w:val="000000" w:themeColor="text1"/>
          <w:highlight w:val="none"/>
          <w14:textFill>
            <w14:solidFill>
              <w14:schemeClr w14:val="tx1"/>
            </w14:solidFill>
          </w14:textFill>
        </w:rPr>
      </w:pPr>
    </w:p>
    <w:p w14:paraId="5569C9DC">
      <w:pPr>
        <w:spacing w:line="360" w:lineRule="auto"/>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致：</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（采购代理机构名称）</w:t>
      </w:r>
    </w:p>
    <w:p w14:paraId="4D41B3AF">
      <w:pPr>
        <w:wordWrap w:val="0"/>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1、我方已仔细研究了</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竞争性磋商文件的全部内容，愿意以人民币(大写)</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元（¥</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）的磋商总报价，工期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日历天，按工程建设标准、合同约定实施和完成承包</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（项目名称）</w:t>
      </w:r>
      <w:r>
        <w:rPr>
          <w:rFonts w:hint="eastAsia" w:ascii="宋体" w:hAnsi="宋体" w:eastAsia="宋体" w:cs="Times New Roman"/>
          <w:color w:val="000000" w:themeColor="text1"/>
          <w:kern w:val="56"/>
          <w:szCs w:val="21"/>
          <w:highlight w:val="none"/>
          <w14:textFill>
            <w14:solidFill>
              <w14:schemeClr w14:val="tx1"/>
            </w14:solidFill>
          </w14:textFill>
        </w:rPr>
        <w:t>，工程质量达到</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w:t>
      </w:r>
    </w:p>
    <w:p w14:paraId="00377EE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2、我方承诺在磋商有效期内不修改、撤销磋商相应文件。</w:t>
      </w:r>
    </w:p>
    <w:p w14:paraId="44F5E12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3、如我方成交：</w:t>
      </w:r>
    </w:p>
    <w:p w14:paraId="4E7E11FD">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（1）我方承诺在收到成交通知书后，在成交通知书规定的期限内与你方签订合同。</w:t>
      </w:r>
    </w:p>
    <w:p w14:paraId="55326235">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（2）我方承诺按照竞争性磋商文件规定向你方交纳履约保证金。</w:t>
      </w:r>
    </w:p>
    <w:p w14:paraId="7DF8A31B">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（3）我方承诺在合同约定的期限内完成并移交全部合同工程。</w:t>
      </w:r>
    </w:p>
    <w:p w14:paraId="1C83F49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4、我方在此声明，所递交磋商响应文件及有关资料内容完整、真实和准确，且不存在与本采购项目的各方主体有任何利害关系。</w:t>
      </w:r>
    </w:p>
    <w:p w14:paraId="1395C32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        </w:t>
      </w:r>
    </w:p>
    <w:p w14:paraId="17219326">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磋商单位：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 xml:space="preserve">  （电子公章）</w:t>
      </w:r>
    </w:p>
    <w:p w14:paraId="2743E87B">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单 位 地 址：</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48A2908D">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法定代表人或其委托代理人：</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（签名或签章） </w:t>
      </w:r>
    </w:p>
    <w:p w14:paraId="76A96E55">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邮 政 编 码：</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2EB337E9">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电 话：</w:t>
      </w:r>
      <w:r>
        <w:rPr>
          <w:rFonts w:hint="eastAsia" w:ascii="宋体" w:hAnsi="宋体" w:eastAsia="宋体" w:cs="Times New Roman"/>
          <w:color w:val="000000" w:themeColor="text1"/>
          <w:kern w:val="56"/>
          <w:szCs w:val="21"/>
          <w:highlight w:val="none"/>
          <w:u w:val="single"/>
          <w14:textFill>
            <w14:solidFill>
              <w14:schemeClr w14:val="tx1"/>
            </w14:solidFill>
          </w14:textFill>
        </w:rPr>
        <w:t>　　　　　　</w:t>
      </w:r>
    </w:p>
    <w:p w14:paraId="78827989">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传真：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1AE89B8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开户行名称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3D1A942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银 行 帐 号：</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F55212A">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日   期 ：     年    月    日</w:t>
      </w:r>
    </w:p>
    <w:p w14:paraId="7D1EA6A1">
      <w:pPr>
        <w:spacing w:line="360" w:lineRule="exact"/>
        <w:ind w:firstLine="5460" w:firstLineChars="2600"/>
        <w:rPr>
          <w:rFonts w:ascii="宋体" w:hAnsi="宋体" w:eastAsia="宋体" w:cs="Times New Roman"/>
          <w:bCs/>
          <w:color w:val="000000" w:themeColor="text1"/>
          <w:szCs w:val="21"/>
          <w:highlight w:val="none"/>
          <w14:textFill>
            <w14:solidFill>
              <w14:schemeClr w14:val="tx1"/>
            </w14:solidFill>
          </w14:textFill>
        </w:rPr>
      </w:pPr>
    </w:p>
    <w:p w14:paraId="78C76A57">
      <w:pPr>
        <w:spacing w:line="360" w:lineRule="auto"/>
        <w:ind w:firstLine="396" w:firstLineChars="180"/>
        <w:rPr>
          <w:rFonts w:ascii="宋体" w:hAnsi="宋体" w:eastAsia="宋体" w:cs="Times New Roman"/>
          <w:color w:val="000000" w:themeColor="text1"/>
          <w:kern w:val="56"/>
          <w:sz w:val="22"/>
          <w:highlight w:val="none"/>
          <w:u w:val="single"/>
          <w14:textFill>
            <w14:solidFill>
              <w14:schemeClr w14:val="tx1"/>
            </w14:solidFill>
          </w14:textFill>
        </w:rPr>
      </w:pPr>
    </w:p>
    <w:p w14:paraId="4D846431">
      <w:pPr>
        <w:spacing w:line="360" w:lineRule="auto"/>
        <w:ind w:firstLine="396" w:firstLineChars="180"/>
        <w:rPr>
          <w:rFonts w:ascii="宋体" w:hAnsi="宋体" w:eastAsia="宋体" w:cs="Times New Roman"/>
          <w:color w:val="000000" w:themeColor="text1"/>
          <w:kern w:val="56"/>
          <w:sz w:val="22"/>
          <w:highlight w:val="none"/>
          <w:u w:val="single"/>
          <w14:textFill>
            <w14:solidFill>
              <w14:schemeClr w14:val="tx1"/>
            </w14:solidFill>
          </w14:textFill>
        </w:rPr>
      </w:pPr>
    </w:p>
    <w:p w14:paraId="7A7708D2">
      <w:pPr>
        <w:rPr>
          <w:rFonts w:ascii="Times New Roman" w:hAnsi="Times New Roman" w:eastAsia="宋体" w:cs="Times New Roman"/>
          <w:color w:val="000000" w:themeColor="text1"/>
          <w:highlight w:val="none"/>
          <w14:textFill>
            <w14:solidFill>
              <w14:schemeClr w14:val="tx1"/>
            </w14:solidFill>
          </w14:textFill>
        </w:rPr>
      </w:pPr>
    </w:p>
    <w:p w14:paraId="45E224C3">
      <w:pPr>
        <w:rPr>
          <w:rFonts w:ascii="Times New Roman" w:hAnsi="Times New Roman" w:eastAsia="宋体" w:cs="Times New Roman"/>
          <w:color w:val="000000" w:themeColor="text1"/>
          <w:highlight w:val="none"/>
          <w14:textFill>
            <w14:solidFill>
              <w14:schemeClr w14:val="tx1"/>
            </w14:solidFill>
          </w14:textFill>
        </w:rPr>
      </w:pPr>
    </w:p>
    <w:p w14:paraId="099E3609">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48BFED36">
      <w:pPr>
        <w:jc w:val="center"/>
        <w:rPr>
          <w:rFonts w:ascii="Times New Roman" w:hAnsi="Times New Roman" w:eastAsia="宋体" w:cs="Times New Roman"/>
          <w:color w:val="000000" w:themeColor="text1"/>
          <w:highlight w:val="none"/>
          <w14:textFill>
            <w14:solidFill>
              <w14:schemeClr w14:val="tx1"/>
            </w14:solidFill>
          </w14:textFill>
        </w:rPr>
      </w:pPr>
    </w:p>
    <w:p w14:paraId="657BA9E1">
      <w:pPr>
        <w:jc w:val="center"/>
        <w:rPr>
          <w:rFonts w:ascii="Times New Roman" w:hAnsi="宋体" w:eastAsia="宋体" w:cs="Times New Roman"/>
          <w:b/>
          <w:color w:val="000000" w:themeColor="text1"/>
          <w:sz w:val="28"/>
          <w:szCs w:val="36"/>
          <w:highlight w:val="none"/>
          <w14:textFill>
            <w14:solidFill>
              <w14:schemeClr w14:val="tx1"/>
            </w14:solidFill>
          </w14:textFill>
        </w:rPr>
      </w:pPr>
      <w:r>
        <w:rPr>
          <w:rFonts w:hint="eastAsia" w:ascii="Times New Roman" w:hAnsi="宋体" w:eastAsia="宋体" w:cs="Times New Roman"/>
          <w:b/>
          <w:color w:val="000000" w:themeColor="text1"/>
          <w:sz w:val="28"/>
          <w:szCs w:val="36"/>
          <w:highlight w:val="none"/>
          <w14:textFill>
            <w14:solidFill>
              <w14:schemeClr w14:val="tx1"/>
            </w14:solidFill>
          </w14:textFill>
        </w:rPr>
        <w:t>四、工程量清单报价有关资料</w:t>
      </w:r>
    </w:p>
    <w:p w14:paraId="304027F6">
      <w:pPr>
        <w:jc w:val="center"/>
        <w:rPr>
          <w:rFonts w:ascii="宋体" w:hAnsi="宋体" w:eastAsia="宋体" w:cs="Times New Roman"/>
          <w:b/>
          <w:color w:val="000000" w:themeColor="text1"/>
          <w:sz w:val="36"/>
          <w:szCs w:val="36"/>
          <w:highlight w:val="none"/>
          <w14:textFill>
            <w14:solidFill>
              <w14:schemeClr w14:val="tx1"/>
            </w14:solidFill>
          </w14:textFill>
        </w:rPr>
      </w:pPr>
    </w:p>
    <w:p w14:paraId="36F84CA9">
      <w:pPr>
        <w:jc w:val="center"/>
        <w:rPr>
          <w:rFonts w:ascii="宋体" w:hAnsi="宋体" w:eastAsia="宋体" w:cs="Times New Roman"/>
          <w:color w:val="000000" w:themeColor="text1"/>
          <w:szCs w:val="21"/>
          <w:highlight w:val="none"/>
          <w14:textFill>
            <w14:solidFill>
              <w14:schemeClr w14:val="tx1"/>
            </w14:solidFill>
          </w14:textFill>
        </w:rPr>
      </w:pPr>
    </w:p>
    <w:p w14:paraId="0C870EB7">
      <w:pPr>
        <w:jc w:val="center"/>
        <w:rPr>
          <w:color w:val="000000" w:themeColor="text1"/>
          <w:highlight w:val="none"/>
          <w14:textFill>
            <w14:solidFill>
              <w14:schemeClr w14:val="tx1"/>
            </w14:solidFill>
          </w14:textFill>
        </w:rPr>
      </w:pPr>
    </w:p>
    <w:p w14:paraId="6F689175">
      <w:pPr>
        <w:jc w:val="center"/>
        <w:rPr>
          <w:color w:val="000000" w:themeColor="text1"/>
          <w:highlight w:val="none"/>
          <w14:textFill>
            <w14:solidFill>
              <w14:schemeClr w14:val="tx1"/>
            </w14:solidFill>
          </w14:textFill>
        </w:rPr>
      </w:pPr>
    </w:p>
    <w:p w14:paraId="4638E177">
      <w:pPr>
        <w:jc w:val="center"/>
        <w:rPr>
          <w:rFonts w:ascii="Times New Roman" w:hAnsi="Times New Roman" w:eastAsia="宋体" w:cs="Times New Roman"/>
          <w:color w:val="000000" w:themeColor="text1"/>
          <w:highlight w:val="none"/>
          <w14:textFill>
            <w14:solidFill>
              <w14:schemeClr w14:val="tx1"/>
            </w14:solidFill>
          </w14:textFill>
        </w:rPr>
      </w:pPr>
    </w:p>
    <w:p w14:paraId="7B88F918">
      <w:pPr>
        <w:rPr>
          <w:rFonts w:ascii="Times New Roman" w:hAnsi="Times New Roman" w:eastAsia="宋体" w:cs="Times New Roman"/>
          <w:color w:val="000000" w:themeColor="text1"/>
          <w:highlight w:val="none"/>
          <w14:textFill>
            <w14:solidFill>
              <w14:schemeClr w14:val="tx1"/>
            </w14:solidFill>
          </w14:textFill>
        </w:rPr>
      </w:pPr>
    </w:p>
    <w:p w14:paraId="307D31FB">
      <w:pPr>
        <w:rPr>
          <w:rFonts w:ascii="Times New Roman" w:hAnsi="Times New Roman" w:eastAsia="宋体" w:cs="Times New Roman"/>
          <w:color w:val="000000" w:themeColor="text1"/>
          <w:highlight w:val="none"/>
          <w14:textFill>
            <w14:solidFill>
              <w14:schemeClr w14:val="tx1"/>
            </w14:solidFill>
          </w14:textFill>
        </w:rPr>
      </w:pPr>
    </w:p>
    <w:p w14:paraId="13041704">
      <w:pPr>
        <w:rPr>
          <w:rFonts w:ascii="Times New Roman" w:hAnsi="Times New Roman" w:eastAsia="宋体" w:cs="Times New Roman"/>
          <w:color w:val="000000" w:themeColor="text1"/>
          <w:highlight w:val="none"/>
          <w14:textFill>
            <w14:solidFill>
              <w14:schemeClr w14:val="tx1"/>
            </w14:solidFill>
          </w14:textFill>
        </w:rPr>
      </w:pPr>
    </w:p>
    <w:p w14:paraId="669101DE">
      <w:pPr>
        <w:spacing w:line="500" w:lineRule="exact"/>
        <w:rPr>
          <w:rFonts w:ascii="Times New Roman" w:hAnsi="宋体" w:eastAsia="宋体" w:cs="Times New Roman"/>
          <w:b/>
          <w:color w:val="000000" w:themeColor="text1"/>
          <w:sz w:val="36"/>
          <w:szCs w:val="36"/>
          <w:highlight w:val="none"/>
          <w14:textFill>
            <w14:solidFill>
              <w14:schemeClr w14:val="tx1"/>
            </w14:solidFill>
          </w14:textFill>
        </w:rPr>
      </w:pPr>
    </w:p>
    <w:p w14:paraId="06966003">
      <w:pPr>
        <w:spacing w:line="500" w:lineRule="exact"/>
        <w:rPr>
          <w:rFonts w:ascii="Times New Roman" w:hAnsi="宋体" w:eastAsia="宋体" w:cs="Times New Roman"/>
          <w:b/>
          <w:color w:val="000000" w:themeColor="text1"/>
          <w:sz w:val="36"/>
          <w:szCs w:val="36"/>
          <w:highlight w:val="none"/>
          <w14:textFill>
            <w14:solidFill>
              <w14:schemeClr w14:val="tx1"/>
            </w14:solidFill>
          </w14:textFill>
        </w:rPr>
      </w:pPr>
    </w:p>
    <w:p w14:paraId="3EBCA7FB">
      <w:pPr>
        <w:spacing w:line="500" w:lineRule="exact"/>
        <w:jc w:val="center"/>
        <w:rPr>
          <w:rFonts w:ascii="Times New Roman" w:hAnsi="Times New Roman" w:eastAsia="宋体" w:cs="Times New Roman"/>
          <w:color w:val="000000" w:themeColor="text1"/>
          <w:sz w:val="18"/>
          <w:highlight w:val="none"/>
          <w14:textFill>
            <w14:solidFill>
              <w14:schemeClr w14:val="tx1"/>
            </w14:solidFill>
          </w14:textFill>
        </w:rPr>
      </w:pPr>
      <w:r>
        <w:rPr>
          <w:rFonts w:hint="eastAsia" w:ascii="Times New Roman" w:hAnsi="宋体" w:eastAsia="宋体" w:cs="Times New Roman"/>
          <w:b/>
          <w:color w:val="000000" w:themeColor="text1"/>
          <w:sz w:val="28"/>
          <w:szCs w:val="36"/>
          <w:highlight w:val="none"/>
          <w14:textFill>
            <w14:solidFill>
              <w14:schemeClr w14:val="tx1"/>
            </w14:solidFill>
          </w14:textFill>
        </w:rPr>
        <w:t>五、竞争性磋商文件要求的其他材料</w:t>
      </w:r>
      <w:bookmarkEnd w:id="1410"/>
      <w:bookmarkEnd w:id="1411"/>
      <w:bookmarkEnd w:id="1412"/>
    </w:p>
    <w:p w14:paraId="5A2FDE3F">
      <w:pPr>
        <w:spacing w:line="600" w:lineRule="exact"/>
        <w:rPr>
          <w:rFonts w:ascii="宋体" w:hAnsi="宋体" w:eastAsia="宋体" w:cs="宋体"/>
          <w:color w:val="000000" w:themeColor="text1"/>
          <w:kern w:val="0"/>
          <w:sz w:val="24"/>
          <w:highlight w:val="none"/>
          <w14:textFill>
            <w14:solidFill>
              <w14:schemeClr w14:val="tx1"/>
            </w14:solidFill>
          </w14:textFill>
        </w:rPr>
      </w:pPr>
      <w:r>
        <w:rPr>
          <w:rFonts w:ascii="宋体" w:hAnsi="宋体" w:eastAsia="宋体" w:cs="宋体"/>
          <w:color w:val="000000" w:themeColor="text1"/>
          <w:kern w:val="0"/>
          <w:sz w:val="24"/>
          <w:highlight w:val="none"/>
          <w14:textFill>
            <w14:solidFill>
              <w14:schemeClr w14:val="tx1"/>
            </w14:solidFill>
          </w14:textFill>
        </w:rPr>
        <w:br w:type="textWrapping"/>
      </w:r>
      <w:r>
        <w:rPr>
          <w:rFonts w:hint="eastAsia" w:ascii="宋体" w:hAnsi="宋体" w:eastAsia="宋体" w:cs="宋体"/>
          <w:color w:val="000000" w:themeColor="text1"/>
          <w:kern w:val="0"/>
          <w:sz w:val="24"/>
          <w:highlight w:val="none"/>
          <w14:textFill>
            <w14:solidFill>
              <w14:schemeClr w14:val="tx1"/>
            </w14:solidFill>
          </w14:textFill>
        </w:rPr>
        <w:t xml:space="preserve">                           </w:t>
      </w:r>
    </w:p>
    <w:p w14:paraId="0CBA8604">
      <w:pPr>
        <w:spacing w:line="500" w:lineRule="exact"/>
        <w:rPr>
          <w:rFonts w:ascii="Times New Roman" w:hAnsi="Times New Roman" w:eastAsia="宋体" w:cs="Times New Roman"/>
          <w:color w:val="000000" w:themeColor="text1"/>
          <w:highlight w:val="none"/>
          <w14:textFill>
            <w14:solidFill>
              <w14:schemeClr w14:val="tx1"/>
            </w14:solidFill>
          </w14:textFill>
        </w:rPr>
      </w:pPr>
    </w:p>
    <w:p w14:paraId="07522502">
      <w:pPr>
        <w:rPr>
          <w:color w:val="000000" w:themeColor="text1"/>
          <w:highlight w:val="none"/>
          <w14:textFill>
            <w14:solidFill>
              <w14:schemeClr w14:val="tx1"/>
            </w14:solidFill>
          </w14:textFill>
        </w:rPr>
      </w:pPr>
    </w:p>
    <w:sectPr>
      <w:pgSz w:w="11907" w:h="16839"/>
      <w:pgMar w:top="1440" w:right="1080" w:bottom="1440" w:left="1080" w:header="567" w:footer="51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dobe 宋体 Std L">
    <w:altName w:val="宋体"/>
    <w:panose1 w:val="00000000000000000000"/>
    <w:charset w:val="86"/>
    <w:family w:val="roman"/>
    <w:pitch w:val="default"/>
    <w:sig w:usb0="00000000" w:usb1="00000000" w:usb2="00000016" w:usb3="00000000" w:csb0="00060007"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altName w:val="仿宋"/>
    <w:panose1 w:val="02010609030101010101"/>
    <w:charset w:val="86"/>
    <w:family w:val="modern"/>
    <w:pitch w:val="default"/>
    <w:sig w:usb0="00000000" w:usb1="0000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2840">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 xml:space="preserve"> </w:t>
    </w:r>
    <w:r>
      <w:fldChar w:fldCharType="end"/>
    </w:r>
  </w:p>
  <w:p w14:paraId="721EA8FC">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410A">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47EFC">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042E8">
                          <w:pPr>
                            <w:pStyle w:val="19"/>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79042E8">
                    <w:pPr>
                      <w:pStyle w:val="19"/>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8AF3F">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F5D36">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27F5D36">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178D4">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BA854">
                          <w:pPr>
                            <w:pStyle w:val="1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62BA854">
                    <w:pPr>
                      <w:pStyle w:val="1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8BF0A">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11546">
                          <w:pPr>
                            <w:pStyle w:val="19"/>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1811546">
                    <w:pPr>
                      <w:pStyle w:val="19"/>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9644">
    <w:pPr>
      <w:pStyle w:val="19"/>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AECAC">
                          <w:pPr>
                            <w:pStyle w:val="19"/>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5BAECAC">
                    <w:pPr>
                      <w:pStyle w:val="19"/>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633A">
    <w:pPr>
      <w:pStyle w:val="19"/>
      <w:jc w:val="center"/>
      <w:rPr>
        <w:rFonts w:eastAsia="仿宋_GB2312"/>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95CDE">
                          <w:pPr>
                            <w:pStyle w:val="19"/>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E895CDE">
                    <w:pPr>
                      <w:pStyle w:val="1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E9F7">
    <w:pPr>
      <w:pStyle w:val="19"/>
      <w:framePr w:wrap="around" w:vAnchor="text" w:hAnchor="margin" w:xAlign="center" w:y="1"/>
      <w:rPr>
        <w:rStyle w:val="33"/>
      </w:rPr>
    </w:pPr>
    <w:r>
      <w:rPr>
        <w:rStyle w:val="33"/>
        <w:rFonts w:hint="eastAsia"/>
      </w:rPr>
      <w:t>8</w:t>
    </w:r>
  </w:p>
  <w:p w14:paraId="618ED4AD">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4OGQ2NDEyZWYzMTAxZTUyMGFmYzc2ZWE3YTMwOTcifQ=="/>
  </w:docVars>
  <w:rsids>
    <w:rsidRoot w:val="00C45131"/>
    <w:rsid w:val="00003677"/>
    <w:rsid w:val="0001366F"/>
    <w:rsid w:val="0002231B"/>
    <w:rsid w:val="00027A8B"/>
    <w:rsid w:val="000370E0"/>
    <w:rsid w:val="0004234C"/>
    <w:rsid w:val="00042DFD"/>
    <w:rsid w:val="00045072"/>
    <w:rsid w:val="000502DD"/>
    <w:rsid w:val="00055516"/>
    <w:rsid w:val="0006154A"/>
    <w:rsid w:val="000677CA"/>
    <w:rsid w:val="000678B2"/>
    <w:rsid w:val="00080F5A"/>
    <w:rsid w:val="00082634"/>
    <w:rsid w:val="0008309E"/>
    <w:rsid w:val="000840C8"/>
    <w:rsid w:val="00092F8D"/>
    <w:rsid w:val="000B79C4"/>
    <w:rsid w:val="000C103B"/>
    <w:rsid w:val="000C10EB"/>
    <w:rsid w:val="000D0288"/>
    <w:rsid w:val="000D6512"/>
    <w:rsid w:val="000D7309"/>
    <w:rsid w:val="000E29DD"/>
    <w:rsid w:val="00106908"/>
    <w:rsid w:val="001075AE"/>
    <w:rsid w:val="001229C0"/>
    <w:rsid w:val="0014636C"/>
    <w:rsid w:val="00146E9A"/>
    <w:rsid w:val="00147B87"/>
    <w:rsid w:val="00176BAE"/>
    <w:rsid w:val="00180410"/>
    <w:rsid w:val="00190309"/>
    <w:rsid w:val="001968DE"/>
    <w:rsid w:val="001C10C6"/>
    <w:rsid w:val="001C2E51"/>
    <w:rsid w:val="001C759C"/>
    <w:rsid w:val="001E73BC"/>
    <w:rsid w:val="001F4651"/>
    <w:rsid w:val="001F664F"/>
    <w:rsid w:val="002018EA"/>
    <w:rsid w:val="00206631"/>
    <w:rsid w:val="002407E2"/>
    <w:rsid w:val="002543FC"/>
    <w:rsid w:val="00256F2B"/>
    <w:rsid w:val="00263075"/>
    <w:rsid w:val="002653DA"/>
    <w:rsid w:val="00282AD1"/>
    <w:rsid w:val="00291659"/>
    <w:rsid w:val="002A0A22"/>
    <w:rsid w:val="002C3EB4"/>
    <w:rsid w:val="002D3245"/>
    <w:rsid w:val="002D68E8"/>
    <w:rsid w:val="002E1B0A"/>
    <w:rsid w:val="002F01A7"/>
    <w:rsid w:val="002F43B5"/>
    <w:rsid w:val="00302A98"/>
    <w:rsid w:val="00305CD1"/>
    <w:rsid w:val="00307DF7"/>
    <w:rsid w:val="00310276"/>
    <w:rsid w:val="00314C5B"/>
    <w:rsid w:val="00321D77"/>
    <w:rsid w:val="003226DA"/>
    <w:rsid w:val="0032750D"/>
    <w:rsid w:val="00331A35"/>
    <w:rsid w:val="00347BB7"/>
    <w:rsid w:val="0035411F"/>
    <w:rsid w:val="00354A0D"/>
    <w:rsid w:val="00360DC7"/>
    <w:rsid w:val="00365E9C"/>
    <w:rsid w:val="00370DA4"/>
    <w:rsid w:val="0038373F"/>
    <w:rsid w:val="00392013"/>
    <w:rsid w:val="00396792"/>
    <w:rsid w:val="003A6E12"/>
    <w:rsid w:val="003A78CF"/>
    <w:rsid w:val="003B407F"/>
    <w:rsid w:val="003B43BC"/>
    <w:rsid w:val="003C0196"/>
    <w:rsid w:val="003C1F17"/>
    <w:rsid w:val="003D0257"/>
    <w:rsid w:val="003D12F5"/>
    <w:rsid w:val="003D6E8F"/>
    <w:rsid w:val="003D7C42"/>
    <w:rsid w:val="003F392F"/>
    <w:rsid w:val="00401CB6"/>
    <w:rsid w:val="00410ADD"/>
    <w:rsid w:val="00412657"/>
    <w:rsid w:val="00414F2B"/>
    <w:rsid w:val="00415ED9"/>
    <w:rsid w:val="0041636B"/>
    <w:rsid w:val="00424656"/>
    <w:rsid w:val="0042772A"/>
    <w:rsid w:val="0043302D"/>
    <w:rsid w:val="0043464E"/>
    <w:rsid w:val="0044531F"/>
    <w:rsid w:val="004522F5"/>
    <w:rsid w:val="004575AF"/>
    <w:rsid w:val="00460288"/>
    <w:rsid w:val="0046598E"/>
    <w:rsid w:val="00465D4B"/>
    <w:rsid w:val="00470B96"/>
    <w:rsid w:val="004710FF"/>
    <w:rsid w:val="00473ADF"/>
    <w:rsid w:val="00473DF1"/>
    <w:rsid w:val="0048310F"/>
    <w:rsid w:val="00484C0A"/>
    <w:rsid w:val="004A03CE"/>
    <w:rsid w:val="004A47C4"/>
    <w:rsid w:val="004B3946"/>
    <w:rsid w:val="004D279C"/>
    <w:rsid w:val="004E76C9"/>
    <w:rsid w:val="00500BD8"/>
    <w:rsid w:val="0050183F"/>
    <w:rsid w:val="0050486D"/>
    <w:rsid w:val="00504C6D"/>
    <w:rsid w:val="00504CC5"/>
    <w:rsid w:val="00506790"/>
    <w:rsid w:val="00506EE8"/>
    <w:rsid w:val="005079F8"/>
    <w:rsid w:val="00510791"/>
    <w:rsid w:val="005134FC"/>
    <w:rsid w:val="00527250"/>
    <w:rsid w:val="00535E3F"/>
    <w:rsid w:val="005467AD"/>
    <w:rsid w:val="00550B98"/>
    <w:rsid w:val="005545EA"/>
    <w:rsid w:val="00555A1D"/>
    <w:rsid w:val="00565B4A"/>
    <w:rsid w:val="00566994"/>
    <w:rsid w:val="00580360"/>
    <w:rsid w:val="005A028B"/>
    <w:rsid w:val="005A0C7F"/>
    <w:rsid w:val="005A1375"/>
    <w:rsid w:val="005A1D59"/>
    <w:rsid w:val="005A3A48"/>
    <w:rsid w:val="005B0F7F"/>
    <w:rsid w:val="005B30D6"/>
    <w:rsid w:val="005C7431"/>
    <w:rsid w:val="005D03E6"/>
    <w:rsid w:val="005D3A6F"/>
    <w:rsid w:val="005E457E"/>
    <w:rsid w:val="005E784D"/>
    <w:rsid w:val="005E7EFC"/>
    <w:rsid w:val="005F78EB"/>
    <w:rsid w:val="006112F5"/>
    <w:rsid w:val="0063204E"/>
    <w:rsid w:val="00632743"/>
    <w:rsid w:val="00636EB7"/>
    <w:rsid w:val="00640559"/>
    <w:rsid w:val="00640893"/>
    <w:rsid w:val="0065267F"/>
    <w:rsid w:val="00656476"/>
    <w:rsid w:val="00675F91"/>
    <w:rsid w:val="00676173"/>
    <w:rsid w:val="0068366E"/>
    <w:rsid w:val="00683E37"/>
    <w:rsid w:val="00687139"/>
    <w:rsid w:val="0069606A"/>
    <w:rsid w:val="006A2E81"/>
    <w:rsid w:val="006C08B5"/>
    <w:rsid w:val="006C1415"/>
    <w:rsid w:val="006C61DB"/>
    <w:rsid w:val="006C6B4C"/>
    <w:rsid w:val="006D147B"/>
    <w:rsid w:val="006D5996"/>
    <w:rsid w:val="006D65DD"/>
    <w:rsid w:val="006E2F9C"/>
    <w:rsid w:val="006E3B36"/>
    <w:rsid w:val="006E3CE2"/>
    <w:rsid w:val="006F003E"/>
    <w:rsid w:val="006F0C6D"/>
    <w:rsid w:val="006F3211"/>
    <w:rsid w:val="00700E7C"/>
    <w:rsid w:val="007053E6"/>
    <w:rsid w:val="00727ABB"/>
    <w:rsid w:val="00737BF4"/>
    <w:rsid w:val="007438BF"/>
    <w:rsid w:val="007539FF"/>
    <w:rsid w:val="00757B9E"/>
    <w:rsid w:val="00764639"/>
    <w:rsid w:val="00773220"/>
    <w:rsid w:val="00776A6C"/>
    <w:rsid w:val="007855FD"/>
    <w:rsid w:val="00785835"/>
    <w:rsid w:val="0078773A"/>
    <w:rsid w:val="007A55CA"/>
    <w:rsid w:val="007B2F35"/>
    <w:rsid w:val="007C4AE1"/>
    <w:rsid w:val="007D3CE2"/>
    <w:rsid w:val="007E0F00"/>
    <w:rsid w:val="007E482C"/>
    <w:rsid w:val="007E6EA3"/>
    <w:rsid w:val="007F7A46"/>
    <w:rsid w:val="007F7B2C"/>
    <w:rsid w:val="00814CBA"/>
    <w:rsid w:val="0082327A"/>
    <w:rsid w:val="00825AB2"/>
    <w:rsid w:val="00825DEE"/>
    <w:rsid w:val="00840755"/>
    <w:rsid w:val="0084083B"/>
    <w:rsid w:val="008441CA"/>
    <w:rsid w:val="00853CFA"/>
    <w:rsid w:val="00855B92"/>
    <w:rsid w:val="008671DC"/>
    <w:rsid w:val="00877361"/>
    <w:rsid w:val="008804A1"/>
    <w:rsid w:val="008837BE"/>
    <w:rsid w:val="008917A7"/>
    <w:rsid w:val="00895FC5"/>
    <w:rsid w:val="008A6FE8"/>
    <w:rsid w:val="008B2F7E"/>
    <w:rsid w:val="008B7399"/>
    <w:rsid w:val="008C351A"/>
    <w:rsid w:val="008C55D3"/>
    <w:rsid w:val="008D2F9D"/>
    <w:rsid w:val="008D36C7"/>
    <w:rsid w:val="008D5887"/>
    <w:rsid w:val="008E7E62"/>
    <w:rsid w:val="008F5DFC"/>
    <w:rsid w:val="009053C6"/>
    <w:rsid w:val="009100C8"/>
    <w:rsid w:val="00915196"/>
    <w:rsid w:val="00923195"/>
    <w:rsid w:val="009315FB"/>
    <w:rsid w:val="00935486"/>
    <w:rsid w:val="009403B7"/>
    <w:rsid w:val="009431C1"/>
    <w:rsid w:val="00961228"/>
    <w:rsid w:val="0096574B"/>
    <w:rsid w:val="009702EE"/>
    <w:rsid w:val="009703E3"/>
    <w:rsid w:val="00981858"/>
    <w:rsid w:val="00996949"/>
    <w:rsid w:val="009969CF"/>
    <w:rsid w:val="009A0176"/>
    <w:rsid w:val="009A75AD"/>
    <w:rsid w:val="009B4526"/>
    <w:rsid w:val="009B5CC4"/>
    <w:rsid w:val="009C1034"/>
    <w:rsid w:val="009C2190"/>
    <w:rsid w:val="009C4E7B"/>
    <w:rsid w:val="009E5935"/>
    <w:rsid w:val="009E5AB4"/>
    <w:rsid w:val="009F1531"/>
    <w:rsid w:val="009F19B1"/>
    <w:rsid w:val="009F4158"/>
    <w:rsid w:val="009F5FF9"/>
    <w:rsid w:val="00A05021"/>
    <w:rsid w:val="00A1598B"/>
    <w:rsid w:val="00A26452"/>
    <w:rsid w:val="00A40C56"/>
    <w:rsid w:val="00A50943"/>
    <w:rsid w:val="00A51D1B"/>
    <w:rsid w:val="00A57DEA"/>
    <w:rsid w:val="00A77CAC"/>
    <w:rsid w:val="00A840B6"/>
    <w:rsid w:val="00A85470"/>
    <w:rsid w:val="00AA7000"/>
    <w:rsid w:val="00AB6C0E"/>
    <w:rsid w:val="00AD5E80"/>
    <w:rsid w:val="00AE37F6"/>
    <w:rsid w:val="00AE3FB3"/>
    <w:rsid w:val="00AE5FD9"/>
    <w:rsid w:val="00AF17DD"/>
    <w:rsid w:val="00AF278B"/>
    <w:rsid w:val="00AF45EF"/>
    <w:rsid w:val="00AF5AE1"/>
    <w:rsid w:val="00AF7A82"/>
    <w:rsid w:val="00B02F2C"/>
    <w:rsid w:val="00B12F10"/>
    <w:rsid w:val="00B307D5"/>
    <w:rsid w:val="00B36A63"/>
    <w:rsid w:val="00B459B1"/>
    <w:rsid w:val="00B46085"/>
    <w:rsid w:val="00B56934"/>
    <w:rsid w:val="00B61352"/>
    <w:rsid w:val="00B76368"/>
    <w:rsid w:val="00B80557"/>
    <w:rsid w:val="00B80FF8"/>
    <w:rsid w:val="00B81D57"/>
    <w:rsid w:val="00BA51E7"/>
    <w:rsid w:val="00BC69EF"/>
    <w:rsid w:val="00BD5DEB"/>
    <w:rsid w:val="00BD7829"/>
    <w:rsid w:val="00BE7802"/>
    <w:rsid w:val="00BE7AF2"/>
    <w:rsid w:val="00BF2FFE"/>
    <w:rsid w:val="00C03D23"/>
    <w:rsid w:val="00C14FA6"/>
    <w:rsid w:val="00C32F4E"/>
    <w:rsid w:val="00C3401E"/>
    <w:rsid w:val="00C45131"/>
    <w:rsid w:val="00C46E32"/>
    <w:rsid w:val="00C47AE3"/>
    <w:rsid w:val="00C56A53"/>
    <w:rsid w:val="00C60415"/>
    <w:rsid w:val="00C73B8F"/>
    <w:rsid w:val="00C771DD"/>
    <w:rsid w:val="00C81B99"/>
    <w:rsid w:val="00C83A32"/>
    <w:rsid w:val="00CA2868"/>
    <w:rsid w:val="00CA6FA5"/>
    <w:rsid w:val="00CD0766"/>
    <w:rsid w:val="00CD350F"/>
    <w:rsid w:val="00CD4086"/>
    <w:rsid w:val="00CD76A1"/>
    <w:rsid w:val="00CE593F"/>
    <w:rsid w:val="00CF355F"/>
    <w:rsid w:val="00D04EAE"/>
    <w:rsid w:val="00D16D6C"/>
    <w:rsid w:val="00D17276"/>
    <w:rsid w:val="00D31CE1"/>
    <w:rsid w:val="00D33580"/>
    <w:rsid w:val="00D37CB8"/>
    <w:rsid w:val="00D42E51"/>
    <w:rsid w:val="00D61CB8"/>
    <w:rsid w:val="00D6689F"/>
    <w:rsid w:val="00D713F0"/>
    <w:rsid w:val="00D7358A"/>
    <w:rsid w:val="00D73F78"/>
    <w:rsid w:val="00D75E9C"/>
    <w:rsid w:val="00D76080"/>
    <w:rsid w:val="00D83787"/>
    <w:rsid w:val="00D946E2"/>
    <w:rsid w:val="00D966F8"/>
    <w:rsid w:val="00DA21B8"/>
    <w:rsid w:val="00DB6D74"/>
    <w:rsid w:val="00DC7BD5"/>
    <w:rsid w:val="00DD2D21"/>
    <w:rsid w:val="00DD4FF5"/>
    <w:rsid w:val="00DE71EA"/>
    <w:rsid w:val="00DF124E"/>
    <w:rsid w:val="00DF1C51"/>
    <w:rsid w:val="00DF1D8F"/>
    <w:rsid w:val="00E00C4C"/>
    <w:rsid w:val="00E04807"/>
    <w:rsid w:val="00E06E9D"/>
    <w:rsid w:val="00E10D30"/>
    <w:rsid w:val="00E24BAF"/>
    <w:rsid w:val="00E24D8E"/>
    <w:rsid w:val="00E277B9"/>
    <w:rsid w:val="00E30FE3"/>
    <w:rsid w:val="00E40B94"/>
    <w:rsid w:val="00E52479"/>
    <w:rsid w:val="00E53BF9"/>
    <w:rsid w:val="00E56372"/>
    <w:rsid w:val="00E63690"/>
    <w:rsid w:val="00E74E64"/>
    <w:rsid w:val="00E867D4"/>
    <w:rsid w:val="00E86F21"/>
    <w:rsid w:val="00E87761"/>
    <w:rsid w:val="00EB1C74"/>
    <w:rsid w:val="00EB2C15"/>
    <w:rsid w:val="00ED264A"/>
    <w:rsid w:val="00ED37B7"/>
    <w:rsid w:val="00ED58ED"/>
    <w:rsid w:val="00ED7C3E"/>
    <w:rsid w:val="00EE062C"/>
    <w:rsid w:val="00EE5831"/>
    <w:rsid w:val="00F063E0"/>
    <w:rsid w:val="00F10EAE"/>
    <w:rsid w:val="00F1283A"/>
    <w:rsid w:val="00F12ECC"/>
    <w:rsid w:val="00F17E81"/>
    <w:rsid w:val="00F30F60"/>
    <w:rsid w:val="00F32AF5"/>
    <w:rsid w:val="00F36CA0"/>
    <w:rsid w:val="00F468BC"/>
    <w:rsid w:val="00F50484"/>
    <w:rsid w:val="00F544F8"/>
    <w:rsid w:val="00F64940"/>
    <w:rsid w:val="00F70EC8"/>
    <w:rsid w:val="00F7222E"/>
    <w:rsid w:val="00F72C9D"/>
    <w:rsid w:val="00F824F9"/>
    <w:rsid w:val="00F82D5C"/>
    <w:rsid w:val="00F87D41"/>
    <w:rsid w:val="00F9591B"/>
    <w:rsid w:val="00FC4B9F"/>
    <w:rsid w:val="00FC506E"/>
    <w:rsid w:val="00FC6B80"/>
    <w:rsid w:val="00FD3DE9"/>
    <w:rsid w:val="00FD5B2D"/>
    <w:rsid w:val="00FE5290"/>
    <w:rsid w:val="00FF31DC"/>
    <w:rsid w:val="00FF5C79"/>
    <w:rsid w:val="0147778C"/>
    <w:rsid w:val="014C20CB"/>
    <w:rsid w:val="029274C2"/>
    <w:rsid w:val="02B94070"/>
    <w:rsid w:val="02DF1744"/>
    <w:rsid w:val="04E96525"/>
    <w:rsid w:val="04ED064B"/>
    <w:rsid w:val="05027CB6"/>
    <w:rsid w:val="050C3E03"/>
    <w:rsid w:val="05177F45"/>
    <w:rsid w:val="05667019"/>
    <w:rsid w:val="05911632"/>
    <w:rsid w:val="05A625A8"/>
    <w:rsid w:val="076F3599"/>
    <w:rsid w:val="08734A61"/>
    <w:rsid w:val="09052183"/>
    <w:rsid w:val="099E2019"/>
    <w:rsid w:val="09AE3850"/>
    <w:rsid w:val="0AB54445"/>
    <w:rsid w:val="0BB53545"/>
    <w:rsid w:val="0BCB6592"/>
    <w:rsid w:val="0C0B585A"/>
    <w:rsid w:val="0C6805B7"/>
    <w:rsid w:val="0C8B4D7E"/>
    <w:rsid w:val="0CBD3AB0"/>
    <w:rsid w:val="0CE642FD"/>
    <w:rsid w:val="0F6C529A"/>
    <w:rsid w:val="10130B2C"/>
    <w:rsid w:val="1054157E"/>
    <w:rsid w:val="1093512B"/>
    <w:rsid w:val="10E70644"/>
    <w:rsid w:val="11C646FD"/>
    <w:rsid w:val="14101C60"/>
    <w:rsid w:val="143B4364"/>
    <w:rsid w:val="15512530"/>
    <w:rsid w:val="15A20FDE"/>
    <w:rsid w:val="16603759"/>
    <w:rsid w:val="1660564F"/>
    <w:rsid w:val="169C77DB"/>
    <w:rsid w:val="16CD711D"/>
    <w:rsid w:val="17092996"/>
    <w:rsid w:val="17E75054"/>
    <w:rsid w:val="17F00DBC"/>
    <w:rsid w:val="195B4971"/>
    <w:rsid w:val="1B3A3A66"/>
    <w:rsid w:val="1B4617DE"/>
    <w:rsid w:val="1B90627B"/>
    <w:rsid w:val="1DCA10D2"/>
    <w:rsid w:val="1DFD3848"/>
    <w:rsid w:val="1E2017E9"/>
    <w:rsid w:val="1E217D6D"/>
    <w:rsid w:val="1E9A6CF6"/>
    <w:rsid w:val="1F112126"/>
    <w:rsid w:val="1FD53D5E"/>
    <w:rsid w:val="20CD2A7D"/>
    <w:rsid w:val="21A30814"/>
    <w:rsid w:val="21DF2C72"/>
    <w:rsid w:val="21F20BF7"/>
    <w:rsid w:val="22235254"/>
    <w:rsid w:val="22482F0D"/>
    <w:rsid w:val="23587725"/>
    <w:rsid w:val="247E79BA"/>
    <w:rsid w:val="249850F9"/>
    <w:rsid w:val="24BB14F6"/>
    <w:rsid w:val="24CA5CCD"/>
    <w:rsid w:val="25DC7BF4"/>
    <w:rsid w:val="26CA4FBB"/>
    <w:rsid w:val="26E01CD2"/>
    <w:rsid w:val="27EA7CF4"/>
    <w:rsid w:val="280E703E"/>
    <w:rsid w:val="2846392D"/>
    <w:rsid w:val="28AC7AF0"/>
    <w:rsid w:val="296045C3"/>
    <w:rsid w:val="29B901B6"/>
    <w:rsid w:val="29FD638B"/>
    <w:rsid w:val="2A3049B2"/>
    <w:rsid w:val="2A5855C7"/>
    <w:rsid w:val="2B147F81"/>
    <w:rsid w:val="2B7E218E"/>
    <w:rsid w:val="2B862E35"/>
    <w:rsid w:val="2B97636B"/>
    <w:rsid w:val="2BC87059"/>
    <w:rsid w:val="2BD12EC2"/>
    <w:rsid w:val="2BFE4486"/>
    <w:rsid w:val="2C26606D"/>
    <w:rsid w:val="2E0C2D75"/>
    <w:rsid w:val="2EDF0755"/>
    <w:rsid w:val="2F370591"/>
    <w:rsid w:val="2F6B6E2B"/>
    <w:rsid w:val="2FE57FED"/>
    <w:rsid w:val="2FFA471E"/>
    <w:rsid w:val="301754B3"/>
    <w:rsid w:val="30600A8B"/>
    <w:rsid w:val="306233EC"/>
    <w:rsid w:val="30B3360D"/>
    <w:rsid w:val="30E958BB"/>
    <w:rsid w:val="30EF4623"/>
    <w:rsid w:val="316B4522"/>
    <w:rsid w:val="316F09DC"/>
    <w:rsid w:val="31A56340"/>
    <w:rsid w:val="31B01E2C"/>
    <w:rsid w:val="31FE6223"/>
    <w:rsid w:val="32060CC4"/>
    <w:rsid w:val="32C92C04"/>
    <w:rsid w:val="32CB6625"/>
    <w:rsid w:val="32D0420A"/>
    <w:rsid w:val="32EA3B58"/>
    <w:rsid w:val="3311674D"/>
    <w:rsid w:val="333B6100"/>
    <w:rsid w:val="33D26ADA"/>
    <w:rsid w:val="343C5323"/>
    <w:rsid w:val="34D16D92"/>
    <w:rsid w:val="352B6181"/>
    <w:rsid w:val="355F3C24"/>
    <w:rsid w:val="35DE52C2"/>
    <w:rsid w:val="382D74DB"/>
    <w:rsid w:val="388D19F8"/>
    <w:rsid w:val="38E96714"/>
    <w:rsid w:val="39FA59D9"/>
    <w:rsid w:val="3A1A633C"/>
    <w:rsid w:val="3A583C64"/>
    <w:rsid w:val="3A754C22"/>
    <w:rsid w:val="3B844B5E"/>
    <w:rsid w:val="3BB12EC6"/>
    <w:rsid w:val="3BE13D5E"/>
    <w:rsid w:val="3C2425EB"/>
    <w:rsid w:val="3DA05D07"/>
    <w:rsid w:val="3DAF51DD"/>
    <w:rsid w:val="3DB700E5"/>
    <w:rsid w:val="3DDA2813"/>
    <w:rsid w:val="3EA53627"/>
    <w:rsid w:val="3F9767C2"/>
    <w:rsid w:val="402B735A"/>
    <w:rsid w:val="403D4072"/>
    <w:rsid w:val="43B11127"/>
    <w:rsid w:val="44D75CFE"/>
    <w:rsid w:val="45225E78"/>
    <w:rsid w:val="455646CE"/>
    <w:rsid w:val="455904DB"/>
    <w:rsid w:val="460348D1"/>
    <w:rsid w:val="467E4538"/>
    <w:rsid w:val="46C67DD9"/>
    <w:rsid w:val="46CD6437"/>
    <w:rsid w:val="47075D41"/>
    <w:rsid w:val="47A22023"/>
    <w:rsid w:val="48844A88"/>
    <w:rsid w:val="48F74BC1"/>
    <w:rsid w:val="49FE675C"/>
    <w:rsid w:val="4A7638C4"/>
    <w:rsid w:val="4A96711A"/>
    <w:rsid w:val="4B673131"/>
    <w:rsid w:val="4C9F1D46"/>
    <w:rsid w:val="4CDF3CE1"/>
    <w:rsid w:val="4CEA0599"/>
    <w:rsid w:val="4E386F08"/>
    <w:rsid w:val="4E9007F4"/>
    <w:rsid w:val="4F192116"/>
    <w:rsid w:val="4F544F68"/>
    <w:rsid w:val="4FB14184"/>
    <w:rsid w:val="51350CF4"/>
    <w:rsid w:val="517259CF"/>
    <w:rsid w:val="51D41A09"/>
    <w:rsid w:val="53BA0CC5"/>
    <w:rsid w:val="556D1D67"/>
    <w:rsid w:val="56540BC6"/>
    <w:rsid w:val="56C45DB3"/>
    <w:rsid w:val="57EE407F"/>
    <w:rsid w:val="580E1184"/>
    <w:rsid w:val="58365DF6"/>
    <w:rsid w:val="58892DB2"/>
    <w:rsid w:val="58BE3005"/>
    <w:rsid w:val="592F0E28"/>
    <w:rsid w:val="594A4899"/>
    <w:rsid w:val="5A054C64"/>
    <w:rsid w:val="5AF414BE"/>
    <w:rsid w:val="5C101C2A"/>
    <w:rsid w:val="5D415FB3"/>
    <w:rsid w:val="5D6C2A4E"/>
    <w:rsid w:val="5D7A6ADA"/>
    <w:rsid w:val="5DAB20C4"/>
    <w:rsid w:val="5E38719E"/>
    <w:rsid w:val="5E587A58"/>
    <w:rsid w:val="5E8F0FA0"/>
    <w:rsid w:val="5E9842F9"/>
    <w:rsid w:val="5EA7174A"/>
    <w:rsid w:val="60714E01"/>
    <w:rsid w:val="607309D5"/>
    <w:rsid w:val="6154366A"/>
    <w:rsid w:val="621E6D52"/>
    <w:rsid w:val="622A4573"/>
    <w:rsid w:val="63332842"/>
    <w:rsid w:val="6347447A"/>
    <w:rsid w:val="636C483F"/>
    <w:rsid w:val="637844CF"/>
    <w:rsid w:val="637B1AF3"/>
    <w:rsid w:val="63FE740D"/>
    <w:rsid w:val="64041AE8"/>
    <w:rsid w:val="64A044AD"/>
    <w:rsid w:val="65306514"/>
    <w:rsid w:val="654523B9"/>
    <w:rsid w:val="65AC5139"/>
    <w:rsid w:val="663D1266"/>
    <w:rsid w:val="66CC1ACE"/>
    <w:rsid w:val="677C5B11"/>
    <w:rsid w:val="67A97F8B"/>
    <w:rsid w:val="683C04AE"/>
    <w:rsid w:val="6873723D"/>
    <w:rsid w:val="68DC4899"/>
    <w:rsid w:val="68E31FE5"/>
    <w:rsid w:val="68F44821"/>
    <w:rsid w:val="69DC26B1"/>
    <w:rsid w:val="6A5D4F51"/>
    <w:rsid w:val="6AB5405B"/>
    <w:rsid w:val="6B640C93"/>
    <w:rsid w:val="6B6E08BB"/>
    <w:rsid w:val="6BCA3618"/>
    <w:rsid w:val="6C305B70"/>
    <w:rsid w:val="6CE87151"/>
    <w:rsid w:val="6D6E0002"/>
    <w:rsid w:val="6E82642B"/>
    <w:rsid w:val="6EFE1F56"/>
    <w:rsid w:val="705234B1"/>
    <w:rsid w:val="70F33611"/>
    <w:rsid w:val="71E01A79"/>
    <w:rsid w:val="71E05943"/>
    <w:rsid w:val="72086C48"/>
    <w:rsid w:val="72302FD1"/>
    <w:rsid w:val="7316521F"/>
    <w:rsid w:val="732C46D0"/>
    <w:rsid w:val="73CE2BBF"/>
    <w:rsid w:val="73DE4ECE"/>
    <w:rsid w:val="758331B5"/>
    <w:rsid w:val="75CE6840"/>
    <w:rsid w:val="75ED566C"/>
    <w:rsid w:val="762A7738"/>
    <w:rsid w:val="763B3A90"/>
    <w:rsid w:val="76BA0E58"/>
    <w:rsid w:val="785B21C7"/>
    <w:rsid w:val="79102556"/>
    <w:rsid w:val="79A90CAB"/>
    <w:rsid w:val="7AB931D5"/>
    <w:rsid w:val="7AC22512"/>
    <w:rsid w:val="7ACC0CFE"/>
    <w:rsid w:val="7B3C48BB"/>
    <w:rsid w:val="7B66335D"/>
    <w:rsid w:val="7D112314"/>
    <w:rsid w:val="7D524406"/>
    <w:rsid w:val="7DF12C86"/>
    <w:rsid w:val="7E0623DB"/>
    <w:rsid w:val="7FF30225"/>
    <w:rsid w:val="CF6FE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keepNext/>
      <w:keepLines/>
      <w:spacing w:before="260" w:after="260" w:line="415" w:lineRule="auto"/>
      <w:outlineLvl w:val="1"/>
    </w:pPr>
    <w:rPr>
      <w:rFonts w:ascii="Cambria" w:hAnsi="Cambria" w:eastAsia="宋体" w:cs="Times New Roman"/>
      <w:b/>
      <w:bCs/>
      <w:sz w:val="32"/>
      <w:szCs w:val="32"/>
    </w:rPr>
  </w:style>
  <w:style w:type="paragraph" w:styleId="4">
    <w:name w:val="heading 3"/>
    <w:basedOn w:val="1"/>
    <w:next w:val="1"/>
    <w:link w:val="41"/>
    <w:qFormat/>
    <w:uiPriority w:val="9"/>
    <w:pPr>
      <w:keepNext/>
      <w:keepLines/>
      <w:spacing w:before="260" w:after="260" w:line="24" w:lineRule="auto"/>
      <w:outlineLvl w:val="2"/>
    </w:pPr>
    <w:rPr>
      <w:rFonts w:hint="eastAsia" w:ascii="宋体" w:hAnsi="宋体" w:eastAsia="宋体" w:cs="Times New Roman"/>
      <w:b/>
      <w:bCs/>
      <w:kern w:val="0"/>
      <w:sz w:val="24"/>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7"/>
    <w:link w:val="43"/>
    <w:qFormat/>
    <w:uiPriority w:val="0"/>
    <w:pPr>
      <w:keepNext/>
      <w:keepLines/>
      <w:tabs>
        <w:tab w:val="left" w:pos="360"/>
      </w:tabs>
      <w:spacing w:before="280" w:after="290" w:line="376" w:lineRule="auto"/>
      <w:ind w:left="360" w:hanging="360"/>
      <w:outlineLvl w:val="4"/>
    </w:pPr>
    <w:rPr>
      <w:rFonts w:ascii="Times New Roman" w:hAnsi="Times New Roman" w:eastAsia="宋体" w:cs="Times New Roman"/>
      <w:b/>
      <w:sz w:val="28"/>
      <w:szCs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rFonts w:ascii="Times New Roman" w:hAnsi="Times New Roman" w:eastAsia="宋体" w:cs="Times New Roman"/>
      <w:szCs w:val="20"/>
    </w:rPr>
  </w:style>
  <w:style w:type="paragraph" w:styleId="8">
    <w:name w:val="toc 7"/>
    <w:basedOn w:val="1"/>
    <w:next w:val="1"/>
    <w:unhideWhenUsed/>
    <w:qFormat/>
    <w:uiPriority w:val="39"/>
    <w:pPr>
      <w:ind w:left="2520" w:leftChars="1200"/>
    </w:pPr>
  </w:style>
  <w:style w:type="paragraph" w:styleId="9">
    <w:name w:val="List Number"/>
    <w:basedOn w:val="1"/>
    <w:qFormat/>
    <w:uiPriority w:val="0"/>
    <w:pPr>
      <w:tabs>
        <w:tab w:val="left" w:pos="360"/>
      </w:tabs>
      <w:ind w:left="360" w:hanging="360"/>
    </w:pPr>
    <w:rPr>
      <w:rFonts w:ascii="Times New Roman" w:hAnsi="Times New Roman" w:eastAsia="宋体" w:cs="Times New Roman"/>
    </w:rPr>
  </w:style>
  <w:style w:type="paragraph" w:styleId="10">
    <w:name w:val="annotation text"/>
    <w:basedOn w:val="1"/>
    <w:link w:val="57"/>
    <w:unhideWhenUsed/>
    <w:qFormat/>
    <w:uiPriority w:val="0"/>
    <w:pPr>
      <w:jc w:val="left"/>
    </w:pPr>
  </w:style>
  <w:style w:type="paragraph" w:styleId="11">
    <w:name w:val="Body Text"/>
    <w:basedOn w:val="1"/>
    <w:next w:val="12"/>
    <w:link w:val="69"/>
    <w:qFormat/>
    <w:uiPriority w:val="0"/>
    <w:pPr>
      <w:adjustRightInd w:val="0"/>
      <w:spacing w:after="60" w:line="360" w:lineRule="atLeast"/>
      <w:ind w:left="72" w:leftChars="30" w:right="30" w:rightChars="30"/>
      <w:jc w:val="center"/>
      <w:textAlignment w:val="baseline"/>
    </w:pPr>
    <w:rPr>
      <w:rFonts w:ascii="Times New Roman" w:hAnsi="Times New Roman" w:eastAsia="宋体" w:cs="Times New Roman"/>
      <w:kern w:val="0"/>
      <w:sz w:val="20"/>
      <w:szCs w:val="20"/>
    </w:rPr>
  </w:style>
  <w:style w:type="paragraph" w:styleId="12">
    <w:name w:val="Title"/>
    <w:next w:val="1"/>
    <w:qFormat/>
    <w:uiPriority w:val="0"/>
    <w:pPr>
      <w:widowControl w:val="0"/>
      <w:jc w:val="center"/>
    </w:pPr>
    <w:rPr>
      <w:rFonts w:ascii="Times New Roman" w:hAnsi="Times New Roman" w:eastAsia="宋体" w:cs="Times New Roman"/>
      <w:b/>
      <w:bCs/>
      <w:kern w:val="2"/>
      <w:sz w:val="21"/>
      <w:lang w:val="en-US" w:eastAsia="zh-CN" w:bidi="ar-SA"/>
    </w:rPr>
  </w:style>
  <w:style w:type="paragraph" w:styleId="13">
    <w:name w:val="Body Text Indent"/>
    <w:basedOn w:val="1"/>
    <w:link w:val="51"/>
    <w:qFormat/>
    <w:uiPriority w:val="0"/>
    <w:pPr>
      <w:spacing w:after="120"/>
      <w:ind w:left="420" w:leftChars="200"/>
    </w:pPr>
  </w:style>
  <w:style w:type="paragraph" w:styleId="14">
    <w:name w:val="toc 5"/>
    <w:basedOn w:val="1"/>
    <w:next w:val="1"/>
    <w:unhideWhenUsed/>
    <w:qFormat/>
    <w:uiPriority w:val="39"/>
    <w:pPr>
      <w:ind w:left="840"/>
      <w:jc w:val="left"/>
    </w:pPr>
    <w:rPr>
      <w:rFonts w:ascii="Times New Roman" w:hAnsi="Times New Roman" w:eastAsia="宋体" w:cs="Times New Roman"/>
      <w:sz w:val="18"/>
      <w:szCs w:val="18"/>
    </w:rPr>
  </w:style>
  <w:style w:type="paragraph" w:styleId="15">
    <w:name w:val="toc 3"/>
    <w:basedOn w:val="1"/>
    <w:next w:val="1"/>
    <w:unhideWhenUsed/>
    <w:qFormat/>
    <w:uiPriority w:val="39"/>
    <w:pPr>
      <w:tabs>
        <w:tab w:val="right" w:leader="dot" w:pos="9292"/>
      </w:tabs>
      <w:spacing w:line="400" w:lineRule="exact"/>
      <w:ind w:left="420"/>
      <w:jc w:val="left"/>
    </w:pPr>
    <w:rPr>
      <w:rFonts w:ascii="宋体" w:hAnsi="宋体" w:eastAsia="宋体" w:cs="Courier New"/>
      <w:bCs/>
      <w:i/>
      <w:iCs/>
      <w:spacing w:val="2"/>
      <w:sz w:val="24"/>
    </w:rPr>
  </w:style>
  <w:style w:type="paragraph" w:styleId="16">
    <w:name w:val="Plain Text"/>
    <w:basedOn w:val="1"/>
    <w:link w:val="50"/>
    <w:qFormat/>
    <w:uiPriority w:val="0"/>
    <w:rPr>
      <w:rFonts w:ascii="宋体" w:cs="Courier New"/>
      <w:szCs w:val="21"/>
    </w:rPr>
  </w:style>
  <w:style w:type="paragraph" w:styleId="17">
    <w:name w:val="toc 8"/>
    <w:basedOn w:val="1"/>
    <w:next w:val="1"/>
    <w:unhideWhenUsed/>
    <w:qFormat/>
    <w:uiPriority w:val="39"/>
    <w:pPr>
      <w:ind w:left="2940" w:leftChars="1400"/>
    </w:pPr>
  </w:style>
  <w:style w:type="paragraph" w:styleId="18">
    <w:name w:val="Balloon Text"/>
    <w:basedOn w:val="1"/>
    <w:link w:val="45"/>
    <w:qFormat/>
    <w:uiPriority w:val="0"/>
    <w:rPr>
      <w:sz w:val="18"/>
      <w:szCs w:val="18"/>
    </w:rPr>
  </w:style>
  <w:style w:type="paragraph" w:styleId="19">
    <w:name w:val="footer"/>
    <w:basedOn w:val="1"/>
    <w:link w:val="68"/>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0">
    <w:name w:val="header"/>
    <w:basedOn w:val="1"/>
    <w:link w:val="7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1">
    <w:name w:val="toc 1"/>
    <w:basedOn w:val="1"/>
    <w:next w:val="1"/>
    <w:qFormat/>
    <w:uiPriority w:val="39"/>
    <w:rPr>
      <w:rFonts w:ascii="Times New Roman" w:hAnsi="Times New Roman" w:eastAsia="宋体" w:cs="Times New Roman"/>
    </w:rPr>
  </w:style>
  <w:style w:type="paragraph" w:styleId="22">
    <w:name w:val="toc 4"/>
    <w:basedOn w:val="1"/>
    <w:next w:val="1"/>
    <w:unhideWhenUsed/>
    <w:qFormat/>
    <w:uiPriority w:val="39"/>
    <w:pPr>
      <w:ind w:left="630"/>
      <w:jc w:val="left"/>
    </w:pPr>
    <w:rPr>
      <w:rFonts w:ascii="Times New Roman" w:hAnsi="Times New Roman" w:eastAsia="宋体" w:cs="Times New Roman"/>
      <w:sz w:val="18"/>
      <w:szCs w:val="18"/>
    </w:rPr>
  </w:style>
  <w:style w:type="paragraph" w:styleId="23">
    <w:name w:val="toc 6"/>
    <w:basedOn w:val="1"/>
    <w:next w:val="1"/>
    <w:unhideWhenUsed/>
    <w:qFormat/>
    <w:uiPriority w:val="39"/>
    <w:pPr>
      <w:ind w:left="2100" w:leftChars="1000"/>
    </w:pPr>
  </w:style>
  <w:style w:type="paragraph" w:styleId="24">
    <w:name w:val="toc 2"/>
    <w:basedOn w:val="1"/>
    <w:next w:val="1"/>
    <w:qFormat/>
    <w:uiPriority w:val="39"/>
    <w:pPr>
      <w:ind w:left="200" w:leftChars="200"/>
    </w:pPr>
    <w:rPr>
      <w:rFonts w:ascii="Times New Roman" w:hAnsi="Times New Roman" w:eastAsia="宋体" w:cs="Times New Roman"/>
      <w:szCs w:val="24"/>
    </w:rPr>
  </w:style>
  <w:style w:type="paragraph" w:styleId="25">
    <w:name w:val="toc 9"/>
    <w:basedOn w:val="1"/>
    <w:next w:val="1"/>
    <w:unhideWhenUsed/>
    <w:qFormat/>
    <w:uiPriority w:val="39"/>
    <w:pPr>
      <w:ind w:left="3360" w:leftChars="1600"/>
    </w:pPr>
  </w:style>
  <w:style w:type="paragraph" w:styleId="26">
    <w:name w:val="Normal (Web)"/>
    <w:basedOn w:val="1"/>
    <w:qFormat/>
    <w:uiPriority w:val="0"/>
    <w:pPr>
      <w:jc w:val="left"/>
    </w:pPr>
    <w:rPr>
      <w:rFonts w:ascii="Times New Roman" w:hAnsi="Times New Roman" w:eastAsia="宋体" w:cs="Times New Roman"/>
      <w:kern w:val="0"/>
      <w:sz w:val="24"/>
      <w:szCs w:val="24"/>
    </w:rPr>
  </w:style>
  <w:style w:type="paragraph" w:styleId="27">
    <w:name w:val="index 1"/>
    <w:basedOn w:val="1"/>
    <w:next w:val="1"/>
    <w:qFormat/>
    <w:uiPriority w:val="0"/>
    <w:pPr>
      <w:spacing w:line="360" w:lineRule="auto"/>
    </w:pPr>
    <w:rPr>
      <w:rFonts w:ascii="宋体" w:hAnsi="宋体" w:eastAsia="宋体" w:cs="Times New Roman"/>
      <w:bCs/>
      <w:szCs w:val="21"/>
    </w:rPr>
  </w:style>
  <w:style w:type="paragraph" w:styleId="28">
    <w:name w:val="annotation subject"/>
    <w:basedOn w:val="10"/>
    <w:next w:val="10"/>
    <w:link w:val="44"/>
    <w:qFormat/>
    <w:uiPriority w:val="0"/>
    <w:rPr>
      <w:b/>
      <w:bCs/>
    </w:rPr>
  </w:style>
  <w:style w:type="table" w:styleId="30">
    <w:name w:val="Table Grid"/>
    <w:basedOn w:val="2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22"/>
    <w:rPr>
      <w:b/>
    </w:rPr>
  </w:style>
  <w:style w:type="character" w:styleId="33">
    <w:name w:val="page number"/>
    <w:qFormat/>
    <w:uiPriority w:val="0"/>
  </w:style>
  <w:style w:type="character" w:styleId="34">
    <w:name w:val="FollowedHyperlink"/>
    <w:qFormat/>
    <w:uiPriority w:val="0"/>
    <w:rPr>
      <w:color w:val="333333"/>
      <w:u w:val="none"/>
    </w:rPr>
  </w:style>
  <w:style w:type="character" w:styleId="35">
    <w:name w:val="Emphasis"/>
    <w:qFormat/>
    <w:uiPriority w:val="0"/>
    <w:rPr>
      <w:color w:val="CC0000"/>
      <w:sz w:val="24"/>
      <w:szCs w:val="24"/>
    </w:rPr>
  </w:style>
  <w:style w:type="character" w:styleId="36">
    <w:name w:val="Hyperlink"/>
    <w:qFormat/>
    <w:uiPriority w:val="99"/>
    <w:rPr>
      <w:color w:val="333333"/>
      <w:u w:val="none"/>
    </w:rPr>
  </w:style>
  <w:style w:type="character" w:styleId="37">
    <w:name w:val="annotation reference"/>
    <w:qFormat/>
    <w:uiPriority w:val="0"/>
    <w:rPr>
      <w:sz w:val="21"/>
      <w:szCs w:val="21"/>
    </w:rPr>
  </w:style>
  <w:style w:type="character" w:customStyle="1" w:styleId="38">
    <w:name w:val="标题 2 Char"/>
    <w:basedOn w:val="31"/>
    <w:link w:val="3"/>
    <w:qFormat/>
    <w:uiPriority w:val="0"/>
    <w:rPr>
      <w:rFonts w:ascii="Cambria" w:hAnsi="Cambria" w:eastAsia="宋体" w:cs="Times New Roman"/>
      <w:b/>
      <w:bCs/>
      <w:sz w:val="32"/>
      <w:szCs w:val="32"/>
    </w:rPr>
  </w:style>
  <w:style w:type="paragraph" w:customStyle="1" w:styleId="39">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40">
    <w:name w:val="标题 1 Char"/>
    <w:basedOn w:val="31"/>
    <w:link w:val="2"/>
    <w:qFormat/>
    <w:uiPriority w:val="0"/>
    <w:rPr>
      <w:rFonts w:ascii="Times New Roman" w:hAnsi="Times New Roman" w:eastAsia="宋体" w:cs="Times New Roman"/>
      <w:b/>
      <w:bCs/>
      <w:kern w:val="44"/>
      <w:sz w:val="44"/>
      <w:szCs w:val="44"/>
    </w:rPr>
  </w:style>
  <w:style w:type="character" w:customStyle="1" w:styleId="41">
    <w:name w:val="标题 3 Char"/>
    <w:basedOn w:val="31"/>
    <w:link w:val="4"/>
    <w:qFormat/>
    <w:uiPriority w:val="9"/>
    <w:rPr>
      <w:rFonts w:ascii="宋体" w:hAnsi="宋体" w:eastAsia="宋体" w:cs="Times New Roman"/>
      <w:b/>
      <w:bCs/>
      <w:kern w:val="0"/>
      <w:sz w:val="24"/>
      <w:szCs w:val="32"/>
    </w:rPr>
  </w:style>
  <w:style w:type="character" w:customStyle="1" w:styleId="42">
    <w:name w:val="标题 4 Char"/>
    <w:basedOn w:val="31"/>
    <w:link w:val="5"/>
    <w:qFormat/>
    <w:uiPriority w:val="0"/>
    <w:rPr>
      <w:rFonts w:ascii="Arial" w:hAnsi="Arial" w:eastAsia="黑体" w:cs="Times New Roman"/>
      <w:b/>
      <w:bCs/>
      <w:sz w:val="28"/>
      <w:szCs w:val="28"/>
    </w:rPr>
  </w:style>
  <w:style w:type="character" w:customStyle="1" w:styleId="43">
    <w:name w:val="标题 5 Char"/>
    <w:basedOn w:val="31"/>
    <w:link w:val="6"/>
    <w:qFormat/>
    <w:uiPriority w:val="0"/>
    <w:rPr>
      <w:rFonts w:ascii="Times New Roman" w:hAnsi="Times New Roman" w:eastAsia="宋体" w:cs="Times New Roman"/>
      <w:b/>
      <w:sz w:val="28"/>
      <w:szCs w:val="20"/>
    </w:rPr>
  </w:style>
  <w:style w:type="character" w:customStyle="1" w:styleId="44">
    <w:name w:val="批注主题 Char"/>
    <w:link w:val="28"/>
    <w:qFormat/>
    <w:uiPriority w:val="0"/>
    <w:rPr>
      <w:b/>
      <w:bCs/>
    </w:rPr>
  </w:style>
  <w:style w:type="character" w:customStyle="1" w:styleId="45">
    <w:name w:val="批注框文本 Char"/>
    <w:link w:val="18"/>
    <w:qFormat/>
    <w:uiPriority w:val="0"/>
    <w:rPr>
      <w:sz w:val="18"/>
      <w:szCs w:val="18"/>
    </w:rPr>
  </w:style>
  <w:style w:type="character" w:customStyle="1" w:styleId="46">
    <w:name w:val="纯文本 Char1"/>
    <w:semiHidden/>
    <w:qFormat/>
    <w:locked/>
    <w:uiPriority w:val="0"/>
    <w:rPr>
      <w:rFonts w:ascii="宋体" w:cs="Courier New"/>
      <w:kern w:val="2"/>
      <w:sz w:val="21"/>
      <w:szCs w:val="21"/>
    </w:rPr>
  </w:style>
  <w:style w:type="character" w:customStyle="1" w:styleId="47">
    <w:name w:val="hover3"/>
    <w:qFormat/>
    <w:uiPriority w:val="0"/>
    <w:rPr>
      <w:shd w:val="clear" w:color="auto" w:fill="9370DB"/>
    </w:rPr>
  </w:style>
  <w:style w:type="character" w:customStyle="1" w:styleId="48">
    <w:name w:val="Char Char17"/>
    <w:qFormat/>
    <w:uiPriority w:val="0"/>
    <w:rPr>
      <w:rFonts w:ascii="Arial" w:hAnsi="Arial" w:eastAsia="黑体" w:cs="Times New Roman"/>
      <w:szCs w:val="24"/>
    </w:rPr>
  </w:style>
  <w:style w:type="character" w:customStyle="1" w:styleId="49">
    <w:name w:val="纯文本 Char2"/>
    <w:qFormat/>
    <w:uiPriority w:val="0"/>
    <w:rPr>
      <w:rFonts w:ascii="宋体" w:hAnsi="Courier New" w:eastAsia="宋体"/>
      <w:kern w:val="2"/>
      <w:sz w:val="21"/>
      <w:lang w:val="en-US" w:eastAsia="zh-CN" w:bidi="ar-SA"/>
    </w:rPr>
  </w:style>
  <w:style w:type="character" w:customStyle="1" w:styleId="50">
    <w:name w:val="纯文本 Char"/>
    <w:link w:val="16"/>
    <w:qFormat/>
    <w:uiPriority w:val="0"/>
    <w:rPr>
      <w:rFonts w:ascii="宋体" w:cs="Courier New"/>
      <w:szCs w:val="21"/>
    </w:rPr>
  </w:style>
  <w:style w:type="character" w:customStyle="1" w:styleId="51">
    <w:name w:val="正文文本缩进 Char"/>
    <w:link w:val="13"/>
    <w:qFormat/>
    <w:uiPriority w:val="0"/>
  </w:style>
  <w:style w:type="character" w:customStyle="1" w:styleId="52">
    <w:name w:val="批注文字 Char"/>
    <w:qFormat/>
    <w:uiPriority w:val="0"/>
    <w:rPr>
      <w:kern w:val="2"/>
      <w:sz w:val="21"/>
      <w:szCs w:val="22"/>
    </w:rPr>
  </w:style>
  <w:style w:type="paragraph" w:customStyle="1" w:styleId="53">
    <w:name w:val="Normal_1"/>
    <w:qFormat/>
    <w:uiPriority w:val="0"/>
    <w:pPr>
      <w:jc w:val="both"/>
    </w:pPr>
    <w:rPr>
      <w:rFonts w:ascii="Times New Roman" w:hAnsi="Times New Roman" w:eastAsia="宋体" w:cs="Times New Roman"/>
      <w:kern w:val="2"/>
      <w:sz w:val="21"/>
      <w:szCs w:val="21"/>
      <w:lang w:val="en-US" w:eastAsia="zh-CN" w:bidi="ar-SA"/>
    </w:rPr>
  </w:style>
  <w:style w:type="paragraph" w:customStyle="1" w:styleId="5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标题 3_0_0"/>
    <w:basedOn w:val="56"/>
    <w:next w:val="56"/>
    <w:semiHidden/>
    <w:qFormat/>
    <w:uiPriority w:val="0"/>
    <w:pPr>
      <w:keepNext/>
      <w:keepLines/>
      <w:spacing w:before="260" w:after="260" w:line="410" w:lineRule="auto"/>
      <w:outlineLvl w:val="2"/>
    </w:pPr>
    <w:rPr>
      <w:b/>
      <w:bCs/>
      <w:kern w:val="0"/>
      <w:sz w:val="32"/>
      <w:szCs w:val="32"/>
    </w:rPr>
  </w:style>
  <w:style w:type="paragraph" w:customStyle="1" w:styleId="56">
    <w:name w:val="正文_2_0"/>
    <w:basedOn w:val="54"/>
    <w:qFormat/>
    <w:uiPriority w:val="0"/>
    <w:rPr>
      <w:rFonts w:cs="宋体"/>
      <w:szCs w:val="21"/>
    </w:rPr>
  </w:style>
  <w:style w:type="character" w:customStyle="1" w:styleId="57">
    <w:name w:val="批注文字 Char1"/>
    <w:basedOn w:val="31"/>
    <w:link w:val="10"/>
    <w:semiHidden/>
    <w:qFormat/>
    <w:uiPriority w:val="99"/>
  </w:style>
  <w:style w:type="character" w:customStyle="1" w:styleId="58">
    <w:name w:val="批注主题 Char1"/>
    <w:basedOn w:val="57"/>
    <w:semiHidden/>
    <w:qFormat/>
    <w:uiPriority w:val="99"/>
    <w:rPr>
      <w:b/>
      <w:bCs/>
    </w:rPr>
  </w:style>
  <w:style w:type="paragraph" w:customStyle="1" w:styleId="59">
    <w:name w:val="标题 2_0"/>
    <w:basedOn w:val="60"/>
    <w:next w:val="60"/>
    <w:unhideWhenUsed/>
    <w:qFormat/>
    <w:uiPriority w:val="9"/>
    <w:pPr>
      <w:keepNext/>
      <w:keepLines/>
      <w:spacing w:before="260" w:after="260" w:line="416" w:lineRule="auto"/>
      <w:outlineLvl w:val="1"/>
    </w:pPr>
    <w:rPr>
      <w:rFonts w:ascii="Cambria" w:hAnsi="Cambria"/>
      <w:b/>
      <w:bCs/>
      <w:sz w:val="32"/>
      <w:szCs w:val="32"/>
    </w:rPr>
  </w:style>
  <w:style w:type="paragraph" w:customStyle="1" w:styleId="6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标题 1_0"/>
    <w:basedOn w:val="54"/>
    <w:next w:val="54"/>
    <w:qFormat/>
    <w:uiPriority w:val="0"/>
    <w:pPr>
      <w:keepNext/>
      <w:keepLines/>
      <w:spacing w:line="360" w:lineRule="auto"/>
      <w:outlineLvl w:val="0"/>
    </w:pPr>
    <w:rPr>
      <w:rFonts w:ascii="Times New Roman" w:hAnsi="Times New Roman" w:eastAsia="黑体"/>
      <w:b/>
      <w:bCs/>
      <w:kern w:val="44"/>
      <w:sz w:val="32"/>
      <w:szCs w:val="44"/>
    </w:rPr>
  </w:style>
  <w:style w:type="paragraph" w:customStyle="1" w:styleId="62">
    <w:name w:val="_Style 2"/>
    <w:basedOn w:val="2"/>
    <w:next w:val="1"/>
    <w:qFormat/>
    <w:uiPriority w:val="0"/>
    <w:pPr>
      <w:outlineLvl w:val="9"/>
    </w:pPr>
  </w:style>
  <w:style w:type="paragraph" w:customStyle="1" w:styleId="63">
    <w:name w:val="_Style 4"/>
    <w:basedOn w:val="2"/>
    <w:next w:val="1"/>
    <w:qFormat/>
    <w:uiPriority w:val="39"/>
    <w:pPr>
      <w:outlineLvl w:val="9"/>
    </w:pPr>
  </w:style>
  <w:style w:type="paragraph" w:customStyle="1" w:styleId="64">
    <w:name w:val="标题 2_1"/>
    <w:basedOn w:val="54"/>
    <w:next w:val="54"/>
    <w:unhideWhenUsed/>
    <w:qFormat/>
    <w:uiPriority w:val="0"/>
    <w:pPr>
      <w:keepNext/>
      <w:keepLines/>
      <w:spacing w:before="260" w:after="260" w:line="416" w:lineRule="auto"/>
      <w:outlineLvl w:val="1"/>
    </w:pPr>
    <w:rPr>
      <w:rFonts w:ascii="Cambria" w:hAnsi="Cambria"/>
      <w:b/>
      <w:bCs/>
      <w:sz w:val="32"/>
      <w:szCs w:val="32"/>
    </w:rPr>
  </w:style>
  <w:style w:type="paragraph" w:customStyle="1" w:styleId="65">
    <w:name w:val="样式 标题 2 + 宋体"/>
    <w:basedOn w:val="3"/>
    <w:qFormat/>
    <w:uiPriority w:val="99"/>
    <w:pPr>
      <w:tabs>
        <w:tab w:val="left" w:pos="1021"/>
      </w:tabs>
    </w:pPr>
    <w:rPr>
      <w:rFonts w:ascii="宋体" w:hAnsi="宋体"/>
      <w:sz w:val="30"/>
    </w:rPr>
  </w:style>
  <w:style w:type="paragraph" w:customStyle="1" w:styleId="66">
    <w:name w:val="标题 3_0"/>
    <w:basedOn w:val="54"/>
    <w:next w:val="54"/>
    <w:unhideWhenUsed/>
    <w:qFormat/>
    <w:uiPriority w:val="0"/>
    <w:pPr>
      <w:keepNext/>
      <w:keepLines/>
      <w:spacing w:before="260" w:after="260" w:line="416" w:lineRule="auto"/>
      <w:outlineLvl w:val="2"/>
    </w:pPr>
    <w:rPr>
      <w:b/>
      <w:bCs/>
      <w:sz w:val="32"/>
      <w:szCs w:val="32"/>
    </w:rPr>
  </w:style>
  <w:style w:type="paragraph" w:customStyle="1" w:styleId="67">
    <w:name w:val="正文_2_1"/>
    <w:basedOn w:val="54"/>
    <w:qFormat/>
    <w:uiPriority w:val="0"/>
    <w:rPr>
      <w:rFonts w:cs="宋体"/>
      <w:szCs w:val="21"/>
    </w:rPr>
  </w:style>
  <w:style w:type="character" w:customStyle="1" w:styleId="68">
    <w:name w:val="页脚 Char"/>
    <w:basedOn w:val="31"/>
    <w:link w:val="19"/>
    <w:qFormat/>
    <w:uiPriority w:val="0"/>
    <w:rPr>
      <w:rFonts w:ascii="Times New Roman" w:hAnsi="Times New Roman" w:eastAsia="宋体" w:cs="Times New Roman"/>
      <w:sz w:val="18"/>
      <w:szCs w:val="18"/>
    </w:rPr>
  </w:style>
  <w:style w:type="character" w:customStyle="1" w:styleId="69">
    <w:name w:val="正文文本 Char"/>
    <w:basedOn w:val="31"/>
    <w:link w:val="11"/>
    <w:qFormat/>
    <w:uiPriority w:val="0"/>
    <w:rPr>
      <w:rFonts w:ascii="Times New Roman" w:hAnsi="Times New Roman" w:eastAsia="宋体" w:cs="Times New Roman"/>
      <w:kern w:val="0"/>
      <w:sz w:val="20"/>
      <w:szCs w:val="20"/>
    </w:rPr>
  </w:style>
  <w:style w:type="paragraph" w:customStyle="1" w:styleId="70">
    <w:name w:val="纯文本_0"/>
    <w:basedOn w:val="56"/>
    <w:semiHidden/>
    <w:qFormat/>
    <w:uiPriority w:val="0"/>
    <w:rPr>
      <w:rFonts w:ascii="宋体" w:hAnsi="Courier New"/>
      <w:kern w:val="0"/>
      <w:sz w:val="20"/>
      <w:szCs w:val="20"/>
    </w:rPr>
  </w:style>
  <w:style w:type="paragraph" w:customStyle="1" w:styleId="71">
    <w:name w:val="[基本段落]"/>
    <w:basedOn w:val="1"/>
    <w:qFormat/>
    <w:uiPriority w:val="99"/>
    <w:pPr>
      <w:autoSpaceDE w:val="0"/>
      <w:autoSpaceDN w:val="0"/>
      <w:adjustRightInd w:val="0"/>
      <w:spacing w:line="288" w:lineRule="auto"/>
      <w:textAlignment w:val="center"/>
    </w:pPr>
    <w:rPr>
      <w:rFonts w:ascii="Adobe 宋体 Std L" w:hAnsi="Times New Roman" w:eastAsia="Adobe 宋体 Std L" w:cs="Adobe 宋体 Std L"/>
      <w:color w:val="000000"/>
      <w:kern w:val="0"/>
      <w:sz w:val="24"/>
      <w:szCs w:val="24"/>
      <w:lang w:val="zh-CN"/>
    </w:rPr>
  </w:style>
  <w:style w:type="paragraph" w:customStyle="1" w:styleId="72">
    <w:name w:val="正文_1_0"/>
    <w:basedOn w:val="54"/>
    <w:qFormat/>
    <w:uiPriority w:val="0"/>
    <w:rPr>
      <w:rFonts w:ascii="Times New Roman" w:hAnsi="Times New Roman"/>
      <w:szCs w:val="21"/>
    </w:rPr>
  </w:style>
  <w:style w:type="character" w:customStyle="1" w:styleId="73">
    <w:name w:val="正文文本缩进 Char1"/>
    <w:basedOn w:val="31"/>
    <w:semiHidden/>
    <w:qFormat/>
    <w:uiPriority w:val="99"/>
  </w:style>
  <w:style w:type="paragraph" w:customStyle="1" w:styleId="74">
    <w:name w:val="Normal_0"/>
    <w:qFormat/>
    <w:uiPriority w:val="0"/>
    <w:pPr>
      <w:jc w:val="both"/>
    </w:pPr>
    <w:rPr>
      <w:rFonts w:ascii="Times New Roman" w:hAnsi="Times New Roman" w:eastAsia="宋体" w:cs="Times New Roman"/>
      <w:kern w:val="2"/>
      <w:sz w:val="21"/>
      <w:szCs w:val="21"/>
      <w:lang w:val="en-US" w:eastAsia="zh-CN" w:bidi="ar-SA"/>
    </w:rPr>
  </w:style>
  <w:style w:type="character" w:customStyle="1" w:styleId="75">
    <w:name w:val="批注框文本 Char1"/>
    <w:basedOn w:val="31"/>
    <w:semiHidden/>
    <w:qFormat/>
    <w:uiPriority w:val="99"/>
    <w:rPr>
      <w:sz w:val="18"/>
      <w:szCs w:val="18"/>
    </w:rPr>
  </w:style>
  <w:style w:type="character" w:customStyle="1" w:styleId="76">
    <w:name w:val="纯文本 Char3"/>
    <w:basedOn w:val="31"/>
    <w:semiHidden/>
    <w:qFormat/>
    <w:uiPriority w:val="99"/>
    <w:rPr>
      <w:rFonts w:ascii="宋体" w:hAnsi="Courier New" w:eastAsia="宋体" w:cs="Courier New"/>
      <w:szCs w:val="21"/>
    </w:rPr>
  </w:style>
  <w:style w:type="paragraph" w:customStyle="1" w:styleId="77">
    <w:name w:val="_Style 10"/>
    <w:basedOn w:val="2"/>
    <w:next w:val="1"/>
    <w:qFormat/>
    <w:uiPriority w:val="39"/>
    <w:pPr>
      <w:widowControl/>
      <w:tabs>
        <w:tab w:val="left" w:pos="420"/>
      </w:tabs>
      <w:spacing w:before="480" w:after="0" w:line="276" w:lineRule="auto"/>
      <w:ind w:left="420" w:hanging="420"/>
      <w:jc w:val="left"/>
      <w:outlineLvl w:val="9"/>
    </w:pPr>
    <w:rPr>
      <w:rFonts w:ascii="Cambria" w:hAnsi="Cambria"/>
      <w:color w:val="365F91"/>
      <w:kern w:val="0"/>
      <w:sz w:val="28"/>
      <w:szCs w:val="28"/>
    </w:rPr>
  </w:style>
  <w:style w:type="character" w:customStyle="1" w:styleId="78">
    <w:name w:val="页眉 Char"/>
    <w:basedOn w:val="31"/>
    <w:link w:val="20"/>
    <w:qFormat/>
    <w:uiPriority w:val="0"/>
    <w:rPr>
      <w:rFonts w:ascii="Times New Roman" w:hAnsi="Times New Roman" w:eastAsia="宋体" w:cs="Times New Roman"/>
      <w:sz w:val="18"/>
      <w:szCs w:val="18"/>
    </w:rPr>
  </w:style>
  <w:style w:type="paragraph" w:customStyle="1" w:styleId="79">
    <w:name w:val="List Paragraph1"/>
    <w:basedOn w:val="1"/>
    <w:qFormat/>
    <w:uiPriority w:val="0"/>
    <w:pPr>
      <w:widowControl/>
      <w:spacing w:after="200" w:line="276" w:lineRule="auto"/>
      <w:ind w:left="720"/>
      <w:jc w:val="left"/>
    </w:pPr>
    <w:rPr>
      <w:rFonts w:ascii="Calibri" w:hAnsi="Calibri" w:eastAsia="宋体" w:cs="Times New Roman"/>
      <w:kern w:val="0"/>
      <w:sz w:val="22"/>
    </w:rPr>
  </w:style>
  <w:style w:type="paragraph" w:styleId="8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5.wmf"/><Relationship Id="rId21" Type="http://schemas.openxmlformats.org/officeDocument/2006/relationships/oleObject" Target="embeddings/oleObject5.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wmf"/><Relationship Id="rId17" Type="http://schemas.openxmlformats.org/officeDocument/2006/relationships/oleObject" Target="embeddings/oleObject3.bin"/><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152</Pages>
  <Words>48218</Words>
  <Characters>51376</Characters>
  <Lines>764</Lines>
  <Paragraphs>215</Paragraphs>
  <TotalTime>89</TotalTime>
  <ScaleCrop>false</ScaleCrop>
  <LinksUpToDate>false</LinksUpToDate>
  <CharactersWithSpaces>52792</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2024-02-18T10:51:00Z</dcterms:created>
  <dc:creator>PC</dc:creator>
  <cp:lastModifiedBy>Король</cp:lastModifiedBy>
  <cp:lastPrinted>2024-08-22T11:57:00Z</cp:lastPrinted>
  <dcterms:modified xsi:type="dcterms:W3CDTF">2026-09-01T08:48:29Z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A887CDF6E502409C91492F580FE73F7C_13</vt:lpwstr>
  </property>
  <property fmtid="{D5CDD505-2E9C-101B-9397-08002B2CF9AE}" pid="4" name="KSOTemplateDocerSaveRecord">
    <vt:lpwstr>eyJoZGlkIjoiNGIzNjJmY2Q4OGM3OTQ0MjMyZWZiODg1NmI2YmNlNzMiLCJ1c2VySWQiOiI2MjkyNDM5NTIifQ==</vt:lpwstr>
  </property>
</Properties>
</file>