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6540F">
      <w:pPr>
        <w:jc w:val="center"/>
        <w:rPr>
          <w:rFonts w:ascii="宋体" w:hAnsi="宋体"/>
          <w:color w:val="auto"/>
          <w:spacing w:val="116"/>
          <w:sz w:val="52"/>
          <w:highlight w:val="none"/>
        </w:rPr>
      </w:pPr>
      <w:r>
        <w:rPr>
          <w:rFonts w:ascii="宋体" w:hAnsi="宋体"/>
          <w:color w:val="auto"/>
          <w:spacing w:val="116"/>
          <w:sz w:val="52"/>
          <w:highlight w:val="none"/>
        </w:rPr>
        <w:drawing>
          <wp:inline distT="0" distB="0" distL="0" distR="0">
            <wp:extent cx="1618615" cy="1066800"/>
            <wp:effectExtent l="0" t="0" r="63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618615" cy="1066800"/>
                    </a:xfrm>
                    <a:prstGeom prst="rect">
                      <a:avLst/>
                    </a:prstGeom>
                    <a:noFill/>
                    <a:ln>
                      <a:noFill/>
                    </a:ln>
                  </pic:spPr>
                </pic:pic>
              </a:graphicData>
            </a:graphic>
          </wp:inline>
        </w:drawing>
      </w:r>
    </w:p>
    <w:p w14:paraId="7FCCC10A">
      <w:pPr>
        <w:jc w:val="center"/>
        <w:rPr>
          <w:rFonts w:ascii="宋体" w:hAnsi="宋体"/>
          <w:color w:val="auto"/>
          <w:sz w:val="36"/>
          <w:szCs w:val="36"/>
          <w:highlight w:val="none"/>
        </w:rPr>
      </w:pPr>
      <w:r>
        <w:rPr>
          <w:rFonts w:hint="eastAsia" w:ascii="宋体" w:hAnsi="宋体"/>
          <w:color w:val="auto"/>
          <w:sz w:val="36"/>
          <w:szCs w:val="36"/>
          <w:highlight w:val="none"/>
        </w:rPr>
        <w:t>中经国际招标集团有限公司</w:t>
      </w:r>
    </w:p>
    <w:p w14:paraId="441F5544">
      <w:pPr>
        <w:snapToGrid w:val="0"/>
        <w:spacing w:before="156" w:beforeLines="50" w:line="360" w:lineRule="auto"/>
        <w:jc w:val="center"/>
        <w:rPr>
          <w:rFonts w:ascii="宋体" w:hAnsi="宋体" w:eastAsia="宋体" w:cs="Times New Roman"/>
          <w:color w:val="auto"/>
          <w:sz w:val="72"/>
          <w:szCs w:val="72"/>
          <w:highlight w:val="none"/>
        </w:rPr>
      </w:pPr>
      <w:r>
        <w:rPr>
          <w:rFonts w:hint="eastAsia" w:ascii="宋体" w:hAnsi="宋体" w:eastAsia="宋体" w:cs="Times New Roman"/>
          <w:color w:val="auto"/>
          <w:sz w:val="72"/>
          <w:szCs w:val="72"/>
          <w:highlight w:val="none"/>
        </w:rPr>
        <w:t>招 标 文 件</w:t>
      </w:r>
    </w:p>
    <w:p w14:paraId="76351BE2">
      <w:pPr>
        <w:snapToGrid w:val="0"/>
        <w:spacing w:before="156" w:beforeLines="50" w:line="360" w:lineRule="auto"/>
        <w:jc w:val="center"/>
        <w:rPr>
          <w:rFonts w:ascii="宋体" w:hAnsi="宋体" w:eastAsia="宋体" w:cs="Times New Roman"/>
          <w:color w:val="auto"/>
          <w:sz w:val="72"/>
          <w:szCs w:val="72"/>
          <w:highlight w:val="none"/>
        </w:rPr>
      </w:pPr>
    </w:p>
    <w:p w14:paraId="778E66A9">
      <w:pPr>
        <w:snapToGrid w:val="0"/>
        <w:spacing w:before="156" w:beforeLines="50" w:line="360" w:lineRule="auto"/>
        <w:jc w:val="center"/>
        <w:rPr>
          <w:rFonts w:ascii="宋体" w:hAnsi="宋体" w:eastAsia="宋体" w:cs="Times New Roman"/>
          <w:color w:val="auto"/>
          <w:sz w:val="72"/>
          <w:szCs w:val="72"/>
          <w:highlight w:val="none"/>
        </w:rPr>
      </w:pPr>
    </w:p>
    <w:p w14:paraId="0DF5C34A">
      <w:pPr>
        <w:snapToGrid w:val="0"/>
        <w:spacing w:before="50" w:after="120" w:line="360" w:lineRule="auto"/>
        <w:ind w:left="2548" w:hanging="2548" w:hangingChars="846"/>
        <w:rPr>
          <w:rFonts w:ascii="宋体" w:hAnsi="宋体" w:eastAsia="宋体" w:cs="Times New Roman"/>
          <w:b/>
          <w:bCs/>
          <w:color w:val="auto"/>
          <w:kern w:val="0"/>
          <w:sz w:val="30"/>
          <w:szCs w:val="30"/>
          <w:highlight w:val="none"/>
          <w:lang w:val="zh-CN"/>
        </w:rPr>
      </w:pPr>
      <w:r>
        <w:rPr>
          <w:rFonts w:hint="eastAsia" w:ascii="宋体" w:hAnsi="宋体" w:eastAsia="宋体" w:cs="Times New Roman"/>
          <w:b/>
          <w:bCs/>
          <w:color w:val="auto"/>
          <w:kern w:val="0"/>
          <w:sz w:val="30"/>
          <w:szCs w:val="30"/>
          <w:highlight w:val="none"/>
          <w:lang w:val="zh-CN"/>
        </w:rPr>
        <w:t xml:space="preserve">       </w:t>
      </w:r>
      <w:r>
        <w:rPr>
          <w:rFonts w:hint="eastAsia" w:ascii="宋体" w:hAnsi="宋体" w:eastAsia="宋体" w:cs="Times New Roman"/>
          <w:b/>
          <w:bCs/>
          <w:color w:val="auto"/>
          <w:kern w:val="0"/>
          <w:sz w:val="30"/>
          <w:szCs w:val="30"/>
          <w:highlight w:val="none"/>
          <w:lang w:val="en-US" w:eastAsia="zh-CN"/>
        </w:rPr>
        <w:t xml:space="preserve"> </w:t>
      </w:r>
      <w:r>
        <w:rPr>
          <w:rFonts w:hint="eastAsia" w:ascii="宋体" w:hAnsi="宋体" w:eastAsia="宋体" w:cs="Times New Roman"/>
          <w:b/>
          <w:bCs/>
          <w:color w:val="auto"/>
          <w:kern w:val="0"/>
          <w:sz w:val="30"/>
          <w:szCs w:val="30"/>
          <w:highlight w:val="none"/>
          <w:lang w:val="zh-CN"/>
        </w:rPr>
        <w:t>项目</w:t>
      </w:r>
      <w:r>
        <w:rPr>
          <w:rFonts w:hint="eastAsia" w:ascii="宋体" w:hAnsi="宋体" w:eastAsia="宋体" w:cs="Courier New"/>
          <w:b/>
          <w:bCs/>
          <w:color w:val="auto"/>
          <w:w w:val="95"/>
          <w:kern w:val="0"/>
          <w:sz w:val="30"/>
          <w:szCs w:val="30"/>
          <w:highlight w:val="none"/>
          <w:lang w:val="zh-CN"/>
        </w:rPr>
        <w:t>名称</w:t>
      </w:r>
      <w:r>
        <w:rPr>
          <w:rFonts w:hint="eastAsia" w:ascii="宋体" w:hAnsi="宋体" w:eastAsia="宋体" w:cs="Times New Roman"/>
          <w:b/>
          <w:bCs/>
          <w:color w:val="auto"/>
          <w:kern w:val="0"/>
          <w:sz w:val="30"/>
          <w:szCs w:val="30"/>
          <w:highlight w:val="none"/>
          <w:lang w:val="zh-CN"/>
        </w:rPr>
        <w:t>：质谱类设备（</w:t>
      </w:r>
      <w:r>
        <w:rPr>
          <w:rFonts w:hint="eastAsia" w:ascii="宋体" w:hAnsi="宋体" w:eastAsia="宋体" w:cs="Times New Roman"/>
          <w:b/>
          <w:bCs/>
          <w:color w:val="auto"/>
          <w:kern w:val="0"/>
          <w:sz w:val="30"/>
          <w:szCs w:val="30"/>
          <w:highlight w:val="none"/>
          <w:lang w:val="en-US" w:eastAsia="zh-CN"/>
        </w:rPr>
        <w:t>重2</w:t>
      </w:r>
      <w:r>
        <w:rPr>
          <w:rFonts w:hint="eastAsia" w:ascii="宋体" w:hAnsi="宋体" w:eastAsia="宋体" w:cs="Times New Roman"/>
          <w:b/>
          <w:bCs/>
          <w:color w:val="auto"/>
          <w:kern w:val="0"/>
          <w:sz w:val="30"/>
          <w:szCs w:val="30"/>
          <w:highlight w:val="none"/>
          <w:lang w:val="zh-CN"/>
        </w:rPr>
        <w:t>）</w:t>
      </w:r>
    </w:p>
    <w:p w14:paraId="13BEA7F3">
      <w:pPr>
        <w:snapToGrid w:val="0"/>
        <w:spacing w:before="156" w:beforeLines="50" w:line="360" w:lineRule="auto"/>
        <w:ind w:firstLine="1145" w:firstLineChars="400"/>
        <w:rPr>
          <w:rFonts w:ascii="宋体" w:hAnsi="宋体" w:eastAsia="宋体" w:cs="Times New Roman"/>
          <w:color w:val="auto"/>
          <w:sz w:val="30"/>
          <w:szCs w:val="72"/>
          <w:highlight w:val="none"/>
        </w:rPr>
      </w:pPr>
      <w:r>
        <w:rPr>
          <w:rFonts w:hint="eastAsia" w:ascii="宋体" w:hAnsi="宋体" w:eastAsia="宋体" w:cs="Courier New"/>
          <w:b/>
          <w:bCs/>
          <w:color w:val="auto"/>
          <w:w w:val="95"/>
          <w:sz w:val="30"/>
          <w:szCs w:val="30"/>
          <w:highlight w:val="none"/>
        </w:rPr>
        <w:t>项目</w:t>
      </w:r>
      <w:r>
        <w:rPr>
          <w:rFonts w:hint="eastAsia" w:ascii="宋体" w:hAnsi="宋体" w:eastAsia="宋体" w:cs="Times New Roman"/>
          <w:b/>
          <w:bCs/>
          <w:color w:val="auto"/>
          <w:sz w:val="30"/>
          <w:szCs w:val="30"/>
          <w:highlight w:val="none"/>
        </w:rPr>
        <w:t>编号</w:t>
      </w:r>
      <w:r>
        <w:rPr>
          <w:rFonts w:hint="eastAsia" w:ascii="宋体" w:hAnsi="宋体" w:eastAsia="宋体" w:cs="Courier New"/>
          <w:b/>
          <w:bCs/>
          <w:color w:val="auto"/>
          <w:w w:val="95"/>
          <w:sz w:val="30"/>
          <w:szCs w:val="30"/>
          <w:highlight w:val="none"/>
        </w:rPr>
        <w:t>：WZZC2026-G1-990208-ZJGJ</w:t>
      </w:r>
    </w:p>
    <w:p w14:paraId="06A2B876">
      <w:pPr>
        <w:snapToGrid w:val="0"/>
        <w:spacing w:before="50" w:after="120" w:line="360" w:lineRule="auto"/>
        <w:ind w:firstLine="1125" w:firstLineChars="393"/>
        <w:rPr>
          <w:rFonts w:ascii="宋体" w:hAnsi="宋体" w:eastAsia="宋体" w:cs="Times New Roman"/>
          <w:b/>
          <w:bCs/>
          <w:color w:val="auto"/>
          <w:w w:val="95"/>
          <w:kern w:val="0"/>
          <w:sz w:val="30"/>
          <w:szCs w:val="30"/>
          <w:highlight w:val="none"/>
          <w:lang w:val="zh-CN"/>
        </w:rPr>
      </w:pPr>
      <w:r>
        <w:rPr>
          <w:rFonts w:hint="eastAsia" w:ascii="宋体" w:hAnsi="宋体" w:eastAsia="宋体" w:cs="Times New Roman"/>
          <w:b/>
          <w:bCs/>
          <w:color w:val="auto"/>
          <w:w w:val="95"/>
          <w:kern w:val="0"/>
          <w:sz w:val="30"/>
          <w:szCs w:val="30"/>
          <w:highlight w:val="none"/>
          <w:lang w:val="en-US" w:eastAsia="zh-CN"/>
        </w:rPr>
        <w:t>招标</w:t>
      </w:r>
      <w:r>
        <w:rPr>
          <w:rFonts w:hint="eastAsia" w:ascii="宋体" w:hAnsi="宋体" w:eastAsia="宋体" w:cs="Times New Roman"/>
          <w:b/>
          <w:bCs/>
          <w:color w:val="auto"/>
          <w:w w:val="95"/>
          <w:kern w:val="0"/>
          <w:sz w:val="30"/>
          <w:szCs w:val="30"/>
          <w:highlight w:val="none"/>
          <w:lang w:val="zh-CN"/>
        </w:rPr>
        <w:t>人：梧州市红十字会医院</w:t>
      </w:r>
    </w:p>
    <w:p w14:paraId="1FF6476B">
      <w:pPr>
        <w:snapToGrid w:val="0"/>
        <w:spacing w:before="50" w:after="120" w:line="360" w:lineRule="auto"/>
        <w:ind w:left="3111" w:leftChars="537" w:hanging="1983" w:hangingChars="693"/>
        <w:rPr>
          <w:rFonts w:ascii="宋体" w:hAnsi="宋体" w:eastAsia="宋体" w:cs="Times New Roman"/>
          <w:b/>
          <w:bCs/>
          <w:color w:val="auto"/>
          <w:w w:val="95"/>
          <w:kern w:val="0"/>
          <w:sz w:val="30"/>
          <w:szCs w:val="30"/>
          <w:highlight w:val="none"/>
          <w:lang w:val="zh-CN"/>
        </w:rPr>
      </w:pPr>
      <w:r>
        <w:rPr>
          <w:rFonts w:hint="eastAsia" w:ascii="宋体" w:hAnsi="宋体" w:eastAsia="宋体" w:cs="Times New Roman"/>
          <w:b/>
          <w:bCs/>
          <w:color w:val="auto"/>
          <w:w w:val="95"/>
          <w:kern w:val="0"/>
          <w:sz w:val="30"/>
          <w:szCs w:val="30"/>
          <w:highlight w:val="none"/>
          <w:lang w:val="zh-CN"/>
        </w:rPr>
        <w:t>采购代理机构：中经国际招标集团有限公司</w:t>
      </w:r>
    </w:p>
    <w:p w14:paraId="16AFF921">
      <w:pPr>
        <w:snapToGrid w:val="0"/>
        <w:spacing w:line="360" w:lineRule="auto"/>
        <w:ind w:firstLine="841" w:firstLineChars="294"/>
        <w:rPr>
          <w:rFonts w:ascii="宋体" w:hAnsi="宋体" w:eastAsia="宋体" w:cs="Times New Roman"/>
          <w:b/>
          <w:bCs/>
          <w:color w:val="auto"/>
          <w:w w:val="95"/>
          <w:kern w:val="0"/>
          <w:sz w:val="30"/>
          <w:szCs w:val="30"/>
          <w:highlight w:val="none"/>
          <w:lang w:val="zh-CN"/>
        </w:rPr>
      </w:pPr>
      <w:r>
        <w:rPr>
          <w:rFonts w:hint="eastAsia" w:ascii="宋体" w:hAnsi="宋体" w:eastAsia="宋体" w:cs="Times New Roman"/>
          <w:b/>
          <w:bCs/>
          <w:color w:val="auto"/>
          <w:w w:val="95"/>
          <w:kern w:val="0"/>
          <w:sz w:val="30"/>
          <w:szCs w:val="30"/>
          <w:highlight w:val="none"/>
          <w:lang w:val="zh-CN"/>
        </w:rPr>
        <w:t xml:space="preserve">           </w:t>
      </w:r>
      <w:bookmarkStart w:id="162" w:name="_GoBack"/>
      <w:bookmarkEnd w:id="162"/>
      <w:r>
        <w:rPr>
          <w:rFonts w:hint="eastAsia" w:ascii="宋体" w:hAnsi="宋体" w:eastAsia="宋体" w:cs="Times New Roman"/>
          <w:b/>
          <w:bCs/>
          <w:color w:val="auto"/>
          <w:w w:val="95"/>
          <w:kern w:val="0"/>
          <w:sz w:val="30"/>
          <w:szCs w:val="30"/>
          <w:highlight w:val="none"/>
          <w:lang w:val="zh-CN"/>
        </w:rPr>
        <w:t xml:space="preserve">       </w:t>
      </w:r>
    </w:p>
    <w:p w14:paraId="607C5C6A">
      <w:pPr>
        <w:snapToGrid w:val="0"/>
        <w:spacing w:line="360" w:lineRule="auto"/>
        <w:ind w:firstLine="841" w:firstLineChars="294"/>
        <w:rPr>
          <w:rFonts w:ascii="宋体" w:hAnsi="宋体" w:eastAsia="宋体" w:cs="Times New Roman"/>
          <w:b/>
          <w:bCs/>
          <w:color w:val="auto"/>
          <w:w w:val="95"/>
          <w:kern w:val="0"/>
          <w:sz w:val="30"/>
          <w:szCs w:val="30"/>
          <w:highlight w:val="none"/>
          <w:lang w:val="zh-CN"/>
        </w:rPr>
      </w:pPr>
    </w:p>
    <w:p w14:paraId="62977C19">
      <w:pPr>
        <w:snapToGrid w:val="0"/>
        <w:spacing w:line="360" w:lineRule="auto"/>
        <w:ind w:firstLine="1128" w:firstLineChars="394"/>
        <w:jc w:val="center"/>
        <w:rPr>
          <w:rFonts w:ascii="仿宋_GB2312" w:hAnsi="Courier New" w:eastAsia="仿宋_GB2312" w:cs="Times New Roman"/>
          <w:color w:val="auto"/>
          <w:kern w:val="0"/>
          <w:sz w:val="20"/>
          <w:szCs w:val="20"/>
          <w:highlight w:val="none"/>
          <w:lang w:val="zh-CN"/>
        </w:rPr>
      </w:pPr>
      <w:r>
        <w:rPr>
          <w:rFonts w:hint="eastAsia" w:ascii="宋体" w:hAnsi="宋体" w:eastAsia="宋体" w:cs="Times New Roman"/>
          <w:b/>
          <w:bCs/>
          <w:color w:val="auto"/>
          <w:w w:val="95"/>
          <w:kern w:val="0"/>
          <w:sz w:val="30"/>
          <w:szCs w:val="30"/>
          <w:highlight w:val="none"/>
          <w:lang w:val="zh-CN"/>
        </w:rPr>
        <w:t>202</w:t>
      </w:r>
      <w:r>
        <w:rPr>
          <w:rFonts w:hint="eastAsia" w:ascii="宋体" w:hAnsi="宋体" w:eastAsia="宋体" w:cs="Times New Roman"/>
          <w:b/>
          <w:bCs/>
          <w:color w:val="auto"/>
          <w:w w:val="95"/>
          <w:kern w:val="0"/>
          <w:sz w:val="30"/>
          <w:szCs w:val="30"/>
          <w:highlight w:val="none"/>
        </w:rPr>
        <w:t>6</w:t>
      </w:r>
      <w:r>
        <w:rPr>
          <w:rFonts w:hint="eastAsia" w:ascii="宋体" w:hAnsi="宋体" w:eastAsia="宋体" w:cs="Times New Roman"/>
          <w:b/>
          <w:bCs/>
          <w:color w:val="auto"/>
          <w:w w:val="95"/>
          <w:kern w:val="0"/>
          <w:sz w:val="30"/>
          <w:szCs w:val="30"/>
          <w:highlight w:val="none"/>
          <w:lang w:val="zh-CN"/>
        </w:rPr>
        <w:t>年</w:t>
      </w:r>
      <w:r>
        <w:rPr>
          <w:rFonts w:hint="eastAsia" w:ascii="宋体" w:hAnsi="宋体" w:eastAsia="宋体" w:cs="Times New Roman"/>
          <w:b/>
          <w:bCs/>
          <w:color w:val="auto"/>
          <w:w w:val="95"/>
          <w:kern w:val="0"/>
          <w:sz w:val="30"/>
          <w:szCs w:val="30"/>
          <w:highlight w:val="none"/>
          <w:lang w:val="en-US" w:eastAsia="zh-CN"/>
        </w:rPr>
        <w:t>9</w:t>
      </w:r>
      <w:r>
        <w:rPr>
          <w:rFonts w:hint="eastAsia" w:ascii="宋体" w:hAnsi="宋体" w:eastAsia="宋体" w:cs="Times New Roman"/>
          <w:b/>
          <w:bCs/>
          <w:color w:val="auto"/>
          <w:w w:val="95"/>
          <w:kern w:val="0"/>
          <w:sz w:val="30"/>
          <w:szCs w:val="30"/>
          <w:highlight w:val="none"/>
          <w:lang w:val="zh-CN"/>
        </w:rPr>
        <w:t>月</w:t>
      </w:r>
    </w:p>
    <w:p w14:paraId="563327A1">
      <w:pPr>
        <w:spacing w:before="120" w:after="120" w:line="360" w:lineRule="auto"/>
        <w:jc w:val="center"/>
        <w:rPr>
          <w:rFonts w:ascii="仿宋_GB2312" w:hAnsi="宋体" w:eastAsia="仿宋_GB2312" w:cs="Times New Roman"/>
          <w:color w:val="auto"/>
          <w:kern w:val="0"/>
          <w:sz w:val="20"/>
          <w:szCs w:val="21"/>
          <w:highlight w:val="none"/>
          <w:lang w:val="zh-CN"/>
        </w:rPr>
      </w:pPr>
    </w:p>
    <w:p w14:paraId="5C7651CE">
      <w:pPr>
        <w:kinsoku w:val="0"/>
        <w:overflowPunct w:val="0"/>
        <w:spacing w:line="380" w:lineRule="exact"/>
        <w:rPr>
          <w:rFonts w:ascii="Times New Roman" w:hAnsi="Times New Roman" w:eastAsia="宋体" w:cs="Times New Roman"/>
          <w:color w:val="auto"/>
          <w:kern w:val="0"/>
          <w:sz w:val="40"/>
          <w:szCs w:val="24"/>
          <w:highlight w:val="none"/>
          <w:lang w:val="zh-CN"/>
        </w:rPr>
      </w:pPr>
    </w:p>
    <w:p w14:paraId="0519DFF1">
      <w:pPr>
        <w:spacing w:line="360" w:lineRule="auto"/>
        <w:rPr>
          <w:rFonts w:ascii="宋体" w:hAnsi="宋体" w:eastAsia="宋体" w:cs="宋体"/>
          <w:bCs/>
          <w:color w:val="auto"/>
          <w:szCs w:val="21"/>
          <w:highlight w:val="none"/>
        </w:rPr>
      </w:pPr>
    </w:p>
    <w:p w14:paraId="4F700B20">
      <w:pPr>
        <w:spacing w:before="120" w:after="120" w:line="360" w:lineRule="auto"/>
        <w:jc w:val="center"/>
        <w:rPr>
          <w:rFonts w:ascii="仿宋_GB2312" w:hAnsi="宋体" w:eastAsia="仿宋_GB2312" w:cs="Times New Roman"/>
          <w:color w:val="auto"/>
          <w:kern w:val="0"/>
          <w:sz w:val="20"/>
          <w:szCs w:val="21"/>
          <w:highlight w:val="none"/>
          <w:lang w:val="zh-CN"/>
        </w:rPr>
      </w:pPr>
    </w:p>
    <w:p w14:paraId="7C3266B6">
      <w:pPr>
        <w:spacing w:line="360" w:lineRule="auto"/>
        <w:jc w:val="center"/>
        <w:rPr>
          <w:rFonts w:hint="eastAsia" w:ascii="宋体" w:hAnsi="宋体" w:eastAsia="宋体" w:cs="Times New Roman"/>
          <w:b/>
          <w:color w:val="auto"/>
          <w:sz w:val="44"/>
          <w:szCs w:val="44"/>
          <w:highlight w:val="none"/>
        </w:rPr>
        <w:sectPr>
          <w:headerReference r:id="rId4" w:type="first"/>
          <w:headerReference r:id="rId3" w:type="default"/>
          <w:footerReference r:id="rId5" w:type="default"/>
          <w:pgSz w:w="11906" w:h="16838"/>
          <w:pgMar w:top="1440" w:right="1797" w:bottom="1440" w:left="1797" w:header="851" w:footer="992" w:gutter="0"/>
          <w:pgNumType w:fmt="decimal"/>
          <w:cols w:space="720" w:num="1"/>
          <w:docGrid w:type="lines" w:linePitch="312" w:charSpace="0"/>
        </w:sectPr>
      </w:pPr>
    </w:p>
    <w:p w14:paraId="459594DD">
      <w:pPr>
        <w:spacing w:line="360" w:lineRule="auto"/>
        <w:jc w:val="center"/>
        <w:rPr>
          <w:rFonts w:ascii="宋体" w:hAnsi="宋体" w:eastAsia="宋体" w:cs="Times New Roman"/>
          <w:b/>
          <w:color w:val="auto"/>
          <w:sz w:val="44"/>
          <w:szCs w:val="44"/>
          <w:highlight w:val="none"/>
        </w:rPr>
      </w:pPr>
      <w:r>
        <w:rPr>
          <w:rFonts w:hint="eastAsia" w:ascii="宋体" w:hAnsi="宋体" w:eastAsia="宋体" w:cs="Times New Roman"/>
          <w:b/>
          <w:color w:val="auto"/>
          <w:sz w:val="44"/>
          <w:szCs w:val="44"/>
          <w:highlight w:val="none"/>
        </w:rPr>
        <w:t>目  录</w:t>
      </w:r>
    </w:p>
    <w:p w14:paraId="112CDEE5">
      <w:pPr>
        <w:spacing w:line="400" w:lineRule="exact"/>
        <w:jc w:val="center"/>
        <w:rPr>
          <w:rFonts w:ascii="宋体" w:hAnsi="宋体" w:eastAsia="宋体" w:cs="Times New Roman"/>
          <w:b/>
          <w:color w:val="auto"/>
          <w:sz w:val="44"/>
          <w:szCs w:val="44"/>
          <w:highlight w:val="none"/>
        </w:rPr>
      </w:pPr>
    </w:p>
    <w:p w14:paraId="1FFB2B6B">
      <w:pPr>
        <w:tabs>
          <w:tab w:val="right" w:leader="dot" w:pos="8789"/>
        </w:tabs>
        <w:snapToGrid w:val="0"/>
        <w:spacing w:line="500" w:lineRule="atLeast"/>
        <w:jc w:val="left"/>
        <w:rPr>
          <w:rFonts w:ascii="Calibri" w:hAnsi="Calibri" w:eastAsia="宋体" w:cs="Times New Roman"/>
          <w:color w:val="auto"/>
          <w:highlight w:val="none"/>
        </w:rPr>
      </w:pPr>
      <w:r>
        <w:rPr>
          <w:rFonts w:ascii="仿宋_GB2312" w:hAnsi="宋体" w:eastAsia="仿宋_GB2312" w:cs="Times New Roman"/>
          <w:bCs/>
          <w:caps/>
          <w:color w:val="auto"/>
          <w:sz w:val="24"/>
          <w:szCs w:val="24"/>
          <w:highlight w:val="none"/>
        </w:rPr>
        <w:fldChar w:fldCharType="begin"/>
      </w:r>
      <w:r>
        <w:rPr>
          <w:rFonts w:ascii="仿宋_GB2312" w:hAnsi="宋体" w:eastAsia="仿宋_GB2312" w:cs="Times New Roman"/>
          <w:bCs/>
          <w:caps/>
          <w:color w:val="auto"/>
          <w:sz w:val="24"/>
          <w:szCs w:val="24"/>
          <w:highlight w:val="none"/>
        </w:rPr>
        <w:instrText xml:space="preserve"> </w:instrText>
      </w:r>
      <w:r>
        <w:rPr>
          <w:rFonts w:hint="eastAsia" w:ascii="仿宋_GB2312" w:hAnsi="宋体" w:eastAsia="仿宋_GB2312" w:cs="Times New Roman"/>
          <w:bCs/>
          <w:caps/>
          <w:color w:val="auto"/>
          <w:sz w:val="24"/>
          <w:szCs w:val="24"/>
          <w:highlight w:val="none"/>
        </w:rPr>
        <w:instrText xml:space="preserve">TOC \o "1-2" \h \z \u</w:instrText>
      </w:r>
      <w:r>
        <w:rPr>
          <w:rFonts w:ascii="仿宋_GB2312" w:hAnsi="宋体" w:eastAsia="仿宋_GB2312" w:cs="Times New Roman"/>
          <w:bCs/>
          <w:caps/>
          <w:color w:val="auto"/>
          <w:sz w:val="24"/>
          <w:szCs w:val="24"/>
          <w:highlight w:val="none"/>
        </w:rPr>
        <w:instrText xml:space="preserve"> </w:instrText>
      </w:r>
      <w:r>
        <w:rPr>
          <w:rFonts w:ascii="仿宋_GB2312" w:hAnsi="宋体" w:eastAsia="仿宋_GB2312" w:cs="Times New Roman"/>
          <w:bCs/>
          <w:caps/>
          <w:color w:val="auto"/>
          <w:sz w:val="24"/>
          <w:szCs w:val="24"/>
          <w:highlight w:val="none"/>
        </w:rPr>
        <w:fldChar w:fldCharType="separate"/>
      </w:r>
      <w:r>
        <w:rPr>
          <w:color w:val="auto"/>
          <w:highlight w:val="none"/>
        </w:rPr>
        <w:fldChar w:fldCharType="begin"/>
      </w:r>
      <w:r>
        <w:rPr>
          <w:color w:val="auto"/>
          <w:highlight w:val="none"/>
        </w:rPr>
        <w:instrText xml:space="preserve"> HYPERLINK \l "_Toc74323511" </w:instrText>
      </w:r>
      <w:r>
        <w:rPr>
          <w:color w:val="auto"/>
          <w:highlight w:val="none"/>
        </w:rPr>
        <w:fldChar w:fldCharType="separate"/>
      </w:r>
      <w:r>
        <w:rPr>
          <w:rFonts w:hint="eastAsia" w:ascii="宋体" w:hAnsi="宋体" w:eastAsia="宋体" w:cs="Times New Roman"/>
          <w:b/>
          <w:bCs/>
          <w:caps/>
          <w:color w:val="auto"/>
          <w:sz w:val="24"/>
          <w:szCs w:val="24"/>
          <w:highlight w:val="none"/>
          <w:u w:val="single"/>
        </w:rPr>
        <w:t>第一章</w:t>
      </w:r>
      <w:r>
        <w:rPr>
          <w:rFonts w:ascii="宋体" w:hAnsi="宋体" w:eastAsia="宋体" w:cs="Times New Roman"/>
          <w:b/>
          <w:bCs/>
          <w:caps/>
          <w:color w:val="auto"/>
          <w:sz w:val="24"/>
          <w:szCs w:val="24"/>
          <w:highlight w:val="none"/>
          <w:u w:val="single"/>
        </w:rPr>
        <w:t xml:space="preserve"> </w:t>
      </w:r>
      <w:r>
        <w:rPr>
          <w:rFonts w:hint="eastAsia" w:ascii="宋体" w:hAnsi="宋体" w:eastAsia="宋体" w:cs="Times New Roman"/>
          <w:b/>
          <w:bCs/>
          <w:caps/>
          <w:color w:val="auto"/>
          <w:sz w:val="24"/>
          <w:szCs w:val="24"/>
          <w:highlight w:val="none"/>
          <w:u w:val="single"/>
        </w:rPr>
        <w:t xml:space="preserve"> 招标公告</w:t>
      </w:r>
      <w:r>
        <w:rPr>
          <w:rFonts w:ascii="宋体" w:hAnsi="宋体" w:eastAsia="宋体" w:cs="Times New Roman"/>
          <w:b/>
          <w:bCs/>
          <w:caps/>
          <w:color w:val="auto"/>
          <w:sz w:val="24"/>
          <w:szCs w:val="24"/>
          <w:highlight w:val="none"/>
        </w:rPr>
        <w:tab/>
      </w:r>
      <w:r>
        <w:rPr>
          <w:rFonts w:hint="eastAsia" w:ascii="宋体" w:hAnsi="宋体" w:eastAsia="宋体" w:cs="Times New Roman"/>
          <w:b/>
          <w:bCs/>
          <w:caps/>
          <w:color w:val="auto"/>
          <w:sz w:val="24"/>
          <w:szCs w:val="24"/>
          <w:highlight w:val="none"/>
          <w:lang w:val="en-US" w:eastAsia="zh-CN"/>
        </w:rPr>
        <w:t>2</w:t>
      </w:r>
      <w:r>
        <w:rPr>
          <w:rFonts w:ascii="宋体" w:hAnsi="宋体" w:eastAsia="宋体" w:cs="Times New Roman"/>
          <w:b/>
          <w:bCs/>
          <w:caps/>
          <w:color w:val="auto"/>
          <w:sz w:val="24"/>
          <w:szCs w:val="24"/>
          <w:highlight w:val="none"/>
        </w:rPr>
        <w:fldChar w:fldCharType="end"/>
      </w:r>
    </w:p>
    <w:p w14:paraId="5629B0CC">
      <w:pPr>
        <w:tabs>
          <w:tab w:val="right" w:leader="dot" w:pos="8789"/>
        </w:tabs>
        <w:snapToGrid w:val="0"/>
        <w:spacing w:line="500" w:lineRule="atLeast"/>
        <w:jc w:val="left"/>
        <w:rPr>
          <w:rFonts w:ascii="Calibri" w:hAnsi="Calibri" w:eastAsia="宋体" w:cs="Times New Roman"/>
          <w:color w:val="auto"/>
          <w:highlight w:val="none"/>
        </w:rPr>
      </w:pPr>
      <w:r>
        <w:rPr>
          <w:color w:val="auto"/>
          <w:highlight w:val="none"/>
        </w:rPr>
        <w:fldChar w:fldCharType="begin"/>
      </w:r>
      <w:r>
        <w:rPr>
          <w:color w:val="auto"/>
          <w:highlight w:val="none"/>
        </w:rPr>
        <w:instrText xml:space="preserve"> HYPERLINK \l "_Toc74323512" </w:instrText>
      </w:r>
      <w:r>
        <w:rPr>
          <w:color w:val="auto"/>
          <w:highlight w:val="none"/>
        </w:rPr>
        <w:fldChar w:fldCharType="separate"/>
      </w:r>
      <w:r>
        <w:rPr>
          <w:rFonts w:hint="eastAsia" w:ascii="宋体" w:hAnsi="宋体" w:eastAsia="宋体" w:cs="Times New Roman"/>
          <w:b/>
          <w:bCs/>
          <w:caps/>
          <w:color w:val="auto"/>
          <w:sz w:val="24"/>
          <w:szCs w:val="24"/>
          <w:highlight w:val="none"/>
          <w:u w:val="single"/>
        </w:rPr>
        <w:t>第二章</w:t>
      </w:r>
      <w:r>
        <w:rPr>
          <w:rFonts w:ascii="宋体" w:hAnsi="宋体" w:eastAsia="宋体" w:cs="Times New Roman"/>
          <w:b/>
          <w:bCs/>
          <w:caps/>
          <w:color w:val="auto"/>
          <w:sz w:val="24"/>
          <w:szCs w:val="24"/>
          <w:highlight w:val="none"/>
          <w:u w:val="single"/>
        </w:rPr>
        <w:t xml:space="preserve">  </w:t>
      </w:r>
      <w:r>
        <w:rPr>
          <w:rFonts w:hint="eastAsia" w:ascii="宋体" w:hAnsi="宋体" w:eastAsia="宋体" w:cs="Times New Roman"/>
          <w:b/>
          <w:bCs/>
          <w:caps/>
          <w:color w:val="auto"/>
          <w:sz w:val="24"/>
          <w:szCs w:val="24"/>
          <w:highlight w:val="none"/>
          <w:u w:val="single"/>
        </w:rPr>
        <w:t>采购需求</w:t>
      </w:r>
      <w:bookmarkStart w:id="0" w:name="_Hlt75337184"/>
      <w:r>
        <w:rPr>
          <w:rFonts w:ascii="宋体" w:hAnsi="宋体" w:eastAsia="宋体" w:cs="Times New Roman"/>
          <w:b/>
          <w:bCs/>
          <w:caps/>
          <w:color w:val="auto"/>
          <w:sz w:val="24"/>
          <w:szCs w:val="24"/>
          <w:highlight w:val="none"/>
        </w:rPr>
        <w:tab/>
      </w:r>
      <w:bookmarkEnd w:id="0"/>
      <w:r>
        <w:rPr>
          <w:rFonts w:hint="eastAsia" w:ascii="宋体" w:hAnsi="宋体" w:eastAsia="宋体" w:cs="Times New Roman"/>
          <w:b/>
          <w:bCs/>
          <w:caps/>
          <w:color w:val="auto"/>
          <w:sz w:val="24"/>
          <w:szCs w:val="24"/>
          <w:highlight w:val="none"/>
          <w:lang w:val="en-US" w:eastAsia="zh-CN"/>
        </w:rPr>
        <w:t>5</w:t>
      </w:r>
      <w:r>
        <w:rPr>
          <w:rFonts w:ascii="宋体" w:hAnsi="宋体" w:eastAsia="宋体" w:cs="Times New Roman"/>
          <w:b/>
          <w:bCs/>
          <w:caps/>
          <w:color w:val="auto"/>
          <w:sz w:val="24"/>
          <w:szCs w:val="24"/>
          <w:highlight w:val="none"/>
        </w:rPr>
        <w:fldChar w:fldCharType="end"/>
      </w:r>
    </w:p>
    <w:p w14:paraId="0A7D7479">
      <w:pPr>
        <w:tabs>
          <w:tab w:val="right" w:leader="dot" w:pos="8789"/>
        </w:tabs>
        <w:snapToGrid w:val="0"/>
        <w:spacing w:line="500" w:lineRule="atLeast"/>
        <w:jc w:val="left"/>
        <w:rPr>
          <w:rFonts w:hint="eastAsia" w:ascii="Calibri" w:hAnsi="Calibri" w:eastAsia="宋体" w:cs="Times New Roman"/>
          <w:color w:val="auto"/>
          <w:highlight w:val="none"/>
          <w:lang w:val="en-US" w:eastAsia="zh-CN"/>
        </w:rPr>
      </w:pPr>
      <w:r>
        <w:rPr>
          <w:color w:val="auto"/>
          <w:highlight w:val="none"/>
        </w:rPr>
        <w:fldChar w:fldCharType="begin"/>
      </w:r>
      <w:r>
        <w:rPr>
          <w:color w:val="auto"/>
          <w:highlight w:val="none"/>
        </w:rPr>
        <w:instrText xml:space="preserve"> HYPERLINK \l "_Toc74323513" </w:instrText>
      </w:r>
      <w:r>
        <w:rPr>
          <w:color w:val="auto"/>
          <w:highlight w:val="none"/>
        </w:rPr>
        <w:fldChar w:fldCharType="separate"/>
      </w:r>
      <w:r>
        <w:rPr>
          <w:rFonts w:hint="eastAsia" w:ascii="宋体" w:hAnsi="宋体" w:eastAsia="宋体" w:cs="Times New Roman"/>
          <w:b/>
          <w:bCs/>
          <w:caps/>
          <w:color w:val="auto"/>
          <w:sz w:val="24"/>
          <w:szCs w:val="24"/>
          <w:highlight w:val="none"/>
          <w:u w:val="single"/>
        </w:rPr>
        <w:t>第三章</w:t>
      </w:r>
      <w:r>
        <w:rPr>
          <w:rFonts w:ascii="宋体" w:hAnsi="宋体" w:eastAsia="宋体" w:cs="Times New Roman"/>
          <w:b/>
          <w:bCs/>
          <w:caps/>
          <w:color w:val="auto"/>
          <w:sz w:val="24"/>
          <w:szCs w:val="24"/>
          <w:highlight w:val="none"/>
          <w:u w:val="single"/>
        </w:rPr>
        <w:t xml:space="preserve">  </w:t>
      </w:r>
      <w:r>
        <w:rPr>
          <w:rFonts w:hint="eastAsia" w:ascii="宋体" w:hAnsi="宋体" w:eastAsia="宋体" w:cs="Times New Roman"/>
          <w:b/>
          <w:bCs/>
          <w:caps/>
          <w:color w:val="auto"/>
          <w:sz w:val="24"/>
          <w:szCs w:val="24"/>
          <w:highlight w:val="none"/>
          <w:u w:val="single"/>
        </w:rPr>
        <w:t>投标人须知</w:t>
      </w:r>
      <w:bookmarkStart w:id="1" w:name="_Hlt76631497"/>
      <w:r>
        <w:rPr>
          <w:rFonts w:ascii="宋体" w:hAnsi="宋体" w:eastAsia="宋体" w:cs="Times New Roman"/>
          <w:b/>
          <w:bCs/>
          <w:caps/>
          <w:color w:val="auto"/>
          <w:sz w:val="24"/>
          <w:szCs w:val="24"/>
          <w:highlight w:val="none"/>
        </w:rPr>
        <w:tab/>
      </w:r>
      <w:bookmarkEnd w:id="1"/>
      <w:r>
        <w:rPr>
          <w:rFonts w:hint="eastAsia" w:ascii="宋体" w:hAnsi="宋体" w:eastAsia="宋体" w:cs="Times New Roman"/>
          <w:b/>
          <w:bCs/>
          <w:caps/>
          <w:color w:val="auto"/>
          <w:sz w:val="24"/>
          <w:szCs w:val="24"/>
          <w:highlight w:val="none"/>
          <w:lang w:val="en-US" w:eastAsia="zh-CN"/>
        </w:rPr>
        <w:t>1</w:t>
      </w:r>
      <w:r>
        <w:rPr>
          <w:rFonts w:hint="eastAsia" w:ascii="宋体" w:hAnsi="宋体" w:eastAsia="宋体" w:cs="Times New Roman"/>
          <w:b/>
          <w:bCs/>
          <w:caps/>
          <w:color w:val="auto"/>
          <w:sz w:val="24"/>
          <w:szCs w:val="24"/>
          <w:highlight w:val="none"/>
        </w:rPr>
        <w:fldChar w:fldCharType="end"/>
      </w:r>
      <w:r>
        <w:rPr>
          <w:rFonts w:hint="eastAsia" w:ascii="宋体" w:hAnsi="宋体" w:eastAsia="宋体" w:cs="Times New Roman"/>
          <w:b/>
          <w:bCs/>
          <w:caps/>
          <w:color w:val="auto"/>
          <w:sz w:val="24"/>
          <w:szCs w:val="24"/>
          <w:highlight w:val="none"/>
          <w:lang w:val="en-US" w:eastAsia="zh-CN"/>
        </w:rPr>
        <w:t>5</w:t>
      </w:r>
    </w:p>
    <w:p w14:paraId="521F8E1F">
      <w:pPr>
        <w:tabs>
          <w:tab w:val="right" w:leader="dot" w:pos="8789"/>
        </w:tabs>
        <w:snapToGrid w:val="0"/>
        <w:spacing w:line="500" w:lineRule="atLeast"/>
        <w:jc w:val="left"/>
        <w:rPr>
          <w:rFonts w:hint="eastAsia" w:ascii="Calibri" w:hAnsi="Calibri" w:eastAsia="宋体" w:cs="Times New Roman"/>
          <w:color w:val="auto"/>
          <w:highlight w:val="none"/>
          <w:lang w:val="en-US" w:eastAsia="zh-CN"/>
        </w:rPr>
      </w:pPr>
      <w:r>
        <w:rPr>
          <w:color w:val="auto"/>
          <w:highlight w:val="none"/>
        </w:rPr>
        <w:fldChar w:fldCharType="begin"/>
      </w:r>
      <w:r>
        <w:rPr>
          <w:color w:val="auto"/>
          <w:highlight w:val="none"/>
        </w:rPr>
        <w:instrText xml:space="preserve"> HYPERLINK \l "_Toc74323514" </w:instrText>
      </w:r>
      <w:r>
        <w:rPr>
          <w:color w:val="auto"/>
          <w:highlight w:val="none"/>
        </w:rPr>
        <w:fldChar w:fldCharType="separate"/>
      </w:r>
      <w:r>
        <w:rPr>
          <w:rFonts w:hint="eastAsia" w:ascii="宋体" w:hAnsi="宋体" w:eastAsia="宋体" w:cs="Times New Roman"/>
          <w:b/>
          <w:bCs/>
          <w:caps/>
          <w:color w:val="auto"/>
          <w:sz w:val="24"/>
          <w:szCs w:val="24"/>
          <w:highlight w:val="none"/>
          <w:u w:val="single"/>
        </w:rPr>
        <w:t>第四章</w:t>
      </w:r>
      <w:r>
        <w:rPr>
          <w:rFonts w:ascii="宋体" w:hAnsi="宋体" w:eastAsia="宋体" w:cs="Times New Roman"/>
          <w:b/>
          <w:bCs/>
          <w:caps/>
          <w:color w:val="auto"/>
          <w:sz w:val="24"/>
          <w:szCs w:val="24"/>
          <w:highlight w:val="none"/>
          <w:u w:val="single"/>
        </w:rPr>
        <w:t xml:space="preserve">  </w:t>
      </w:r>
      <w:r>
        <w:rPr>
          <w:rFonts w:hint="eastAsia" w:ascii="宋体" w:hAnsi="宋体" w:eastAsia="宋体" w:cs="Times New Roman"/>
          <w:b/>
          <w:bCs/>
          <w:caps/>
          <w:color w:val="auto"/>
          <w:sz w:val="24"/>
          <w:szCs w:val="24"/>
          <w:highlight w:val="none"/>
          <w:u w:val="single"/>
        </w:rPr>
        <w:t>评标方法及</w:t>
      </w:r>
      <w:bookmarkStart w:id="2" w:name="_Hlt75857959"/>
      <w:r>
        <w:rPr>
          <w:rFonts w:hint="eastAsia" w:ascii="宋体" w:hAnsi="宋体" w:eastAsia="宋体" w:cs="Times New Roman"/>
          <w:b/>
          <w:bCs/>
          <w:caps/>
          <w:color w:val="auto"/>
          <w:sz w:val="24"/>
          <w:szCs w:val="24"/>
          <w:highlight w:val="none"/>
          <w:u w:val="single"/>
        </w:rPr>
        <w:t>评</w:t>
      </w:r>
      <w:bookmarkEnd w:id="2"/>
      <w:r>
        <w:rPr>
          <w:rFonts w:hint="eastAsia" w:ascii="宋体" w:hAnsi="宋体" w:eastAsia="宋体" w:cs="Times New Roman"/>
          <w:b/>
          <w:bCs/>
          <w:caps/>
          <w:color w:val="auto"/>
          <w:sz w:val="24"/>
          <w:szCs w:val="24"/>
          <w:highlight w:val="none"/>
          <w:u w:val="single"/>
        </w:rPr>
        <w:t>标标准</w:t>
      </w:r>
      <w:r>
        <w:rPr>
          <w:rFonts w:ascii="宋体" w:hAnsi="宋体" w:eastAsia="宋体" w:cs="Times New Roman"/>
          <w:b/>
          <w:bCs/>
          <w:caps/>
          <w:color w:val="auto"/>
          <w:sz w:val="24"/>
          <w:szCs w:val="24"/>
          <w:highlight w:val="none"/>
        </w:rPr>
        <w:tab/>
      </w:r>
      <w:r>
        <w:rPr>
          <w:rFonts w:hint="eastAsia" w:ascii="宋体" w:hAnsi="宋体" w:eastAsia="宋体" w:cs="Times New Roman"/>
          <w:b/>
          <w:bCs/>
          <w:caps/>
          <w:color w:val="auto"/>
          <w:sz w:val="24"/>
          <w:szCs w:val="24"/>
          <w:highlight w:val="none"/>
          <w:lang w:val="en-US" w:eastAsia="zh-CN"/>
        </w:rPr>
        <w:t>3</w:t>
      </w:r>
      <w:r>
        <w:rPr>
          <w:rFonts w:hint="eastAsia" w:ascii="宋体" w:hAnsi="宋体" w:eastAsia="宋体" w:cs="Times New Roman"/>
          <w:b/>
          <w:bCs/>
          <w:caps/>
          <w:color w:val="auto"/>
          <w:sz w:val="24"/>
          <w:szCs w:val="24"/>
          <w:highlight w:val="none"/>
        </w:rPr>
        <w:fldChar w:fldCharType="end"/>
      </w:r>
      <w:r>
        <w:rPr>
          <w:rFonts w:hint="eastAsia" w:ascii="宋体" w:hAnsi="宋体" w:eastAsia="宋体" w:cs="Times New Roman"/>
          <w:b/>
          <w:bCs/>
          <w:caps/>
          <w:color w:val="auto"/>
          <w:sz w:val="24"/>
          <w:szCs w:val="24"/>
          <w:highlight w:val="none"/>
          <w:lang w:val="en-US" w:eastAsia="zh-CN"/>
        </w:rPr>
        <w:t>5</w:t>
      </w:r>
    </w:p>
    <w:p w14:paraId="37FF05BA">
      <w:pPr>
        <w:tabs>
          <w:tab w:val="right" w:leader="dot" w:pos="8789"/>
        </w:tabs>
        <w:snapToGrid w:val="0"/>
        <w:spacing w:line="500" w:lineRule="atLeast"/>
        <w:jc w:val="left"/>
        <w:rPr>
          <w:rFonts w:hint="eastAsia" w:ascii="Calibri" w:hAnsi="Calibri" w:eastAsia="宋体" w:cs="Times New Roman"/>
          <w:color w:val="auto"/>
          <w:highlight w:val="none"/>
          <w:lang w:val="en-US" w:eastAsia="zh-CN"/>
        </w:rPr>
      </w:pPr>
      <w:r>
        <w:rPr>
          <w:color w:val="auto"/>
          <w:highlight w:val="none"/>
        </w:rPr>
        <w:fldChar w:fldCharType="begin"/>
      </w:r>
      <w:r>
        <w:rPr>
          <w:color w:val="auto"/>
          <w:highlight w:val="none"/>
        </w:rPr>
        <w:instrText xml:space="preserve"> HYPERLINK \l "_Toc74323515" </w:instrText>
      </w:r>
      <w:r>
        <w:rPr>
          <w:color w:val="auto"/>
          <w:highlight w:val="none"/>
        </w:rPr>
        <w:fldChar w:fldCharType="separate"/>
      </w:r>
      <w:r>
        <w:rPr>
          <w:rFonts w:hint="eastAsia" w:ascii="宋体" w:hAnsi="宋体" w:eastAsia="宋体" w:cs="Times New Roman"/>
          <w:b/>
          <w:bCs/>
          <w:caps/>
          <w:color w:val="auto"/>
          <w:sz w:val="24"/>
          <w:szCs w:val="24"/>
          <w:highlight w:val="none"/>
          <w:u w:val="single"/>
        </w:rPr>
        <w:t>第五章</w:t>
      </w:r>
      <w:r>
        <w:rPr>
          <w:rFonts w:ascii="宋体" w:hAnsi="宋体" w:eastAsia="宋体" w:cs="Times New Roman"/>
          <w:b/>
          <w:bCs/>
          <w:caps/>
          <w:color w:val="auto"/>
          <w:sz w:val="24"/>
          <w:szCs w:val="24"/>
          <w:highlight w:val="none"/>
          <w:u w:val="single"/>
        </w:rPr>
        <w:t xml:space="preserve">  </w:t>
      </w:r>
      <w:r>
        <w:rPr>
          <w:rFonts w:hint="eastAsia" w:ascii="宋体" w:hAnsi="宋体" w:eastAsia="宋体" w:cs="Times New Roman"/>
          <w:b/>
          <w:bCs/>
          <w:caps/>
          <w:color w:val="auto"/>
          <w:sz w:val="24"/>
          <w:szCs w:val="24"/>
          <w:highlight w:val="none"/>
          <w:u w:val="single"/>
        </w:rPr>
        <w:t>拟签订的合同文本</w:t>
      </w:r>
      <w:r>
        <w:rPr>
          <w:rFonts w:ascii="宋体" w:hAnsi="宋体" w:eastAsia="宋体" w:cs="Times New Roman"/>
          <w:b/>
          <w:bCs/>
          <w:caps/>
          <w:color w:val="auto"/>
          <w:sz w:val="24"/>
          <w:szCs w:val="24"/>
          <w:highlight w:val="none"/>
        </w:rPr>
        <w:tab/>
      </w:r>
      <w:r>
        <w:rPr>
          <w:rFonts w:hint="eastAsia" w:ascii="宋体" w:hAnsi="宋体" w:eastAsia="宋体" w:cs="Times New Roman"/>
          <w:b/>
          <w:bCs/>
          <w:caps/>
          <w:color w:val="auto"/>
          <w:sz w:val="24"/>
          <w:szCs w:val="24"/>
          <w:highlight w:val="none"/>
          <w:lang w:val="en-US" w:eastAsia="zh-CN"/>
        </w:rPr>
        <w:t>4</w:t>
      </w:r>
      <w:r>
        <w:rPr>
          <w:rFonts w:hint="eastAsia" w:ascii="宋体" w:hAnsi="宋体" w:eastAsia="宋体" w:cs="Times New Roman"/>
          <w:b/>
          <w:bCs/>
          <w:caps/>
          <w:color w:val="auto"/>
          <w:sz w:val="24"/>
          <w:szCs w:val="24"/>
          <w:highlight w:val="none"/>
        </w:rPr>
        <w:fldChar w:fldCharType="end"/>
      </w:r>
      <w:r>
        <w:rPr>
          <w:rFonts w:hint="eastAsia" w:ascii="宋体" w:hAnsi="宋体" w:eastAsia="宋体" w:cs="Times New Roman"/>
          <w:b/>
          <w:bCs/>
          <w:caps/>
          <w:color w:val="auto"/>
          <w:sz w:val="24"/>
          <w:szCs w:val="24"/>
          <w:highlight w:val="none"/>
          <w:lang w:val="en-US" w:eastAsia="zh-CN"/>
        </w:rPr>
        <w:t>5</w:t>
      </w:r>
    </w:p>
    <w:p w14:paraId="03C6B0B8">
      <w:pPr>
        <w:tabs>
          <w:tab w:val="right" w:leader="dot" w:pos="8789"/>
        </w:tabs>
        <w:snapToGrid w:val="0"/>
        <w:spacing w:line="500" w:lineRule="atLeast"/>
        <w:jc w:val="left"/>
        <w:rPr>
          <w:rFonts w:hint="eastAsia" w:ascii="Calibri" w:hAnsi="Calibri" w:eastAsia="宋体" w:cs="Times New Roman"/>
          <w:color w:val="auto"/>
          <w:highlight w:val="none"/>
          <w:lang w:val="en-US" w:eastAsia="zh-CN"/>
        </w:rPr>
      </w:pPr>
      <w:r>
        <w:rPr>
          <w:color w:val="auto"/>
          <w:highlight w:val="none"/>
        </w:rPr>
        <w:fldChar w:fldCharType="begin"/>
      </w:r>
      <w:r>
        <w:rPr>
          <w:color w:val="auto"/>
          <w:highlight w:val="none"/>
        </w:rPr>
        <w:instrText xml:space="preserve"> HYPERLINK \l "_Toc74323516" </w:instrText>
      </w:r>
      <w:r>
        <w:rPr>
          <w:color w:val="auto"/>
          <w:highlight w:val="none"/>
        </w:rPr>
        <w:fldChar w:fldCharType="separate"/>
      </w:r>
      <w:r>
        <w:rPr>
          <w:rFonts w:hint="eastAsia" w:ascii="宋体" w:hAnsi="宋体" w:eastAsia="宋体" w:cs="Times New Roman"/>
          <w:b/>
          <w:bCs/>
          <w:caps/>
          <w:color w:val="auto"/>
          <w:sz w:val="24"/>
          <w:szCs w:val="24"/>
          <w:highlight w:val="none"/>
          <w:u w:val="single"/>
        </w:rPr>
        <w:t>第六章　投标文件格式</w:t>
      </w:r>
      <w:r>
        <w:rPr>
          <w:rFonts w:ascii="宋体" w:hAnsi="宋体" w:eastAsia="宋体" w:cs="Times New Roman"/>
          <w:b/>
          <w:bCs/>
          <w:caps/>
          <w:color w:val="auto"/>
          <w:sz w:val="24"/>
          <w:szCs w:val="24"/>
          <w:highlight w:val="none"/>
        </w:rPr>
        <w:tab/>
      </w:r>
      <w:r>
        <w:rPr>
          <w:rFonts w:hint="eastAsia" w:ascii="宋体" w:hAnsi="宋体" w:eastAsia="宋体" w:cs="Times New Roman"/>
          <w:b/>
          <w:bCs/>
          <w:caps/>
          <w:color w:val="auto"/>
          <w:sz w:val="24"/>
          <w:szCs w:val="24"/>
          <w:highlight w:val="none"/>
          <w:lang w:val="en-US" w:eastAsia="zh-CN"/>
        </w:rPr>
        <w:t>5</w:t>
      </w:r>
      <w:r>
        <w:rPr>
          <w:rFonts w:hint="eastAsia" w:ascii="宋体" w:hAnsi="宋体" w:eastAsia="宋体" w:cs="Times New Roman"/>
          <w:b/>
          <w:bCs/>
          <w:caps/>
          <w:color w:val="auto"/>
          <w:sz w:val="24"/>
          <w:szCs w:val="24"/>
          <w:highlight w:val="none"/>
        </w:rPr>
        <w:fldChar w:fldCharType="end"/>
      </w:r>
      <w:r>
        <w:rPr>
          <w:rFonts w:hint="eastAsia" w:ascii="宋体" w:hAnsi="宋体" w:eastAsia="宋体" w:cs="Times New Roman"/>
          <w:b/>
          <w:bCs/>
          <w:caps/>
          <w:color w:val="auto"/>
          <w:sz w:val="24"/>
          <w:szCs w:val="24"/>
          <w:highlight w:val="none"/>
          <w:lang w:val="en-US" w:eastAsia="zh-CN"/>
        </w:rPr>
        <w:t>3</w:t>
      </w:r>
    </w:p>
    <w:p w14:paraId="0E7AB25F">
      <w:pPr>
        <w:tabs>
          <w:tab w:val="right" w:leader="dot" w:pos="8789"/>
        </w:tabs>
        <w:snapToGrid w:val="0"/>
        <w:spacing w:line="500" w:lineRule="atLeast"/>
        <w:rPr>
          <w:rFonts w:ascii="仿宋_GB2312" w:hAnsi="宋体" w:eastAsia="仿宋_GB2312" w:cs="Times New Roman"/>
          <w:color w:val="auto"/>
          <w:sz w:val="24"/>
          <w:szCs w:val="24"/>
          <w:highlight w:val="none"/>
        </w:rPr>
      </w:pPr>
      <w:r>
        <w:rPr>
          <w:rFonts w:ascii="仿宋_GB2312" w:hAnsi="宋体" w:eastAsia="仿宋_GB2312" w:cs="Times New Roman"/>
          <w:b/>
          <w:color w:val="auto"/>
          <w:sz w:val="24"/>
          <w:szCs w:val="24"/>
          <w:highlight w:val="none"/>
        </w:rPr>
        <w:fldChar w:fldCharType="end"/>
      </w:r>
    </w:p>
    <w:p w14:paraId="5901C4A7">
      <w:pPr>
        <w:spacing w:before="156" w:beforeLines="50" w:line="480" w:lineRule="exact"/>
        <w:rPr>
          <w:rFonts w:ascii="仿宋_GB2312" w:hAnsi="宋体" w:eastAsia="仿宋_GB2312" w:cs="Times New Roman"/>
          <w:color w:val="auto"/>
          <w:sz w:val="30"/>
          <w:szCs w:val="24"/>
          <w:highlight w:val="none"/>
        </w:rPr>
      </w:pPr>
    </w:p>
    <w:p w14:paraId="56C64AEA">
      <w:pPr>
        <w:rPr>
          <w:rFonts w:ascii="Times New Roman" w:hAnsi="Times New Roman" w:eastAsia="宋体" w:cs="Times New Roman"/>
          <w:color w:val="auto"/>
          <w:szCs w:val="24"/>
          <w:highlight w:val="none"/>
        </w:rPr>
      </w:pPr>
    </w:p>
    <w:p w14:paraId="7E86D941">
      <w:pPr>
        <w:spacing w:before="156" w:beforeLines="50" w:line="480" w:lineRule="exact"/>
        <w:rPr>
          <w:rFonts w:ascii="仿宋_GB2312" w:hAnsi="宋体" w:eastAsia="仿宋_GB2312" w:cs="Times New Roman"/>
          <w:color w:val="auto"/>
          <w:sz w:val="30"/>
          <w:szCs w:val="24"/>
          <w:highlight w:val="none"/>
        </w:rPr>
      </w:pPr>
    </w:p>
    <w:p w14:paraId="6730B11C">
      <w:pPr>
        <w:spacing w:before="156" w:beforeLines="50" w:line="480" w:lineRule="exact"/>
        <w:rPr>
          <w:rFonts w:ascii="仿宋_GB2312" w:hAnsi="宋体" w:eastAsia="仿宋_GB2312" w:cs="Times New Roman"/>
          <w:color w:val="auto"/>
          <w:sz w:val="30"/>
          <w:szCs w:val="24"/>
          <w:highlight w:val="none"/>
        </w:rPr>
      </w:pPr>
    </w:p>
    <w:p w14:paraId="7F19AB0B">
      <w:pPr>
        <w:jc w:val="left"/>
        <w:rPr>
          <w:rFonts w:ascii="宋体" w:hAnsi="宋体" w:eastAsia="宋体" w:cs="宋体"/>
          <w:b/>
          <w:bCs/>
          <w:color w:val="auto"/>
          <w:szCs w:val="24"/>
          <w:highlight w:val="none"/>
          <w:lang w:val="zh-CN"/>
        </w:rPr>
      </w:pPr>
      <w:bookmarkStart w:id="3" w:name="_Toc254970489"/>
      <w:bookmarkStart w:id="4" w:name="_Toc254970630"/>
    </w:p>
    <w:p w14:paraId="0BA364DE">
      <w:pPr>
        <w:tabs>
          <w:tab w:val="left" w:pos="0"/>
          <w:tab w:val="left" w:pos="3165"/>
          <w:tab w:val="center" w:pos="4153"/>
        </w:tabs>
        <w:autoSpaceDE w:val="0"/>
        <w:autoSpaceDN w:val="0"/>
        <w:adjustRightInd w:val="0"/>
        <w:spacing w:line="360" w:lineRule="auto"/>
        <w:jc w:val="center"/>
        <w:outlineLvl w:val="0"/>
        <w:rPr>
          <w:rFonts w:ascii="Times New Roman" w:hAnsi="Times New Roman" w:eastAsia="宋体" w:cs="Times New Roman"/>
          <w:b/>
          <w:bCs/>
          <w:color w:val="auto"/>
          <w:kern w:val="44"/>
          <w:sz w:val="44"/>
          <w:szCs w:val="44"/>
          <w:highlight w:val="none"/>
          <w:lang w:val="zh-CN"/>
        </w:rPr>
        <w:sectPr>
          <w:footerReference r:id="rId6" w:type="default"/>
          <w:pgSz w:w="11906" w:h="16838"/>
          <w:pgMar w:top="1440" w:right="1797" w:bottom="1440" w:left="1797" w:header="851" w:footer="992" w:gutter="0"/>
          <w:pgNumType w:fmt="decimal" w:start="1"/>
          <w:cols w:space="720" w:num="1"/>
          <w:docGrid w:type="lines" w:linePitch="312" w:charSpace="0"/>
        </w:sectPr>
      </w:pPr>
      <w:bookmarkStart w:id="5" w:name="_Toc74323511"/>
    </w:p>
    <w:p w14:paraId="7A960F86">
      <w:pPr>
        <w:tabs>
          <w:tab w:val="left" w:pos="0"/>
          <w:tab w:val="left" w:pos="3165"/>
          <w:tab w:val="center" w:pos="4153"/>
        </w:tabs>
        <w:autoSpaceDE w:val="0"/>
        <w:autoSpaceDN w:val="0"/>
        <w:adjustRightInd w:val="0"/>
        <w:spacing w:line="360" w:lineRule="auto"/>
        <w:jc w:val="center"/>
        <w:outlineLvl w:val="0"/>
        <w:rPr>
          <w:rFonts w:ascii="宋体" w:hAnsi="宋体" w:eastAsia="宋体" w:cs="Times New Roman"/>
          <w:color w:val="auto"/>
          <w:szCs w:val="21"/>
          <w:highlight w:val="none"/>
        </w:rPr>
      </w:pPr>
      <w:r>
        <w:rPr>
          <w:rFonts w:hint="eastAsia" w:ascii="Times New Roman" w:hAnsi="Times New Roman" w:eastAsia="宋体" w:cs="Times New Roman"/>
          <w:b/>
          <w:bCs/>
          <w:color w:val="auto"/>
          <w:kern w:val="44"/>
          <w:sz w:val="44"/>
          <w:szCs w:val="44"/>
          <w:highlight w:val="none"/>
          <w:lang w:val="zh-CN"/>
        </w:rPr>
        <w:t>第一章</w:t>
      </w:r>
      <w:bookmarkEnd w:id="3"/>
      <w:bookmarkEnd w:id="4"/>
      <w:bookmarkStart w:id="6" w:name="_Toc28359001"/>
      <w:bookmarkStart w:id="7" w:name="_Toc35393789"/>
      <w:r>
        <w:rPr>
          <w:rFonts w:hint="eastAsia" w:ascii="Times New Roman" w:hAnsi="Times New Roman" w:eastAsia="宋体" w:cs="Times New Roman"/>
          <w:b/>
          <w:bCs/>
          <w:color w:val="auto"/>
          <w:kern w:val="44"/>
          <w:sz w:val="44"/>
          <w:szCs w:val="44"/>
          <w:highlight w:val="none"/>
          <w:lang w:val="zh-CN"/>
        </w:rPr>
        <w:t xml:space="preserve"> 招标公告</w:t>
      </w:r>
      <w:bookmarkEnd w:id="5"/>
      <w:bookmarkEnd w:id="6"/>
      <w:bookmarkEnd w:id="7"/>
    </w:p>
    <w:p w14:paraId="4D7F1FDE">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项目概况</w:t>
      </w:r>
    </w:p>
    <w:p w14:paraId="683FAF79">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u w:val="single"/>
        </w:rPr>
        <w:t>质谱类设备</w:t>
      </w:r>
      <w:r>
        <w:rPr>
          <w:rFonts w:hint="eastAsia" w:ascii="宋体" w:hAnsi="宋体" w:eastAsia="宋体" w:cs="Times New Roman"/>
          <w:color w:val="auto"/>
          <w:szCs w:val="21"/>
          <w:highlight w:val="none"/>
          <w:u w:val="single"/>
          <w:lang w:eastAsia="zh-CN"/>
        </w:rPr>
        <w:t>（</w:t>
      </w:r>
      <w:r>
        <w:rPr>
          <w:rFonts w:hint="eastAsia" w:ascii="宋体" w:hAnsi="宋体" w:eastAsia="宋体" w:cs="Times New Roman"/>
          <w:color w:val="auto"/>
          <w:szCs w:val="21"/>
          <w:highlight w:val="none"/>
          <w:u w:val="single"/>
          <w:lang w:val="en-US" w:eastAsia="zh-CN"/>
        </w:rPr>
        <w:t>重2</w:t>
      </w:r>
      <w:r>
        <w:rPr>
          <w:rFonts w:hint="eastAsia" w:ascii="宋体" w:hAnsi="宋体" w:eastAsia="宋体" w:cs="Times New Roman"/>
          <w:color w:val="auto"/>
          <w:szCs w:val="21"/>
          <w:highlight w:val="none"/>
          <w:u w:val="single"/>
          <w:lang w:eastAsia="zh-CN"/>
        </w:rPr>
        <w:t>）</w:t>
      </w:r>
      <w:r>
        <w:rPr>
          <w:rFonts w:hint="eastAsia" w:ascii="宋体" w:hAnsi="宋体" w:eastAsia="宋体" w:cs="Times New Roman"/>
          <w:color w:val="auto"/>
          <w:szCs w:val="21"/>
          <w:highlight w:val="none"/>
        </w:rPr>
        <w:t>招标项目的潜在投标人应在</w:t>
      </w:r>
      <w:r>
        <w:rPr>
          <w:rFonts w:hint="eastAsia" w:ascii="宋体" w:hAnsi="宋体" w:cs="宋体"/>
          <w:color w:val="auto"/>
          <w:kern w:val="0"/>
          <w:szCs w:val="21"/>
          <w:highlight w:val="none"/>
        </w:rPr>
        <w:t>广西政府采购云平台（网址：http://www.gcy.zfcg.gxzf.gov.cn）</w:t>
      </w:r>
      <w:r>
        <w:rPr>
          <w:rFonts w:hint="eastAsia" w:ascii="宋体" w:hAnsi="宋体" w:eastAsia="宋体" w:cs="Times New Roman"/>
          <w:color w:val="auto"/>
          <w:szCs w:val="21"/>
          <w:highlight w:val="none"/>
        </w:rPr>
        <w:t>获取招标文件，并于</w:t>
      </w:r>
      <w:r>
        <w:rPr>
          <w:rFonts w:hint="eastAsia" w:ascii="宋体" w:hAnsi="宋体" w:eastAsia="宋体" w:cs="Times New Roman"/>
          <w:color w:val="auto"/>
          <w:szCs w:val="21"/>
          <w:highlight w:val="none"/>
          <w:u w:val="single"/>
        </w:rPr>
        <w:t>2026</w:t>
      </w:r>
      <w:r>
        <w:rPr>
          <w:rFonts w:hint="eastAsia" w:ascii="宋体" w:hAnsi="宋体" w:eastAsia="宋体" w:cs="Times New Roman"/>
          <w:bCs/>
          <w:color w:val="auto"/>
          <w:szCs w:val="21"/>
          <w:highlight w:val="none"/>
          <w:u w:val="single"/>
        </w:rPr>
        <w:t>年</w:t>
      </w:r>
      <w:r>
        <w:rPr>
          <w:rFonts w:hint="eastAsia" w:ascii="宋体" w:hAnsi="宋体" w:eastAsia="宋体" w:cs="Times New Roman"/>
          <w:bCs/>
          <w:color w:val="auto"/>
          <w:szCs w:val="21"/>
          <w:highlight w:val="none"/>
          <w:u w:val="single"/>
          <w:lang w:val="en-US" w:eastAsia="zh-CN"/>
        </w:rPr>
        <w:t>9</w:t>
      </w:r>
      <w:r>
        <w:rPr>
          <w:rFonts w:hint="eastAsia" w:ascii="宋体" w:hAnsi="宋体" w:eastAsia="宋体" w:cs="Times New Roman"/>
          <w:bCs/>
          <w:color w:val="auto"/>
          <w:szCs w:val="21"/>
          <w:highlight w:val="none"/>
          <w:u w:val="single"/>
        </w:rPr>
        <w:t>月</w:t>
      </w:r>
      <w:r>
        <w:rPr>
          <w:rFonts w:hint="eastAsia" w:ascii="宋体" w:hAnsi="宋体" w:eastAsia="宋体" w:cs="Times New Roman"/>
          <w:bCs/>
          <w:color w:val="auto"/>
          <w:szCs w:val="21"/>
          <w:highlight w:val="none"/>
          <w:u w:val="single"/>
          <w:lang w:val="en-US" w:eastAsia="zh-CN"/>
        </w:rPr>
        <w:t xml:space="preserve"> 22</w:t>
      </w:r>
      <w:r>
        <w:rPr>
          <w:rFonts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u w:val="single"/>
        </w:rPr>
        <w:t>日9</w:t>
      </w:r>
      <w:r>
        <w:rPr>
          <w:rFonts w:ascii="宋体" w:hAnsi="宋体" w:eastAsia="宋体" w:cs="Times New Roman"/>
          <w:bCs/>
          <w:color w:val="auto"/>
          <w:szCs w:val="21"/>
          <w:highlight w:val="none"/>
          <w:u w:val="single"/>
        </w:rPr>
        <w:t>时30分</w:t>
      </w:r>
      <w:r>
        <w:rPr>
          <w:rFonts w:hint="eastAsia" w:ascii="宋体" w:hAnsi="宋体" w:eastAsia="宋体" w:cs="Times New Roman"/>
          <w:bCs/>
          <w:color w:val="auto"/>
          <w:szCs w:val="21"/>
          <w:highlight w:val="none"/>
          <w:u w:val="single"/>
        </w:rPr>
        <w:t>（</w:t>
      </w:r>
      <w:r>
        <w:rPr>
          <w:rFonts w:hint="eastAsia" w:ascii="宋体" w:hAnsi="宋体" w:eastAsia="宋体" w:cs="Times New Roman"/>
          <w:bCs/>
          <w:color w:val="auto"/>
          <w:szCs w:val="21"/>
          <w:highlight w:val="none"/>
        </w:rPr>
        <w:t>北京时间）前递交投标</w:t>
      </w:r>
      <w:r>
        <w:rPr>
          <w:rFonts w:ascii="宋体" w:hAnsi="宋体" w:eastAsia="宋体" w:cs="Times New Roman"/>
          <w:bCs/>
          <w:color w:val="auto"/>
          <w:szCs w:val="21"/>
          <w:highlight w:val="none"/>
        </w:rPr>
        <w:t>文件</w:t>
      </w:r>
      <w:r>
        <w:rPr>
          <w:rFonts w:hint="eastAsia" w:ascii="宋体" w:hAnsi="宋体" w:eastAsia="宋体" w:cs="Times New Roman"/>
          <w:color w:val="auto"/>
          <w:szCs w:val="21"/>
          <w:highlight w:val="none"/>
        </w:rPr>
        <w:t>。</w:t>
      </w:r>
    </w:p>
    <w:p w14:paraId="2A5ED822">
      <w:pPr>
        <w:spacing w:line="360" w:lineRule="auto"/>
        <w:rPr>
          <w:rFonts w:ascii="宋体" w:hAnsi="宋体" w:eastAsia="宋体" w:cs="Times New Roman"/>
          <w:color w:val="auto"/>
          <w:szCs w:val="21"/>
          <w:highlight w:val="none"/>
        </w:rPr>
      </w:pPr>
    </w:p>
    <w:p w14:paraId="5E31B2D7">
      <w:pPr>
        <w:spacing w:line="360" w:lineRule="auto"/>
        <w:rPr>
          <w:rFonts w:ascii="黑体" w:hAnsi="黑体" w:eastAsia="黑体" w:cs="Times New Roman"/>
          <w:b/>
          <w:bCs/>
          <w:color w:val="auto"/>
          <w:sz w:val="24"/>
          <w:szCs w:val="24"/>
          <w:highlight w:val="none"/>
        </w:rPr>
      </w:pPr>
      <w:bookmarkStart w:id="8" w:name="_Toc35393621"/>
      <w:bookmarkStart w:id="9" w:name="_Toc28359079"/>
      <w:bookmarkStart w:id="10" w:name="_Toc35393790"/>
      <w:bookmarkStart w:id="11" w:name="_Toc28359002"/>
      <w:bookmarkStart w:id="12" w:name="_Hlk24379207"/>
      <w:r>
        <w:rPr>
          <w:rFonts w:hint="eastAsia" w:ascii="黑体" w:hAnsi="黑体" w:eastAsia="黑体" w:cs="Times New Roman"/>
          <w:b/>
          <w:bCs/>
          <w:color w:val="auto"/>
          <w:sz w:val="24"/>
          <w:szCs w:val="24"/>
          <w:highlight w:val="none"/>
        </w:rPr>
        <w:t>一、项目基本情况</w:t>
      </w:r>
      <w:bookmarkEnd w:id="8"/>
      <w:bookmarkEnd w:id="9"/>
      <w:bookmarkEnd w:id="10"/>
      <w:bookmarkEnd w:id="11"/>
    </w:p>
    <w:bookmarkEnd w:id="12"/>
    <w:p w14:paraId="2FA432EF">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项目编号：WZZC2026-G1-990208-ZJGJ</w:t>
      </w:r>
    </w:p>
    <w:p w14:paraId="73B6E50E">
      <w:pPr>
        <w:spacing w:line="36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项目名称：质谱类设备</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重2</w:t>
      </w:r>
      <w:r>
        <w:rPr>
          <w:rFonts w:hint="eastAsia" w:ascii="宋体" w:hAnsi="宋体" w:eastAsia="宋体" w:cs="Times New Roman"/>
          <w:color w:val="auto"/>
          <w:szCs w:val="21"/>
          <w:highlight w:val="none"/>
          <w:lang w:eastAsia="zh-CN"/>
        </w:rPr>
        <w:t>）</w:t>
      </w:r>
    </w:p>
    <w:p w14:paraId="7882E6FE">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预算总金额（元）：1940000.00 </w:t>
      </w:r>
    </w:p>
    <w:p w14:paraId="31240275">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采购需求：</w:t>
      </w:r>
    </w:p>
    <w:p w14:paraId="28CA5B0E">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标项一</w:t>
      </w:r>
      <w:r>
        <w:rPr>
          <w:rFonts w:hint="eastAsia" w:ascii="宋体" w:hAnsi="宋体" w:eastAsia="宋体" w:cs="Times New Roman"/>
          <w:color w:val="auto"/>
          <w:szCs w:val="21"/>
          <w:highlight w:val="none"/>
        </w:rPr>
        <w:br w:type="textWrapping"/>
      </w:r>
      <w:r>
        <w:rPr>
          <w:rFonts w:hint="eastAsia" w:ascii="宋体" w:hAnsi="宋体" w:eastAsia="宋体" w:cs="Times New Roman"/>
          <w:color w:val="auto"/>
          <w:szCs w:val="21"/>
          <w:highlight w:val="none"/>
        </w:rPr>
        <w:t xml:space="preserve">    标项名称：高效液相色谱串联质谱仪</w:t>
      </w:r>
      <w:r>
        <w:rPr>
          <w:rFonts w:hint="eastAsia" w:ascii="宋体" w:hAnsi="宋体" w:eastAsia="宋体" w:cs="Times New Roman"/>
          <w:color w:val="auto"/>
          <w:szCs w:val="21"/>
          <w:highlight w:val="none"/>
        </w:rPr>
        <w:br w:type="textWrapping"/>
      </w:r>
      <w:r>
        <w:rPr>
          <w:rFonts w:hint="eastAsia" w:ascii="宋体" w:hAnsi="宋体" w:eastAsia="宋体" w:cs="Times New Roman"/>
          <w:color w:val="auto"/>
          <w:szCs w:val="21"/>
          <w:highlight w:val="none"/>
        </w:rPr>
        <w:t xml:space="preserve">    数量:1</w:t>
      </w:r>
      <w:r>
        <w:rPr>
          <w:rFonts w:hint="eastAsia" w:ascii="宋体" w:hAnsi="宋体" w:eastAsia="宋体" w:cs="Times New Roman"/>
          <w:color w:val="auto"/>
          <w:szCs w:val="21"/>
          <w:highlight w:val="none"/>
        </w:rPr>
        <w:br w:type="textWrapping"/>
      </w:r>
      <w:r>
        <w:rPr>
          <w:rFonts w:hint="eastAsia" w:ascii="宋体" w:hAnsi="宋体" w:eastAsia="宋体" w:cs="Times New Roman"/>
          <w:color w:val="auto"/>
          <w:szCs w:val="21"/>
          <w:highlight w:val="none"/>
        </w:rPr>
        <w:t xml:space="preserve">    预算金额（元）：1940000.00</w:t>
      </w:r>
      <w:r>
        <w:rPr>
          <w:rFonts w:hint="eastAsia" w:ascii="宋体" w:hAnsi="宋体" w:eastAsia="宋体" w:cs="Times New Roman"/>
          <w:color w:val="auto"/>
          <w:szCs w:val="21"/>
          <w:highlight w:val="none"/>
        </w:rPr>
        <w:br w:type="textWrapping"/>
      </w:r>
      <w:r>
        <w:rPr>
          <w:rFonts w:hint="eastAsia" w:ascii="宋体" w:hAnsi="宋体" w:eastAsia="宋体" w:cs="Times New Roman"/>
          <w:color w:val="auto"/>
          <w:szCs w:val="21"/>
          <w:highlight w:val="none"/>
        </w:rPr>
        <w:t xml:space="preserve">    简要规格描述或项目基本概况介绍、用途：高效液相色谱串联质谱仪1套，具体参数详见招标文件。</w:t>
      </w:r>
    </w:p>
    <w:p w14:paraId="4A11D0A9">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最高限价（如有）：1940000.00元    </w:t>
      </w:r>
    </w:p>
    <w:p w14:paraId="47FC9857">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合同履约期限：签订合同即日起30日内完成安装、调试、培训工作。</w:t>
      </w:r>
    </w:p>
    <w:p w14:paraId="42C4AE25">
      <w:pPr>
        <w:spacing w:line="360" w:lineRule="auto"/>
        <w:ind w:firstLine="420" w:firstLineChars="200"/>
        <w:rPr>
          <w:rFonts w:ascii="黑体" w:hAnsi="黑体" w:eastAsia="黑体" w:cs="Times New Roman"/>
          <w:b/>
          <w:bCs/>
          <w:color w:val="auto"/>
          <w:sz w:val="24"/>
          <w:szCs w:val="24"/>
          <w:highlight w:val="none"/>
        </w:rPr>
      </w:pPr>
      <w:r>
        <w:rPr>
          <w:rFonts w:hint="eastAsia" w:ascii="宋体" w:hAnsi="宋体" w:eastAsia="宋体" w:cs="Times New Roman"/>
          <w:color w:val="auto"/>
          <w:szCs w:val="21"/>
          <w:highlight w:val="none"/>
        </w:rPr>
        <w:t>本标项（否）接受联合体投标</w:t>
      </w:r>
      <w:bookmarkStart w:id="13" w:name="_Toc35393791"/>
      <w:bookmarkStart w:id="14" w:name="_Toc28359003"/>
      <w:bookmarkStart w:id="15" w:name="_Toc35393622"/>
      <w:bookmarkStart w:id="16" w:name="_Toc28359080"/>
    </w:p>
    <w:p w14:paraId="6BAE28F1">
      <w:pPr>
        <w:spacing w:line="360" w:lineRule="auto"/>
        <w:rPr>
          <w:rFonts w:ascii="黑体" w:hAnsi="黑体" w:eastAsia="黑体" w:cs="Times New Roman"/>
          <w:b/>
          <w:bCs/>
          <w:color w:val="auto"/>
          <w:sz w:val="24"/>
          <w:szCs w:val="24"/>
          <w:highlight w:val="none"/>
        </w:rPr>
      </w:pPr>
      <w:r>
        <w:rPr>
          <w:rFonts w:hint="eastAsia" w:ascii="黑体" w:hAnsi="黑体" w:eastAsia="黑体" w:cs="Times New Roman"/>
          <w:b/>
          <w:bCs/>
          <w:color w:val="auto"/>
          <w:sz w:val="24"/>
          <w:szCs w:val="24"/>
          <w:highlight w:val="none"/>
        </w:rPr>
        <w:t>二、申请人的资格要求：</w:t>
      </w:r>
      <w:bookmarkEnd w:id="13"/>
      <w:bookmarkEnd w:id="14"/>
      <w:bookmarkEnd w:id="15"/>
      <w:bookmarkEnd w:id="16"/>
    </w:p>
    <w:p w14:paraId="61DE8AAA">
      <w:pPr>
        <w:spacing w:line="360" w:lineRule="auto"/>
        <w:ind w:firstLine="420" w:firstLineChars="200"/>
        <w:rPr>
          <w:rFonts w:ascii="宋体" w:hAnsi="宋体" w:eastAsia="宋体" w:cs="Times New Roman"/>
          <w:color w:val="auto"/>
          <w:szCs w:val="21"/>
          <w:highlight w:val="none"/>
        </w:rPr>
      </w:pPr>
      <w:bookmarkStart w:id="17" w:name="_Hlk51746371"/>
      <w:bookmarkStart w:id="18" w:name="_Toc35393623"/>
      <w:bookmarkStart w:id="19" w:name="_Toc35393792"/>
      <w:bookmarkStart w:id="20" w:name="_Toc28359004"/>
      <w:bookmarkStart w:id="21" w:name="_Toc28359081"/>
      <w:r>
        <w:rPr>
          <w:rFonts w:hint="eastAsia" w:ascii="宋体" w:hAnsi="宋体" w:eastAsia="宋体" w:cs="Times New Roman"/>
          <w:color w:val="auto"/>
          <w:szCs w:val="21"/>
          <w:highlight w:val="none"/>
        </w:rPr>
        <w:t>1.满足《中华人民共和国政府采购法》第二十二条规定；</w:t>
      </w:r>
    </w:p>
    <w:p w14:paraId="6113C805">
      <w:pPr>
        <w:spacing w:line="360" w:lineRule="auto"/>
        <w:ind w:firstLine="420" w:firstLineChars="200"/>
        <w:rPr>
          <w:rFonts w:ascii="宋体" w:hAnsi="宋体" w:eastAsia="宋体" w:cs="Times New Roman"/>
          <w:color w:val="auto"/>
          <w:szCs w:val="21"/>
          <w:highlight w:val="none"/>
          <w:u w:val="none"/>
        </w:rPr>
      </w:pP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rPr>
        <w:t>.落实政府采购政策需满足的资格要求：</w:t>
      </w:r>
      <w:r>
        <w:rPr>
          <w:rFonts w:hint="eastAsia" w:ascii="宋体" w:hAnsi="宋体" w:eastAsia="宋体" w:cs="Times New Roman"/>
          <w:color w:val="auto"/>
          <w:szCs w:val="21"/>
          <w:highlight w:val="none"/>
          <w:u w:val="none"/>
        </w:rPr>
        <w:t>专门面向中小企业采购。</w:t>
      </w:r>
    </w:p>
    <w:p w14:paraId="01309F77">
      <w:pPr>
        <w:spacing w:line="360" w:lineRule="auto"/>
        <w:ind w:firstLine="420" w:firstLineChars="200"/>
        <w:rPr>
          <w:rFonts w:cs="宋体"/>
          <w:color w:val="auto"/>
          <w:szCs w:val="21"/>
          <w:highlight w:val="none"/>
        </w:rPr>
      </w:pPr>
      <w:r>
        <w:rPr>
          <w:rFonts w:hint="eastAsia" w:ascii="宋体" w:hAnsi="宋体" w:eastAsia="宋体" w:cs="Times New Roman"/>
          <w:color w:val="auto"/>
          <w:szCs w:val="21"/>
          <w:highlight w:val="none"/>
        </w:rPr>
        <w:t>3.本项目的特定资格要求：</w:t>
      </w:r>
    </w:p>
    <w:bookmarkEnd w:id="17"/>
    <w:p w14:paraId="34194CEF">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按《医疗器械监督管理条例》（国务院令第739号）医疗器械分类管理要求具备有效的医疗器械经营备案凭证或者经营许可证，且经营范围必须包含采购标的【符合《医疗器械监督管理条例》第四十一条第二款规定的除外】；或者供应商具有《医疗器械监督管理条例》第四十三条规定的注册人凭证。</w:t>
      </w:r>
    </w:p>
    <w:p w14:paraId="44A72A9B">
      <w:pPr>
        <w:spacing w:line="360" w:lineRule="auto"/>
        <w:rPr>
          <w:rFonts w:ascii="黑体" w:hAnsi="黑体" w:eastAsia="黑体" w:cs="Times New Roman"/>
          <w:b/>
          <w:bCs/>
          <w:color w:val="auto"/>
          <w:sz w:val="24"/>
          <w:szCs w:val="24"/>
          <w:highlight w:val="none"/>
        </w:rPr>
      </w:pPr>
      <w:r>
        <w:rPr>
          <w:rFonts w:hint="eastAsia" w:ascii="黑体" w:hAnsi="黑体" w:eastAsia="黑体" w:cs="Times New Roman"/>
          <w:b/>
          <w:bCs/>
          <w:color w:val="auto"/>
          <w:sz w:val="24"/>
          <w:szCs w:val="24"/>
          <w:highlight w:val="none"/>
        </w:rPr>
        <w:t>三、获取招标文件</w:t>
      </w:r>
      <w:bookmarkEnd w:id="18"/>
      <w:bookmarkEnd w:id="19"/>
      <w:bookmarkEnd w:id="20"/>
      <w:bookmarkEnd w:id="21"/>
    </w:p>
    <w:p w14:paraId="3CEC850D">
      <w:pPr>
        <w:spacing w:line="360" w:lineRule="auto"/>
        <w:ind w:firstLine="540"/>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时间：</w:t>
      </w:r>
      <w:r>
        <w:rPr>
          <w:rFonts w:ascii="宋体" w:hAnsi="宋体" w:eastAsia="宋体" w:cs="宋体"/>
          <w:bCs/>
          <w:color w:val="auto"/>
          <w:kern w:val="0"/>
          <w:szCs w:val="21"/>
          <w:highlight w:val="none"/>
        </w:rPr>
        <w:t xml:space="preserve"> </w:t>
      </w:r>
      <w:r>
        <w:rPr>
          <w:rFonts w:hint="eastAsia" w:ascii="宋体" w:hAnsi="宋体" w:eastAsia="宋体" w:cs="宋体"/>
          <w:bCs/>
          <w:color w:val="auto"/>
          <w:kern w:val="0"/>
          <w:szCs w:val="21"/>
          <w:highlight w:val="none"/>
          <w:u w:val="single"/>
        </w:rPr>
        <w:t>2026年</w:t>
      </w:r>
      <w:r>
        <w:rPr>
          <w:rFonts w:hint="eastAsia" w:ascii="宋体" w:hAnsi="宋体" w:eastAsia="宋体" w:cs="宋体"/>
          <w:bCs/>
          <w:color w:val="auto"/>
          <w:kern w:val="0"/>
          <w:szCs w:val="21"/>
          <w:highlight w:val="none"/>
          <w:u w:val="single"/>
          <w:lang w:val="en-US" w:eastAsia="zh-CN"/>
        </w:rPr>
        <w:t>8</w:t>
      </w:r>
      <w:r>
        <w:rPr>
          <w:rFonts w:hint="eastAsia" w:ascii="宋体" w:hAnsi="宋体" w:eastAsia="宋体" w:cs="宋体"/>
          <w:bCs/>
          <w:color w:val="auto"/>
          <w:kern w:val="0"/>
          <w:szCs w:val="21"/>
          <w:highlight w:val="none"/>
          <w:u w:val="single"/>
        </w:rPr>
        <w:t>月</w:t>
      </w:r>
      <w:r>
        <w:rPr>
          <w:rFonts w:hint="eastAsia" w:ascii="宋体" w:hAnsi="宋体" w:eastAsia="宋体" w:cs="宋体"/>
          <w:bCs/>
          <w:color w:val="auto"/>
          <w:kern w:val="0"/>
          <w:szCs w:val="21"/>
          <w:highlight w:val="none"/>
          <w:u w:val="single"/>
          <w:lang w:val="en-US" w:eastAsia="zh-CN"/>
        </w:rPr>
        <w:t xml:space="preserve">28 </w:t>
      </w:r>
      <w:r>
        <w:rPr>
          <w:rFonts w:hint="eastAsia" w:ascii="宋体" w:hAnsi="宋体" w:eastAsia="宋体" w:cs="宋体"/>
          <w:bCs/>
          <w:color w:val="auto"/>
          <w:kern w:val="0"/>
          <w:szCs w:val="21"/>
          <w:highlight w:val="none"/>
          <w:u w:val="single"/>
        </w:rPr>
        <w:t>日</w:t>
      </w:r>
      <w:r>
        <w:rPr>
          <w:rFonts w:hint="eastAsia" w:ascii="宋体" w:hAnsi="宋体" w:eastAsia="宋体" w:cs="宋体"/>
          <w:bCs/>
          <w:color w:val="auto"/>
          <w:kern w:val="0"/>
          <w:szCs w:val="21"/>
          <w:highlight w:val="none"/>
        </w:rPr>
        <w:t>至</w:t>
      </w:r>
      <w:r>
        <w:rPr>
          <w:rFonts w:hint="eastAsia" w:ascii="宋体" w:hAnsi="宋体" w:eastAsia="宋体" w:cs="宋体"/>
          <w:bCs/>
          <w:color w:val="auto"/>
          <w:kern w:val="0"/>
          <w:szCs w:val="21"/>
          <w:highlight w:val="none"/>
          <w:u w:val="single"/>
        </w:rPr>
        <w:t xml:space="preserve">2026年 </w:t>
      </w:r>
      <w:r>
        <w:rPr>
          <w:rFonts w:hint="eastAsia" w:ascii="宋体" w:hAnsi="宋体" w:eastAsia="宋体" w:cs="宋体"/>
          <w:bCs/>
          <w:color w:val="auto"/>
          <w:kern w:val="0"/>
          <w:szCs w:val="21"/>
          <w:highlight w:val="none"/>
          <w:u w:val="single"/>
          <w:lang w:val="en-US" w:eastAsia="zh-CN"/>
        </w:rPr>
        <w:t>9</w:t>
      </w:r>
      <w:r>
        <w:rPr>
          <w:rFonts w:hint="eastAsia" w:ascii="宋体" w:hAnsi="宋体" w:eastAsia="宋体" w:cs="宋体"/>
          <w:bCs/>
          <w:color w:val="auto"/>
          <w:kern w:val="0"/>
          <w:szCs w:val="21"/>
          <w:highlight w:val="none"/>
          <w:u w:val="single"/>
        </w:rPr>
        <w:t>月</w:t>
      </w:r>
      <w:r>
        <w:rPr>
          <w:rFonts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u w:val="single"/>
          <w:lang w:val="en-US" w:eastAsia="zh-CN"/>
        </w:rPr>
        <w:t xml:space="preserve">4 </w:t>
      </w:r>
      <w:r>
        <w:rPr>
          <w:rFonts w:hint="eastAsia" w:ascii="宋体" w:hAnsi="宋体" w:eastAsia="宋体" w:cs="宋体"/>
          <w:bCs/>
          <w:color w:val="auto"/>
          <w:kern w:val="0"/>
          <w:szCs w:val="21"/>
          <w:highlight w:val="none"/>
          <w:u w:val="single"/>
        </w:rPr>
        <w:t xml:space="preserve"> 日</w:t>
      </w:r>
      <w:r>
        <w:rPr>
          <w:rFonts w:hint="eastAsia" w:ascii="宋体" w:hAnsi="宋体" w:eastAsia="宋体" w:cs="宋体"/>
          <w:bCs/>
          <w:color w:val="auto"/>
          <w:kern w:val="0"/>
          <w:szCs w:val="21"/>
          <w:highlight w:val="none"/>
        </w:rPr>
        <w:t>，每天上午00:00至12:00，下午12:00至23:59（北京时间，</w:t>
      </w:r>
      <w:r>
        <w:rPr>
          <w:rFonts w:ascii="宋体" w:hAnsi="宋体" w:eastAsia="宋体" w:cs="宋体"/>
          <w:bCs/>
          <w:color w:val="auto"/>
          <w:kern w:val="0"/>
          <w:szCs w:val="21"/>
          <w:highlight w:val="none"/>
        </w:rPr>
        <w:t>法定节假日</w:t>
      </w:r>
      <w:r>
        <w:rPr>
          <w:rFonts w:hint="eastAsia" w:ascii="宋体" w:hAnsi="宋体" w:eastAsia="宋体" w:cs="宋体"/>
          <w:bCs/>
          <w:color w:val="auto"/>
          <w:kern w:val="0"/>
          <w:szCs w:val="21"/>
          <w:highlight w:val="none"/>
        </w:rPr>
        <w:t>除外）</w:t>
      </w:r>
    </w:p>
    <w:p w14:paraId="37881CC4">
      <w:pPr>
        <w:spacing w:line="360" w:lineRule="auto"/>
        <w:ind w:firstLine="540"/>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地点：广西政府采购云平台（网址：http://www.gcy.zfcg.gxzf.gov.cn）</w:t>
      </w:r>
    </w:p>
    <w:p w14:paraId="301D9B14">
      <w:pPr>
        <w:spacing w:line="360" w:lineRule="auto"/>
        <w:ind w:firstLine="540"/>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方式：网上下载。本项目不提供纸质文件，潜在供应商需使用账号登录或者使用CA登录广西政府采购云平台（https://www.gcy.zfcg.gxzf.gov.cn/）-进入“项目采购”应用，在获取采购文件菜单中选择项目，获取招标文件。电子响应文件制作需要基于广西政府采购云平台获取的招标文件编制，通过其他方式获取招标文件的，将有可能导致供应商无法在广西政府采购云平台编制及上传响应文件。</w:t>
      </w:r>
    </w:p>
    <w:p w14:paraId="395B0CB3">
      <w:pPr>
        <w:spacing w:line="360" w:lineRule="auto"/>
        <w:ind w:firstLine="540"/>
        <w:rPr>
          <w:rFonts w:ascii="宋体" w:hAnsi="宋体" w:eastAsia="宋体" w:cs="宋体"/>
          <w:color w:val="auto"/>
          <w:szCs w:val="21"/>
          <w:highlight w:val="none"/>
        </w:rPr>
      </w:pPr>
      <w:r>
        <w:rPr>
          <w:rFonts w:hint="eastAsia" w:ascii="宋体" w:hAnsi="宋体" w:eastAsia="宋体" w:cs="宋体"/>
          <w:bCs/>
          <w:color w:val="auto"/>
          <w:kern w:val="0"/>
          <w:szCs w:val="21"/>
          <w:highlight w:val="none"/>
        </w:rPr>
        <w:t>售价：</w:t>
      </w:r>
      <w:r>
        <w:rPr>
          <w:rFonts w:hint="eastAsia" w:ascii="宋体" w:hAnsi="宋体" w:eastAsia="宋体" w:cs="宋体"/>
          <w:color w:val="auto"/>
          <w:szCs w:val="21"/>
          <w:highlight w:val="none"/>
        </w:rPr>
        <w:t>0元</w:t>
      </w:r>
    </w:p>
    <w:p w14:paraId="5AF443F9">
      <w:pPr>
        <w:spacing w:line="360" w:lineRule="auto"/>
        <w:rPr>
          <w:rFonts w:ascii="黑体" w:hAnsi="黑体" w:eastAsia="黑体" w:cs="Times New Roman"/>
          <w:b/>
          <w:bCs/>
          <w:color w:val="auto"/>
          <w:sz w:val="24"/>
          <w:szCs w:val="24"/>
          <w:highlight w:val="none"/>
        </w:rPr>
      </w:pPr>
      <w:bookmarkStart w:id="22" w:name="_Toc28359082"/>
      <w:bookmarkStart w:id="23" w:name="_Toc28359005"/>
      <w:bookmarkStart w:id="24" w:name="_Toc35393624"/>
      <w:bookmarkStart w:id="25" w:name="_Toc35393793"/>
      <w:r>
        <w:rPr>
          <w:rFonts w:hint="eastAsia" w:ascii="黑体" w:hAnsi="黑体" w:eastAsia="黑体" w:cs="Times New Roman"/>
          <w:b/>
          <w:bCs/>
          <w:color w:val="auto"/>
          <w:sz w:val="24"/>
          <w:szCs w:val="24"/>
          <w:highlight w:val="none"/>
        </w:rPr>
        <w:t>四、提交投标文件</w:t>
      </w:r>
      <w:bookmarkEnd w:id="22"/>
      <w:bookmarkEnd w:id="23"/>
      <w:r>
        <w:rPr>
          <w:rFonts w:hint="eastAsia" w:ascii="黑体" w:hAnsi="黑体" w:eastAsia="黑体" w:cs="Times New Roman"/>
          <w:b/>
          <w:bCs/>
          <w:color w:val="auto"/>
          <w:sz w:val="24"/>
          <w:szCs w:val="24"/>
          <w:highlight w:val="none"/>
        </w:rPr>
        <w:t>截止时间、开标时间和地点</w:t>
      </w:r>
      <w:bookmarkEnd w:id="24"/>
      <w:bookmarkEnd w:id="25"/>
    </w:p>
    <w:p w14:paraId="673D29C4">
      <w:pPr>
        <w:spacing w:line="360" w:lineRule="auto"/>
        <w:ind w:firstLine="420" w:firstLineChars="200"/>
        <w:rPr>
          <w:rFonts w:ascii="宋体" w:hAnsi="宋体" w:eastAsia="宋体" w:cs="Times New Roman"/>
          <w:bCs/>
          <w:color w:val="auto"/>
          <w:szCs w:val="21"/>
          <w:highlight w:val="none"/>
          <w:u w:val="single"/>
        </w:rPr>
      </w:pPr>
      <w:bookmarkStart w:id="26" w:name="_Toc28359084"/>
      <w:bookmarkStart w:id="27" w:name="_Toc35393625"/>
      <w:bookmarkStart w:id="28" w:name="_Toc35393794"/>
      <w:bookmarkStart w:id="29" w:name="_Toc28359007"/>
      <w:r>
        <w:rPr>
          <w:rFonts w:hint="eastAsia" w:ascii="宋体" w:hAnsi="宋体" w:eastAsia="宋体" w:cs="Times New Roman"/>
          <w:bCs/>
          <w:color w:val="auto"/>
          <w:szCs w:val="21"/>
          <w:highlight w:val="none"/>
          <w:u w:val="single"/>
        </w:rPr>
        <w:t>提交投标文件截止时间：2026年</w:t>
      </w:r>
      <w:r>
        <w:rPr>
          <w:rFonts w:hint="eastAsia" w:ascii="宋体" w:hAnsi="宋体" w:eastAsia="宋体" w:cs="Times New Roman"/>
          <w:bCs/>
          <w:color w:val="auto"/>
          <w:szCs w:val="21"/>
          <w:highlight w:val="none"/>
          <w:u w:val="single"/>
          <w:lang w:val="en-US" w:eastAsia="zh-CN"/>
        </w:rPr>
        <w:t>9</w:t>
      </w:r>
      <w:r>
        <w:rPr>
          <w:rFonts w:hint="eastAsia" w:ascii="宋体" w:hAnsi="宋体" w:eastAsia="宋体" w:cs="Times New Roman"/>
          <w:bCs/>
          <w:color w:val="auto"/>
          <w:szCs w:val="21"/>
          <w:highlight w:val="none"/>
          <w:u w:val="single"/>
        </w:rPr>
        <w:t>月</w:t>
      </w:r>
      <w:r>
        <w:rPr>
          <w:rFonts w:hint="eastAsia" w:ascii="宋体" w:hAnsi="宋体" w:eastAsia="宋体" w:cs="Times New Roman"/>
          <w:bCs/>
          <w:color w:val="auto"/>
          <w:szCs w:val="21"/>
          <w:highlight w:val="none"/>
          <w:u w:val="single"/>
          <w:lang w:val="en-US" w:eastAsia="zh-CN"/>
        </w:rPr>
        <w:t>22</w:t>
      </w:r>
      <w:r>
        <w:rPr>
          <w:rFonts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u w:val="single"/>
        </w:rPr>
        <w:t>日9点</w:t>
      </w:r>
      <w:r>
        <w:rPr>
          <w:rFonts w:ascii="宋体" w:hAnsi="宋体" w:eastAsia="宋体" w:cs="Times New Roman"/>
          <w:bCs/>
          <w:color w:val="auto"/>
          <w:szCs w:val="21"/>
          <w:highlight w:val="none"/>
          <w:u w:val="single"/>
        </w:rPr>
        <w:t>30</w:t>
      </w:r>
      <w:r>
        <w:rPr>
          <w:rFonts w:hint="eastAsia" w:ascii="宋体" w:hAnsi="宋体" w:eastAsia="宋体" w:cs="Times New Roman"/>
          <w:bCs/>
          <w:color w:val="auto"/>
          <w:szCs w:val="21"/>
          <w:highlight w:val="none"/>
          <w:u w:val="single"/>
        </w:rPr>
        <w:t>分（北京时间）</w:t>
      </w:r>
    </w:p>
    <w:p w14:paraId="34D95FBE">
      <w:pPr>
        <w:spacing w:line="360" w:lineRule="auto"/>
        <w:ind w:firstLine="420" w:firstLineChars="200"/>
        <w:rPr>
          <w:rFonts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u w:val="single"/>
        </w:rPr>
        <w:t>投标地点（网址）：广西政府采购云平台（https://www.gcy.zfcg.gxzf.gov.cn/）</w:t>
      </w:r>
    </w:p>
    <w:p w14:paraId="588502D1">
      <w:pPr>
        <w:spacing w:line="360" w:lineRule="auto"/>
        <w:ind w:firstLine="420" w:firstLineChars="200"/>
        <w:rPr>
          <w:rFonts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u w:val="single"/>
        </w:rPr>
        <w:t xml:space="preserve">开标时间：2026年 </w:t>
      </w:r>
      <w:r>
        <w:rPr>
          <w:rFonts w:hint="eastAsia" w:ascii="宋体" w:hAnsi="宋体" w:eastAsia="宋体" w:cs="Times New Roman"/>
          <w:bCs/>
          <w:color w:val="auto"/>
          <w:szCs w:val="21"/>
          <w:highlight w:val="none"/>
          <w:u w:val="single"/>
          <w:lang w:val="en-US" w:eastAsia="zh-CN"/>
        </w:rPr>
        <w:t>9</w:t>
      </w:r>
      <w:r>
        <w:rPr>
          <w:rFonts w:hint="eastAsia" w:ascii="宋体" w:hAnsi="宋体" w:eastAsia="宋体" w:cs="Times New Roman"/>
          <w:bCs/>
          <w:color w:val="auto"/>
          <w:szCs w:val="21"/>
          <w:highlight w:val="none"/>
          <w:u w:val="single"/>
        </w:rPr>
        <w:t xml:space="preserve">月 </w:t>
      </w:r>
      <w:r>
        <w:rPr>
          <w:rFonts w:hint="eastAsia" w:ascii="宋体" w:hAnsi="宋体" w:eastAsia="宋体" w:cs="Times New Roman"/>
          <w:bCs/>
          <w:color w:val="auto"/>
          <w:szCs w:val="21"/>
          <w:highlight w:val="none"/>
          <w:u w:val="single"/>
          <w:lang w:val="en-US" w:eastAsia="zh-CN"/>
        </w:rPr>
        <w:t>22</w:t>
      </w:r>
      <w:r>
        <w:rPr>
          <w:rFonts w:hint="eastAsia" w:ascii="宋体" w:hAnsi="宋体" w:eastAsia="宋体" w:cs="Times New Roman"/>
          <w:bCs/>
          <w:color w:val="auto"/>
          <w:szCs w:val="21"/>
          <w:highlight w:val="none"/>
          <w:u w:val="single"/>
        </w:rPr>
        <w:t xml:space="preserve">  日9:</w:t>
      </w:r>
      <w:r>
        <w:rPr>
          <w:rFonts w:ascii="宋体" w:hAnsi="宋体" w:eastAsia="宋体" w:cs="Times New Roman"/>
          <w:bCs/>
          <w:color w:val="auto"/>
          <w:szCs w:val="21"/>
          <w:highlight w:val="none"/>
          <w:u w:val="single"/>
        </w:rPr>
        <w:t>30</w:t>
      </w:r>
      <w:r>
        <w:rPr>
          <w:rFonts w:hint="eastAsia" w:ascii="宋体" w:hAnsi="宋体" w:eastAsia="宋体" w:cs="Times New Roman"/>
          <w:bCs/>
          <w:color w:val="auto"/>
          <w:szCs w:val="21"/>
          <w:highlight w:val="none"/>
          <w:u w:val="single"/>
        </w:rPr>
        <w:t>分（北京时间）</w:t>
      </w:r>
    </w:p>
    <w:p w14:paraId="33F1BB11">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u w:val="single"/>
        </w:rPr>
        <w:t>开标地点：广西政府采购云平台（https://www.gcy.zfcg.gxzf.gov.cn/）</w:t>
      </w:r>
    </w:p>
    <w:p w14:paraId="4CB00B5F">
      <w:pPr>
        <w:spacing w:line="360" w:lineRule="auto"/>
        <w:rPr>
          <w:rFonts w:ascii="黑体" w:hAnsi="黑体" w:eastAsia="黑体" w:cs="Times New Roman"/>
          <w:b/>
          <w:bCs/>
          <w:color w:val="auto"/>
          <w:sz w:val="24"/>
          <w:szCs w:val="24"/>
          <w:highlight w:val="none"/>
        </w:rPr>
      </w:pPr>
      <w:r>
        <w:rPr>
          <w:rFonts w:hint="eastAsia" w:ascii="黑体" w:hAnsi="黑体" w:eastAsia="黑体" w:cs="Times New Roman"/>
          <w:b/>
          <w:bCs/>
          <w:color w:val="auto"/>
          <w:sz w:val="24"/>
          <w:szCs w:val="24"/>
          <w:highlight w:val="none"/>
        </w:rPr>
        <w:t>五、公告期限</w:t>
      </w:r>
      <w:bookmarkEnd w:id="26"/>
      <w:bookmarkEnd w:id="27"/>
      <w:bookmarkEnd w:id="28"/>
      <w:bookmarkEnd w:id="29"/>
    </w:p>
    <w:p w14:paraId="4866D368">
      <w:pPr>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0017B088">
      <w:pPr>
        <w:numPr>
          <w:ilvl w:val="0"/>
          <w:numId w:val="3"/>
        </w:numPr>
        <w:spacing w:line="360" w:lineRule="auto"/>
        <w:rPr>
          <w:color w:val="auto"/>
          <w:highlight w:val="none"/>
        </w:rPr>
      </w:pPr>
      <w:bookmarkStart w:id="30" w:name="_Toc35393626"/>
      <w:bookmarkStart w:id="31" w:name="_Toc35393795"/>
      <w:r>
        <w:rPr>
          <w:rFonts w:hint="eastAsia" w:ascii="黑体" w:hAnsi="黑体" w:eastAsia="黑体" w:cs="Times New Roman"/>
          <w:b/>
          <w:bCs/>
          <w:color w:val="auto"/>
          <w:sz w:val="24"/>
          <w:szCs w:val="24"/>
          <w:highlight w:val="none"/>
        </w:rPr>
        <w:t>其他补充事宜</w:t>
      </w:r>
      <w:bookmarkEnd w:id="30"/>
      <w:bookmarkEnd w:id="31"/>
    </w:p>
    <w:p w14:paraId="4A3CF1FF">
      <w:pPr>
        <w:numPr>
          <w:ilvl w:val="0"/>
          <w:numId w:val="4"/>
        </w:numPr>
        <w:spacing w:line="360" w:lineRule="auto"/>
        <w:ind w:firstLine="420" w:firstLineChars="200"/>
        <w:rPr>
          <w:rFonts w:ascii="宋体" w:hAnsi="宋体" w:eastAsia="宋体" w:cs="宋体"/>
          <w:color w:val="auto"/>
          <w:kern w:val="0"/>
          <w:szCs w:val="21"/>
          <w:highlight w:val="none"/>
        </w:rPr>
      </w:pPr>
      <w:bookmarkStart w:id="32" w:name="_Hlk37429585"/>
      <w:bookmarkStart w:id="33" w:name="_Hlk37429595"/>
      <w:bookmarkStart w:id="34" w:name="_Toc28359008"/>
      <w:bookmarkStart w:id="35" w:name="_Toc35393796"/>
      <w:bookmarkStart w:id="36" w:name="_Toc35393627"/>
      <w:bookmarkStart w:id="37" w:name="_Toc28359085"/>
      <w:r>
        <w:rPr>
          <w:rFonts w:hint="eastAsia" w:ascii="宋体" w:hAnsi="宋体" w:eastAsia="宋体" w:cs="宋体"/>
          <w:color w:val="auto"/>
          <w:kern w:val="0"/>
          <w:szCs w:val="21"/>
          <w:highlight w:val="none"/>
        </w:rPr>
        <w:t>本项目为远程异地评标项目</w:t>
      </w:r>
      <w:r>
        <w:rPr>
          <w:rFonts w:hint="eastAsia" w:ascii="宋体" w:hAnsi="宋体" w:eastAsia="宋体" w:cs="宋体"/>
          <w:color w:val="auto"/>
          <w:kern w:val="0"/>
          <w:szCs w:val="21"/>
          <w:highlight w:val="none"/>
          <w:lang w:val="en-US" w:eastAsia="zh-CN"/>
        </w:rPr>
        <w:t>。</w:t>
      </w:r>
    </w:p>
    <w:p w14:paraId="7C937C03">
      <w:pPr>
        <w:pStyle w:val="2"/>
        <w:numPr>
          <w:ilvl w:val="0"/>
          <w:numId w:val="0"/>
        </w:numPr>
        <w:ind w:firstLine="420" w:firstLineChars="200"/>
        <w:rPr>
          <w:color w:val="auto"/>
          <w:sz w:val="21"/>
          <w:szCs w:val="21"/>
          <w:highlight w:val="none"/>
        </w:rPr>
      </w:pPr>
      <w:r>
        <w:rPr>
          <w:rFonts w:hint="eastAsia" w:eastAsia="宋体" w:cs="宋体"/>
          <w:b w:val="0"/>
          <w:bCs w:val="0"/>
          <w:color w:val="auto"/>
          <w:sz w:val="21"/>
          <w:szCs w:val="21"/>
          <w:highlight w:val="none"/>
          <w:lang w:val="en-US" w:eastAsia="zh-CN"/>
        </w:rPr>
        <w:t>2.</w:t>
      </w:r>
      <w:r>
        <w:rPr>
          <w:rFonts w:hint="eastAsia" w:eastAsia="宋体" w:cs="宋体"/>
          <w:b w:val="0"/>
          <w:bCs w:val="0"/>
          <w:color w:val="auto"/>
          <w:sz w:val="21"/>
          <w:szCs w:val="21"/>
          <w:highlight w:val="none"/>
          <w:lang w:val="en-US"/>
        </w:rPr>
        <w:t xml:space="preserve"> </w:t>
      </w:r>
      <w:r>
        <w:rPr>
          <w:rFonts w:hint="eastAsia" w:eastAsia="宋体" w:cs="宋体"/>
          <w:b w:val="0"/>
          <w:bCs w:val="0"/>
          <w:color w:val="auto"/>
          <w:sz w:val="21"/>
          <w:szCs w:val="21"/>
          <w:highlight w:val="none"/>
        </w:rPr>
        <w:t>网上查询地址</w:t>
      </w:r>
    </w:p>
    <w:bookmarkEnd w:id="32"/>
    <w:bookmarkEnd w:id="33"/>
    <w:p w14:paraId="414C35AB">
      <w:pPr>
        <w:spacing w:line="360" w:lineRule="auto"/>
        <w:ind w:firstLine="424" w:firstLineChars="202"/>
        <w:rPr>
          <w:rFonts w:ascii="宋体" w:hAnsi="宋体" w:eastAsia="宋体" w:cs="Times New Roman"/>
          <w:color w:val="auto"/>
          <w:szCs w:val="21"/>
          <w:highlight w:val="none"/>
        </w:rPr>
      </w:pPr>
      <w:bookmarkStart w:id="38" w:name="_Hlk37429674"/>
      <w:r>
        <w:rPr>
          <w:rFonts w:hint="eastAsia" w:ascii="宋体" w:hAnsi="宋体" w:eastAsia="宋体" w:cs="宋体"/>
          <w:color w:val="auto"/>
          <w:kern w:val="0"/>
          <w:szCs w:val="21"/>
          <w:highlight w:val="none"/>
        </w:rPr>
        <w:t>中国政府采购网、广西壮族自治区政府采购网、梧州市政府采购网、广西壮族自治区公共资源交易中心网站。</w:t>
      </w:r>
    </w:p>
    <w:p w14:paraId="7D0EC579">
      <w:pPr>
        <w:spacing w:line="360" w:lineRule="auto"/>
        <w:ind w:firstLine="424" w:firstLineChars="202"/>
        <w:rPr>
          <w:rFonts w:ascii="宋体" w:hAnsi="宋体" w:eastAsia="宋体" w:cs="宋体"/>
          <w:color w:val="auto"/>
          <w:kern w:val="0"/>
          <w:szCs w:val="21"/>
          <w:highlight w:val="none"/>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w:t>
      </w:r>
      <w:r>
        <w:rPr>
          <w:rFonts w:hint="eastAsia" w:ascii="宋体" w:hAnsi="宋体" w:eastAsia="宋体" w:cs="宋体"/>
          <w:color w:val="auto"/>
          <w:kern w:val="0"/>
          <w:szCs w:val="21"/>
          <w:highlight w:val="none"/>
        </w:rPr>
        <w:t>本项目需要落实的政府采购政策</w:t>
      </w:r>
    </w:p>
    <w:p w14:paraId="747A44AB">
      <w:pPr>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267D1AD4">
      <w:pPr>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6C5BB0C8">
      <w:pPr>
        <w:spacing w:line="400" w:lineRule="exact"/>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（3）强制采购节能产品；优先采购节能产品、环境标志产品。</w:t>
      </w:r>
    </w:p>
    <w:p w14:paraId="7C99AE2A">
      <w:pPr>
        <w:spacing w:line="400" w:lineRule="exact"/>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（4）政府采购促进残疾人就业政策。</w:t>
      </w:r>
    </w:p>
    <w:p w14:paraId="61A033B5">
      <w:pPr>
        <w:spacing w:line="400" w:lineRule="exact"/>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（5）政府采购支持监狱企业发展。</w:t>
      </w:r>
    </w:p>
    <w:p w14:paraId="4F71A859">
      <w:pPr>
        <w:spacing w:line="4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（6）政府采购扶持不发达地区和少数民族地区政策。</w:t>
      </w:r>
    </w:p>
    <w:p w14:paraId="16BD2D91">
      <w:pPr>
        <w:spacing w:line="400" w:lineRule="exact"/>
        <w:ind w:firstLine="420" w:firstLineChars="200"/>
        <w:rPr>
          <w:color w:val="auto"/>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lang w:eastAsia="zh-CN"/>
        </w:rPr>
        <w:t>）本项目需要落实政府采购异常低价审查政策；</w:t>
      </w:r>
    </w:p>
    <w:p w14:paraId="0EA5AAF0">
      <w:pPr>
        <w:spacing w:line="400" w:lineRule="exact"/>
        <w:ind w:firstLine="420" w:firstLineChars="200"/>
        <w:rPr>
          <w:rFonts w:ascii="宋体" w:hAnsi="宋体" w:eastAsia="宋体" w:cs="Arial"/>
          <w:color w:val="auto"/>
          <w:kern w:val="0"/>
          <w:szCs w:val="21"/>
          <w:highlight w:val="none"/>
        </w:rPr>
      </w:pPr>
      <w:r>
        <w:rPr>
          <w:rFonts w:hint="eastAsia" w:ascii="宋体" w:hAnsi="宋体" w:eastAsia="宋体" w:cs="Arial"/>
          <w:color w:val="auto"/>
          <w:kern w:val="0"/>
          <w:szCs w:val="21"/>
          <w:highlight w:val="none"/>
        </w:rPr>
        <w:t>4</w:t>
      </w:r>
      <w:r>
        <w:rPr>
          <w:rFonts w:ascii="宋体" w:hAnsi="宋体" w:eastAsia="宋体" w:cs="Arial"/>
          <w:color w:val="auto"/>
          <w:kern w:val="0"/>
          <w:szCs w:val="21"/>
          <w:highlight w:val="none"/>
        </w:rPr>
        <w:t xml:space="preserve">.其他注意事项 </w:t>
      </w:r>
      <w:r>
        <w:rPr>
          <w:rFonts w:hint="eastAsia" w:ascii="宋体" w:hAnsi="宋体" w:eastAsia="宋体" w:cs="Arial"/>
          <w:color w:val="auto"/>
          <w:kern w:val="0"/>
          <w:szCs w:val="21"/>
          <w:highlight w:val="none"/>
        </w:rPr>
        <w:t>：</w:t>
      </w:r>
    </w:p>
    <w:p w14:paraId="15EAD94A">
      <w:pPr>
        <w:wordWrap w:val="0"/>
        <w:spacing w:line="400" w:lineRule="exact"/>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 xml:space="preserve">    （2）供应商应及时熟悉掌握电子标系统操作指南（见广西政府采购云平台首页右上角—服务中心—帮助文档—项目采购）：https://helpcenter.zcygov.cn/document/#/document/dashboard?siteCode=gx。</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 xml:space="preserve">    （3）供应商应及时完成CA证书申领和绑定（见广西壮族自治区政府采购网—办事服务—下载专区—广西政府采购云平台CA证书办理操作指南）</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 xml:space="preserve">    （4）供应商通过广西政府采购云平台新版客户端软件制作投标文件，广西政府采购云平台新版客户端软件请供应商自行前往下载并安装（见广西壮族自治区政府采购网—办事服务—下载专区）。</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 xml:space="preserve">    （5）因未注册入库、未办理CA证书、CA证书故障、操作不当、CA证书逾期等原因造成无法投标或投标失败等后果由供应商自行承担。</w:t>
      </w:r>
      <w:r>
        <w:rPr>
          <w:rFonts w:hint="eastAsia" w:ascii="宋体" w:hAnsi="宋体" w:eastAsia="宋体" w:cs="宋体"/>
          <w:color w:val="auto"/>
          <w:kern w:val="0"/>
          <w:szCs w:val="21"/>
          <w:highlight w:val="none"/>
        </w:rPr>
        <w:br w:type="textWrapping"/>
      </w:r>
      <w:r>
        <w:rPr>
          <w:rFonts w:hint="eastAsia" w:ascii="宋体" w:hAnsi="宋体" w:eastAsia="宋体" w:cs="宋体"/>
          <w:color w:val="auto"/>
          <w:kern w:val="0"/>
          <w:szCs w:val="21"/>
          <w:highlight w:val="none"/>
        </w:rPr>
        <w:t xml:space="preserve">    （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中心开启投标文件；供应商超过解密时限的，系统默认自动放弃。</w:t>
      </w:r>
    </w:p>
    <w:bookmarkEnd w:id="38"/>
    <w:p w14:paraId="441BF7FF">
      <w:pPr>
        <w:spacing w:line="400" w:lineRule="exact"/>
        <w:rPr>
          <w:rFonts w:ascii="黑体" w:hAnsi="黑体" w:eastAsia="黑体" w:cs="Times New Roman"/>
          <w:b/>
          <w:bCs/>
          <w:color w:val="auto"/>
          <w:sz w:val="24"/>
          <w:szCs w:val="24"/>
          <w:highlight w:val="none"/>
        </w:rPr>
      </w:pPr>
      <w:r>
        <w:rPr>
          <w:rFonts w:hint="eastAsia" w:ascii="黑体" w:hAnsi="黑体" w:eastAsia="黑体" w:cs="Times New Roman"/>
          <w:b/>
          <w:bCs/>
          <w:color w:val="auto"/>
          <w:sz w:val="24"/>
          <w:szCs w:val="24"/>
          <w:highlight w:val="none"/>
        </w:rPr>
        <w:t>七、对本次招标提出询问，请按</w:t>
      </w:r>
      <w:r>
        <w:rPr>
          <w:rFonts w:ascii="黑体" w:hAnsi="黑体" w:eastAsia="黑体" w:cs="Times New Roman"/>
          <w:b/>
          <w:bCs/>
          <w:color w:val="auto"/>
          <w:sz w:val="24"/>
          <w:szCs w:val="24"/>
          <w:highlight w:val="none"/>
        </w:rPr>
        <w:t>以下方式</w:t>
      </w:r>
      <w:r>
        <w:rPr>
          <w:rFonts w:hint="eastAsia" w:ascii="黑体" w:hAnsi="黑体" w:eastAsia="黑体" w:cs="Times New Roman"/>
          <w:b/>
          <w:bCs/>
          <w:color w:val="auto"/>
          <w:sz w:val="24"/>
          <w:szCs w:val="24"/>
          <w:highlight w:val="none"/>
        </w:rPr>
        <w:t>联系。</w:t>
      </w:r>
      <w:bookmarkEnd w:id="34"/>
      <w:bookmarkEnd w:id="35"/>
      <w:bookmarkEnd w:id="36"/>
      <w:bookmarkEnd w:id="37"/>
    </w:p>
    <w:p w14:paraId="07D4A828">
      <w:pPr>
        <w:spacing w:line="400" w:lineRule="exact"/>
        <w:ind w:firstLine="424" w:firstLineChars="202"/>
        <w:jc w:val="left"/>
        <w:rPr>
          <w:rFonts w:ascii="宋体" w:hAnsi="宋体" w:eastAsia="宋体" w:cs="Times New Roman"/>
          <w:color w:val="auto"/>
          <w:szCs w:val="21"/>
          <w:highlight w:val="none"/>
        </w:rPr>
      </w:pPr>
      <w:r>
        <w:rPr>
          <w:rFonts w:hint="eastAsia" w:ascii="宋体" w:hAnsi="宋体" w:eastAsia="宋体" w:cs="宋体"/>
          <w:color w:val="auto"/>
          <w:szCs w:val="21"/>
          <w:highlight w:val="none"/>
        </w:rPr>
        <w:t>1.招标人信息</w:t>
      </w:r>
    </w:p>
    <w:p w14:paraId="7759D4B0">
      <w:pPr>
        <w:spacing w:line="400" w:lineRule="exact"/>
        <w:ind w:firstLine="424" w:firstLineChars="202"/>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名 称：</w:t>
      </w:r>
      <w:r>
        <w:rPr>
          <w:rFonts w:hint="eastAsia" w:ascii="宋体" w:hAnsi="宋体" w:eastAsia="宋体" w:cs="宋体"/>
          <w:color w:val="auto"/>
          <w:kern w:val="0"/>
          <w:szCs w:val="21"/>
          <w:highlight w:val="none"/>
          <w:lang w:val="zh-CN"/>
        </w:rPr>
        <w:t>梧州市红十字会医院</w:t>
      </w:r>
    </w:p>
    <w:p w14:paraId="6557A756">
      <w:pPr>
        <w:tabs>
          <w:tab w:val="left" w:pos="3420"/>
        </w:tabs>
        <w:spacing w:line="400" w:lineRule="exact"/>
        <w:ind w:firstLine="420" w:firstLineChars="200"/>
        <w:rPr>
          <w:rFonts w:ascii="宋体" w:hAnsi="宋体" w:eastAsia="宋体" w:cs="宋体"/>
          <w:color w:val="auto"/>
          <w:kern w:val="0"/>
          <w:szCs w:val="21"/>
          <w:highlight w:val="none"/>
          <w:lang w:val="zh-CN"/>
        </w:rPr>
      </w:pPr>
      <w:bookmarkStart w:id="39" w:name="_Toc28359009"/>
      <w:bookmarkStart w:id="40" w:name="_Toc28359086"/>
      <w:r>
        <w:rPr>
          <w:rFonts w:hint="eastAsia" w:ascii="宋体" w:hAnsi="宋体" w:eastAsia="宋体" w:cs="宋体"/>
          <w:color w:val="auto"/>
          <w:kern w:val="0"/>
          <w:szCs w:val="21"/>
          <w:highlight w:val="none"/>
          <w:lang w:val="zh-CN"/>
        </w:rPr>
        <w:t>地址：梧州市万秀区新兴一路3-1号</w:t>
      </w:r>
    </w:p>
    <w:p w14:paraId="7013151A">
      <w:pPr>
        <w:spacing w:line="400" w:lineRule="exact"/>
        <w:ind w:firstLine="424" w:firstLineChars="202"/>
        <w:jc w:val="left"/>
        <w:rPr>
          <w:rFonts w:ascii="宋体" w:hAnsi="宋体" w:eastAsia="宋体" w:cs="Times New Roman"/>
          <w:color w:val="auto"/>
          <w:szCs w:val="21"/>
          <w:highlight w:val="none"/>
          <w:u w:val="single"/>
        </w:rPr>
      </w:pPr>
      <w:r>
        <w:rPr>
          <w:rFonts w:hint="eastAsia" w:ascii="宋体" w:hAnsi="宋体" w:eastAsia="宋体" w:cs="宋体"/>
          <w:color w:val="auto"/>
          <w:kern w:val="0"/>
          <w:szCs w:val="21"/>
          <w:highlight w:val="none"/>
        </w:rPr>
        <w:t>联系方式：马先生，电话：0774-3821961</w:t>
      </w:r>
    </w:p>
    <w:p w14:paraId="36254979">
      <w:pPr>
        <w:spacing w:line="400" w:lineRule="exact"/>
        <w:ind w:firstLine="424" w:firstLineChars="202"/>
        <w:jc w:val="left"/>
        <w:rPr>
          <w:rFonts w:ascii="宋体" w:hAnsi="宋体" w:eastAsia="宋体" w:cs="Times New Roman"/>
          <w:color w:val="auto"/>
          <w:szCs w:val="21"/>
          <w:highlight w:val="none"/>
        </w:rPr>
      </w:pPr>
      <w:r>
        <w:rPr>
          <w:rFonts w:hint="eastAsia" w:ascii="宋体" w:hAnsi="宋体" w:eastAsia="宋体" w:cs="宋体"/>
          <w:color w:val="auto"/>
          <w:szCs w:val="21"/>
          <w:highlight w:val="none"/>
        </w:rPr>
        <w:t>2.采购代理机构信息</w:t>
      </w:r>
      <w:bookmarkEnd w:id="39"/>
      <w:bookmarkEnd w:id="40"/>
    </w:p>
    <w:p w14:paraId="0BBAB8D3">
      <w:pPr>
        <w:spacing w:line="400" w:lineRule="exact"/>
        <w:ind w:firstLine="424" w:firstLineChars="202"/>
        <w:rPr>
          <w:rFonts w:ascii="宋体" w:hAnsi="宋体" w:eastAsia="宋体" w:cs="Times New Roman"/>
          <w:color w:val="auto"/>
          <w:szCs w:val="21"/>
          <w:highlight w:val="none"/>
        </w:rPr>
      </w:pPr>
      <w:bookmarkStart w:id="41" w:name="_Toc28359087"/>
      <w:bookmarkStart w:id="42" w:name="_Toc28359010"/>
      <w:r>
        <w:rPr>
          <w:rFonts w:hint="eastAsia" w:ascii="宋体" w:hAnsi="宋体" w:eastAsia="宋体" w:cs="Times New Roman"/>
          <w:color w:val="auto"/>
          <w:szCs w:val="21"/>
          <w:highlight w:val="none"/>
        </w:rPr>
        <w:t>名称：中经国际招标集团有限公司</w:t>
      </w:r>
    </w:p>
    <w:p w14:paraId="685B62B9">
      <w:pPr>
        <w:spacing w:line="400" w:lineRule="exact"/>
        <w:ind w:firstLine="424" w:firstLineChars="202"/>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地址：</w:t>
      </w:r>
      <w:r>
        <w:rPr>
          <w:rFonts w:hint="eastAsia" w:ascii="Times New Roman" w:hAnsi="Times New Roman" w:eastAsia="宋体" w:cs="Times New Roman"/>
          <w:color w:val="auto"/>
          <w:szCs w:val="24"/>
          <w:highlight w:val="none"/>
        </w:rPr>
        <w:t>梧州市长洲区新兴二路1</w:t>
      </w:r>
      <w:r>
        <w:rPr>
          <w:rFonts w:ascii="Times New Roman" w:hAnsi="Times New Roman" w:eastAsia="宋体" w:cs="Times New Roman"/>
          <w:color w:val="auto"/>
          <w:szCs w:val="24"/>
          <w:highlight w:val="none"/>
        </w:rPr>
        <w:t>25号梧州日报社</w:t>
      </w:r>
      <w:r>
        <w:rPr>
          <w:rFonts w:hint="eastAsia" w:ascii="Times New Roman" w:hAnsi="Times New Roman" w:eastAsia="宋体" w:cs="Times New Roman"/>
          <w:color w:val="auto"/>
          <w:szCs w:val="24"/>
          <w:highlight w:val="none"/>
        </w:rPr>
        <w:t>8楼</w:t>
      </w:r>
    </w:p>
    <w:p w14:paraId="6AE2BA63">
      <w:pPr>
        <w:tabs>
          <w:tab w:val="left" w:pos="3420"/>
        </w:tabs>
        <w:spacing w:line="400" w:lineRule="exact"/>
        <w:ind w:firstLine="420" w:firstLineChars="200"/>
        <w:rPr>
          <w:rFonts w:hint="eastAsia" w:ascii="宋体" w:hAnsi="宋体" w:eastAsia="宋体" w:cs="宋体"/>
          <w:color w:val="auto"/>
          <w:kern w:val="0"/>
          <w:szCs w:val="21"/>
          <w:highlight w:val="none"/>
          <w:lang w:val="zh-CN" w:eastAsia="zh-CN"/>
        </w:rPr>
      </w:pPr>
      <w:r>
        <w:rPr>
          <w:rFonts w:hint="eastAsia" w:ascii="宋体" w:hAnsi="宋体" w:eastAsia="宋体" w:cs="宋体"/>
          <w:color w:val="auto"/>
          <w:kern w:val="0"/>
          <w:szCs w:val="21"/>
          <w:highlight w:val="none"/>
          <w:lang w:val="zh-CN"/>
        </w:rPr>
        <w:t>项目联系人：</w:t>
      </w:r>
      <w:r>
        <w:rPr>
          <w:rFonts w:hint="eastAsia" w:ascii="宋体" w:hAnsi="宋体" w:eastAsia="宋体" w:cs="宋体"/>
          <w:color w:val="auto"/>
          <w:kern w:val="0"/>
          <w:szCs w:val="21"/>
          <w:highlight w:val="none"/>
          <w:lang w:val="en-US" w:eastAsia="zh-CN"/>
        </w:rPr>
        <w:t>黄诗宇</w:t>
      </w:r>
    </w:p>
    <w:p w14:paraId="62E08B1E">
      <w:pPr>
        <w:tabs>
          <w:tab w:val="left" w:pos="3420"/>
        </w:tabs>
        <w:spacing w:line="400" w:lineRule="exact"/>
        <w:ind w:firstLine="420" w:firstLineChars="200"/>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电　　话：0774</w:t>
      </w:r>
      <w:r>
        <w:rPr>
          <w:rFonts w:hint="eastAsia" w:ascii="Times New Roman" w:hAnsi="Times New Roman" w:eastAsia="宋体" w:cs="Times New Roman"/>
          <w:color w:val="auto"/>
          <w:szCs w:val="24"/>
          <w:highlight w:val="none"/>
        </w:rPr>
        <w:t>-38</w:t>
      </w:r>
      <w:r>
        <w:rPr>
          <w:rFonts w:ascii="Times New Roman" w:hAnsi="Times New Roman" w:eastAsia="宋体" w:cs="Times New Roman"/>
          <w:color w:val="auto"/>
          <w:szCs w:val="24"/>
          <w:highlight w:val="none"/>
        </w:rPr>
        <w:t>19193</w:t>
      </w:r>
    </w:p>
    <w:bookmarkEnd w:id="41"/>
    <w:bookmarkEnd w:id="42"/>
    <w:p w14:paraId="4A159D95">
      <w:pPr>
        <w:wordWrap w:val="0"/>
        <w:jc w:val="right"/>
        <w:rPr>
          <w:rFonts w:ascii="Times New Roman" w:hAnsi="Times New Roman" w:eastAsia="宋体" w:cs="Times New Roman"/>
          <w:color w:val="auto"/>
          <w:szCs w:val="24"/>
          <w:highlight w:val="none"/>
        </w:rPr>
      </w:pPr>
      <w:r>
        <w:rPr>
          <w:rFonts w:hint="eastAsia" w:ascii="Times New Roman" w:hAnsi="Times New Roman" w:eastAsia="宋体" w:cs="Times New Roman"/>
          <w:color w:val="auto"/>
          <w:szCs w:val="24"/>
          <w:highlight w:val="none"/>
        </w:rPr>
        <w:t xml:space="preserve"> 中经国际招标集团有限公司</w:t>
      </w:r>
    </w:p>
    <w:p w14:paraId="3C87F9FE">
      <w:pPr>
        <w:spacing w:line="360" w:lineRule="auto"/>
        <w:ind w:right="420" w:firstLine="7140" w:firstLineChars="3400"/>
        <w:rPr>
          <w:rFonts w:ascii="Times New Roman" w:hAnsi="Times New Roman" w:eastAsia="宋体" w:cs="Times New Roman"/>
          <w:color w:val="auto"/>
          <w:szCs w:val="24"/>
          <w:highlight w:val="none"/>
        </w:rPr>
      </w:pPr>
    </w:p>
    <w:p w14:paraId="5F17DA65">
      <w:pPr>
        <w:spacing w:line="360" w:lineRule="auto"/>
        <w:ind w:right="420"/>
        <w:jc w:val="right"/>
        <w:rPr>
          <w:rFonts w:ascii="宋体" w:hAnsi="宋体" w:eastAsia="宋体" w:cs="Times New Roman"/>
          <w:color w:val="auto"/>
          <w:szCs w:val="21"/>
          <w:highlight w:val="none"/>
        </w:rPr>
      </w:pPr>
      <w:r>
        <w:rPr>
          <w:rFonts w:hint="eastAsia" w:ascii="Times New Roman" w:hAnsi="Times New Roman" w:eastAsia="宋体" w:cs="Times New Roman"/>
          <w:color w:val="auto"/>
          <w:szCs w:val="24"/>
          <w:highlight w:val="none"/>
        </w:rPr>
        <w:t>2026年</w:t>
      </w:r>
      <w:r>
        <w:rPr>
          <w:rFonts w:hint="eastAsia" w:ascii="Times New Roman" w:hAnsi="Times New Roman" w:eastAsia="宋体" w:cs="Times New Roman"/>
          <w:color w:val="auto"/>
          <w:szCs w:val="24"/>
          <w:highlight w:val="none"/>
          <w:lang w:val="en-US" w:eastAsia="zh-CN"/>
        </w:rPr>
        <w:t>8</w:t>
      </w:r>
      <w:r>
        <w:rPr>
          <w:rFonts w:hint="eastAsia" w:ascii="Times New Roman" w:hAnsi="Times New Roman" w:eastAsia="宋体" w:cs="Times New Roman"/>
          <w:color w:val="auto"/>
          <w:szCs w:val="24"/>
          <w:highlight w:val="none"/>
        </w:rPr>
        <w:t xml:space="preserve"> 月</w:t>
      </w:r>
      <w:r>
        <w:rPr>
          <w:rFonts w:ascii="Times New Roman" w:hAnsi="Times New Roman" w:eastAsia="宋体" w:cs="Times New Roman"/>
          <w:color w:val="auto"/>
          <w:szCs w:val="24"/>
          <w:highlight w:val="none"/>
        </w:rPr>
        <w:t xml:space="preserve"> </w:t>
      </w:r>
      <w:r>
        <w:rPr>
          <w:rFonts w:hint="eastAsia" w:ascii="Times New Roman" w:hAnsi="Times New Roman" w:eastAsia="宋体" w:cs="Times New Roman"/>
          <w:color w:val="auto"/>
          <w:szCs w:val="24"/>
          <w:highlight w:val="none"/>
          <w:lang w:val="en-US" w:eastAsia="zh-CN"/>
        </w:rPr>
        <w:t>28</w:t>
      </w:r>
      <w:r>
        <w:rPr>
          <w:rFonts w:hint="eastAsia" w:ascii="Times New Roman" w:hAnsi="Times New Roman" w:eastAsia="宋体" w:cs="Times New Roman"/>
          <w:color w:val="auto"/>
          <w:szCs w:val="24"/>
          <w:highlight w:val="none"/>
        </w:rPr>
        <w:t>日</w:t>
      </w:r>
    </w:p>
    <w:p w14:paraId="4E586A15">
      <w:pPr>
        <w:tabs>
          <w:tab w:val="left" w:pos="0"/>
          <w:tab w:val="left" w:pos="3165"/>
          <w:tab w:val="center" w:pos="4153"/>
        </w:tabs>
        <w:autoSpaceDE w:val="0"/>
        <w:autoSpaceDN w:val="0"/>
        <w:adjustRightInd w:val="0"/>
        <w:spacing w:line="360" w:lineRule="auto"/>
        <w:jc w:val="center"/>
        <w:outlineLvl w:val="0"/>
        <w:rPr>
          <w:rFonts w:ascii="Times New Roman" w:hAnsi="Times New Roman" w:eastAsia="宋体" w:cs="Times New Roman"/>
          <w:b/>
          <w:bCs/>
          <w:color w:val="auto"/>
          <w:kern w:val="44"/>
          <w:sz w:val="44"/>
          <w:szCs w:val="44"/>
          <w:highlight w:val="none"/>
          <w:lang w:val="zh-CN"/>
        </w:rPr>
      </w:pPr>
      <w:bookmarkStart w:id="43" w:name="_Toc74323512"/>
    </w:p>
    <w:p w14:paraId="2D4F4299">
      <w:pPr>
        <w:pStyle w:val="2"/>
        <w:rPr>
          <w:rFonts w:ascii="Times New Roman" w:hAnsi="Times New Roman" w:eastAsia="宋体" w:cs="Times New Roman"/>
          <w:b/>
          <w:bCs/>
          <w:color w:val="auto"/>
          <w:kern w:val="44"/>
          <w:sz w:val="44"/>
          <w:szCs w:val="44"/>
          <w:highlight w:val="none"/>
          <w:lang w:val="zh-CN"/>
        </w:rPr>
      </w:pPr>
    </w:p>
    <w:p w14:paraId="2DA4C272">
      <w:pPr>
        <w:pStyle w:val="2"/>
        <w:rPr>
          <w:rFonts w:ascii="Times New Roman" w:hAnsi="Times New Roman" w:eastAsia="宋体" w:cs="Times New Roman"/>
          <w:b/>
          <w:bCs/>
          <w:color w:val="auto"/>
          <w:kern w:val="44"/>
          <w:sz w:val="44"/>
          <w:szCs w:val="44"/>
          <w:highlight w:val="none"/>
          <w:lang w:val="zh-CN"/>
        </w:rPr>
      </w:pPr>
    </w:p>
    <w:p w14:paraId="2A32FE23">
      <w:pPr>
        <w:tabs>
          <w:tab w:val="left" w:pos="0"/>
          <w:tab w:val="left" w:pos="3165"/>
          <w:tab w:val="center" w:pos="4153"/>
        </w:tabs>
        <w:autoSpaceDE w:val="0"/>
        <w:autoSpaceDN w:val="0"/>
        <w:adjustRightInd w:val="0"/>
        <w:spacing w:line="360" w:lineRule="auto"/>
        <w:jc w:val="center"/>
        <w:outlineLvl w:val="0"/>
        <w:rPr>
          <w:rFonts w:hint="eastAsia" w:ascii="Times New Roman" w:hAnsi="Times New Roman" w:eastAsia="宋体" w:cs="Times New Roman"/>
          <w:b/>
          <w:bCs/>
          <w:color w:val="auto"/>
          <w:kern w:val="44"/>
          <w:sz w:val="44"/>
          <w:szCs w:val="44"/>
          <w:highlight w:val="none"/>
          <w:lang w:val="zh-CN"/>
        </w:rPr>
      </w:pPr>
    </w:p>
    <w:p w14:paraId="2AB947CC">
      <w:pPr>
        <w:tabs>
          <w:tab w:val="left" w:pos="0"/>
          <w:tab w:val="left" w:pos="3165"/>
          <w:tab w:val="center" w:pos="4153"/>
        </w:tabs>
        <w:autoSpaceDE w:val="0"/>
        <w:autoSpaceDN w:val="0"/>
        <w:adjustRightInd w:val="0"/>
        <w:spacing w:line="360" w:lineRule="auto"/>
        <w:jc w:val="center"/>
        <w:outlineLvl w:val="0"/>
        <w:rPr>
          <w:rFonts w:ascii="Times New Roman" w:hAnsi="Times New Roman" w:eastAsia="宋体" w:cs="Times New Roman"/>
          <w:b/>
          <w:bCs/>
          <w:color w:val="auto"/>
          <w:kern w:val="44"/>
          <w:sz w:val="44"/>
          <w:szCs w:val="44"/>
          <w:highlight w:val="none"/>
          <w:lang w:val="zh-CN"/>
        </w:rPr>
      </w:pPr>
      <w:r>
        <w:rPr>
          <w:rFonts w:hint="eastAsia" w:ascii="Times New Roman" w:hAnsi="Times New Roman" w:eastAsia="宋体" w:cs="Times New Roman"/>
          <w:b/>
          <w:bCs/>
          <w:color w:val="auto"/>
          <w:kern w:val="44"/>
          <w:sz w:val="44"/>
          <w:szCs w:val="44"/>
          <w:highlight w:val="none"/>
          <w:lang w:val="zh-CN"/>
        </w:rPr>
        <w:t>第二章  采购需求</w:t>
      </w:r>
      <w:bookmarkEnd w:id="43"/>
    </w:p>
    <w:p w14:paraId="780F221D">
      <w:pPr>
        <w:snapToGrid w:val="0"/>
        <w:spacing w:line="460" w:lineRule="exact"/>
        <w:ind w:left="238"/>
        <w:jc w:val="center"/>
        <w:rPr>
          <w:rFonts w:ascii="仿宋_GB2312" w:hAnsi="宋体" w:eastAsia="仿宋_GB2312" w:cs="Times New Roman"/>
          <w:color w:val="auto"/>
          <w:sz w:val="24"/>
          <w:szCs w:val="20"/>
          <w:highlight w:val="none"/>
        </w:rPr>
      </w:pPr>
    </w:p>
    <w:p w14:paraId="0ADAEB2B">
      <w:pPr>
        <w:spacing w:line="460" w:lineRule="exact"/>
        <w:jc w:val="left"/>
        <w:rPr>
          <w:rFonts w:ascii="宋体" w:hAnsi="宋体" w:eastAsia="宋体" w:cs="宋体"/>
          <w:color w:val="auto"/>
          <w:sz w:val="24"/>
          <w:szCs w:val="24"/>
          <w:highlight w:val="none"/>
        </w:rPr>
      </w:pPr>
      <w:bookmarkStart w:id="44" w:name="_Toc254970490"/>
      <w:bookmarkStart w:id="45" w:name="_Toc254970631"/>
      <w:r>
        <w:rPr>
          <w:rFonts w:hint="eastAsia" w:ascii="宋体" w:hAnsi="宋体" w:eastAsia="宋体" w:cs="宋体"/>
          <w:color w:val="auto"/>
          <w:sz w:val="24"/>
          <w:szCs w:val="24"/>
          <w:highlight w:val="none"/>
        </w:rPr>
        <w:t>说明：</w:t>
      </w:r>
    </w:p>
    <w:p w14:paraId="31EDF2A6">
      <w:pPr>
        <w:pStyle w:val="69"/>
        <w:spacing w:line="460" w:lineRule="exact"/>
        <w:ind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1.根据《财政部 发展改革委 生态环境部 市场监管总局关于调整优化节能产品、环境标志产品政府采购执行机制的通知》（财库〔2019〕9号）和《关于印发节能产品政府采购品目清单的通知》（财库〔2019〕19号）的规定，节能产品政府采购品目清单内标注“★”的品目属于政府强制采购节能产品，如本项目包含的货物属于品目清单内标注“★”的产品时，投标人的投标货物必须使用政府强制采购的节能产品，投标人必须在投标文件中提供所投标产品的节能产品认证证书复印件（加盖投标人公章），否则投标文件作无效处理。如本项目包含的货物属于品目清单内非标注“★”的产品时，应优先采购，具体详见“第四章 评标方法和评标标准”。</w:t>
      </w:r>
    </w:p>
    <w:p w14:paraId="261A36F2">
      <w:pPr>
        <w:spacing w:line="460" w:lineRule="exact"/>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rPr>
        <w:t>.“实质性要求”是指招标文件中已经指明不满足则投标无效的条款，或者不能负偏离的条款，或者采购需求中带“▲”的条款。（带“▲”的条款需提供相关证明材料（包括但不限于彩页、官网和功能截图等））</w:t>
      </w:r>
    </w:p>
    <w:p w14:paraId="24B39BC9">
      <w:pPr>
        <w:adjustRightInd w:val="0"/>
        <w:spacing w:line="460" w:lineRule="exact"/>
        <w:ind w:left="6"/>
        <w:rPr>
          <w:rFonts w:ascii="宋体" w:hAnsi="宋体" w:eastAsia="宋体" w:cs="宋体"/>
          <w:color w:val="auto"/>
          <w:sz w:val="24"/>
          <w:szCs w:val="24"/>
          <w:highlight w:val="none"/>
        </w:rPr>
      </w:pPr>
      <w:r>
        <w:rPr>
          <w:rFonts w:ascii="宋体" w:hAnsi="宋体" w:eastAsia="宋体" w:cs="宋体"/>
          <w:color w:val="auto"/>
          <w:sz w:val="24"/>
          <w:szCs w:val="24"/>
          <w:highlight w:val="none"/>
        </w:rPr>
        <w:t>3</w:t>
      </w:r>
      <w:r>
        <w:rPr>
          <w:rFonts w:hint="eastAsia" w:ascii="宋体" w:hAnsi="宋体" w:eastAsia="宋体" w:cs="宋体"/>
          <w:color w:val="auto"/>
          <w:sz w:val="24"/>
          <w:szCs w:val="24"/>
          <w:highlight w:val="none"/>
        </w:rPr>
        <w:t>.采购需求中出现的品牌、型号或者生产厂家仅起参考作用，不属于指定品牌、型号或者生产厂家的情形。投标人可参照或者选用其他相当的品牌、型号或者生产厂家替代，但选用的投标产品参数性能必须</w:t>
      </w:r>
      <w:r>
        <w:rPr>
          <w:rFonts w:hint="eastAsia" w:ascii="Times New Roman" w:hAnsi="宋体" w:eastAsia="宋体" w:cs="Times New Roman"/>
          <w:color w:val="auto"/>
          <w:sz w:val="24"/>
          <w:szCs w:val="24"/>
          <w:highlight w:val="none"/>
        </w:rPr>
        <w:t>在实质性要求和条件上</w:t>
      </w:r>
      <w:r>
        <w:rPr>
          <w:rFonts w:hint="eastAsia" w:ascii="宋体" w:hAnsi="宋体" w:eastAsia="宋体" w:cs="宋体"/>
          <w:color w:val="auto"/>
          <w:sz w:val="24"/>
          <w:szCs w:val="24"/>
          <w:highlight w:val="none"/>
        </w:rPr>
        <w:t>要相当于或优于参</w:t>
      </w:r>
      <w:r>
        <w:rPr>
          <w:rFonts w:hint="eastAsia" w:ascii="Times New Roman" w:hAnsi="宋体" w:eastAsia="宋体" w:cs="Times New Roman"/>
          <w:color w:val="auto"/>
          <w:sz w:val="24"/>
          <w:szCs w:val="24"/>
          <w:highlight w:val="none"/>
        </w:rPr>
        <w:t>考品牌、型号。</w:t>
      </w:r>
    </w:p>
    <w:p w14:paraId="5DA4D77A">
      <w:pPr>
        <w:spacing w:line="46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4.本采购需求一览表中无核心产品</w:t>
      </w:r>
    </w:p>
    <w:p w14:paraId="4C71F63F">
      <w:pPr>
        <w:pStyle w:val="144"/>
        <w:spacing w:line="460" w:lineRule="exact"/>
        <w:rPr>
          <w:rFonts w:hAnsi="宋体"/>
          <w:color w:val="auto"/>
          <w:highlight w:val="none"/>
        </w:rPr>
      </w:pPr>
      <w:r>
        <w:rPr>
          <w:rFonts w:hint="eastAsia" w:hAnsi="宋体"/>
          <w:color w:val="auto"/>
          <w:highlight w:val="none"/>
        </w:rPr>
        <w:t>5.本项目标的所属行业均为：工业；划分依据：《关于印发中小企业划型标准规定的通知》（工信部联企业[2011]300号）</w:t>
      </w:r>
    </w:p>
    <w:p w14:paraId="353CB806">
      <w:pPr>
        <w:pStyle w:val="144"/>
        <w:rPr>
          <w:color w:val="auto"/>
          <w:highlight w:val="none"/>
        </w:rPr>
      </w:pPr>
    </w:p>
    <w:p w14:paraId="3BE8AF91">
      <w:pPr>
        <w:spacing w:line="360" w:lineRule="auto"/>
        <w:ind w:firstLine="421"/>
        <w:jc w:val="left"/>
        <w:rPr>
          <w:rFonts w:ascii="宋体" w:hAnsi="宋体" w:eastAsia="宋体" w:cs="Arial"/>
          <w:b/>
          <w:color w:val="auto"/>
          <w:sz w:val="28"/>
          <w:szCs w:val="28"/>
          <w:highlight w:val="none"/>
          <w:u w:val="single"/>
        </w:rPr>
      </w:pPr>
    </w:p>
    <w:p w14:paraId="69D61A96">
      <w:pPr>
        <w:spacing w:line="360" w:lineRule="auto"/>
        <w:ind w:firstLine="421"/>
        <w:jc w:val="left"/>
        <w:rPr>
          <w:rFonts w:ascii="宋体" w:hAnsi="宋体" w:eastAsia="宋体" w:cs="Arial"/>
          <w:b/>
          <w:color w:val="auto"/>
          <w:sz w:val="28"/>
          <w:szCs w:val="28"/>
          <w:highlight w:val="none"/>
          <w:u w:val="single"/>
        </w:rPr>
      </w:pPr>
    </w:p>
    <w:p w14:paraId="28389435">
      <w:pPr>
        <w:spacing w:line="360" w:lineRule="auto"/>
        <w:ind w:firstLine="421"/>
        <w:jc w:val="left"/>
        <w:rPr>
          <w:rFonts w:ascii="宋体" w:hAnsi="宋体" w:eastAsia="宋体" w:cs="Arial"/>
          <w:b/>
          <w:color w:val="auto"/>
          <w:sz w:val="28"/>
          <w:szCs w:val="28"/>
          <w:highlight w:val="none"/>
          <w:u w:val="single"/>
        </w:rPr>
      </w:pPr>
    </w:p>
    <w:p w14:paraId="1F583D62">
      <w:pPr>
        <w:spacing w:line="360" w:lineRule="auto"/>
        <w:ind w:firstLine="421"/>
        <w:jc w:val="left"/>
        <w:rPr>
          <w:rFonts w:ascii="宋体" w:hAnsi="宋体" w:eastAsia="宋体" w:cs="Arial"/>
          <w:b/>
          <w:color w:val="auto"/>
          <w:sz w:val="28"/>
          <w:szCs w:val="28"/>
          <w:highlight w:val="none"/>
          <w:u w:val="single"/>
        </w:rPr>
      </w:pPr>
    </w:p>
    <w:p w14:paraId="6DFA4826">
      <w:pPr>
        <w:spacing w:line="360" w:lineRule="auto"/>
        <w:ind w:firstLine="421"/>
        <w:jc w:val="left"/>
        <w:rPr>
          <w:rFonts w:ascii="宋体" w:hAnsi="宋体" w:eastAsia="宋体" w:cs="Arial"/>
          <w:b/>
          <w:color w:val="auto"/>
          <w:sz w:val="28"/>
          <w:szCs w:val="28"/>
          <w:highlight w:val="none"/>
          <w:u w:val="single"/>
        </w:rPr>
      </w:pPr>
    </w:p>
    <w:p w14:paraId="54346376">
      <w:pPr>
        <w:spacing w:line="360" w:lineRule="auto"/>
        <w:ind w:firstLine="421"/>
        <w:jc w:val="left"/>
        <w:rPr>
          <w:rFonts w:ascii="宋体" w:hAnsi="宋体" w:eastAsia="宋体" w:cs="Arial"/>
          <w:b/>
          <w:color w:val="auto"/>
          <w:sz w:val="28"/>
          <w:szCs w:val="28"/>
          <w:highlight w:val="none"/>
          <w:u w:val="single"/>
        </w:rPr>
      </w:pPr>
    </w:p>
    <w:p w14:paraId="17DE8D36">
      <w:pPr>
        <w:pStyle w:val="144"/>
        <w:rPr>
          <w:rFonts w:hAnsi="宋体" w:cs="Arial"/>
          <w:b/>
          <w:color w:val="auto"/>
          <w:sz w:val="28"/>
          <w:szCs w:val="28"/>
          <w:highlight w:val="none"/>
          <w:u w:val="single"/>
        </w:rPr>
      </w:pPr>
    </w:p>
    <w:p w14:paraId="552DDB9F">
      <w:pPr>
        <w:pStyle w:val="21"/>
        <w:spacing w:line="400" w:lineRule="exact"/>
        <w:jc w:val="left"/>
        <w:rPr>
          <w:rFonts w:hAnsi="宋体"/>
          <w:b/>
          <w:color w:val="auto"/>
          <w:sz w:val="32"/>
          <w:highlight w:val="none"/>
        </w:rPr>
      </w:pPr>
      <w:r>
        <w:rPr>
          <w:rFonts w:hint="eastAsia" w:hAnsi="宋体"/>
          <w:b/>
          <w:color w:val="auto"/>
          <w:sz w:val="32"/>
          <w:highlight w:val="none"/>
        </w:rPr>
        <w:t>附件</w:t>
      </w:r>
    </w:p>
    <w:p w14:paraId="2E522380">
      <w:pPr>
        <w:spacing w:line="528" w:lineRule="exact"/>
        <w:ind w:firstLine="280" w:firstLineChars="100"/>
        <w:jc w:val="center"/>
        <w:rPr>
          <w:rFonts w:ascii="宋体" w:hAnsi="宋体" w:cs="宋体"/>
          <w:color w:val="auto"/>
          <w:sz w:val="28"/>
          <w:szCs w:val="28"/>
          <w:highlight w:val="none"/>
        </w:rPr>
      </w:pPr>
      <w:r>
        <w:rPr>
          <w:rFonts w:hint="eastAsia" w:ascii="宋体" w:hAnsi="宋体" w:cs="宋体"/>
          <w:color w:val="auto"/>
          <w:sz w:val="28"/>
          <w:szCs w:val="28"/>
          <w:highlight w:val="none"/>
        </w:rPr>
        <w:t>中小微企业划型标准</w:t>
      </w:r>
    </w:p>
    <w:tbl>
      <w:tblPr>
        <w:tblStyle w:val="37"/>
        <w:tblW w:w="4997" w:type="pct"/>
        <w:tblInd w:w="0" w:type="dxa"/>
        <w:tblLayout w:type="autofit"/>
        <w:tblCellMar>
          <w:top w:w="0" w:type="dxa"/>
          <w:left w:w="108" w:type="dxa"/>
          <w:bottom w:w="0" w:type="dxa"/>
          <w:right w:w="108" w:type="dxa"/>
        </w:tblCellMar>
      </w:tblPr>
      <w:tblGrid>
        <w:gridCol w:w="1449"/>
        <w:gridCol w:w="1705"/>
        <w:gridCol w:w="1136"/>
        <w:gridCol w:w="1850"/>
        <w:gridCol w:w="1574"/>
        <w:gridCol w:w="1010"/>
      </w:tblGrid>
      <w:tr w14:paraId="4711B980">
        <w:tblPrEx>
          <w:tblCellMar>
            <w:top w:w="0" w:type="dxa"/>
            <w:left w:w="108" w:type="dxa"/>
            <w:bottom w:w="0" w:type="dxa"/>
            <w:right w:w="108" w:type="dxa"/>
          </w:tblCellMar>
        </w:tblPrEx>
        <w:trPr>
          <w:trHeight w:val="279" w:hRule="atLeast"/>
        </w:trPr>
        <w:tc>
          <w:tcPr>
            <w:tcW w:w="830" w:type="pct"/>
            <w:tcBorders>
              <w:top w:val="single" w:color="auto" w:sz="4" w:space="0"/>
              <w:left w:val="single" w:color="auto" w:sz="4" w:space="0"/>
              <w:bottom w:val="single" w:color="auto" w:sz="4" w:space="0"/>
              <w:right w:val="single" w:color="auto" w:sz="4" w:space="0"/>
            </w:tcBorders>
            <w:vAlign w:val="center"/>
          </w:tcPr>
          <w:p w14:paraId="0AFFF779">
            <w:pPr>
              <w:widowControl/>
              <w:jc w:val="left"/>
              <w:rPr>
                <w:rFonts w:ascii="宋体" w:hAnsi="宋体" w:cs="宋体"/>
                <w:color w:val="auto"/>
                <w:szCs w:val="21"/>
                <w:highlight w:val="none"/>
              </w:rPr>
            </w:pPr>
            <w:r>
              <w:rPr>
                <w:rFonts w:hint="eastAsia" w:ascii="宋体" w:hAnsi="宋体" w:cs="宋体"/>
                <w:color w:val="auto"/>
                <w:szCs w:val="21"/>
                <w:highlight w:val="none"/>
              </w:rPr>
              <w:t>行业名称</w:t>
            </w:r>
          </w:p>
        </w:tc>
        <w:tc>
          <w:tcPr>
            <w:tcW w:w="977" w:type="pct"/>
            <w:tcBorders>
              <w:top w:val="single" w:color="auto" w:sz="4" w:space="0"/>
              <w:left w:val="nil"/>
              <w:bottom w:val="single" w:color="auto" w:sz="4" w:space="0"/>
              <w:right w:val="single" w:color="auto" w:sz="4" w:space="0"/>
            </w:tcBorders>
            <w:vAlign w:val="center"/>
          </w:tcPr>
          <w:p w14:paraId="20C4DA8C">
            <w:pPr>
              <w:widowControl/>
              <w:jc w:val="left"/>
              <w:rPr>
                <w:rFonts w:ascii="宋体" w:hAnsi="宋体" w:cs="宋体"/>
                <w:color w:val="auto"/>
                <w:szCs w:val="21"/>
                <w:highlight w:val="none"/>
              </w:rPr>
            </w:pPr>
            <w:r>
              <w:rPr>
                <w:rFonts w:hint="eastAsia" w:ascii="宋体" w:hAnsi="宋体" w:cs="宋体"/>
                <w:color w:val="auto"/>
                <w:szCs w:val="21"/>
                <w:highlight w:val="none"/>
              </w:rPr>
              <w:t>指标名称</w:t>
            </w:r>
          </w:p>
        </w:tc>
        <w:tc>
          <w:tcPr>
            <w:tcW w:w="651" w:type="pct"/>
            <w:tcBorders>
              <w:top w:val="single" w:color="auto" w:sz="4" w:space="0"/>
              <w:left w:val="nil"/>
              <w:bottom w:val="single" w:color="auto" w:sz="4" w:space="0"/>
              <w:right w:val="single" w:color="auto" w:sz="4" w:space="0"/>
            </w:tcBorders>
            <w:vAlign w:val="center"/>
          </w:tcPr>
          <w:p w14:paraId="4E70F39E">
            <w:pPr>
              <w:widowControl/>
              <w:jc w:val="left"/>
              <w:rPr>
                <w:rFonts w:ascii="宋体" w:hAnsi="宋体" w:cs="宋体"/>
                <w:color w:val="auto"/>
                <w:szCs w:val="21"/>
                <w:highlight w:val="none"/>
              </w:rPr>
            </w:pPr>
            <w:r>
              <w:rPr>
                <w:rFonts w:hint="eastAsia" w:ascii="宋体" w:hAnsi="宋体" w:cs="宋体"/>
                <w:color w:val="auto"/>
                <w:szCs w:val="21"/>
                <w:highlight w:val="none"/>
              </w:rPr>
              <w:t>计量单位</w:t>
            </w:r>
          </w:p>
        </w:tc>
        <w:tc>
          <w:tcPr>
            <w:tcW w:w="1060" w:type="pct"/>
            <w:tcBorders>
              <w:top w:val="single" w:color="auto" w:sz="4" w:space="0"/>
              <w:left w:val="nil"/>
              <w:bottom w:val="single" w:color="auto" w:sz="4" w:space="0"/>
              <w:right w:val="single" w:color="auto" w:sz="4" w:space="0"/>
            </w:tcBorders>
            <w:vAlign w:val="center"/>
          </w:tcPr>
          <w:p w14:paraId="04AAB2B9">
            <w:pPr>
              <w:widowControl/>
              <w:jc w:val="left"/>
              <w:rPr>
                <w:rFonts w:ascii="宋体" w:hAnsi="宋体" w:cs="宋体"/>
                <w:color w:val="auto"/>
                <w:szCs w:val="21"/>
                <w:highlight w:val="none"/>
              </w:rPr>
            </w:pPr>
            <w:r>
              <w:rPr>
                <w:rFonts w:hint="eastAsia" w:ascii="宋体" w:hAnsi="宋体" w:cs="宋体"/>
                <w:color w:val="auto"/>
                <w:szCs w:val="21"/>
                <w:highlight w:val="none"/>
              </w:rPr>
              <w:t>中型</w:t>
            </w:r>
          </w:p>
        </w:tc>
        <w:tc>
          <w:tcPr>
            <w:tcW w:w="902" w:type="pct"/>
            <w:tcBorders>
              <w:top w:val="single" w:color="auto" w:sz="4" w:space="0"/>
              <w:left w:val="nil"/>
              <w:bottom w:val="single" w:color="auto" w:sz="4" w:space="0"/>
              <w:right w:val="single" w:color="auto" w:sz="4" w:space="0"/>
            </w:tcBorders>
            <w:vAlign w:val="center"/>
          </w:tcPr>
          <w:p w14:paraId="08D6E25F">
            <w:pPr>
              <w:widowControl/>
              <w:jc w:val="left"/>
              <w:rPr>
                <w:rFonts w:ascii="宋体" w:hAnsi="宋体" w:cs="宋体"/>
                <w:color w:val="auto"/>
                <w:szCs w:val="21"/>
                <w:highlight w:val="none"/>
              </w:rPr>
            </w:pPr>
            <w:r>
              <w:rPr>
                <w:rFonts w:hint="eastAsia" w:ascii="宋体" w:hAnsi="宋体" w:cs="宋体"/>
                <w:color w:val="auto"/>
                <w:szCs w:val="21"/>
                <w:highlight w:val="none"/>
              </w:rPr>
              <w:t>小型</w:t>
            </w:r>
          </w:p>
        </w:tc>
        <w:tc>
          <w:tcPr>
            <w:tcW w:w="579" w:type="pct"/>
            <w:tcBorders>
              <w:top w:val="single" w:color="auto" w:sz="4" w:space="0"/>
              <w:left w:val="nil"/>
              <w:bottom w:val="single" w:color="auto" w:sz="4" w:space="0"/>
              <w:right w:val="single" w:color="auto" w:sz="4" w:space="0"/>
            </w:tcBorders>
            <w:vAlign w:val="center"/>
          </w:tcPr>
          <w:p w14:paraId="78EF4065">
            <w:pPr>
              <w:widowControl/>
              <w:jc w:val="left"/>
              <w:rPr>
                <w:rFonts w:ascii="宋体" w:hAnsi="宋体" w:cs="宋体"/>
                <w:color w:val="auto"/>
                <w:szCs w:val="21"/>
                <w:highlight w:val="none"/>
              </w:rPr>
            </w:pPr>
            <w:r>
              <w:rPr>
                <w:rFonts w:hint="eastAsia" w:ascii="宋体" w:hAnsi="宋体" w:cs="宋体"/>
                <w:color w:val="auto"/>
                <w:szCs w:val="21"/>
                <w:highlight w:val="none"/>
              </w:rPr>
              <w:t>微型</w:t>
            </w:r>
          </w:p>
        </w:tc>
      </w:tr>
      <w:tr w14:paraId="7DD8D04C">
        <w:tblPrEx>
          <w:tblCellMar>
            <w:top w:w="0" w:type="dxa"/>
            <w:left w:w="108" w:type="dxa"/>
            <w:bottom w:w="0" w:type="dxa"/>
            <w:right w:w="108" w:type="dxa"/>
          </w:tblCellMar>
        </w:tblPrEx>
        <w:trPr>
          <w:trHeight w:val="220" w:hRule="atLeast"/>
        </w:trPr>
        <w:tc>
          <w:tcPr>
            <w:tcW w:w="830" w:type="pct"/>
            <w:tcBorders>
              <w:top w:val="nil"/>
              <w:left w:val="single" w:color="auto" w:sz="4" w:space="0"/>
              <w:bottom w:val="single" w:color="auto" w:sz="4" w:space="0"/>
              <w:right w:val="single" w:color="auto" w:sz="4" w:space="0"/>
            </w:tcBorders>
            <w:vAlign w:val="bottom"/>
          </w:tcPr>
          <w:p w14:paraId="7761C69C">
            <w:pPr>
              <w:widowControl/>
              <w:jc w:val="center"/>
              <w:rPr>
                <w:rFonts w:ascii="宋体" w:hAnsi="宋体" w:cs="宋体"/>
                <w:color w:val="auto"/>
                <w:szCs w:val="21"/>
                <w:highlight w:val="none"/>
              </w:rPr>
            </w:pPr>
            <w:r>
              <w:rPr>
                <w:rFonts w:hint="eastAsia" w:ascii="宋体" w:hAnsi="宋体" w:cs="宋体"/>
                <w:color w:val="auto"/>
                <w:szCs w:val="21"/>
                <w:highlight w:val="none"/>
              </w:rPr>
              <w:t>农、林、牧、渔</w:t>
            </w:r>
          </w:p>
        </w:tc>
        <w:tc>
          <w:tcPr>
            <w:tcW w:w="977" w:type="pct"/>
            <w:tcBorders>
              <w:top w:val="nil"/>
              <w:left w:val="nil"/>
              <w:bottom w:val="single" w:color="auto" w:sz="4" w:space="0"/>
              <w:right w:val="single" w:color="auto" w:sz="4" w:space="0"/>
            </w:tcBorders>
            <w:vAlign w:val="center"/>
          </w:tcPr>
          <w:p w14:paraId="32B49567">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74825CC6">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7DEB4686">
            <w:pPr>
              <w:widowControl/>
              <w:jc w:val="left"/>
              <w:rPr>
                <w:rFonts w:ascii="宋体" w:hAnsi="宋体" w:cs="宋体"/>
                <w:color w:val="auto"/>
                <w:szCs w:val="21"/>
                <w:highlight w:val="none"/>
              </w:rPr>
            </w:pPr>
            <w:r>
              <w:rPr>
                <w:rFonts w:hint="eastAsia" w:ascii="宋体" w:hAnsi="宋体" w:cs="宋体"/>
                <w:color w:val="auto"/>
                <w:szCs w:val="21"/>
                <w:highlight w:val="none"/>
              </w:rPr>
              <w:t>500≤Y＜20000</w:t>
            </w:r>
          </w:p>
        </w:tc>
        <w:tc>
          <w:tcPr>
            <w:tcW w:w="902" w:type="pct"/>
            <w:tcBorders>
              <w:top w:val="nil"/>
              <w:left w:val="nil"/>
              <w:bottom w:val="single" w:color="auto" w:sz="4" w:space="0"/>
              <w:right w:val="single" w:color="auto" w:sz="4" w:space="0"/>
            </w:tcBorders>
            <w:vAlign w:val="center"/>
          </w:tcPr>
          <w:p w14:paraId="44B06498">
            <w:pPr>
              <w:widowControl/>
              <w:jc w:val="left"/>
              <w:rPr>
                <w:rFonts w:ascii="宋体" w:hAnsi="宋体" w:cs="宋体"/>
                <w:color w:val="auto"/>
                <w:szCs w:val="21"/>
                <w:highlight w:val="none"/>
              </w:rPr>
            </w:pPr>
            <w:r>
              <w:rPr>
                <w:rFonts w:hint="eastAsia" w:ascii="宋体" w:hAnsi="宋体" w:cs="宋体"/>
                <w:color w:val="auto"/>
                <w:szCs w:val="21"/>
                <w:highlight w:val="none"/>
              </w:rPr>
              <w:t>50≤Y＜500</w:t>
            </w:r>
          </w:p>
        </w:tc>
        <w:tc>
          <w:tcPr>
            <w:tcW w:w="579" w:type="pct"/>
            <w:tcBorders>
              <w:top w:val="nil"/>
              <w:left w:val="nil"/>
              <w:bottom w:val="single" w:color="auto" w:sz="4" w:space="0"/>
              <w:right w:val="single" w:color="auto" w:sz="4" w:space="0"/>
            </w:tcBorders>
            <w:vAlign w:val="center"/>
          </w:tcPr>
          <w:p w14:paraId="1FAB0E3D">
            <w:pPr>
              <w:widowControl/>
              <w:jc w:val="left"/>
              <w:rPr>
                <w:rFonts w:ascii="宋体" w:hAnsi="宋体" w:cs="宋体"/>
                <w:color w:val="auto"/>
                <w:szCs w:val="21"/>
                <w:highlight w:val="none"/>
              </w:rPr>
            </w:pPr>
            <w:r>
              <w:rPr>
                <w:rFonts w:hint="eastAsia" w:ascii="宋体" w:hAnsi="宋体" w:cs="宋体"/>
                <w:color w:val="auto"/>
                <w:szCs w:val="21"/>
                <w:highlight w:val="none"/>
              </w:rPr>
              <w:t>Y＜50</w:t>
            </w:r>
          </w:p>
        </w:tc>
      </w:tr>
      <w:tr w14:paraId="631E3548">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537253D4">
            <w:pPr>
              <w:widowControl/>
              <w:jc w:val="center"/>
              <w:rPr>
                <w:rFonts w:ascii="宋体" w:hAnsi="宋体" w:cs="宋体"/>
                <w:color w:val="auto"/>
                <w:szCs w:val="21"/>
                <w:highlight w:val="none"/>
              </w:rPr>
            </w:pPr>
            <w:r>
              <w:rPr>
                <w:rFonts w:hint="eastAsia" w:ascii="宋体" w:hAnsi="宋体" w:cs="宋体"/>
                <w:color w:val="auto"/>
                <w:szCs w:val="21"/>
                <w:highlight w:val="none"/>
              </w:rPr>
              <w:t>工业</w:t>
            </w:r>
          </w:p>
        </w:tc>
        <w:tc>
          <w:tcPr>
            <w:tcW w:w="977" w:type="pct"/>
            <w:tcBorders>
              <w:top w:val="nil"/>
              <w:left w:val="nil"/>
              <w:bottom w:val="single" w:color="auto" w:sz="4" w:space="0"/>
              <w:right w:val="single" w:color="auto" w:sz="4" w:space="0"/>
            </w:tcBorders>
            <w:vAlign w:val="center"/>
          </w:tcPr>
          <w:p w14:paraId="20A2CFBA">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43BA2368">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176F5563">
            <w:pPr>
              <w:widowControl/>
              <w:jc w:val="left"/>
              <w:rPr>
                <w:rFonts w:ascii="宋体" w:hAnsi="宋体" w:cs="宋体"/>
                <w:color w:val="auto"/>
                <w:szCs w:val="21"/>
                <w:highlight w:val="none"/>
              </w:rPr>
            </w:pPr>
            <w:r>
              <w:rPr>
                <w:rFonts w:hint="eastAsia" w:ascii="宋体" w:hAnsi="宋体" w:cs="宋体"/>
                <w:color w:val="auto"/>
                <w:szCs w:val="21"/>
                <w:highlight w:val="none"/>
              </w:rPr>
              <w:t>300≤X＜1000</w:t>
            </w:r>
          </w:p>
        </w:tc>
        <w:tc>
          <w:tcPr>
            <w:tcW w:w="902" w:type="pct"/>
            <w:tcBorders>
              <w:top w:val="nil"/>
              <w:left w:val="nil"/>
              <w:bottom w:val="single" w:color="auto" w:sz="4" w:space="0"/>
              <w:right w:val="single" w:color="auto" w:sz="4" w:space="0"/>
            </w:tcBorders>
            <w:vAlign w:val="center"/>
          </w:tcPr>
          <w:p w14:paraId="6F86869B">
            <w:pPr>
              <w:widowControl/>
              <w:jc w:val="left"/>
              <w:rPr>
                <w:rFonts w:ascii="宋体" w:hAnsi="宋体" w:cs="宋体"/>
                <w:color w:val="auto"/>
                <w:szCs w:val="21"/>
                <w:highlight w:val="none"/>
              </w:rPr>
            </w:pPr>
            <w:r>
              <w:rPr>
                <w:rFonts w:hint="eastAsia" w:ascii="宋体" w:hAnsi="宋体" w:cs="宋体"/>
                <w:color w:val="auto"/>
                <w:szCs w:val="21"/>
                <w:highlight w:val="none"/>
              </w:rPr>
              <w:t>20≤X＜300</w:t>
            </w:r>
          </w:p>
        </w:tc>
        <w:tc>
          <w:tcPr>
            <w:tcW w:w="579" w:type="pct"/>
            <w:tcBorders>
              <w:top w:val="nil"/>
              <w:left w:val="nil"/>
              <w:bottom w:val="single" w:color="auto" w:sz="4" w:space="0"/>
              <w:right w:val="single" w:color="auto" w:sz="4" w:space="0"/>
            </w:tcBorders>
            <w:vAlign w:val="center"/>
          </w:tcPr>
          <w:p w14:paraId="38985E9F">
            <w:pPr>
              <w:widowControl/>
              <w:jc w:val="left"/>
              <w:rPr>
                <w:rFonts w:ascii="宋体" w:hAnsi="宋体" w:cs="宋体"/>
                <w:color w:val="auto"/>
                <w:szCs w:val="21"/>
                <w:highlight w:val="none"/>
              </w:rPr>
            </w:pPr>
            <w:r>
              <w:rPr>
                <w:rFonts w:hint="eastAsia" w:ascii="宋体" w:hAnsi="宋体" w:cs="宋体"/>
                <w:color w:val="auto"/>
                <w:szCs w:val="21"/>
                <w:highlight w:val="none"/>
              </w:rPr>
              <w:t>X＜20</w:t>
            </w:r>
          </w:p>
        </w:tc>
      </w:tr>
      <w:tr w14:paraId="3449231A">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3A8E0F62">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4BF0DC71">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1F0AED67">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5D1A0FCC">
            <w:pPr>
              <w:widowControl/>
              <w:jc w:val="left"/>
              <w:rPr>
                <w:rFonts w:ascii="宋体" w:hAnsi="宋体" w:cs="宋体"/>
                <w:color w:val="auto"/>
                <w:szCs w:val="21"/>
                <w:highlight w:val="none"/>
              </w:rPr>
            </w:pPr>
            <w:r>
              <w:rPr>
                <w:rFonts w:hint="eastAsia" w:ascii="宋体" w:hAnsi="宋体" w:cs="宋体"/>
                <w:color w:val="auto"/>
                <w:szCs w:val="21"/>
                <w:highlight w:val="none"/>
              </w:rPr>
              <w:t>2000≤Y＜40000</w:t>
            </w:r>
          </w:p>
        </w:tc>
        <w:tc>
          <w:tcPr>
            <w:tcW w:w="902" w:type="pct"/>
            <w:tcBorders>
              <w:top w:val="nil"/>
              <w:left w:val="nil"/>
              <w:bottom w:val="single" w:color="auto" w:sz="4" w:space="0"/>
              <w:right w:val="single" w:color="auto" w:sz="4" w:space="0"/>
            </w:tcBorders>
            <w:vAlign w:val="center"/>
          </w:tcPr>
          <w:p w14:paraId="3972AA6B">
            <w:pPr>
              <w:widowControl/>
              <w:jc w:val="left"/>
              <w:rPr>
                <w:rFonts w:ascii="宋体" w:hAnsi="宋体" w:cs="宋体"/>
                <w:color w:val="auto"/>
                <w:szCs w:val="21"/>
                <w:highlight w:val="none"/>
              </w:rPr>
            </w:pPr>
            <w:r>
              <w:rPr>
                <w:rFonts w:hint="eastAsia" w:ascii="宋体" w:hAnsi="宋体" w:cs="宋体"/>
                <w:color w:val="auto"/>
                <w:szCs w:val="21"/>
                <w:highlight w:val="none"/>
              </w:rPr>
              <w:t>300≤Y＜2000</w:t>
            </w:r>
          </w:p>
        </w:tc>
        <w:tc>
          <w:tcPr>
            <w:tcW w:w="579" w:type="pct"/>
            <w:tcBorders>
              <w:top w:val="nil"/>
              <w:left w:val="nil"/>
              <w:bottom w:val="single" w:color="auto" w:sz="4" w:space="0"/>
              <w:right w:val="single" w:color="auto" w:sz="4" w:space="0"/>
            </w:tcBorders>
            <w:vAlign w:val="center"/>
          </w:tcPr>
          <w:p w14:paraId="4845409E">
            <w:pPr>
              <w:widowControl/>
              <w:jc w:val="left"/>
              <w:rPr>
                <w:rFonts w:ascii="宋体" w:hAnsi="宋体" w:cs="宋体"/>
                <w:color w:val="auto"/>
                <w:szCs w:val="21"/>
                <w:highlight w:val="none"/>
              </w:rPr>
            </w:pPr>
            <w:r>
              <w:rPr>
                <w:rFonts w:hint="eastAsia" w:ascii="宋体" w:hAnsi="宋体" w:cs="宋体"/>
                <w:color w:val="auto"/>
                <w:szCs w:val="21"/>
                <w:highlight w:val="none"/>
              </w:rPr>
              <w:t>Y＜300</w:t>
            </w:r>
          </w:p>
        </w:tc>
      </w:tr>
      <w:tr w14:paraId="021398D8">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64796D06">
            <w:pPr>
              <w:widowControl/>
              <w:jc w:val="center"/>
              <w:rPr>
                <w:rFonts w:ascii="宋体" w:hAnsi="宋体" w:cs="宋体"/>
                <w:color w:val="auto"/>
                <w:szCs w:val="21"/>
                <w:highlight w:val="none"/>
              </w:rPr>
            </w:pPr>
            <w:r>
              <w:rPr>
                <w:rFonts w:hint="eastAsia" w:ascii="宋体" w:hAnsi="宋体" w:cs="宋体"/>
                <w:color w:val="auto"/>
                <w:szCs w:val="21"/>
                <w:highlight w:val="none"/>
              </w:rPr>
              <w:t>建筑业</w:t>
            </w:r>
          </w:p>
        </w:tc>
        <w:tc>
          <w:tcPr>
            <w:tcW w:w="977" w:type="pct"/>
            <w:tcBorders>
              <w:top w:val="nil"/>
              <w:left w:val="nil"/>
              <w:bottom w:val="single" w:color="auto" w:sz="4" w:space="0"/>
              <w:right w:val="single" w:color="auto" w:sz="4" w:space="0"/>
            </w:tcBorders>
            <w:vAlign w:val="center"/>
          </w:tcPr>
          <w:p w14:paraId="2EA4F66F">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47F97444">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2A337832">
            <w:pPr>
              <w:widowControl/>
              <w:jc w:val="left"/>
              <w:rPr>
                <w:rFonts w:ascii="宋体" w:hAnsi="宋体" w:cs="宋体"/>
                <w:color w:val="auto"/>
                <w:szCs w:val="21"/>
                <w:highlight w:val="none"/>
              </w:rPr>
            </w:pPr>
            <w:r>
              <w:rPr>
                <w:rFonts w:hint="eastAsia" w:ascii="宋体" w:hAnsi="宋体" w:cs="宋体"/>
                <w:color w:val="auto"/>
                <w:szCs w:val="21"/>
                <w:highlight w:val="none"/>
              </w:rPr>
              <w:t>6000≤Y＜80000</w:t>
            </w:r>
          </w:p>
        </w:tc>
        <w:tc>
          <w:tcPr>
            <w:tcW w:w="902" w:type="pct"/>
            <w:tcBorders>
              <w:top w:val="nil"/>
              <w:left w:val="nil"/>
              <w:bottom w:val="single" w:color="auto" w:sz="4" w:space="0"/>
              <w:right w:val="single" w:color="auto" w:sz="4" w:space="0"/>
            </w:tcBorders>
            <w:vAlign w:val="center"/>
          </w:tcPr>
          <w:p w14:paraId="55FF41CD">
            <w:pPr>
              <w:widowControl/>
              <w:jc w:val="left"/>
              <w:rPr>
                <w:rFonts w:ascii="宋体" w:hAnsi="宋体" w:cs="宋体"/>
                <w:color w:val="auto"/>
                <w:szCs w:val="21"/>
                <w:highlight w:val="none"/>
              </w:rPr>
            </w:pPr>
            <w:r>
              <w:rPr>
                <w:rFonts w:hint="eastAsia" w:ascii="宋体" w:hAnsi="宋体" w:cs="宋体"/>
                <w:color w:val="auto"/>
                <w:szCs w:val="21"/>
                <w:highlight w:val="none"/>
              </w:rPr>
              <w:t>300≤Y＜6000</w:t>
            </w:r>
          </w:p>
        </w:tc>
        <w:tc>
          <w:tcPr>
            <w:tcW w:w="579" w:type="pct"/>
            <w:tcBorders>
              <w:top w:val="nil"/>
              <w:left w:val="nil"/>
              <w:bottom w:val="single" w:color="auto" w:sz="4" w:space="0"/>
              <w:right w:val="single" w:color="auto" w:sz="4" w:space="0"/>
            </w:tcBorders>
            <w:vAlign w:val="center"/>
          </w:tcPr>
          <w:p w14:paraId="72C76528">
            <w:pPr>
              <w:widowControl/>
              <w:jc w:val="left"/>
              <w:rPr>
                <w:rFonts w:ascii="宋体" w:hAnsi="宋体" w:cs="宋体"/>
                <w:color w:val="auto"/>
                <w:szCs w:val="21"/>
                <w:highlight w:val="none"/>
              </w:rPr>
            </w:pPr>
            <w:r>
              <w:rPr>
                <w:rFonts w:hint="eastAsia" w:ascii="宋体" w:hAnsi="宋体" w:cs="宋体"/>
                <w:color w:val="auto"/>
                <w:szCs w:val="21"/>
                <w:highlight w:val="none"/>
              </w:rPr>
              <w:t>Y＜300</w:t>
            </w:r>
          </w:p>
        </w:tc>
      </w:tr>
      <w:tr w14:paraId="74EA2837">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33359431">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31112DF6">
            <w:pPr>
              <w:widowControl/>
              <w:jc w:val="left"/>
              <w:rPr>
                <w:rFonts w:ascii="宋体" w:hAnsi="宋体" w:cs="宋体"/>
                <w:color w:val="auto"/>
                <w:szCs w:val="21"/>
                <w:highlight w:val="none"/>
              </w:rPr>
            </w:pPr>
            <w:r>
              <w:rPr>
                <w:rFonts w:hint="eastAsia" w:ascii="宋体" w:hAnsi="宋体" w:cs="宋体"/>
                <w:color w:val="auto"/>
                <w:szCs w:val="21"/>
                <w:highlight w:val="none"/>
              </w:rPr>
              <w:t>资产总额（Z）</w:t>
            </w:r>
          </w:p>
        </w:tc>
        <w:tc>
          <w:tcPr>
            <w:tcW w:w="651" w:type="pct"/>
            <w:tcBorders>
              <w:top w:val="nil"/>
              <w:left w:val="nil"/>
              <w:bottom w:val="single" w:color="auto" w:sz="4" w:space="0"/>
              <w:right w:val="single" w:color="auto" w:sz="4" w:space="0"/>
            </w:tcBorders>
            <w:vAlign w:val="center"/>
          </w:tcPr>
          <w:p w14:paraId="1A7ECCDB">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0E8ED77E">
            <w:pPr>
              <w:widowControl/>
              <w:jc w:val="left"/>
              <w:rPr>
                <w:rFonts w:ascii="宋体" w:hAnsi="宋体" w:cs="宋体"/>
                <w:color w:val="auto"/>
                <w:szCs w:val="21"/>
                <w:highlight w:val="none"/>
              </w:rPr>
            </w:pPr>
            <w:r>
              <w:rPr>
                <w:rFonts w:hint="eastAsia" w:ascii="宋体" w:hAnsi="宋体" w:cs="宋体"/>
                <w:color w:val="auto"/>
                <w:szCs w:val="21"/>
                <w:highlight w:val="none"/>
              </w:rPr>
              <w:t>5000≤Z＜80000</w:t>
            </w:r>
          </w:p>
        </w:tc>
        <w:tc>
          <w:tcPr>
            <w:tcW w:w="902" w:type="pct"/>
            <w:tcBorders>
              <w:top w:val="nil"/>
              <w:left w:val="nil"/>
              <w:bottom w:val="single" w:color="auto" w:sz="4" w:space="0"/>
              <w:right w:val="single" w:color="auto" w:sz="4" w:space="0"/>
            </w:tcBorders>
            <w:vAlign w:val="center"/>
          </w:tcPr>
          <w:p w14:paraId="33BA1733">
            <w:pPr>
              <w:widowControl/>
              <w:jc w:val="left"/>
              <w:rPr>
                <w:rFonts w:ascii="宋体" w:hAnsi="宋体" w:cs="宋体"/>
                <w:color w:val="auto"/>
                <w:szCs w:val="21"/>
                <w:highlight w:val="none"/>
              </w:rPr>
            </w:pPr>
            <w:r>
              <w:rPr>
                <w:rFonts w:hint="eastAsia" w:ascii="宋体" w:hAnsi="宋体" w:cs="宋体"/>
                <w:color w:val="auto"/>
                <w:szCs w:val="21"/>
                <w:highlight w:val="none"/>
              </w:rPr>
              <w:t>300≤Z＜5000</w:t>
            </w:r>
          </w:p>
        </w:tc>
        <w:tc>
          <w:tcPr>
            <w:tcW w:w="579" w:type="pct"/>
            <w:tcBorders>
              <w:top w:val="nil"/>
              <w:left w:val="nil"/>
              <w:bottom w:val="single" w:color="auto" w:sz="4" w:space="0"/>
              <w:right w:val="single" w:color="auto" w:sz="4" w:space="0"/>
            </w:tcBorders>
            <w:vAlign w:val="center"/>
          </w:tcPr>
          <w:p w14:paraId="7771513B">
            <w:pPr>
              <w:widowControl/>
              <w:jc w:val="left"/>
              <w:rPr>
                <w:rFonts w:ascii="宋体" w:hAnsi="宋体" w:cs="宋体"/>
                <w:color w:val="auto"/>
                <w:szCs w:val="21"/>
                <w:highlight w:val="none"/>
              </w:rPr>
            </w:pPr>
            <w:r>
              <w:rPr>
                <w:rFonts w:hint="eastAsia" w:ascii="宋体" w:hAnsi="宋体" w:cs="宋体"/>
                <w:color w:val="auto"/>
                <w:szCs w:val="21"/>
                <w:highlight w:val="none"/>
              </w:rPr>
              <w:t>Z＜300</w:t>
            </w:r>
          </w:p>
        </w:tc>
      </w:tr>
      <w:tr w14:paraId="0FD02973">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33D4A0EA">
            <w:pPr>
              <w:widowControl/>
              <w:ind w:firstLine="315" w:firstLineChars="150"/>
              <w:rPr>
                <w:rFonts w:ascii="宋体" w:hAnsi="宋体" w:cs="宋体"/>
                <w:color w:val="auto"/>
                <w:szCs w:val="21"/>
                <w:highlight w:val="none"/>
              </w:rPr>
            </w:pPr>
            <w:r>
              <w:rPr>
                <w:rFonts w:hint="eastAsia" w:ascii="宋体" w:hAnsi="宋体" w:cs="宋体"/>
                <w:color w:val="auto"/>
                <w:szCs w:val="21"/>
                <w:highlight w:val="none"/>
              </w:rPr>
              <w:t>批发业</w:t>
            </w:r>
          </w:p>
        </w:tc>
        <w:tc>
          <w:tcPr>
            <w:tcW w:w="977" w:type="pct"/>
            <w:tcBorders>
              <w:top w:val="nil"/>
              <w:left w:val="nil"/>
              <w:bottom w:val="single" w:color="auto" w:sz="4" w:space="0"/>
              <w:right w:val="single" w:color="auto" w:sz="4" w:space="0"/>
            </w:tcBorders>
            <w:vAlign w:val="center"/>
          </w:tcPr>
          <w:p w14:paraId="553311BA">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2CA061F6">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7DC302BE">
            <w:pPr>
              <w:widowControl/>
              <w:jc w:val="left"/>
              <w:rPr>
                <w:rFonts w:ascii="宋体" w:hAnsi="宋体" w:cs="宋体"/>
                <w:color w:val="auto"/>
                <w:szCs w:val="21"/>
                <w:highlight w:val="none"/>
              </w:rPr>
            </w:pPr>
            <w:r>
              <w:rPr>
                <w:rFonts w:hint="eastAsia" w:ascii="宋体" w:hAnsi="宋体" w:cs="宋体"/>
                <w:color w:val="auto"/>
                <w:szCs w:val="21"/>
                <w:highlight w:val="none"/>
              </w:rPr>
              <w:t>20≤X＜200</w:t>
            </w:r>
          </w:p>
        </w:tc>
        <w:tc>
          <w:tcPr>
            <w:tcW w:w="902" w:type="pct"/>
            <w:tcBorders>
              <w:top w:val="nil"/>
              <w:left w:val="nil"/>
              <w:bottom w:val="single" w:color="auto" w:sz="4" w:space="0"/>
              <w:right w:val="single" w:color="auto" w:sz="4" w:space="0"/>
            </w:tcBorders>
            <w:vAlign w:val="center"/>
          </w:tcPr>
          <w:p w14:paraId="4D160791">
            <w:pPr>
              <w:widowControl/>
              <w:jc w:val="left"/>
              <w:rPr>
                <w:rFonts w:ascii="宋体" w:hAnsi="宋体" w:cs="宋体"/>
                <w:color w:val="auto"/>
                <w:szCs w:val="21"/>
                <w:highlight w:val="none"/>
              </w:rPr>
            </w:pPr>
            <w:r>
              <w:rPr>
                <w:rFonts w:hint="eastAsia" w:ascii="宋体" w:hAnsi="宋体" w:cs="宋体"/>
                <w:color w:val="auto"/>
                <w:szCs w:val="21"/>
                <w:highlight w:val="none"/>
              </w:rPr>
              <w:t>5≤X＜20</w:t>
            </w:r>
          </w:p>
        </w:tc>
        <w:tc>
          <w:tcPr>
            <w:tcW w:w="579" w:type="pct"/>
            <w:tcBorders>
              <w:top w:val="nil"/>
              <w:left w:val="nil"/>
              <w:bottom w:val="single" w:color="auto" w:sz="4" w:space="0"/>
              <w:right w:val="single" w:color="auto" w:sz="4" w:space="0"/>
            </w:tcBorders>
            <w:vAlign w:val="center"/>
          </w:tcPr>
          <w:p w14:paraId="17D55588">
            <w:pPr>
              <w:widowControl/>
              <w:jc w:val="left"/>
              <w:rPr>
                <w:rFonts w:ascii="宋体" w:hAnsi="宋体" w:cs="宋体"/>
                <w:color w:val="auto"/>
                <w:szCs w:val="21"/>
                <w:highlight w:val="none"/>
              </w:rPr>
            </w:pPr>
            <w:r>
              <w:rPr>
                <w:rFonts w:hint="eastAsia" w:ascii="宋体" w:hAnsi="宋体" w:cs="宋体"/>
                <w:color w:val="auto"/>
                <w:szCs w:val="21"/>
                <w:highlight w:val="none"/>
              </w:rPr>
              <w:t>X＜5</w:t>
            </w:r>
          </w:p>
        </w:tc>
      </w:tr>
      <w:tr w14:paraId="0725BBB1">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161AB1AF">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3E4D6B49">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14BBAAD2">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68343822">
            <w:pPr>
              <w:widowControl/>
              <w:jc w:val="left"/>
              <w:rPr>
                <w:rFonts w:ascii="宋体" w:hAnsi="宋体" w:cs="宋体"/>
                <w:color w:val="auto"/>
                <w:szCs w:val="21"/>
                <w:highlight w:val="none"/>
              </w:rPr>
            </w:pPr>
            <w:r>
              <w:rPr>
                <w:rFonts w:hint="eastAsia" w:ascii="宋体" w:hAnsi="宋体" w:cs="宋体"/>
                <w:color w:val="auto"/>
                <w:szCs w:val="21"/>
                <w:highlight w:val="none"/>
              </w:rPr>
              <w:t>5000≤Y＜40000</w:t>
            </w:r>
          </w:p>
        </w:tc>
        <w:tc>
          <w:tcPr>
            <w:tcW w:w="902" w:type="pct"/>
            <w:tcBorders>
              <w:top w:val="nil"/>
              <w:left w:val="nil"/>
              <w:bottom w:val="single" w:color="auto" w:sz="4" w:space="0"/>
              <w:right w:val="single" w:color="auto" w:sz="4" w:space="0"/>
            </w:tcBorders>
            <w:vAlign w:val="center"/>
          </w:tcPr>
          <w:p w14:paraId="4E3BE1AA">
            <w:pPr>
              <w:widowControl/>
              <w:jc w:val="left"/>
              <w:rPr>
                <w:rFonts w:ascii="宋体" w:hAnsi="宋体" w:cs="宋体"/>
                <w:color w:val="auto"/>
                <w:szCs w:val="21"/>
                <w:highlight w:val="none"/>
              </w:rPr>
            </w:pPr>
            <w:r>
              <w:rPr>
                <w:rFonts w:hint="eastAsia" w:ascii="宋体" w:hAnsi="宋体" w:cs="宋体"/>
                <w:color w:val="auto"/>
                <w:szCs w:val="21"/>
                <w:highlight w:val="none"/>
              </w:rPr>
              <w:t>1000≤Y＜5000</w:t>
            </w:r>
          </w:p>
        </w:tc>
        <w:tc>
          <w:tcPr>
            <w:tcW w:w="579" w:type="pct"/>
            <w:tcBorders>
              <w:top w:val="nil"/>
              <w:left w:val="nil"/>
              <w:bottom w:val="single" w:color="auto" w:sz="4" w:space="0"/>
              <w:right w:val="single" w:color="auto" w:sz="4" w:space="0"/>
            </w:tcBorders>
            <w:vAlign w:val="center"/>
          </w:tcPr>
          <w:p w14:paraId="0981454E">
            <w:pPr>
              <w:widowControl/>
              <w:jc w:val="left"/>
              <w:rPr>
                <w:rFonts w:ascii="宋体" w:hAnsi="宋体" w:cs="宋体"/>
                <w:color w:val="auto"/>
                <w:szCs w:val="21"/>
                <w:highlight w:val="none"/>
              </w:rPr>
            </w:pPr>
            <w:r>
              <w:rPr>
                <w:rFonts w:hint="eastAsia" w:ascii="宋体" w:hAnsi="宋体" w:cs="宋体"/>
                <w:color w:val="auto"/>
                <w:szCs w:val="21"/>
                <w:highlight w:val="none"/>
              </w:rPr>
              <w:t>Y＜1000</w:t>
            </w:r>
          </w:p>
        </w:tc>
      </w:tr>
      <w:tr w14:paraId="2DF4083B">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474F6A3C">
            <w:pPr>
              <w:widowControl/>
              <w:jc w:val="center"/>
              <w:rPr>
                <w:rFonts w:ascii="宋体" w:hAnsi="宋体" w:cs="宋体"/>
                <w:color w:val="auto"/>
                <w:szCs w:val="21"/>
                <w:highlight w:val="none"/>
              </w:rPr>
            </w:pPr>
            <w:r>
              <w:rPr>
                <w:rFonts w:hint="eastAsia" w:ascii="宋体" w:hAnsi="宋体" w:cs="宋体"/>
                <w:color w:val="auto"/>
                <w:szCs w:val="21"/>
                <w:highlight w:val="none"/>
              </w:rPr>
              <w:t>零售业</w:t>
            </w:r>
          </w:p>
        </w:tc>
        <w:tc>
          <w:tcPr>
            <w:tcW w:w="977" w:type="pct"/>
            <w:tcBorders>
              <w:top w:val="nil"/>
              <w:left w:val="nil"/>
              <w:bottom w:val="single" w:color="auto" w:sz="4" w:space="0"/>
              <w:right w:val="single" w:color="auto" w:sz="4" w:space="0"/>
            </w:tcBorders>
            <w:vAlign w:val="center"/>
          </w:tcPr>
          <w:p w14:paraId="3B99059B">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2470B90D">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71D955E2">
            <w:pPr>
              <w:widowControl/>
              <w:jc w:val="left"/>
              <w:rPr>
                <w:rFonts w:ascii="宋体" w:hAnsi="宋体" w:cs="宋体"/>
                <w:color w:val="auto"/>
                <w:szCs w:val="21"/>
                <w:highlight w:val="none"/>
              </w:rPr>
            </w:pPr>
            <w:r>
              <w:rPr>
                <w:rFonts w:hint="eastAsia" w:ascii="宋体" w:hAnsi="宋体" w:cs="宋体"/>
                <w:color w:val="auto"/>
                <w:szCs w:val="21"/>
                <w:highlight w:val="none"/>
              </w:rPr>
              <w:t>50≤X＜300</w:t>
            </w:r>
          </w:p>
        </w:tc>
        <w:tc>
          <w:tcPr>
            <w:tcW w:w="902" w:type="pct"/>
            <w:tcBorders>
              <w:top w:val="nil"/>
              <w:left w:val="nil"/>
              <w:bottom w:val="single" w:color="auto" w:sz="4" w:space="0"/>
              <w:right w:val="single" w:color="auto" w:sz="4" w:space="0"/>
            </w:tcBorders>
            <w:vAlign w:val="center"/>
          </w:tcPr>
          <w:p w14:paraId="6C615B08">
            <w:pPr>
              <w:widowControl/>
              <w:jc w:val="left"/>
              <w:rPr>
                <w:rFonts w:ascii="宋体" w:hAnsi="宋体" w:cs="宋体"/>
                <w:color w:val="auto"/>
                <w:szCs w:val="21"/>
                <w:highlight w:val="none"/>
              </w:rPr>
            </w:pPr>
            <w:r>
              <w:rPr>
                <w:rFonts w:hint="eastAsia" w:ascii="宋体" w:hAnsi="宋体" w:cs="宋体"/>
                <w:color w:val="auto"/>
                <w:szCs w:val="21"/>
                <w:highlight w:val="none"/>
              </w:rPr>
              <w:t>10≤X＜50</w:t>
            </w:r>
          </w:p>
        </w:tc>
        <w:tc>
          <w:tcPr>
            <w:tcW w:w="579" w:type="pct"/>
            <w:tcBorders>
              <w:top w:val="nil"/>
              <w:left w:val="nil"/>
              <w:bottom w:val="single" w:color="auto" w:sz="4" w:space="0"/>
              <w:right w:val="single" w:color="auto" w:sz="4" w:space="0"/>
            </w:tcBorders>
            <w:vAlign w:val="center"/>
          </w:tcPr>
          <w:p w14:paraId="47620FFA">
            <w:pPr>
              <w:widowControl/>
              <w:jc w:val="left"/>
              <w:rPr>
                <w:rFonts w:ascii="宋体" w:hAnsi="宋体" w:cs="宋体"/>
                <w:color w:val="auto"/>
                <w:szCs w:val="21"/>
                <w:highlight w:val="none"/>
              </w:rPr>
            </w:pPr>
            <w:r>
              <w:rPr>
                <w:rFonts w:hint="eastAsia" w:ascii="宋体" w:hAnsi="宋体" w:cs="宋体"/>
                <w:color w:val="auto"/>
                <w:szCs w:val="21"/>
                <w:highlight w:val="none"/>
              </w:rPr>
              <w:t>X＜10</w:t>
            </w:r>
          </w:p>
        </w:tc>
      </w:tr>
      <w:tr w14:paraId="3256FAD4">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0CF6F76B">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07265070">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2833EA3E">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1E1385AD">
            <w:pPr>
              <w:widowControl/>
              <w:jc w:val="left"/>
              <w:rPr>
                <w:rFonts w:ascii="宋体" w:hAnsi="宋体" w:cs="宋体"/>
                <w:color w:val="auto"/>
                <w:szCs w:val="21"/>
                <w:highlight w:val="none"/>
              </w:rPr>
            </w:pPr>
            <w:r>
              <w:rPr>
                <w:rFonts w:hint="eastAsia" w:ascii="宋体" w:hAnsi="宋体" w:cs="宋体"/>
                <w:color w:val="auto"/>
                <w:szCs w:val="21"/>
                <w:highlight w:val="none"/>
              </w:rPr>
              <w:t>500≤Y＜20000</w:t>
            </w:r>
          </w:p>
        </w:tc>
        <w:tc>
          <w:tcPr>
            <w:tcW w:w="902" w:type="pct"/>
            <w:tcBorders>
              <w:top w:val="nil"/>
              <w:left w:val="nil"/>
              <w:bottom w:val="single" w:color="auto" w:sz="4" w:space="0"/>
              <w:right w:val="single" w:color="auto" w:sz="4" w:space="0"/>
            </w:tcBorders>
            <w:vAlign w:val="center"/>
          </w:tcPr>
          <w:p w14:paraId="49BE3BBD">
            <w:pPr>
              <w:widowControl/>
              <w:jc w:val="left"/>
              <w:rPr>
                <w:rFonts w:ascii="宋体" w:hAnsi="宋体" w:cs="宋体"/>
                <w:color w:val="auto"/>
                <w:szCs w:val="21"/>
                <w:highlight w:val="none"/>
              </w:rPr>
            </w:pPr>
            <w:r>
              <w:rPr>
                <w:rFonts w:hint="eastAsia" w:ascii="宋体" w:hAnsi="宋体" w:cs="宋体"/>
                <w:color w:val="auto"/>
                <w:szCs w:val="21"/>
                <w:highlight w:val="none"/>
              </w:rPr>
              <w:t>100≤Y＜500</w:t>
            </w:r>
          </w:p>
        </w:tc>
        <w:tc>
          <w:tcPr>
            <w:tcW w:w="579" w:type="pct"/>
            <w:tcBorders>
              <w:top w:val="nil"/>
              <w:left w:val="nil"/>
              <w:bottom w:val="single" w:color="auto" w:sz="4" w:space="0"/>
              <w:right w:val="single" w:color="auto" w:sz="4" w:space="0"/>
            </w:tcBorders>
            <w:vAlign w:val="center"/>
          </w:tcPr>
          <w:p w14:paraId="4B4FC943">
            <w:pPr>
              <w:widowControl/>
              <w:jc w:val="left"/>
              <w:rPr>
                <w:rFonts w:ascii="宋体" w:hAnsi="宋体" w:cs="宋体"/>
                <w:color w:val="auto"/>
                <w:szCs w:val="21"/>
                <w:highlight w:val="none"/>
              </w:rPr>
            </w:pPr>
            <w:r>
              <w:rPr>
                <w:rFonts w:hint="eastAsia" w:ascii="宋体" w:hAnsi="宋体" w:cs="宋体"/>
                <w:color w:val="auto"/>
                <w:szCs w:val="21"/>
                <w:highlight w:val="none"/>
              </w:rPr>
              <w:t>Y＜100</w:t>
            </w:r>
          </w:p>
        </w:tc>
      </w:tr>
      <w:tr w14:paraId="528609E6">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57578F2E">
            <w:pPr>
              <w:widowControl/>
              <w:jc w:val="center"/>
              <w:rPr>
                <w:rFonts w:ascii="宋体" w:hAnsi="宋体" w:cs="宋体"/>
                <w:color w:val="auto"/>
                <w:szCs w:val="21"/>
                <w:highlight w:val="none"/>
              </w:rPr>
            </w:pPr>
            <w:r>
              <w:rPr>
                <w:rFonts w:hint="eastAsia" w:ascii="宋体" w:hAnsi="宋体" w:cs="宋体"/>
                <w:color w:val="auto"/>
                <w:szCs w:val="21"/>
                <w:highlight w:val="none"/>
              </w:rPr>
              <w:t>交通运输业</w:t>
            </w:r>
          </w:p>
        </w:tc>
        <w:tc>
          <w:tcPr>
            <w:tcW w:w="977" w:type="pct"/>
            <w:tcBorders>
              <w:top w:val="nil"/>
              <w:left w:val="nil"/>
              <w:bottom w:val="single" w:color="auto" w:sz="4" w:space="0"/>
              <w:right w:val="single" w:color="auto" w:sz="4" w:space="0"/>
            </w:tcBorders>
            <w:vAlign w:val="center"/>
          </w:tcPr>
          <w:p w14:paraId="7E19C1ED">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42548262">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00B06AC8">
            <w:pPr>
              <w:widowControl/>
              <w:jc w:val="left"/>
              <w:rPr>
                <w:rFonts w:ascii="宋体" w:hAnsi="宋体" w:cs="宋体"/>
                <w:color w:val="auto"/>
                <w:szCs w:val="21"/>
                <w:highlight w:val="none"/>
              </w:rPr>
            </w:pPr>
            <w:r>
              <w:rPr>
                <w:rFonts w:hint="eastAsia" w:ascii="宋体" w:hAnsi="宋体" w:cs="宋体"/>
                <w:color w:val="auto"/>
                <w:szCs w:val="21"/>
                <w:highlight w:val="none"/>
              </w:rPr>
              <w:t>300≤X＜1000</w:t>
            </w:r>
          </w:p>
        </w:tc>
        <w:tc>
          <w:tcPr>
            <w:tcW w:w="902" w:type="pct"/>
            <w:tcBorders>
              <w:top w:val="nil"/>
              <w:left w:val="nil"/>
              <w:bottom w:val="single" w:color="auto" w:sz="4" w:space="0"/>
              <w:right w:val="single" w:color="auto" w:sz="4" w:space="0"/>
            </w:tcBorders>
            <w:vAlign w:val="center"/>
          </w:tcPr>
          <w:p w14:paraId="46A738B5">
            <w:pPr>
              <w:widowControl/>
              <w:jc w:val="left"/>
              <w:rPr>
                <w:rFonts w:ascii="宋体" w:hAnsi="宋体" w:cs="宋体"/>
                <w:color w:val="auto"/>
                <w:szCs w:val="21"/>
                <w:highlight w:val="none"/>
              </w:rPr>
            </w:pPr>
            <w:r>
              <w:rPr>
                <w:rFonts w:hint="eastAsia" w:ascii="宋体" w:hAnsi="宋体" w:cs="宋体"/>
                <w:color w:val="auto"/>
                <w:szCs w:val="21"/>
                <w:highlight w:val="none"/>
              </w:rPr>
              <w:t>20≤X＜300</w:t>
            </w:r>
          </w:p>
        </w:tc>
        <w:tc>
          <w:tcPr>
            <w:tcW w:w="579" w:type="pct"/>
            <w:tcBorders>
              <w:top w:val="nil"/>
              <w:left w:val="nil"/>
              <w:bottom w:val="single" w:color="auto" w:sz="4" w:space="0"/>
              <w:right w:val="single" w:color="auto" w:sz="4" w:space="0"/>
            </w:tcBorders>
            <w:vAlign w:val="center"/>
          </w:tcPr>
          <w:p w14:paraId="2610D722">
            <w:pPr>
              <w:widowControl/>
              <w:jc w:val="left"/>
              <w:rPr>
                <w:rFonts w:ascii="宋体" w:hAnsi="宋体" w:cs="宋体"/>
                <w:color w:val="auto"/>
                <w:szCs w:val="21"/>
                <w:highlight w:val="none"/>
              </w:rPr>
            </w:pPr>
            <w:r>
              <w:rPr>
                <w:rFonts w:hint="eastAsia" w:ascii="宋体" w:hAnsi="宋体" w:cs="宋体"/>
                <w:color w:val="auto"/>
                <w:szCs w:val="21"/>
                <w:highlight w:val="none"/>
              </w:rPr>
              <w:t>X＜20</w:t>
            </w:r>
          </w:p>
        </w:tc>
      </w:tr>
      <w:tr w14:paraId="49839E1D">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787236DE">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19A8914D">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488826DA">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40F77808">
            <w:pPr>
              <w:widowControl/>
              <w:jc w:val="left"/>
              <w:rPr>
                <w:rFonts w:ascii="宋体" w:hAnsi="宋体" w:cs="宋体"/>
                <w:color w:val="auto"/>
                <w:szCs w:val="21"/>
                <w:highlight w:val="none"/>
              </w:rPr>
            </w:pPr>
            <w:r>
              <w:rPr>
                <w:rFonts w:hint="eastAsia" w:ascii="宋体" w:hAnsi="宋体" w:cs="宋体"/>
                <w:color w:val="auto"/>
                <w:szCs w:val="21"/>
                <w:highlight w:val="none"/>
              </w:rPr>
              <w:t>3000≤Y＜30000</w:t>
            </w:r>
          </w:p>
        </w:tc>
        <w:tc>
          <w:tcPr>
            <w:tcW w:w="902" w:type="pct"/>
            <w:tcBorders>
              <w:top w:val="nil"/>
              <w:left w:val="nil"/>
              <w:bottom w:val="single" w:color="auto" w:sz="4" w:space="0"/>
              <w:right w:val="single" w:color="auto" w:sz="4" w:space="0"/>
            </w:tcBorders>
            <w:vAlign w:val="center"/>
          </w:tcPr>
          <w:p w14:paraId="596780FB">
            <w:pPr>
              <w:widowControl/>
              <w:jc w:val="left"/>
              <w:rPr>
                <w:rFonts w:ascii="宋体" w:hAnsi="宋体" w:cs="宋体"/>
                <w:color w:val="auto"/>
                <w:szCs w:val="21"/>
                <w:highlight w:val="none"/>
              </w:rPr>
            </w:pPr>
            <w:r>
              <w:rPr>
                <w:rFonts w:hint="eastAsia" w:ascii="宋体" w:hAnsi="宋体" w:cs="宋体"/>
                <w:color w:val="auto"/>
                <w:szCs w:val="21"/>
                <w:highlight w:val="none"/>
              </w:rPr>
              <w:t>200≤Y＜3000</w:t>
            </w:r>
          </w:p>
        </w:tc>
        <w:tc>
          <w:tcPr>
            <w:tcW w:w="579" w:type="pct"/>
            <w:tcBorders>
              <w:top w:val="nil"/>
              <w:left w:val="nil"/>
              <w:bottom w:val="single" w:color="auto" w:sz="4" w:space="0"/>
              <w:right w:val="single" w:color="auto" w:sz="4" w:space="0"/>
            </w:tcBorders>
            <w:vAlign w:val="center"/>
          </w:tcPr>
          <w:p w14:paraId="713FACFD">
            <w:pPr>
              <w:widowControl/>
              <w:jc w:val="left"/>
              <w:rPr>
                <w:rFonts w:ascii="宋体" w:hAnsi="宋体" w:cs="宋体"/>
                <w:color w:val="auto"/>
                <w:szCs w:val="21"/>
                <w:highlight w:val="none"/>
              </w:rPr>
            </w:pPr>
            <w:r>
              <w:rPr>
                <w:rFonts w:hint="eastAsia" w:ascii="宋体" w:hAnsi="宋体" w:cs="宋体"/>
                <w:color w:val="auto"/>
                <w:szCs w:val="21"/>
                <w:highlight w:val="none"/>
              </w:rPr>
              <w:t>Y＜200</w:t>
            </w:r>
          </w:p>
        </w:tc>
      </w:tr>
      <w:tr w14:paraId="4CF5B76C">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47219D2C">
            <w:pPr>
              <w:widowControl/>
              <w:jc w:val="center"/>
              <w:rPr>
                <w:rFonts w:ascii="宋体" w:hAnsi="宋体" w:cs="宋体"/>
                <w:color w:val="auto"/>
                <w:szCs w:val="21"/>
                <w:highlight w:val="none"/>
              </w:rPr>
            </w:pPr>
            <w:r>
              <w:rPr>
                <w:rFonts w:hint="eastAsia" w:ascii="宋体" w:hAnsi="宋体" w:cs="宋体"/>
                <w:color w:val="auto"/>
                <w:szCs w:val="21"/>
                <w:highlight w:val="none"/>
              </w:rPr>
              <w:t>仓储业</w:t>
            </w:r>
          </w:p>
        </w:tc>
        <w:tc>
          <w:tcPr>
            <w:tcW w:w="977" w:type="pct"/>
            <w:tcBorders>
              <w:top w:val="nil"/>
              <w:left w:val="nil"/>
              <w:bottom w:val="single" w:color="auto" w:sz="4" w:space="0"/>
              <w:right w:val="single" w:color="auto" w:sz="4" w:space="0"/>
            </w:tcBorders>
            <w:vAlign w:val="center"/>
          </w:tcPr>
          <w:p w14:paraId="49A4F5E4">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5338E99E">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53784931">
            <w:pPr>
              <w:widowControl/>
              <w:jc w:val="left"/>
              <w:rPr>
                <w:rFonts w:ascii="宋体" w:hAnsi="宋体" w:cs="宋体"/>
                <w:color w:val="auto"/>
                <w:szCs w:val="21"/>
                <w:highlight w:val="none"/>
              </w:rPr>
            </w:pPr>
            <w:r>
              <w:rPr>
                <w:rFonts w:hint="eastAsia" w:ascii="宋体" w:hAnsi="宋体" w:cs="宋体"/>
                <w:color w:val="auto"/>
                <w:szCs w:val="21"/>
                <w:highlight w:val="none"/>
              </w:rPr>
              <w:t>100≤X＜200</w:t>
            </w:r>
          </w:p>
        </w:tc>
        <w:tc>
          <w:tcPr>
            <w:tcW w:w="902" w:type="pct"/>
            <w:tcBorders>
              <w:top w:val="nil"/>
              <w:left w:val="nil"/>
              <w:bottom w:val="single" w:color="auto" w:sz="4" w:space="0"/>
              <w:right w:val="single" w:color="auto" w:sz="4" w:space="0"/>
            </w:tcBorders>
            <w:vAlign w:val="center"/>
          </w:tcPr>
          <w:p w14:paraId="68A0A962">
            <w:pPr>
              <w:widowControl/>
              <w:jc w:val="left"/>
              <w:rPr>
                <w:rFonts w:ascii="宋体" w:hAnsi="宋体" w:cs="宋体"/>
                <w:color w:val="auto"/>
                <w:szCs w:val="21"/>
                <w:highlight w:val="none"/>
              </w:rPr>
            </w:pPr>
            <w:r>
              <w:rPr>
                <w:rFonts w:hint="eastAsia" w:ascii="宋体" w:hAnsi="宋体" w:cs="宋体"/>
                <w:color w:val="auto"/>
                <w:szCs w:val="21"/>
                <w:highlight w:val="none"/>
              </w:rPr>
              <w:t>20≤X＜100</w:t>
            </w:r>
          </w:p>
        </w:tc>
        <w:tc>
          <w:tcPr>
            <w:tcW w:w="579" w:type="pct"/>
            <w:tcBorders>
              <w:top w:val="nil"/>
              <w:left w:val="nil"/>
              <w:bottom w:val="single" w:color="auto" w:sz="4" w:space="0"/>
              <w:right w:val="single" w:color="auto" w:sz="4" w:space="0"/>
            </w:tcBorders>
            <w:vAlign w:val="center"/>
          </w:tcPr>
          <w:p w14:paraId="2553C679">
            <w:pPr>
              <w:widowControl/>
              <w:jc w:val="left"/>
              <w:rPr>
                <w:rFonts w:ascii="宋体" w:hAnsi="宋体" w:cs="宋体"/>
                <w:color w:val="auto"/>
                <w:szCs w:val="21"/>
                <w:highlight w:val="none"/>
              </w:rPr>
            </w:pPr>
            <w:r>
              <w:rPr>
                <w:rFonts w:hint="eastAsia" w:ascii="宋体" w:hAnsi="宋体" w:cs="宋体"/>
                <w:color w:val="auto"/>
                <w:szCs w:val="21"/>
                <w:highlight w:val="none"/>
              </w:rPr>
              <w:t>X＜20</w:t>
            </w:r>
          </w:p>
        </w:tc>
      </w:tr>
      <w:tr w14:paraId="30EC8770">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79740F8B">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24CA1E50">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24EA62A6">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24742706">
            <w:pPr>
              <w:widowControl/>
              <w:jc w:val="left"/>
              <w:rPr>
                <w:rFonts w:ascii="宋体" w:hAnsi="宋体" w:cs="宋体"/>
                <w:color w:val="auto"/>
                <w:szCs w:val="21"/>
                <w:highlight w:val="none"/>
              </w:rPr>
            </w:pPr>
            <w:r>
              <w:rPr>
                <w:rFonts w:hint="eastAsia" w:ascii="宋体" w:hAnsi="宋体" w:cs="宋体"/>
                <w:color w:val="auto"/>
                <w:szCs w:val="21"/>
                <w:highlight w:val="none"/>
              </w:rPr>
              <w:t>1000≤Y＜30000</w:t>
            </w:r>
          </w:p>
        </w:tc>
        <w:tc>
          <w:tcPr>
            <w:tcW w:w="902" w:type="pct"/>
            <w:tcBorders>
              <w:top w:val="nil"/>
              <w:left w:val="nil"/>
              <w:bottom w:val="single" w:color="auto" w:sz="4" w:space="0"/>
              <w:right w:val="single" w:color="auto" w:sz="4" w:space="0"/>
            </w:tcBorders>
            <w:vAlign w:val="center"/>
          </w:tcPr>
          <w:p w14:paraId="31B8FFCB">
            <w:pPr>
              <w:widowControl/>
              <w:jc w:val="left"/>
              <w:rPr>
                <w:rFonts w:ascii="宋体" w:hAnsi="宋体" w:cs="宋体"/>
                <w:color w:val="auto"/>
                <w:szCs w:val="21"/>
                <w:highlight w:val="none"/>
              </w:rPr>
            </w:pPr>
            <w:r>
              <w:rPr>
                <w:rFonts w:hint="eastAsia" w:ascii="宋体" w:hAnsi="宋体" w:cs="宋体"/>
                <w:color w:val="auto"/>
                <w:szCs w:val="21"/>
                <w:highlight w:val="none"/>
              </w:rPr>
              <w:t>100≤Y＜1000</w:t>
            </w:r>
          </w:p>
        </w:tc>
        <w:tc>
          <w:tcPr>
            <w:tcW w:w="579" w:type="pct"/>
            <w:tcBorders>
              <w:top w:val="nil"/>
              <w:left w:val="nil"/>
              <w:bottom w:val="single" w:color="auto" w:sz="4" w:space="0"/>
              <w:right w:val="single" w:color="auto" w:sz="4" w:space="0"/>
            </w:tcBorders>
            <w:vAlign w:val="center"/>
          </w:tcPr>
          <w:p w14:paraId="4E128CD5">
            <w:pPr>
              <w:widowControl/>
              <w:jc w:val="left"/>
              <w:rPr>
                <w:rFonts w:ascii="宋体" w:hAnsi="宋体" w:cs="宋体"/>
                <w:color w:val="auto"/>
                <w:szCs w:val="21"/>
                <w:highlight w:val="none"/>
              </w:rPr>
            </w:pPr>
            <w:r>
              <w:rPr>
                <w:rFonts w:hint="eastAsia" w:ascii="宋体" w:hAnsi="宋体" w:cs="宋体"/>
                <w:color w:val="auto"/>
                <w:szCs w:val="21"/>
                <w:highlight w:val="none"/>
              </w:rPr>
              <w:t>Y＜100</w:t>
            </w:r>
          </w:p>
        </w:tc>
      </w:tr>
      <w:tr w14:paraId="1A33872F">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73F79497">
            <w:pPr>
              <w:widowControl/>
              <w:jc w:val="center"/>
              <w:rPr>
                <w:rFonts w:ascii="宋体" w:hAnsi="宋体" w:cs="宋体"/>
                <w:color w:val="auto"/>
                <w:szCs w:val="21"/>
                <w:highlight w:val="none"/>
              </w:rPr>
            </w:pPr>
            <w:r>
              <w:rPr>
                <w:rFonts w:hint="eastAsia" w:ascii="宋体" w:hAnsi="宋体" w:cs="宋体"/>
                <w:color w:val="auto"/>
                <w:szCs w:val="21"/>
                <w:highlight w:val="none"/>
              </w:rPr>
              <w:t>邮政业</w:t>
            </w:r>
          </w:p>
        </w:tc>
        <w:tc>
          <w:tcPr>
            <w:tcW w:w="977" w:type="pct"/>
            <w:tcBorders>
              <w:top w:val="nil"/>
              <w:left w:val="nil"/>
              <w:bottom w:val="single" w:color="auto" w:sz="4" w:space="0"/>
              <w:right w:val="single" w:color="auto" w:sz="4" w:space="0"/>
            </w:tcBorders>
            <w:vAlign w:val="center"/>
          </w:tcPr>
          <w:p w14:paraId="699BB540">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4BF77E32">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76926265">
            <w:pPr>
              <w:widowControl/>
              <w:jc w:val="left"/>
              <w:rPr>
                <w:rFonts w:ascii="宋体" w:hAnsi="宋体" w:cs="宋体"/>
                <w:color w:val="auto"/>
                <w:szCs w:val="21"/>
                <w:highlight w:val="none"/>
              </w:rPr>
            </w:pPr>
            <w:r>
              <w:rPr>
                <w:rFonts w:hint="eastAsia" w:ascii="宋体" w:hAnsi="宋体" w:cs="宋体"/>
                <w:color w:val="auto"/>
                <w:szCs w:val="21"/>
                <w:highlight w:val="none"/>
              </w:rPr>
              <w:t>300≤X＜1000</w:t>
            </w:r>
          </w:p>
        </w:tc>
        <w:tc>
          <w:tcPr>
            <w:tcW w:w="902" w:type="pct"/>
            <w:tcBorders>
              <w:top w:val="nil"/>
              <w:left w:val="nil"/>
              <w:bottom w:val="single" w:color="auto" w:sz="4" w:space="0"/>
              <w:right w:val="single" w:color="auto" w:sz="4" w:space="0"/>
            </w:tcBorders>
            <w:vAlign w:val="center"/>
          </w:tcPr>
          <w:p w14:paraId="340CD919">
            <w:pPr>
              <w:widowControl/>
              <w:jc w:val="left"/>
              <w:rPr>
                <w:rFonts w:ascii="宋体" w:hAnsi="宋体" w:cs="宋体"/>
                <w:color w:val="auto"/>
                <w:szCs w:val="21"/>
                <w:highlight w:val="none"/>
              </w:rPr>
            </w:pPr>
            <w:r>
              <w:rPr>
                <w:rFonts w:hint="eastAsia" w:ascii="宋体" w:hAnsi="宋体" w:cs="宋体"/>
                <w:color w:val="auto"/>
                <w:szCs w:val="21"/>
                <w:highlight w:val="none"/>
              </w:rPr>
              <w:t>20≤X＜300</w:t>
            </w:r>
          </w:p>
        </w:tc>
        <w:tc>
          <w:tcPr>
            <w:tcW w:w="579" w:type="pct"/>
            <w:tcBorders>
              <w:top w:val="nil"/>
              <w:left w:val="nil"/>
              <w:bottom w:val="single" w:color="auto" w:sz="4" w:space="0"/>
              <w:right w:val="single" w:color="auto" w:sz="4" w:space="0"/>
            </w:tcBorders>
            <w:vAlign w:val="center"/>
          </w:tcPr>
          <w:p w14:paraId="243D694A">
            <w:pPr>
              <w:widowControl/>
              <w:jc w:val="left"/>
              <w:rPr>
                <w:rFonts w:ascii="宋体" w:hAnsi="宋体" w:cs="宋体"/>
                <w:color w:val="auto"/>
                <w:szCs w:val="21"/>
                <w:highlight w:val="none"/>
              </w:rPr>
            </w:pPr>
            <w:r>
              <w:rPr>
                <w:rFonts w:hint="eastAsia" w:ascii="宋体" w:hAnsi="宋体" w:cs="宋体"/>
                <w:color w:val="auto"/>
                <w:szCs w:val="21"/>
                <w:highlight w:val="none"/>
              </w:rPr>
              <w:t>X＜20</w:t>
            </w:r>
          </w:p>
        </w:tc>
      </w:tr>
      <w:tr w14:paraId="220E0D7A">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060F688A">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298D9112">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5BD97C39">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7C85AA23">
            <w:pPr>
              <w:widowControl/>
              <w:jc w:val="left"/>
              <w:rPr>
                <w:rFonts w:ascii="宋体" w:hAnsi="宋体" w:cs="宋体"/>
                <w:color w:val="auto"/>
                <w:szCs w:val="21"/>
                <w:highlight w:val="none"/>
              </w:rPr>
            </w:pPr>
            <w:r>
              <w:rPr>
                <w:rFonts w:hint="eastAsia" w:ascii="宋体" w:hAnsi="宋体" w:cs="宋体"/>
                <w:color w:val="auto"/>
                <w:szCs w:val="21"/>
                <w:highlight w:val="none"/>
              </w:rPr>
              <w:t>2000≤Y＜30000</w:t>
            </w:r>
          </w:p>
        </w:tc>
        <w:tc>
          <w:tcPr>
            <w:tcW w:w="902" w:type="pct"/>
            <w:tcBorders>
              <w:top w:val="nil"/>
              <w:left w:val="nil"/>
              <w:bottom w:val="single" w:color="auto" w:sz="4" w:space="0"/>
              <w:right w:val="single" w:color="auto" w:sz="4" w:space="0"/>
            </w:tcBorders>
            <w:vAlign w:val="center"/>
          </w:tcPr>
          <w:p w14:paraId="1CA2A0E5">
            <w:pPr>
              <w:widowControl/>
              <w:jc w:val="left"/>
              <w:rPr>
                <w:rFonts w:ascii="宋体" w:hAnsi="宋体" w:cs="宋体"/>
                <w:color w:val="auto"/>
                <w:szCs w:val="21"/>
                <w:highlight w:val="none"/>
              </w:rPr>
            </w:pPr>
            <w:r>
              <w:rPr>
                <w:rFonts w:hint="eastAsia" w:ascii="宋体" w:hAnsi="宋体" w:cs="宋体"/>
                <w:color w:val="auto"/>
                <w:szCs w:val="21"/>
                <w:highlight w:val="none"/>
              </w:rPr>
              <w:t>100≤Y＜2000</w:t>
            </w:r>
          </w:p>
        </w:tc>
        <w:tc>
          <w:tcPr>
            <w:tcW w:w="579" w:type="pct"/>
            <w:tcBorders>
              <w:top w:val="nil"/>
              <w:left w:val="nil"/>
              <w:bottom w:val="single" w:color="auto" w:sz="4" w:space="0"/>
              <w:right w:val="single" w:color="auto" w:sz="4" w:space="0"/>
            </w:tcBorders>
            <w:vAlign w:val="center"/>
          </w:tcPr>
          <w:p w14:paraId="508808D7">
            <w:pPr>
              <w:widowControl/>
              <w:jc w:val="left"/>
              <w:rPr>
                <w:rFonts w:ascii="宋体" w:hAnsi="宋体" w:cs="宋体"/>
                <w:color w:val="auto"/>
                <w:szCs w:val="21"/>
                <w:highlight w:val="none"/>
              </w:rPr>
            </w:pPr>
            <w:r>
              <w:rPr>
                <w:rFonts w:hint="eastAsia" w:ascii="宋体" w:hAnsi="宋体" w:cs="宋体"/>
                <w:color w:val="auto"/>
                <w:szCs w:val="21"/>
                <w:highlight w:val="none"/>
              </w:rPr>
              <w:t>Y＜100</w:t>
            </w:r>
          </w:p>
        </w:tc>
      </w:tr>
      <w:tr w14:paraId="7398B6D7">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2CFADB8E">
            <w:pPr>
              <w:widowControl/>
              <w:jc w:val="center"/>
              <w:rPr>
                <w:rFonts w:ascii="宋体" w:hAnsi="宋体" w:cs="宋体"/>
                <w:color w:val="auto"/>
                <w:szCs w:val="21"/>
                <w:highlight w:val="none"/>
              </w:rPr>
            </w:pPr>
            <w:r>
              <w:rPr>
                <w:rFonts w:hint="eastAsia" w:ascii="宋体" w:hAnsi="宋体" w:cs="宋体"/>
                <w:color w:val="auto"/>
                <w:szCs w:val="21"/>
                <w:highlight w:val="none"/>
              </w:rPr>
              <w:t>住宿业</w:t>
            </w:r>
          </w:p>
        </w:tc>
        <w:tc>
          <w:tcPr>
            <w:tcW w:w="977" w:type="pct"/>
            <w:tcBorders>
              <w:top w:val="nil"/>
              <w:left w:val="nil"/>
              <w:bottom w:val="single" w:color="auto" w:sz="4" w:space="0"/>
              <w:right w:val="single" w:color="auto" w:sz="4" w:space="0"/>
            </w:tcBorders>
            <w:vAlign w:val="center"/>
          </w:tcPr>
          <w:p w14:paraId="1AF87BFE">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2A5C0647">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24A1D197">
            <w:pPr>
              <w:widowControl/>
              <w:jc w:val="left"/>
              <w:rPr>
                <w:rFonts w:ascii="宋体" w:hAnsi="宋体" w:cs="宋体"/>
                <w:color w:val="auto"/>
                <w:szCs w:val="21"/>
                <w:highlight w:val="none"/>
              </w:rPr>
            </w:pPr>
            <w:r>
              <w:rPr>
                <w:rFonts w:hint="eastAsia" w:ascii="宋体" w:hAnsi="宋体" w:cs="宋体"/>
                <w:color w:val="auto"/>
                <w:szCs w:val="21"/>
                <w:highlight w:val="none"/>
              </w:rPr>
              <w:t>100≤X＜300</w:t>
            </w:r>
          </w:p>
        </w:tc>
        <w:tc>
          <w:tcPr>
            <w:tcW w:w="902" w:type="pct"/>
            <w:tcBorders>
              <w:top w:val="nil"/>
              <w:left w:val="nil"/>
              <w:bottom w:val="single" w:color="auto" w:sz="4" w:space="0"/>
              <w:right w:val="single" w:color="auto" w:sz="4" w:space="0"/>
            </w:tcBorders>
            <w:vAlign w:val="center"/>
          </w:tcPr>
          <w:p w14:paraId="4DB349AC">
            <w:pPr>
              <w:widowControl/>
              <w:jc w:val="left"/>
              <w:rPr>
                <w:rFonts w:ascii="宋体" w:hAnsi="宋体" w:cs="宋体"/>
                <w:color w:val="auto"/>
                <w:szCs w:val="21"/>
                <w:highlight w:val="none"/>
              </w:rPr>
            </w:pPr>
            <w:r>
              <w:rPr>
                <w:rFonts w:hint="eastAsia" w:ascii="宋体" w:hAnsi="宋体" w:cs="宋体"/>
                <w:color w:val="auto"/>
                <w:szCs w:val="21"/>
                <w:highlight w:val="none"/>
              </w:rPr>
              <w:t>10≤X＜100</w:t>
            </w:r>
          </w:p>
        </w:tc>
        <w:tc>
          <w:tcPr>
            <w:tcW w:w="579" w:type="pct"/>
            <w:tcBorders>
              <w:top w:val="nil"/>
              <w:left w:val="nil"/>
              <w:bottom w:val="single" w:color="auto" w:sz="4" w:space="0"/>
              <w:right w:val="single" w:color="auto" w:sz="4" w:space="0"/>
            </w:tcBorders>
            <w:vAlign w:val="center"/>
          </w:tcPr>
          <w:p w14:paraId="2387728A">
            <w:pPr>
              <w:widowControl/>
              <w:jc w:val="left"/>
              <w:rPr>
                <w:rFonts w:ascii="宋体" w:hAnsi="宋体" w:cs="宋体"/>
                <w:color w:val="auto"/>
                <w:szCs w:val="21"/>
                <w:highlight w:val="none"/>
              </w:rPr>
            </w:pPr>
            <w:r>
              <w:rPr>
                <w:rFonts w:hint="eastAsia" w:ascii="宋体" w:hAnsi="宋体" w:cs="宋体"/>
                <w:color w:val="auto"/>
                <w:szCs w:val="21"/>
                <w:highlight w:val="none"/>
              </w:rPr>
              <w:t>X＜10</w:t>
            </w:r>
          </w:p>
        </w:tc>
      </w:tr>
      <w:tr w14:paraId="50CF3473">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0700C4C9">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6DC36359">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2F01831A">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2D498AA3">
            <w:pPr>
              <w:widowControl/>
              <w:jc w:val="left"/>
              <w:rPr>
                <w:rFonts w:ascii="宋体" w:hAnsi="宋体" w:cs="宋体"/>
                <w:color w:val="auto"/>
                <w:szCs w:val="21"/>
                <w:highlight w:val="none"/>
              </w:rPr>
            </w:pPr>
            <w:r>
              <w:rPr>
                <w:rFonts w:hint="eastAsia" w:ascii="宋体" w:hAnsi="宋体" w:cs="宋体"/>
                <w:color w:val="auto"/>
                <w:szCs w:val="21"/>
                <w:highlight w:val="none"/>
              </w:rPr>
              <w:t>2000≤Y＜10000</w:t>
            </w:r>
          </w:p>
        </w:tc>
        <w:tc>
          <w:tcPr>
            <w:tcW w:w="902" w:type="pct"/>
            <w:tcBorders>
              <w:top w:val="nil"/>
              <w:left w:val="nil"/>
              <w:bottom w:val="single" w:color="auto" w:sz="4" w:space="0"/>
              <w:right w:val="single" w:color="auto" w:sz="4" w:space="0"/>
            </w:tcBorders>
            <w:vAlign w:val="center"/>
          </w:tcPr>
          <w:p w14:paraId="194255A2">
            <w:pPr>
              <w:widowControl/>
              <w:jc w:val="left"/>
              <w:rPr>
                <w:rFonts w:ascii="宋体" w:hAnsi="宋体" w:cs="宋体"/>
                <w:color w:val="auto"/>
                <w:szCs w:val="21"/>
                <w:highlight w:val="none"/>
              </w:rPr>
            </w:pPr>
            <w:r>
              <w:rPr>
                <w:rFonts w:hint="eastAsia" w:ascii="宋体" w:hAnsi="宋体" w:cs="宋体"/>
                <w:color w:val="auto"/>
                <w:szCs w:val="21"/>
                <w:highlight w:val="none"/>
              </w:rPr>
              <w:t>100≤Y＜2000</w:t>
            </w:r>
          </w:p>
        </w:tc>
        <w:tc>
          <w:tcPr>
            <w:tcW w:w="579" w:type="pct"/>
            <w:tcBorders>
              <w:top w:val="nil"/>
              <w:left w:val="nil"/>
              <w:bottom w:val="single" w:color="auto" w:sz="4" w:space="0"/>
              <w:right w:val="single" w:color="auto" w:sz="4" w:space="0"/>
            </w:tcBorders>
            <w:vAlign w:val="center"/>
          </w:tcPr>
          <w:p w14:paraId="10F55CC0">
            <w:pPr>
              <w:widowControl/>
              <w:jc w:val="left"/>
              <w:rPr>
                <w:rFonts w:ascii="宋体" w:hAnsi="宋体" w:cs="宋体"/>
                <w:color w:val="auto"/>
                <w:szCs w:val="21"/>
                <w:highlight w:val="none"/>
              </w:rPr>
            </w:pPr>
            <w:r>
              <w:rPr>
                <w:rFonts w:hint="eastAsia" w:ascii="宋体" w:hAnsi="宋体" w:cs="宋体"/>
                <w:color w:val="auto"/>
                <w:szCs w:val="21"/>
                <w:highlight w:val="none"/>
              </w:rPr>
              <w:t>Y＜100</w:t>
            </w:r>
          </w:p>
        </w:tc>
      </w:tr>
      <w:tr w14:paraId="3EFF42CE">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260176E1">
            <w:pPr>
              <w:widowControl/>
              <w:jc w:val="center"/>
              <w:rPr>
                <w:rFonts w:ascii="宋体" w:hAnsi="宋体" w:cs="宋体"/>
                <w:color w:val="auto"/>
                <w:szCs w:val="21"/>
                <w:highlight w:val="none"/>
              </w:rPr>
            </w:pPr>
            <w:r>
              <w:rPr>
                <w:rFonts w:hint="eastAsia" w:ascii="宋体" w:hAnsi="宋体" w:cs="宋体"/>
                <w:color w:val="auto"/>
                <w:szCs w:val="21"/>
                <w:highlight w:val="none"/>
              </w:rPr>
              <w:t>餐饮业</w:t>
            </w:r>
          </w:p>
        </w:tc>
        <w:tc>
          <w:tcPr>
            <w:tcW w:w="977" w:type="pct"/>
            <w:tcBorders>
              <w:top w:val="nil"/>
              <w:left w:val="nil"/>
              <w:bottom w:val="single" w:color="auto" w:sz="4" w:space="0"/>
              <w:right w:val="single" w:color="auto" w:sz="4" w:space="0"/>
            </w:tcBorders>
            <w:vAlign w:val="center"/>
          </w:tcPr>
          <w:p w14:paraId="6DCB3017">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3FEB5B7E">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407BFA0D">
            <w:pPr>
              <w:widowControl/>
              <w:jc w:val="left"/>
              <w:rPr>
                <w:rFonts w:ascii="宋体" w:hAnsi="宋体" w:cs="宋体"/>
                <w:color w:val="auto"/>
                <w:szCs w:val="21"/>
                <w:highlight w:val="none"/>
              </w:rPr>
            </w:pPr>
            <w:r>
              <w:rPr>
                <w:rFonts w:hint="eastAsia" w:ascii="宋体" w:hAnsi="宋体" w:cs="宋体"/>
                <w:color w:val="auto"/>
                <w:szCs w:val="21"/>
                <w:highlight w:val="none"/>
              </w:rPr>
              <w:t>100≤X＜300</w:t>
            </w:r>
          </w:p>
        </w:tc>
        <w:tc>
          <w:tcPr>
            <w:tcW w:w="902" w:type="pct"/>
            <w:tcBorders>
              <w:top w:val="nil"/>
              <w:left w:val="nil"/>
              <w:bottom w:val="single" w:color="auto" w:sz="4" w:space="0"/>
              <w:right w:val="single" w:color="auto" w:sz="4" w:space="0"/>
            </w:tcBorders>
            <w:vAlign w:val="center"/>
          </w:tcPr>
          <w:p w14:paraId="18096871">
            <w:pPr>
              <w:widowControl/>
              <w:jc w:val="left"/>
              <w:rPr>
                <w:rFonts w:ascii="宋体" w:hAnsi="宋体" w:cs="宋体"/>
                <w:color w:val="auto"/>
                <w:szCs w:val="21"/>
                <w:highlight w:val="none"/>
              </w:rPr>
            </w:pPr>
            <w:r>
              <w:rPr>
                <w:rFonts w:hint="eastAsia" w:ascii="宋体" w:hAnsi="宋体" w:cs="宋体"/>
                <w:color w:val="auto"/>
                <w:szCs w:val="21"/>
                <w:highlight w:val="none"/>
              </w:rPr>
              <w:t>10≤X＜100</w:t>
            </w:r>
          </w:p>
        </w:tc>
        <w:tc>
          <w:tcPr>
            <w:tcW w:w="579" w:type="pct"/>
            <w:tcBorders>
              <w:top w:val="nil"/>
              <w:left w:val="nil"/>
              <w:bottom w:val="single" w:color="auto" w:sz="4" w:space="0"/>
              <w:right w:val="single" w:color="auto" w:sz="4" w:space="0"/>
            </w:tcBorders>
            <w:vAlign w:val="center"/>
          </w:tcPr>
          <w:p w14:paraId="658700FA">
            <w:pPr>
              <w:widowControl/>
              <w:jc w:val="left"/>
              <w:rPr>
                <w:rFonts w:ascii="宋体" w:hAnsi="宋体" w:cs="宋体"/>
                <w:color w:val="auto"/>
                <w:szCs w:val="21"/>
                <w:highlight w:val="none"/>
              </w:rPr>
            </w:pPr>
            <w:r>
              <w:rPr>
                <w:rFonts w:hint="eastAsia" w:ascii="宋体" w:hAnsi="宋体" w:cs="宋体"/>
                <w:color w:val="auto"/>
                <w:szCs w:val="21"/>
                <w:highlight w:val="none"/>
              </w:rPr>
              <w:t>X＜10</w:t>
            </w:r>
          </w:p>
        </w:tc>
      </w:tr>
      <w:tr w14:paraId="33BE6CD9">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7CFF8559">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11F6F751">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3563E206">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53D7F978">
            <w:pPr>
              <w:widowControl/>
              <w:jc w:val="left"/>
              <w:rPr>
                <w:rFonts w:ascii="宋体" w:hAnsi="宋体" w:cs="宋体"/>
                <w:color w:val="auto"/>
                <w:szCs w:val="21"/>
                <w:highlight w:val="none"/>
              </w:rPr>
            </w:pPr>
            <w:r>
              <w:rPr>
                <w:rFonts w:hint="eastAsia" w:ascii="宋体" w:hAnsi="宋体" w:cs="宋体"/>
                <w:color w:val="auto"/>
                <w:szCs w:val="21"/>
                <w:highlight w:val="none"/>
              </w:rPr>
              <w:t>2000≤Y＜10000</w:t>
            </w:r>
          </w:p>
        </w:tc>
        <w:tc>
          <w:tcPr>
            <w:tcW w:w="902" w:type="pct"/>
            <w:tcBorders>
              <w:top w:val="nil"/>
              <w:left w:val="nil"/>
              <w:bottom w:val="single" w:color="auto" w:sz="4" w:space="0"/>
              <w:right w:val="single" w:color="auto" w:sz="4" w:space="0"/>
            </w:tcBorders>
            <w:vAlign w:val="center"/>
          </w:tcPr>
          <w:p w14:paraId="6C3133BF">
            <w:pPr>
              <w:widowControl/>
              <w:jc w:val="left"/>
              <w:rPr>
                <w:rFonts w:ascii="宋体" w:hAnsi="宋体" w:cs="宋体"/>
                <w:color w:val="auto"/>
                <w:szCs w:val="21"/>
                <w:highlight w:val="none"/>
              </w:rPr>
            </w:pPr>
            <w:r>
              <w:rPr>
                <w:rFonts w:hint="eastAsia" w:ascii="宋体" w:hAnsi="宋体" w:cs="宋体"/>
                <w:color w:val="auto"/>
                <w:szCs w:val="21"/>
                <w:highlight w:val="none"/>
              </w:rPr>
              <w:t>100≤Y＜2000</w:t>
            </w:r>
          </w:p>
        </w:tc>
        <w:tc>
          <w:tcPr>
            <w:tcW w:w="579" w:type="pct"/>
            <w:tcBorders>
              <w:top w:val="nil"/>
              <w:left w:val="nil"/>
              <w:bottom w:val="single" w:color="auto" w:sz="4" w:space="0"/>
              <w:right w:val="single" w:color="auto" w:sz="4" w:space="0"/>
            </w:tcBorders>
            <w:vAlign w:val="center"/>
          </w:tcPr>
          <w:p w14:paraId="39EB71C3">
            <w:pPr>
              <w:widowControl/>
              <w:jc w:val="left"/>
              <w:rPr>
                <w:rFonts w:ascii="宋体" w:hAnsi="宋体" w:cs="宋体"/>
                <w:color w:val="auto"/>
                <w:szCs w:val="21"/>
                <w:highlight w:val="none"/>
              </w:rPr>
            </w:pPr>
            <w:r>
              <w:rPr>
                <w:rFonts w:hint="eastAsia" w:ascii="宋体" w:hAnsi="宋体" w:cs="宋体"/>
                <w:color w:val="auto"/>
                <w:szCs w:val="21"/>
                <w:highlight w:val="none"/>
              </w:rPr>
              <w:t>Y＜100</w:t>
            </w:r>
          </w:p>
        </w:tc>
      </w:tr>
      <w:tr w14:paraId="5855030C">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6A6AF70F">
            <w:pPr>
              <w:widowControl/>
              <w:jc w:val="center"/>
              <w:rPr>
                <w:rFonts w:ascii="宋体" w:hAnsi="宋体" w:cs="宋体"/>
                <w:color w:val="auto"/>
                <w:szCs w:val="21"/>
                <w:highlight w:val="none"/>
              </w:rPr>
            </w:pPr>
            <w:r>
              <w:rPr>
                <w:rFonts w:hint="eastAsia" w:ascii="宋体" w:hAnsi="宋体" w:cs="宋体"/>
                <w:color w:val="auto"/>
                <w:szCs w:val="21"/>
                <w:highlight w:val="none"/>
              </w:rPr>
              <w:t>信息传输业</w:t>
            </w:r>
          </w:p>
        </w:tc>
        <w:tc>
          <w:tcPr>
            <w:tcW w:w="977" w:type="pct"/>
            <w:tcBorders>
              <w:top w:val="nil"/>
              <w:left w:val="nil"/>
              <w:bottom w:val="single" w:color="auto" w:sz="4" w:space="0"/>
              <w:right w:val="single" w:color="auto" w:sz="4" w:space="0"/>
            </w:tcBorders>
            <w:vAlign w:val="center"/>
          </w:tcPr>
          <w:p w14:paraId="26402288">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57905666">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3ECFF451">
            <w:pPr>
              <w:widowControl/>
              <w:jc w:val="left"/>
              <w:rPr>
                <w:rFonts w:ascii="宋体" w:hAnsi="宋体" w:cs="宋体"/>
                <w:color w:val="auto"/>
                <w:szCs w:val="21"/>
                <w:highlight w:val="none"/>
              </w:rPr>
            </w:pPr>
            <w:r>
              <w:rPr>
                <w:rFonts w:hint="eastAsia" w:ascii="宋体" w:hAnsi="宋体" w:cs="宋体"/>
                <w:color w:val="auto"/>
                <w:szCs w:val="21"/>
                <w:highlight w:val="none"/>
              </w:rPr>
              <w:t>100≤X＜2000</w:t>
            </w:r>
          </w:p>
        </w:tc>
        <w:tc>
          <w:tcPr>
            <w:tcW w:w="902" w:type="pct"/>
            <w:tcBorders>
              <w:top w:val="nil"/>
              <w:left w:val="nil"/>
              <w:bottom w:val="single" w:color="auto" w:sz="4" w:space="0"/>
              <w:right w:val="single" w:color="auto" w:sz="4" w:space="0"/>
            </w:tcBorders>
            <w:vAlign w:val="center"/>
          </w:tcPr>
          <w:p w14:paraId="1A331DD7">
            <w:pPr>
              <w:widowControl/>
              <w:jc w:val="left"/>
              <w:rPr>
                <w:rFonts w:ascii="宋体" w:hAnsi="宋体" w:cs="宋体"/>
                <w:color w:val="auto"/>
                <w:szCs w:val="21"/>
                <w:highlight w:val="none"/>
              </w:rPr>
            </w:pPr>
            <w:r>
              <w:rPr>
                <w:rFonts w:hint="eastAsia" w:ascii="宋体" w:hAnsi="宋体" w:cs="宋体"/>
                <w:color w:val="auto"/>
                <w:szCs w:val="21"/>
                <w:highlight w:val="none"/>
              </w:rPr>
              <w:t>10≤X＜100</w:t>
            </w:r>
          </w:p>
        </w:tc>
        <w:tc>
          <w:tcPr>
            <w:tcW w:w="579" w:type="pct"/>
            <w:tcBorders>
              <w:top w:val="nil"/>
              <w:left w:val="nil"/>
              <w:bottom w:val="single" w:color="auto" w:sz="4" w:space="0"/>
              <w:right w:val="single" w:color="auto" w:sz="4" w:space="0"/>
            </w:tcBorders>
            <w:vAlign w:val="center"/>
          </w:tcPr>
          <w:p w14:paraId="56F3ED72">
            <w:pPr>
              <w:widowControl/>
              <w:jc w:val="left"/>
              <w:rPr>
                <w:rFonts w:ascii="宋体" w:hAnsi="宋体" w:cs="宋体"/>
                <w:color w:val="auto"/>
                <w:szCs w:val="21"/>
                <w:highlight w:val="none"/>
              </w:rPr>
            </w:pPr>
            <w:r>
              <w:rPr>
                <w:rFonts w:hint="eastAsia" w:ascii="宋体" w:hAnsi="宋体" w:cs="宋体"/>
                <w:color w:val="auto"/>
                <w:szCs w:val="21"/>
                <w:highlight w:val="none"/>
              </w:rPr>
              <w:t>X＜10</w:t>
            </w:r>
          </w:p>
        </w:tc>
      </w:tr>
      <w:tr w14:paraId="3816B9AD">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16B1BEDC">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41EBFDF8">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5E0697CD">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11CECF1B">
            <w:pPr>
              <w:widowControl/>
              <w:jc w:val="left"/>
              <w:rPr>
                <w:rFonts w:ascii="宋体" w:hAnsi="宋体" w:cs="宋体"/>
                <w:color w:val="auto"/>
                <w:szCs w:val="21"/>
                <w:highlight w:val="none"/>
              </w:rPr>
            </w:pPr>
            <w:r>
              <w:rPr>
                <w:rFonts w:hint="eastAsia" w:ascii="宋体" w:hAnsi="宋体" w:cs="宋体"/>
                <w:color w:val="auto"/>
                <w:szCs w:val="21"/>
                <w:highlight w:val="none"/>
              </w:rPr>
              <w:t>1000≤Y＜100000</w:t>
            </w:r>
          </w:p>
        </w:tc>
        <w:tc>
          <w:tcPr>
            <w:tcW w:w="902" w:type="pct"/>
            <w:tcBorders>
              <w:top w:val="nil"/>
              <w:left w:val="nil"/>
              <w:bottom w:val="single" w:color="auto" w:sz="4" w:space="0"/>
              <w:right w:val="single" w:color="auto" w:sz="4" w:space="0"/>
            </w:tcBorders>
            <w:vAlign w:val="center"/>
          </w:tcPr>
          <w:p w14:paraId="4D321D2C">
            <w:pPr>
              <w:widowControl/>
              <w:jc w:val="left"/>
              <w:rPr>
                <w:rFonts w:ascii="宋体" w:hAnsi="宋体" w:cs="宋体"/>
                <w:color w:val="auto"/>
                <w:szCs w:val="21"/>
                <w:highlight w:val="none"/>
              </w:rPr>
            </w:pPr>
            <w:r>
              <w:rPr>
                <w:rFonts w:hint="eastAsia" w:ascii="宋体" w:hAnsi="宋体" w:cs="宋体"/>
                <w:color w:val="auto"/>
                <w:szCs w:val="21"/>
                <w:highlight w:val="none"/>
              </w:rPr>
              <w:t>100≤Y＜1000</w:t>
            </w:r>
          </w:p>
        </w:tc>
        <w:tc>
          <w:tcPr>
            <w:tcW w:w="579" w:type="pct"/>
            <w:tcBorders>
              <w:top w:val="nil"/>
              <w:left w:val="nil"/>
              <w:bottom w:val="single" w:color="auto" w:sz="4" w:space="0"/>
              <w:right w:val="single" w:color="auto" w:sz="4" w:space="0"/>
            </w:tcBorders>
            <w:vAlign w:val="center"/>
          </w:tcPr>
          <w:p w14:paraId="55F72166">
            <w:pPr>
              <w:widowControl/>
              <w:jc w:val="left"/>
              <w:rPr>
                <w:rFonts w:ascii="宋体" w:hAnsi="宋体" w:cs="宋体"/>
                <w:color w:val="auto"/>
                <w:szCs w:val="21"/>
                <w:highlight w:val="none"/>
              </w:rPr>
            </w:pPr>
            <w:r>
              <w:rPr>
                <w:rFonts w:hint="eastAsia" w:ascii="宋体" w:hAnsi="宋体" w:cs="宋体"/>
                <w:color w:val="auto"/>
                <w:szCs w:val="21"/>
                <w:highlight w:val="none"/>
              </w:rPr>
              <w:t>Y＜100</w:t>
            </w:r>
          </w:p>
        </w:tc>
      </w:tr>
      <w:tr w14:paraId="025C89B5">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06706D8D">
            <w:pPr>
              <w:widowControl/>
              <w:jc w:val="center"/>
              <w:rPr>
                <w:rFonts w:ascii="宋体" w:hAnsi="宋体" w:cs="宋体"/>
                <w:color w:val="auto"/>
                <w:szCs w:val="21"/>
                <w:highlight w:val="none"/>
              </w:rPr>
            </w:pPr>
            <w:r>
              <w:rPr>
                <w:rFonts w:hint="eastAsia" w:ascii="宋体" w:hAnsi="宋体" w:cs="宋体"/>
                <w:color w:val="auto"/>
                <w:szCs w:val="21"/>
                <w:highlight w:val="none"/>
              </w:rPr>
              <w:t>软件和信息技术服务业</w:t>
            </w:r>
          </w:p>
        </w:tc>
        <w:tc>
          <w:tcPr>
            <w:tcW w:w="977" w:type="pct"/>
            <w:tcBorders>
              <w:top w:val="nil"/>
              <w:left w:val="nil"/>
              <w:bottom w:val="single" w:color="auto" w:sz="4" w:space="0"/>
              <w:right w:val="single" w:color="auto" w:sz="4" w:space="0"/>
            </w:tcBorders>
            <w:vAlign w:val="center"/>
          </w:tcPr>
          <w:p w14:paraId="3E5454AD">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2F84E250">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46E59EF2">
            <w:pPr>
              <w:widowControl/>
              <w:jc w:val="left"/>
              <w:rPr>
                <w:rFonts w:ascii="宋体" w:hAnsi="宋体" w:cs="宋体"/>
                <w:color w:val="auto"/>
                <w:szCs w:val="21"/>
                <w:highlight w:val="none"/>
              </w:rPr>
            </w:pPr>
            <w:r>
              <w:rPr>
                <w:rFonts w:hint="eastAsia" w:ascii="宋体" w:hAnsi="宋体" w:cs="宋体"/>
                <w:color w:val="auto"/>
                <w:szCs w:val="21"/>
                <w:highlight w:val="none"/>
              </w:rPr>
              <w:t>100≤X＜300</w:t>
            </w:r>
          </w:p>
        </w:tc>
        <w:tc>
          <w:tcPr>
            <w:tcW w:w="902" w:type="pct"/>
            <w:tcBorders>
              <w:top w:val="nil"/>
              <w:left w:val="nil"/>
              <w:bottom w:val="single" w:color="auto" w:sz="4" w:space="0"/>
              <w:right w:val="single" w:color="auto" w:sz="4" w:space="0"/>
            </w:tcBorders>
            <w:vAlign w:val="center"/>
          </w:tcPr>
          <w:p w14:paraId="66556667">
            <w:pPr>
              <w:widowControl/>
              <w:jc w:val="left"/>
              <w:rPr>
                <w:rFonts w:ascii="宋体" w:hAnsi="宋体" w:cs="宋体"/>
                <w:color w:val="auto"/>
                <w:szCs w:val="21"/>
                <w:highlight w:val="none"/>
              </w:rPr>
            </w:pPr>
            <w:r>
              <w:rPr>
                <w:rFonts w:hint="eastAsia" w:ascii="宋体" w:hAnsi="宋体" w:cs="宋体"/>
                <w:color w:val="auto"/>
                <w:szCs w:val="21"/>
                <w:highlight w:val="none"/>
              </w:rPr>
              <w:t>10≤X＜100</w:t>
            </w:r>
          </w:p>
        </w:tc>
        <w:tc>
          <w:tcPr>
            <w:tcW w:w="579" w:type="pct"/>
            <w:tcBorders>
              <w:top w:val="nil"/>
              <w:left w:val="nil"/>
              <w:bottom w:val="single" w:color="auto" w:sz="4" w:space="0"/>
              <w:right w:val="single" w:color="auto" w:sz="4" w:space="0"/>
            </w:tcBorders>
            <w:vAlign w:val="center"/>
          </w:tcPr>
          <w:p w14:paraId="1D6F665C">
            <w:pPr>
              <w:widowControl/>
              <w:jc w:val="left"/>
              <w:rPr>
                <w:rFonts w:ascii="宋体" w:hAnsi="宋体" w:cs="宋体"/>
                <w:color w:val="auto"/>
                <w:szCs w:val="21"/>
                <w:highlight w:val="none"/>
              </w:rPr>
            </w:pPr>
            <w:r>
              <w:rPr>
                <w:rFonts w:hint="eastAsia" w:ascii="宋体" w:hAnsi="宋体" w:cs="宋体"/>
                <w:color w:val="auto"/>
                <w:szCs w:val="21"/>
                <w:highlight w:val="none"/>
              </w:rPr>
              <w:t>X＜10</w:t>
            </w:r>
          </w:p>
        </w:tc>
      </w:tr>
      <w:tr w14:paraId="1B4C1F07">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27D63452">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41395630">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241A9A10">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26CA992C">
            <w:pPr>
              <w:widowControl/>
              <w:jc w:val="left"/>
              <w:rPr>
                <w:rFonts w:ascii="宋体" w:hAnsi="宋体" w:cs="宋体"/>
                <w:color w:val="auto"/>
                <w:szCs w:val="21"/>
                <w:highlight w:val="none"/>
              </w:rPr>
            </w:pPr>
            <w:r>
              <w:rPr>
                <w:rFonts w:hint="eastAsia" w:ascii="宋体" w:hAnsi="宋体" w:cs="宋体"/>
                <w:color w:val="auto"/>
                <w:szCs w:val="21"/>
                <w:highlight w:val="none"/>
              </w:rPr>
              <w:t>1000≤Y＜10000</w:t>
            </w:r>
          </w:p>
        </w:tc>
        <w:tc>
          <w:tcPr>
            <w:tcW w:w="902" w:type="pct"/>
            <w:tcBorders>
              <w:top w:val="nil"/>
              <w:left w:val="nil"/>
              <w:bottom w:val="single" w:color="auto" w:sz="4" w:space="0"/>
              <w:right w:val="single" w:color="auto" w:sz="4" w:space="0"/>
            </w:tcBorders>
            <w:vAlign w:val="center"/>
          </w:tcPr>
          <w:p w14:paraId="52F30613">
            <w:pPr>
              <w:widowControl/>
              <w:jc w:val="left"/>
              <w:rPr>
                <w:rFonts w:ascii="宋体" w:hAnsi="宋体" w:cs="宋体"/>
                <w:color w:val="auto"/>
                <w:szCs w:val="21"/>
                <w:highlight w:val="none"/>
              </w:rPr>
            </w:pPr>
            <w:r>
              <w:rPr>
                <w:rFonts w:hint="eastAsia" w:ascii="宋体" w:hAnsi="宋体" w:cs="宋体"/>
                <w:color w:val="auto"/>
                <w:szCs w:val="21"/>
                <w:highlight w:val="none"/>
              </w:rPr>
              <w:t>50≤Y＜1000</w:t>
            </w:r>
          </w:p>
        </w:tc>
        <w:tc>
          <w:tcPr>
            <w:tcW w:w="579" w:type="pct"/>
            <w:tcBorders>
              <w:top w:val="nil"/>
              <w:left w:val="nil"/>
              <w:bottom w:val="single" w:color="auto" w:sz="4" w:space="0"/>
              <w:right w:val="single" w:color="auto" w:sz="4" w:space="0"/>
            </w:tcBorders>
            <w:vAlign w:val="center"/>
          </w:tcPr>
          <w:p w14:paraId="275BAD58">
            <w:pPr>
              <w:widowControl/>
              <w:jc w:val="left"/>
              <w:rPr>
                <w:rFonts w:ascii="宋体" w:hAnsi="宋体" w:cs="宋体"/>
                <w:color w:val="auto"/>
                <w:szCs w:val="21"/>
                <w:highlight w:val="none"/>
              </w:rPr>
            </w:pPr>
            <w:r>
              <w:rPr>
                <w:rFonts w:hint="eastAsia" w:ascii="宋体" w:hAnsi="宋体" w:cs="宋体"/>
                <w:color w:val="auto"/>
                <w:szCs w:val="21"/>
                <w:highlight w:val="none"/>
              </w:rPr>
              <w:t>Y＜50</w:t>
            </w:r>
          </w:p>
        </w:tc>
      </w:tr>
      <w:tr w14:paraId="27047D1D">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0F12BBF9">
            <w:pPr>
              <w:widowControl/>
              <w:jc w:val="center"/>
              <w:rPr>
                <w:rFonts w:ascii="宋体" w:hAnsi="宋体" w:cs="宋体"/>
                <w:color w:val="auto"/>
                <w:szCs w:val="21"/>
                <w:highlight w:val="none"/>
              </w:rPr>
            </w:pPr>
            <w:r>
              <w:rPr>
                <w:rFonts w:hint="eastAsia" w:ascii="宋体" w:hAnsi="宋体" w:cs="宋体"/>
                <w:color w:val="auto"/>
                <w:szCs w:val="21"/>
                <w:highlight w:val="none"/>
              </w:rPr>
              <w:t>房地产开发经营</w:t>
            </w:r>
          </w:p>
        </w:tc>
        <w:tc>
          <w:tcPr>
            <w:tcW w:w="977" w:type="pct"/>
            <w:tcBorders>
              <w:top w:val="nil"/>
              <w:left w:val="nil"/>
              <w:bottom w:val="single" w:color="auto" w:sz="4" w:space="0"/>
              <w:right w:val="single" w:color="auto" w:sz="4" w:space="0"/>
            </w:tcBorders>
            <w:vAlign w:val="center"/>
          </w:tcPr>
          <w:p w14:paraId="31F2D11C">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2F81399B">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0ACFAB8C">
            <w:pPr>
              <w:widowControl/>
              <w:jc w:val="left"/>
              <w:rPr>
                <w:rFonts w:ascii="宋体" w:hAnsi="宋体" w:cs="宋体"/>
                <w:color w:val="auto"/>
                <w:szCs w:val="21"/>
                <w:highlight w:val="none"/>
              </w:rPr>
            </w:pPr>
            <w:r>
              <w:rPr>
                <w:rFonts w:hint="eastAsia" w:ascii="宋体" w:hAnsi="宋体" w:cs="宋体"/>
                <w:color w:val="auto"/>
                <w:szCs w:val="21"/>
                <w:highlight w:val="none"/>
              </w:rPr>
              <w:t>1000≤Y＜200000</w:t>
            </w:r>
          </w:p>
        </w:tc>
        <w:tc>
          <w:tcPr>
            <w:tcW w:w="902" w:type="pct"/>
            <w:tcBorders>
              <w:top w:val="nil"/>
              <w:left w:val="nil"/>
              <w:bottom w:val="single" w:color="auto" w:sz="4" w:space="0"/>
              <w:right w:val="single" w:color="auto" w:sz="4" w:space="0"/>
            </w:tcBorders>
            <w:vAlign w:val="center"/>
          </w:tcPr>
          <w:p w14:paraId="1E631A35">
            <w:pPr>
              <w:widowControl/>
              <w:jc w:val="left"/>
              <w:rPr>
                <w:rFonts w:ascii="宋体" w:hAnsi="宋体" w:cs="宋体"/>
                <w:color w:val="auto"/>
                <w:szCs w:val="21"/>
                <w:highlight w:val="none"/>
              </w:rPr>
            </w:pPr>
            <w:r>
              <w:rPr>
                <w:rFonts w:hint="eastAsia" w:ascii="宋体" w:hAnsi="宋体" w:cs="宋体"/>
                <w:color w:val="auto"/>
                <w:szCs w:val="21"/>
                <w:highlight w:val="none"/>
              </w:rPr>
              <w:t>100≤X＜1000</w:t>
            </w:r>
          </w:p>
        </w:tc>
        <w:tc>
          <w:tcPr>
            <w:tcW w:w="579" w:type="pct"/>
            <w:tcBorders>
              <w:top w:val="nil"/>
              <w:left w:val="nil"/>
              <w:bottom w:val="single" w:color="auto" w:sz="4" w:space="0"/>
              <w:right w:val="single" w:color="auto" w:sz="4" w:space="0"/>
            </w:tcBorders>
            <w:vAlign w:val="center"/>
          </w:tcPr>
          <w:p w14:paraId="487D66D9">
            <w:pPr>
              <w:widowControl/>
              <w:jc w:val="left"/>
              <w:rPr>
                <w:rFonts w:ascii="宋体" w:hAnsi="宋体" w:cs="宋体"/>
                <w:color w:val="auto"/>
                <w:szCs w:val="21"/>
                <w:highlight w:val="none"/>
              </w:rPr>
            </w:pPr>
            <w:r>
              <w:rPr>
                <w:rFonts w:hint="eastAsia" w:ascii="宋体" w:hAnsi="宋体" w:cs="宋体"/>
                <w:color w:val="auto"/>
                <w:szCs w:val="21"/>
                <w:highlight w:val="none"/>
              </w:rPr>
              <w:t>X＜100</w:t>
            </w:r>
          </w:p>
        </w:tc>
      </w:tr>
      <w:tr w14:paraId="4CDCCA2E">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29311D8E">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5AE9A437">
            <w:pPr>
              <w:widowControl/>
              <w:jc w:val="left"/>
              <w:rPr>
                <w:rFonts w:ascii="宋体" w:hAnsi="宋体" w:cs="宋体"/>
                <w:color w:val="auto"/>
                <w:szCs w:val="21"/>
                <w:highlight w:val="none"/>
              </w:rPr>
            </w:pPr>
            <w:r>
              <w:rPr>
                <w:rFonts w:hint="eastAsia" w:ascii="宋体" w:hAnsi="宋体" w:cs="宋体"/>
                <w:color w:val="auto"/>
                <w:szCs w:val="21"/>
                <w:highlight w:val="none"/>
              </w:rPr>
              <w:t>资产总额（Z）</w:t>
            </w:r>
          </w:p>
        </w:tc>
        <w:tc>
          <w:tcPr>
            <w:tcW w:w="651" w:type="pct"/>
            <w:tcBorders>
              <w:top w:val="nil"/>
              <w:left w:val="nil"/>
              <w:bottom w:val="single" w:color="auto" w:sz="4" w:space="0"/>
              <w:right w:val="single" w:color="auto" w:sz="4" w:space="0"/>
            </w:tcBorders>
            <w:vAlign w:val="center"/>
          </w:tcPr>
          <w:p w14:paraId="0B1ACF85">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36A18B52">
            <w:pPr>
              <w:widowControl/>
              <w:jc w:val="left"/>
              <w:rPr>
                <w:rFonts w:ascii="宋体" w:hAnsi="宋体" w:cs="宋体"/>
                <w:color w:val="auto"/>
                <w:szCs w:val="21"/>
                <w:highlight w:val="none"/>
              </w:rPr>
            </w:pPr>
            <w:r>
              <w:rPr>
                <w:rFonts w:hint="eastAsia" w:ascii="宋体" w:hAnsi="宋体" w:cs="宋体"/>
                <w:color w:val="auto"/>
                <w:szCs w:val="21"/>
                <w:highlight w:val="none"/>
              </w:rPr>
              <w:t>5000≤Z＜10000</w:t>
            </w:r>
          </w:p>
        </w:tc>
        <w:tc>
          <w:tcPr>
            <w:tcW w:w="902" w:type="pct"/>
            <w:tcBorders>
              <w:top w:val="nil"/>
              <w:left w:val="nil"/>
              <w:bottom w:val="single" w:color="auto" w:sz="4" w:space="0"/>
              <w:right w:val="single" w:color="auto" w:sz="4" w:space="0"/>
            </w:tcBorders>
            <w:vAlign w:val="center"/>
          </w:tcPr>
          <w:p w14:paraId="32B6ACAC">
            <w:pPr>
              <w:widowControl/>
              <w:jc w:val="left"/>
              <w:rPr>
                <w:rFonts w:ascii="宋体" w:hAnsi="宋体" w:cs="宋体"/>
                <w:color w:val="auto"/>
                <w:szCs w:val="21"/>
                <w:highlight w:val="none"/>
              </w:rPr>
            </w:pPr>
            <w:r>
              <w:rPr>
                <w:rFonts w:hint="eastAsia" w:ascii="宋体" w:hAnsi="宋体" w:cs="宋体"/>
                <w:color w:val="auto"/>
                <w:szCs w:val="21"/>
                <w:highlight w:val="none"/>
              </w:rPr>
              <w:t>2000≤Y＜5000</w:t>
            </w:r>
          </w:p>
        </w:tc>
        <w:tc>
          <w:tcPr>
            <w:tcW w:w="579" w:type="pct"/>
            <w:tcBorders>
              <w:top w:val="nil"/>
              <w:left w:val="nil"/>
              <w:bottom w:val="single" w:color="auto" w:sz="4" w:space="0"/>
              <w:right w:val="single" w:color="auto" w:sz="4" w:space="0"/>
            </w:tcBorders>
            <w:vAlign w:val="center"/>
          </w:tcPr>
          <w:p w14:paraId="3CD7B7E6">
            <w:pPr>
              <w:widowControl/>
              <w:jc w:val="left"/>
              <w:rPr>
                <w:rFonts w:ascii="宋体" w:hAnsi="宋体" w:cs="宋体"/>
                <w:color w:val="auto"/>
                <w:szCs w:val="21"/>
                <w:highlight w:val="none"/>
              </w:rPr>
            </w:pPr>
            <w:r>
              <w:rPr>
                <w:rFonts w:hint="eastAsia" w:ascii="宋体" w:hAnsi="宋体" w:cs="宋体"/>
                <w:color w:val="auto"/>
                <w:szCs w:val="21"/>
                <w:highlight w:val="none"/>
              </w:rPr>
              <w:t>Y＜2000</w:t>
            </w:r>
          </w:p>
        </w:tc>
      </w:tr>
      <w:tr w14:paraId="49F8BB7C">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5BCEEE14">
            <w:pPr>
              <w:widowControl/>
              <w:jc w:val="center"/>
              <w:rPr>
                <w:rFonts w:ascii="宋体" w:hAnsi="宋体" w:cs="宋体"/>
                <w:color w:val="auto"/>
                <w:szCs w:val="21"/>
                <w:highlight w:val="none"/>
              </w:rPr>
            </w:pPr>
            <w:r>
              <w:rPr>
                <w:rFonts w:hint="eastAsia" w:ascii="宋体" w:hAnsi="宋体" w:cs="宋体"/>
                <w:color w:val="auto"/>
                <w:szCs w:val="21"/>
                <w:highlight w:val="none"/>
              </w:rPr>
              <w:t>物业管理</w:t>
            </w:r>
          </w:p>
        </w:tc>
        <w:tc>
          <w:tcPr>
            <w:tcW w:w="977" w:type="pct"/>
            <w:tcBorders>
              <w:top w:val="nil"/>
              <w:left w:val="nil"/>
              <w:bottom w:val="single" w:color="auto" w:sz="4" w:space="0"/>
              <w:right w:val="single" w:color="auto" w:sz="4" w:space="0"/>
            </w:tcBorders>
            <w:vAlign w:val="center"/>
          </w:tcPr>
          <w:p w14:paraId="51022CC8">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25C0D89C">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787A2F72">
            <w:pPr>
              <w:widowControl/>
              <w:jc w:val="left"/>
              <w:rPr>
                <w:rFonts w:ascii="宋体" w:hAnsi="宋体" w:cs="宋体"/>
                <w:color w:val="auto"/>
                <w:szCs w:val="21"/>
                <w:highlight w:val="none"/>
              </w:rPr>
            </w:pPr>
            <w:r>
              <w:rPr>
                <w:rFonts w:hint="eastAsia" w:ascii="宋体" w:hAnsi="宋体" w:cs="宋体"/>
                <w:color w:val="auto"/>
                <w:szCs w:val="21"/>
                <w:highlight w:val="none"/>
              </w:rPr>
              <w:t>300≤X＜1000</w:t>
            </w:r>
          </w:p>
        </w:tc>
        <w:tc>
          <w:tcPr>
            <w:tcW w:w="902" w:type="pct"/>
            <w:tcBorders>
              <w:top w:val="nil"/>
              <w:left w:val="nil"/>
              <w:bottom w:val="single" w:color="auto" w:sz="4" w:space="0"/>
              <w:right w:val="single" w:color="auto" w:sz="4" w:space="0"/>
            </w:tcBorders>
            <w:vAlign w:val="center"/>
          </w:tcPr>
          <w:p w14:paraId="126B74BE">
            <w:pPr>
              <w:widowControl/>
              <w:jc w:val="left"/>
              <w:rPr>
                <w:rFonts w:ascii="宋体" w:hAnsi="宋体" w:cs="宋体"/>
                <w:color w:val="auto"/>
                <w:szCs w:val="21"/>
                <w:highlight w:val="none"/>
              </w:rPr>
            </w:pPr>
            <w:r>
              <w:rPr>
                <w:rFonts w:hint="eastAsia" w:ascii="宋体" w:hAnsi="宋体" w:cs="宋体"/>
                <w:color w:val="auto"/>
                <w:szCs w:val="21"/>
                <w:highlight w:val="none"/>
              </w:rPr>
              <w:t>100≤X＜300</w:t>
            </w:r>
          </w:p>
        </w:tc>
        <w:tc>
          <w:tcPr>
            <w:tcW w:w="579" w:type="pct"/>
            <w:tcBorders>
              <w:top w:val="nil"/>
              <w:left w:val="nil"/>
              <w:bottom w:val="single" w:color="auto" w:sz="4" w:space="0"/>
              <w:right w:val="single" w:color="auto" w:sz="4" w:space="0"/>
            </w:tcBorders>
            <w:vAlign w:val="center"/>
          </w:tcPr>
          <w:p w14:paraId="7BE4AD43">
            <w:pPr>
              <w:widowControl/>
              <w:jc w:val="left"/>
              <w:rPr>
                <w:rFonts w:ascii="宋体" w:hAnsi="宋体" w:cs="宋体"/>
                <w:color w:val="auto"/>
                <w:szCs w:val="21"/>
                <w:highlight w:val="none"/>
              </w:rPr>
            </w:pPr>
            <w:r>
              <w:rPr>
                <w:rFonts w:hint="eastAsia" w:ascii="宋体" w:hAnsi="宋体" w:cs="宋体"/>
                <w:color w:val="auto"/>
                <w:szCs w:val="21"/>
                <w:highlight w:val="none"/>
              </w:rPr>
              <w:t>X＜100</w:t>
            </w:r>
          </w:p>
        </w:tc>
      </w:tr>
      <w:tr w14:paraId="15BE30CF">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6C5B8E49">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079982A3">
            <w:pPr>
              <w:widowControl/>
              <w:jc w:val="left"/>
              <w:rPr>
                <w:rFonts w:ascii="宋体" w:hAnsi="宋体" w:cs="宋体"/>
                <w:color w:val="auto"/>
                <w:szCs w:val="21"/>
                <w:highlight w:val="none"/>
              </w:rPr>
            </w:pPr>
            <w:r>
              <w:rPr>
                <w:rFonts w:hint="eastAsia" w:ascii="宋体" w:hAnsi="宋体" w:cs="宋体"/>
                <w:color w:val="auto"/>
                <w:szCs w:val="21"/>
                <w:highlight w:val="none"/>
              </w:rPr>
              <w:t>营业收入（Y）</w:t>
            </w:r>
          </w:p>
        </w:tc>
        <w:tc>
          <w:tcPr>
            <w:tcW w:w="651" w:type="pct"/>
            <w:tcBorders>
              <w:top w:val="nil"/>
              <w:left w:val="nil"/>
              <w:bottom w:val="single" w:color="auto" w:sz="4" w:space="0"/>
              <w:right w:val="single" w:color="auto" w:sz="4" w:space="0"/>
            </w:tcBorders>
            <w:vAlign w:val="center"/>
          </w:tcPr>
          <w:p w14:paraId="705E9EA6">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107A1221">
            <w:pPr>
              <w:widowControl/>
              <w:jc w:val="left"/>
              <w:rPr>
                <w:rFonts w:ascii="宋体" w:hAnsi="宋体" w:cs="宋体"/>
                <w:color w:val="auto"/>
                <w:szCs w:val="21"/>
                <w:highlight w:val="none"/>
              </w:rPr>
            </w:pPr>
            <w:r>
              <w:rPr>
                <w:rFonts w:hint="eastAsia" w:ascii="宋体" w:hAnsi="宋体" w:cs="宋体"/>
                <w:color w:val="auto"/>
                <w:szCs w:val="21"/>
                <w:highlight w:val="none"/>
              </w:rPr>
              <w:t>1000≤Y＜5000</w:t>
            </w:r>
          </w:p>
        </w:tc>
        <w:tc>
          <w:tcPr>
            <w:tcW w:w="902" w:type="pct"/>
            <w:tcBorders>
              <w:top w:val="nil"/>
              <w:left w:val="nil"/>
              <w:bottom w:val="single" w:color="auto" w:sz="4" w:space="0"/>
              <w:right w:val="single" w:color="auto" w:sz="4" w:space="0"/>
            </w:tcBorders>
            <w:vAlign w:val="center"/>
          </w:tcPr>
          <w:p w14:paraId="0EDBD88B">
            <w:pPr>
              <w:widowControl/>
              <w:jc w:val="left"/>
              <w:rPr>
                <w:rFonts w:ascii="宋体" w:hAnsi="宋体" w:cs="宋体"/>
                <w:color w:val="auto"/>
                <w:szCs w:val="21"/>
                <w:highlight w:val="none"/>
              </w:rPr>
            </w:pPr>
            <w:r>
              <w:rPr>
                <w:rFonts w:hint="eastAsia" w:ascii="宋体" w:hAnsi="宋体" w:cs="宋体"/>
                <w:color w:val="auto"/>
                <w:szCs w:val="21"/>
                <w:highlight w:val="none"/>
              </w:rPr>
              <w:t>500≤Y＜1000</w:t>
            </w:r>
          </w:p>
        </w:tc>
        <w:tc>
          <w:tcPr>
            <w:tcW w:w="579" w:type="pct"/>
            <w:tcBorders>
              <w:top w:val="nil"/>
              <w:left w:val="nil"/>
              <w:bottom w:val="single" w:color="auto" w:sz="4" w:space="0"/>
              <w:right w:val="single" w:color="auto" w:sz="4" w:space="0"/>
            </w:tcBorders>
            <w:vAlign w:val="center"/>
          </w:tcPr>
          <w:p w14:paraId="7099657B">
            <w:pPr>
              <w:widowControl/>
              <w:jc w:val="left"/>
              <w:rPr>
                <w:rFonts w:ascii="宋体" w:hAnsi="宋体" w:cs="宋体"/>
                <w:color w:val="auto"/>
                <w:szCs w:val="21"/>
                <w:highlight w:val="none"/>
              </w:rPr>
            </w:pPr>
            <w:r>
              <w:rPr>
                <w:rFonts w:hint="eastAsia" w:ascii="宋体" w:hAnsi="宋体" w:cs="宋体"/>
                <w:color w:val="auto"/>
                <w:szCs w:val="21"/>
                <w:highlight w:val="none"/>
              </w:rPr>
              <w:t>Y＜500</w:t>
            </w:r>
          </w:p>
        </w:tc>
      </w:tr>
      <w:tr w14:paraId="2170675A">
        <w:tblPrEx>
          <w:tblCellMar>
            <w:top w:w="0" w:type="dxa"/>
            <w:left w:w="108" w:type="dxa"/>
            <w:bottom w:w="0" w:type="dxa"/>
            <w:right w:w="108" w:type="dxa"/>
          </w:tblCellMar>
        </w:tblPrEx>
        <w:trPr>
          <w:trHeight w:val="220" w:hRule="atLeast"/>
        </w:trPr>
        <w:tc>
          <w:tcPr>
            <w:tcW w:w="830" w:type="pct"/>
            <w:vMerge w:val="restart"/>
            <w:tcBorders>
              <w:top w:val="nil"/>
              <w:left w:val="single" w:color="auto" w:sz="4" w:space="0"/>
              <w:bottom w:val="single" w:color="auto" w:sz="4" w:space="0"/>
              <w:right w:val="single" w:color="auto" w:sz="4" w:space="0"/>
            </w:tcBorders>
            <w:vAlign w:val="bottom"/>
          </w:tcPr>
          <w:p w14:paraId="4621914E">
            <w:pPr>
              <w:widowControl/>
              <w:jc w:val="center"/>
              <w:rPr>
                <w:rFonts w:ascii="宋体" w:hAnsi="宋体" w:cs="宋体"/>
                <w:color w:val="auto"/>
                <w:szCs w:val="21"/>
                <w:highlight w:val="none"/>
              </w:rPr>
            </w:pPr>
            <w:r>
              <w:rPr>
                <w:rFonts w:hint="eastAsia" w:ascii="宋体" w:hAnsi="宋体" w:cs="宋体"/>
                <w:color w:val="auto"/>
                <w:szCs w:val="21"/>
                <w:highlight w:val="none"/>
              </w:rPr>
              <w:t>租赁和商务服务业</w:t>
            </w:r>
          </w:p>
        </w:tc>
        <w:tc>
          <w:tcPr>
            <w:tcW w:w="977" w:type="pct"/>
            <w:tcBorders>
              <w:top w:val="nil"/>
              <w:left w:val="nil"/>
              <w:bottom w:val="single" w:color="auto" w:sz="4" w:space="0"/>
              <w:right w:val="single" w:color="auto" w:sz="4" w:space="0"/>
            </w:tcBorders>
            <w:vAlign w:val="center"/>
          </w:tcPr>
          <w:p w14:paraId="489512CB">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2F3CE43C">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3AB694EA">
            <w:pPr>
              <w:widowControl/>
              <w:jc w:val="left"/>
              <w:rPr>
                <w:rFonts w:ascii="宋体" w:hAnsi="宋体" w:cs="宋体"/>
                <w:color w:val="auto"/>
                <w:szCs w:val="21"/>
                <w:highlight w:val="none"/>
              </w:rPr>
            </w:pPr>
            <w:r>
              <w:rPr>
                <w:rFonts w:hint="eastAsia" w:ascii="宋体" w:hAnsi="宋体" w:cs="宋体"/>
                <w:color w:val="auto"/>
                <w:szCs w:val="21"/>
                <w:highlight w:val="none"/>
              </w:rPr>
              <w:t>100≤X＜300</w:t>
            </w:r>
          </w:p>
        </w:tc>
        <w:tc>
          <w:tcPr>
            <w:tcW w:w="902" w:type="pct"/>
            <w:tcBorders>
              <w:top w:val="nil"/>
              <w:left w:val="nil"/>
              <w:bottom w:val="single" w:color="auto" w:sz="4" w:space="0"/>
              <w:right w:val="single" w:color="auto" w:sz="4" w:space="0"/>
            </w:tcBorders>
            <w:vAlign w:val="center"/>
          </w:tcPr>
          <w:p w14:paraId="5D68655A">
            <w:pPr>
              <w:widowControl/>
              <w:jc w:val="left"/>
              <w:rPr>
                <w:rFonts w:ascii="宋体" w:hAnsi="宋体" w:cs="宋体"/>
                <w:color w:val="auto"/>
                <w:szCs w:val="21"/>
                <w:highlight w:val="none"/>
              </w:rPr>
            </w:pPr>
            <w:r>
              <w:rPr>
                <w:rFonts w:hint="eastAsia" w:ascii="宋体" w:hAnsi="宋体" w:cs="宋体"/>
                <w:color w:val="auto"/>
                <w:szCs w:val="21"/>
                <w:highlight w:val="none"/>
              </w:rPr>
              <w:t>10≤X＜100</w:t>
            </w:r>
          </w:p>
        </w:tc>
        <w:tc>
          <w:tcPr>
            <w:tcW w:w="579" w:type="pct"/>
            <w:tcBorders>
              <w:top w:val="nil"/>
              <w:left w:val="nil"/>
              <w:bottom w:val="single" w:color="auto" w:sz="4" w:space="0"/>
              <w:right w:val="single" w:color="auto" w:sz="4" w:space="0"/>
            </w:tcBorders>
            <w:vAlign w:val="center"/>
          </w:tcPr>
          <w:p w14:paraId="7514669A">
            <w:pPr>
              <w:widowControl/>
              <w:jc w:val="left"/>
              <w:rPr>
                <w:rFonts w:ascii="宋体" w:hAnsi="宋体" w:cs="宋体"/>
                <w:color w:val="auto"/>
                <w:szCs w:val="21"/>
                <w:highlight w:val="none"/>
              </w:rPr>
            </w:pPr>
            <w:r>
              <w:rPr>
                <w:rFonts w:hint="eastAsia" w:ascii="宋体" w:hAnsi="宋体" w:cs="宋体"/>
                <w:color w:val="auto"/>
                <w:szCs w:val="21"/>
                <w:highlight w:val="none"/>
              </w:rPr>
              <w:t>X＜10</w:t>
            </w:r>
          </w:p>
        </w:tc>
      </w:tr>
      <w:tr w14:paraId="53BB2622">
        <w:tblPrEx>
          <w:tblCellMar>
            <w:top w:w="0" w:type="dxa"/>
            <w:left w:w="108" w:type="dxa"/>
            <w:bottom w:w="0" w:type="dxa"/>
            <w:right w:w="108" w:type="dxa"/>
          </w:tblCellMar>
        </w:tblPrEx>
        <w:trPr>
          <w:trHeight w:val="220" w:hRule="atLeast"/>
        </w:trPr>
        <w:tc>
          <w:tcPr>
            <w:tcW w:w="830" w:type="pct"/>
            <w:vMerge w:val="continue"/>
            <w:tcBorders>
              <w:top w:val="nil"/>
              <w:left w:val="single" w:color="auto" w:sz="4" w:space="0"/>
              <w:bottom w:val="single" w:color="auto" w:sz="4" w:space="0"/>
              <w:right w:val="single" w:color="auto" w:sz="4" w:space="0"/>
            </w:tcBorders>
            <w:vAlign w:val="center"/>
          </w:tcPr>
          <w:p w14:paraId="7B0F7ABC">
            <w:pPr>
              <w:widowControl/>
              <w:jc w:val="left"/>
              <w:rPr>
                <w:rFonts w:ascii="宋体" w:hAnsi="宋体" w:cs="宋体"/>
                <w:color w:val="auto"/>
                <w:szCs w:val="21"/>
                <w:highlight w:val="none"/>
              </w:rPr>
            </w:pPr>
          </w:p>
        </w:tc>
        <w:tc>
          <w:tcPr>
            <w:tcW w:w="977" w:type="pct"/>
            <w:tcBorders>
              <w:top w:val="nil"/>
              <w:left w:val="nil"/>
              <w:bottom w:val="single" w:color="auto" w:sz="4" w:space="0"/>
              <w:right w:val="single" w:color="auto" w:sz="4" w:space="0"/>
            </w:tcBorders>
            <w:vAlign w:val="center"/>
          </w:tcPr>
          <w:p w14:paraId="6A563FAA">
            <w:pPr>
              <w:widowControl/>
              <w:jc w:val="left"/>
              <w:rPr>
                <w:rFonts w:ascii="宋体" w:hAnsi="宋体" w:cs="宋体"/>
                <w:color w:val="auto"/>
                <w:szCs w:val="21"/>
                <w:highlight w:val="none"/>
              </w:rPr>
            </w:pPr>
            <w:r>
              <w:rPr>
                <w:rFonts w:hint="eastAsia" w:ascii="宋体" w:hAnsi="宋体" w:cs="宋体"/>
                <w:color w:val="auto"/>
                <w:szCs w:val="21"/>
                <w:highlight w:val="none"/>
              </w:rPr>
              <w:t>资产总额（Z）</w:t>
            </w:r>
          </w:p>
        </w:tc>
        <w:tc>
          <w:tcPr>
            <w:tcW w:w="651" w:type="pct"/>
            <w:tcBorders>
              <w:top w:val="nil"/>
              <w:left w:val="nil"/>
              <w:bottom w:val="single" w:color="auto" w:sz="4" w:space="0"/>
              <w:right w:val="single" w:color="auto" w:sz="4" w:space="0"/>
            </w:tcBorders>
            <w:vAlign w:val="center"/>
          </w:tcPr>
          <w:p w14:paraId="7ED25E19">
            <w:pPr>
              <w:widowControl/>
              <w:jc w:val="left"/>
              <w:rPr>
                <w:rFonts w:ascii="宋体" w:hAnsi="宋体" w:cs="宋体"/>
                <w:color w:val="auto"/>
                <w:szCs w:val="21"/>
                <w:highlight w:val="none"/>
              </w:rPr>
            </w:pPr>
            <w:r>
              <w:rPr>
                <w:rFonts w:hint="eastAsia" w:ascii="宋体" w:hAnsi="宋体" w:cs="宋体"/>
                <w:color w:val="auto"/>
                <w:szCs w:val="21"/>
                <w:highlight w:val="none"/>
              </w:rPr>
              <w:t>万元</w:t>
            </w:r>
          </w:p>
        </w:tc>
        <w:tc>
          <w:tcPr>
            <w:tcW w:w="1060" w:type="pct"/>
            <w:tcBorders>
              <w:top w:val="nil"/>
              <w:left w:val="nil"/>
              <w:bottom w:val="single" w:color="auto" w:sz="4" w:space="0"/>
              <w:right w:val="single" w:color="auto" w:sz="4" w:space="0"/>
            </w:tcBorders>
            <w:vAlign w:val="center"/>
          </w:tcPr>
          <w:p w14:paraId="2C8D5F8A">
            <w:pPr>
              <w:widowControl/>
              <w:jc w:val="left"/>
              <w:rPr>
                <w:rFonts w:ascii="宋体" w:hAnsi="宋体" w:cs="宋体"/>
                <w:color w:val="auto"/>
                <w:szCs w:val="21"/>
                <w:highlight w:val="none"/>
              </w:rPr>
            </w:pPr>
            <w:r>
              <w:rPr>
                <w:rFonts w:hint="eastAsia" w:ascii="宋体" w:hAnsi="宋体" w:cs="宋体"/>
                <w:color w:val="auto"/>
                <w:szCs w:val="21"/>
                <w:highlight w:val="none"/>
              </w:rPr>
              <w:t>8000≤Z＜120000</w:t>
            </w:r>
          </w:p>
        </w:tc>
        <w:tc>
          <w:tcPr>
            <w:tcW w:w="902" w:type="pct"/>
            <w:tcBorders>
              <w:top w:val="nil"/>
              <w:left w:val="nil"/>
              <w:bottom w:val="single" w:color="auto" w:sz="4" w:space="0"/>
              <w:right w:val="single" w:color="auto" w:sz="4" w:space="0"/>
            </w:tcBorders>
            <w:vAlign w:val="center"/>
          </w:tcPr>
          <w:p w14:paraId="6414956C">
            <w:pPr>
              <w:widowControl/>
              <w:jc w:val="left"/>
              <w:rPr>
                <w:rFonts w:ascii="宋体" w:hAnsi="宋体" w:cs="宋体"/>
                <w:color w:val="auto"/>
                <w:szCs w:val="21"/>
                <w:highlight w:val="none"/>
              </w:rPr>
            </w:pPr>
            <w:r>
              <w:rPr>
                <w:rFonts w:hint="eastAsia" w:ascii="宋体" w:hAnsi="宋体" w:cs="宋体"/>
                <w:color w:val="auto"/>
                <w:szCs w:val="21"/>
                <w:highlight w:val="none"/>
              </w:rPr>
              <w:t>100≤Z＜8000</w:t>
            </w:r>
          </w:p>
        </w:tc>
        <w:tc>
          <w:tcPr>
            <w:tcW w:w="579" w:type="pct"/>
            <w:tcBorders>
              <w:top w:val="nil"/>
              <w:left w:val="nil"/>
              <w:bottom w:val="single" w:color="auto" w:sz="4" w:space="0"/>
              <w:right w:val="single" w:color="auto" w:sz="4" w:space="0"/>
            </w:tcBorders>
            <w:vAlign w:val="center"/>
          </w:tcPr>
          <w:p w14:paraId="68456F6C">
            <w:pPr>
              <w:widowControl/>
              <w:jc w:val="left"/>
              <w:rPr>
                <w:rFonts w:ascii="宋体" w:hAnsi="宋体" w:cs="宋体"/>
                <w:color w:val="auto"/>
                <w:szCs w:val="21"/>
                <w:highlight w:val="none"/>
              </w:rPr>
            </w:pPr>
            <w:r>
              <w:rPr>
                <w:rFonts w:hint="eastAsia" w:ascii="宋体" w:hAnsi="宋体" w:cs="宋体"/>
                <w:color w:val="auto"/>
                <w:szCs w:val="21"/>
                <w:highlight w:val="none"/>
              </w:rPr>
              <w:t>Y＜100</w:t>
            </w:r>
          </w:p>
        </w:tc>
      </w:tr>
      <w:tr w14:paraId="79B8ED50">
        <w:tblPrEx>
          <w:tblCellMar>
            <w:top w:w="0" w:type="dxa"/>
            <w:left w:w="108" w:type="dxa"/>
            <w:bottom w:w="0" w:type="dxa"/>
            <w:right w:w="108" w:type="dxa"/>
          </w:tblCellMar>
        </w:tblPrEx>
        <w:trPr>
          <w:trHeight w:val="220" w:hRule="atLeast"/>
        </w:trPr>
        <w:tc>
          <w:tcPr>
            <w:tcW w:w="830" w:type="pct"/>
            <w:tcBorders>
              <w:top w:val="nil"/>
              <w:left w:val="single" w:color="auto" w:sz="4" w:space="0"/>
              <w:bottom w:val="single" w:color="auto" w:sz="4" w:space="0"/>
              <w:right w:val="single" w:color="auto" w:sz="4" w:space="0"/>
            </w:tcBorders>
            <w:vAlign w:val="bottom"/>
          </w:tcPr>
          <w:p w14:paraId="087EC258">
            <w:pPr>
              <w:widowControl/>
              <w:jc w:val="center"/>
              <w:rPr>
                <w:rFonts w:ascii="宋体" w:hAnsi="宋体" w:cs="宋体"/>
                <w:color w:val="auto"/>
                <w:szCs w:val="21"/>
                <w:highlight w:val="none"/>
              </w:rPr>
            </w:pPr>
            <w:r>
              <w:rPr>
                <w:rFonts w:hint="eastAsia" w:ascii="宋体" w:hAnsi="宋体" w:cs="宋体"/>
                <w:color w:val="auto"/>
                <w:szCs w:val="21"/>
                <w:highlight w:val="none"/>
              </w:rPr>
              <w:t>其他未列明行业</w:t>
            </w:r>
          </w:p>
        </w:tc>
        <w:tc>
          <w:tcPr>
            <w:tcW w:w="977" w:type="pct"/>
            <w:tcBorders>
              <w:top w:val="nil"/>
              <w:left w:val="nil"/>
              <w:bottom w:val="single" w:color="auto" w:sz="4" w:space="0"/>
              <w:right w:val="single" w:color="auto" w:sz="4" w:space="0"/>
            </w:tcBorders>
            <w:vAlign w:val="center"/>
          </w:tcPr>
          <w:p w14:paraId="671BC8B6">
            <w:pPr>
              <w:widowControl/>
              <w:jc w:val="left"/>
              <w:rPr>
                <w:rFonts w:ascii="宋体" w:hAnsi="宋体" w:cs="宋体"/>
                <w:color w:val="auto"/>
                <w:szCs w:val="21"/>
                <w:highlight w:val="none"/>
              </w:rPr>
            </w:pPr>
            <w:r>
              <w:rPr>
                <w:rFonts w:hint="eastAsia" w:ascii="宋体" w:hAnsi="宋体" w:cs="宋体"/>
                <w:color w:val="auto"/>
                <w:szCs w:val="21"/>
                <w:highlight w:val="none"/>
              </w:rPr>
              <w:t>从业人员（X）</w:t>
            </w:r>
          </w:p>
        </w:tc>
        <w:tc>
          <w:tcPr>
            <w:tcW w:w="651" w:type="pct"/>
            <w:tcBorders>
              <w:top w:val="nil"/>
              <w:left w:val="nil"/>
              <w:bottom w:val="single" w:color="auto" w:sz="4" w:space="0"/>
              <w:right w:val="single" w:color="auto" w:sz="4" w:space="0"/>
            </w:tcBorders>
            <w:vAlign w:val="center"/>
          </w:tcPr>
          <w:p w14:paraId="7690E3FB">
            <w:pPr>
              <w:widowControl/>
              <w:jc w:val="left"/>
              <w:rPr>
                <w:rFonts w:ascii="宋体" w:hAnsi="宋体" w:cs="宋体"/>
                <w:color w:val="auto"/>
                <w:szCs w:val="21"/>
                <w:highlight w:val="none"/>
              </w:rPr>
            </w:pPr>
            <w:r>
              <w:rPr>
                <w:rFonts w:hint="eastAsia" w:ascii="宋体" w:hAnsi="宋体" w:cs="宋体"/>
                <w:color w:val="auto"/>
                <w:szCs w:val="21"/>
                <w:highlight w:val="none"/>
              </w:rPr>
              <w:t>人</w:t>
            </w:r>
          </w:p>
        </w:tc>
        <w:tc>
          <w:tcPr>
            <w:tcW w:w="1060" w:type="pct"/>
            <w:tcBorders>
              <w:top w:val="nil"/>
              <w:left w:val="nil"/>
              <w:bottom w:val="single" w:color="auto" w:sz="4" w:space="0"/>
              <w:right w:val="single" w:color="auto" w:sz="4" w:space="0"/>
            </w:tcBorders>
            <w:vAlign w:val="center"/>
          </w:tcPr>
          <w:p w14:paraId="3411BDF1">
            <w:pPr>
              <w:widowControl/>
              <w:jc w:val="left"/>
              <w:rPr>
                <w:rFonts w:ascii="宋体" w:hAnsi="宋体" w:cs="宋体"/>
                <w:color w:val="auto"/>
                <w:szCs w:val="21"/>
                <w:highlight w:val="none"/>
              </w:rPr>
            </w:pPr>
            <w:r>
              <w:rPr>
                <w:rFonts w:hint="eastAsia" w:ascii="宋体" w:hAnsi="宋体" w:cs="宋体"/>
                <w:color w:val="auto"/>
                <w:szCs w:val="21"/>
                <w:highlight w:val="none"/>
              </w:rPr>
              <w:t>100≤X＜300</w:t>
            </w:r>
          </w:p>
        </w:tc>
        <w:tc>
          <w:tcPr>
            <w:tcW w:w="902" w:type="pct"/>
            <w:tcBorders>
              <w:top w:val="nil"/>
              <w:left w:val="nil"/>
              <w:bottom w:val="single" w:color="auto" w:sz="4" w:space="0"/>
              <w:right w:val="single" w:color="auto" w:sz="4" w:space="0"/>
            </w:tcBorders>
            <w:vAlign w:val="center"/>
          </w:tcPr>
          <w:p w14:paraId="32D75228">
            <w:pPr>
              <w:widowControl/>
              <w:jc w:val="left"/>
              <w:rPr>
                <w:rFonts w:ascii="宋体" w:hAnsi="宋体" w:cs="宋体"/>
                <w:color w:val="auto"/>
                <w:szCs w:val="21"/>
                <w:highlight w:val="none"/>
              </w:rPr>
            </w:pPr>
            <w:r>
              <w:rPr>
                <w:rFonts w:hint="eastAsia" w:ascii="宋体" w:hAnsi="宋体" w:cs="宋体"/>
                <w:color w:val="auto"/>
                <w:szCs w:val="21"/>
                <w:highlight w:val="none"/>
              </w:rPr>
              <w:t>10≤X＜100</w:t>
            </w:r>
          </w:p>
        </w:tc>
        <w:tc>
          <w:tcPr>
            <w:tcW w:w="579" w:type="pct"/>
            <w:tcBorders>
              <w:top w:val="nil"/>
              <w:left w:val="nil"/>
              <w:bottom w:val="single" w:color="auto" w:sz="4" w:space="0"/>
              <w:right w:val="single" w:color="auto" w:sz="4" w:space="0"/>
            </w:tcBorders>
            <w:vAlign w:val="center"/>
          </w:tcPr>
          <w:p w14:paraId="6B5B5F74">
            <w:pPr>
              <w:widowControl/>
              <w:jc w:val="left"/>
              <w:rPr>
                <w:rFonts w:ascii="宋体" w:hAnsi="宋体" w:cs="宋体"/>
                <w:color w:val="auto"/>
                <w:szCs w:val="21"/>
                <w:highlight w:val="none"/>
              </w:rPr>
            </w:pPr>
            <w:r>
              <w:rPr>
                <w:rFonts w:hint="eastAsia" w:ascii="宋体" w:hAnsi="宋体" w:cs="宋体"/>
                <w:color w:val="auto"/>
                <w:szCs w:val="21"/>
                <w:highlight w:val="none"/>
              </w:rPr>
              <w:t>X＜10</w:t>
            </w:r>
          </w:p>
        </w:tc>
      </w:tr>
    </w:tbl>
    <w:p w14:paraId="530D08F9">
      <w:pPr>
        <w:rPr>
          <w:rFonts w:ascii="宋体" w:hAnsi="宋体" w:cs="宋体"/>
          <w:color w:val="auto"/>
          <w:szCs w:val="21"/>
          <w:highlight w:val="none"/>
        </w:rPr>
      </w:pPr>
    </w:p>
    <w:p w14:paraId="6EF05191">
      <w:pPr>
        <w:pStyle w:val="144"/>
        <w:rPr>
          <w:rFonts w:hAnsi="宋体" w:cs="Arial"/>
          <w:b/>
          <w:color w:val="auto"/>
          <w:sz w:val="28"/>
          <w:szCs w:val="28"/>
          <w:highlight w:val="none"/>
          <w:u w:val="single"/>
        </w:rPr>
      </w:pPr>
      <w:r>
        <w:rPr>
          <w:rFonts w:hint="eastAsia" w:hAnsi="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1941F38A">
      <w:pPr>
        <w:pStyle w:val="144"/>
        <w:rPr>
          <w:rFonts w:hAnsi="宋体" w:cs="Arial"/>
          <w:b/>
          <w:color w:val="auto"/>
          <w:sz w:val="28"/>
          <w:szCs w:val="28"/>
          <w:highlight w:val="none"/>
          <w:u w:val="single"/>
        </w:rPr>
      </w:pPr>
    </w:p>
    <w:p w14:paraId="572A03B3">
      <w:pPr>
        <w:ind w:firstLine="420"/>
        <w:rPr>
          <w:rStyle w:val="147"/>
          <w:rFonts w:hint="eastAsia" w:ascii="宋体" w:hAnsi="宋体"/>
          <w:b/>
          <w:bCs/>
          <w:color w:val="auto"/>
          <w:sz w:val="24"/>
          <w:szCs w:val="24"/>
          <w:highlight w:val="none"/>
          <w:u w:val="none"/>
        </w:rPr>
      </w:pPr>
    </w:p>
    <w:p w14:paraId="54681B17">
      <w:pPr>
        <w:ind w:firstLine="420"/>
        <w:rPr>
          <w:rStyle w:val="147"/>
          <w:rFonts w:ascii="宋体" w:hAnsi="宋体"/>
          <w:b/>
          <w:bCs/>
          <w:color w:val="auto"/>
          <w:sz w:val="24"/>
          <w:szCs w:val="24"/>
          <w:highlight w:val="none"/>
          <w:u w:val="none"/>
        </w:rPr>
      </w:pPr>
      <w:r>
        <w:rPr>
          <w:rStyle w:val="147"/>
          <w:rFonts w:hint="eastAsia" w:ascii="宋体" w:hAnsi="宋体"/>
          <w:b/>
          <w:bCs/>
          <w:color w:val="auto"/>
          <w:sz w:val="24"/>
          <w:szCs w:val="24"/>
          <w:highlight w:val="none"/>
          <w:u w:val="none"/>
        </w:rPr>
        <w:t>高效液相色谱串联质谱仪</w:t>
      </w:r>
    </w:p>
    <w:p w14:paraId="456B478F">
      <w:pPr>
        <w:spacing w:line="400" w:lineRule="exact"/>
        <w:ind w:firstLine="480" w:firstLineChars="200"/>
        <w:rPr>
          <w:color w:val="auto"/>
          <w:sz w:val="24"/>
          <w:szCs w:val="24"/>
          <w:highlight w:val="none"/>
        </w:rPr>
      </w:pPr>
      <w:r>
        <w:rPr>
          <w:rFonts w:hint="eastAsia"/>
          <w:color w:val="auto"/>
          <w:sz w:val="24"/>
          <w:szCs w:val="24"/>
          <w:highlight w:val="none"/>
        </w:rPr>
        <w:t>采购预算：1940000.00元</w:t>
      </w:r>
    </w:p>
    <w:p w14:paraId="30B7D35C">
      <w:pPr>
        <w:ind w:firstLine="420"/>
        <w:rPr>
          <w:rFonts w:ascii="宋体" w:hAnsi="宋体" w:cs="宋体"/>
          <w:color w:val="auto"/>
          <w:sz w:val="24"/>
          <w:szCs w:val="24"/>
          <w:highlight w:val="none"/>
        </w:rPr>
      </w:pPr>
    </w:p>
    <w:p w14:paraId="181CAEC9">
      <w:pPr>
        <w:ind w:firstLine="420"/>
        <w:rPr>
          <w:rFonts w:ascii="宋体" w:hAnsi="宋体" w:cs="宋体"/>
          <w:color w:val="auto"/>
          <w:sz w:val="24"/>
          <w:szCs w:val="24"/>
          <w:highlight w:val="none"/>
        </w:rPr>
      </w:pPr>
      <w:r>
        <w:rPr>
          <w:rFonts w:hint="eastAsia" w:ascii="宋体" w:hAnsi="宋体" w:cs="宋体"/>
          <w:color w:val="auto"/>
          <w:sz w:val="24"/>
          <w:szCs w:val="24"/>
          <w:highlight w:val="none"/>
        </w:rPr>
        <w:t>一、</w:t>
      </w:r>
      <w:r>
        <w:rPr>
          <w:rStyle w:val="147"/>
          <w:rFonts w:hint="eastAsia" w:ascii="宋体" w:hAnsi="宋体"/>
          <w:color w:val="auto"/>
          <w:sz w:val="24"/>
          <w:szCs w:val="24"/>
          <w:highlight w:val="none"/>
          <w:u w:val="none"/>
        </w:rPr>
        <w:t>技术参数及性能（配置）要求</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1596"/>
        <w:gridCol w:w="648"/>
        <w:gridCol w:w="684"/>
        <w:gridCol w:w="4925"/>
      </w:tblGrid>
      <w:tr w14:paraId="42B0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667" w:type="dxa"/>
            <w:vAlign w:val="center"/>
          </w:tcPr>
          <w:p w14:paraId="5CA6FB70">
            <w:pPr>
              <w:tabs>
                <w:tab w:val="left" w:pos="180"/>
                <w:tab w:val="left" w:pos="1620"/>
              </w:tabs>
              <w:jc w:val="center"/>
              <w:rPr>
                <w:color w:val="auto"/>
                <w:szCs w:val="21"/>
                <w:highlight w:val="none"/>
              </w:rPr>
            </w:pPr>
            <w:r>
              <w:rPr>
                <w:rFonts w:hint="eastAsia" w:ascii="宋体" w:hAnsi="宋体" w:cs="宋体"/>
                <w:color w:val="auto"/>
                <w:szCs w:val="21"/>
                <w:highlight w:val="none"/>
              </w:rPr>
              <w:t>序号</w:t>
            </w:r>
          </w:p>
        </w:tc>
        <w:tc>
          <w:tcPr>
            <w:tcW w:w="1596" w:type="dxa"/>
            <w:vAlign w:val="center"/>
          </w:tcPr>
          <w:p w14:paraId="07908709">
            <w:pPr>
              <w:tabs>
                <w:tab w:val="left" w:pos="180"/>
                <w:tab w:val="left" w:pos="1620"/>
              </w:tabs>
              <w:jc w:val="center"/>
              <w:rPr>
                <w:color w:val="auto"/>
                <w:szCs w:val="21"/>
                <w:highlight w:val="none"/>
              </w:rPr>
            </w:pPr>
            <w:r>
              <w:rPr>
                <w:rFonts w:hint="eastAsia" w:ascii="宋体" w:hAnsi="宋体" w:cs="宋体"/>
                <w:color w:val="auto"/>
                <w:szCs w:val="21"/>
                <w:highlight w:val="none"/>
              </w:rPr>
              <w:t>货物名称</w:t>
            </w:r>
          </w:p>
        </w:tc>
        <w:tc>
          <w:tcPr>
            <w:tcW w:w="648" w:type="dxa"/>
            <w:vAlign w:val="center"/>
          </w:tcPr>
          <w:p w14:paraId="1A399071">
            <w:pPr>
              <w:tabs>
                <w:tab w:val="left" w:pos="180"/>
                <w:tab w:val="left" w:pos="1620"/>
              </w:tabs>
              <w:jc w:val="center"/>
              <w:rPr>
                <w:color w:val="auto"/>
                <w:szCs w:val="21"/>
                <w:highlight w:val="none"/>
              </w:rPr>
            </w:pPr>
            <w:r>
              <w:rPr>
                <w:rFonts w:hint="eastAsia" w:ascii="宋体" w:hAnsi="宋体" w:cs="宋体"/>
                <w:color w:val="auto"/>
                <w:szCs w:val="21"/>
                <w:highlight w:val="none"/>
              </w:rPr>
              <w:t>数量</w:t>
            </w:r>
          </w:p>
        </w:tc>
        <w:tc>
          <w:tcPr>
            <w:tcW w:w="684" w:type="dxa"/>
            <w:vAlign w:val="center"/>
          </w:tcPr>
          <w:p w14:paraId="28146F09">
            <w:pPr>
              <w:tabs>
                <w:tab w:val="left" w:pos="180"/>
                <w:tab w:val="left" w:pos="1620"/>
              </w:tabs>
              <w:jc w:val="center"/>
              <w:rPr>
                <w:color w:val="auto"/>
                <w:szCs w:val="21"/>
                <w:highlight w:val="none"/>
              </w:rPr>
            </w:pPr>
            <w:r>
              <w:rPr>
                <w:rFonts w:hint="eastAsia" w:ascii="宋体" w:hAnsi="宋体" w:cs="宋体"/>
                <w:color w:val="auto"/>
                <w:szCs w:val="21"/>
                <w:highlight w:val="none"/>
              </w:rPr>
              <w:t>单位</w:t>
            </w:r>
          </w:p>
        </w:tc>
        <w:tc>
          <w:tcPr>
            <w:tcW w:w="4925" w:type="dxa"/>
            <w:vAlign w:val="center"/>
          </w:tcPr>
          <w:p w14:paraId="7DADD6E3">
            <w:pPr>
              <w:jc w:val="center"/>
              <w:rPr>
                <w:color w:val="auto"/>
                <w:highlight w:val="none"/>
              </w:rPr>
            </w:pPr>
            <w:r>
              <w:rPr>
                <w:rFonts w:hint="eastAsia"/>
                <w:color w:val="auto"/>
                <w:szCs w:val="21"/>
                <w:highlight w:val="none"/>
              </w:rPr>
              <w:t>技术规格与性能要求</w:t>
            </w:r>
          </w:p>
        </w:tc>
      </w:tr>
      <w:tr w14:paraId="21E5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67" w:type="dxa"/>
            <w:vAlign w:val="center"/>
          </w:tcPr>
          <w:p w14:paraId="00184CCB">
            <w:pPr>
              <w:spacing w:line="460" w:lineRule="exact"/>
              <w:jc w:val="center"/>
              <w:rPr>
                <w:color w:val="auto"/>
                <w:highlight w:val="none"/>
              </w:rPr>
            </w:pPr>
            <w:r>
              <w:rPr>
                <w:rFonts w:hint="eastAsia"/>
                <w:color w:val="auto"/>
                <w:highlight w:val="none"/>
              </w:rPr>
              <w:t>1</w:t>
            </w:r>
          </w:p>
        </w:tc>
        <w:tc>
          <w:tcPr>
            <w:tcW w:w="1596" w:type="dxa"/>
            <w:vAlign w:val="center"/>
          </w:tcPr>
          <w:p w14:paraId="4EC2DA1D">
            <w:pPr>
              <w:spacing w:line="460" w:lineRule="exact"/>
              <w:jc w:val="center"/>
              <w:rPr>
                <w:color w:val="auto"/>
                <w:highlight w:val="none"/>
              </w:rPr>
            </w:pPr>
            <w:r>
              <w:rPr>
                <w:rFonts w:hint="eastAsia"/>
                <w:b/>
                <w:bCs/>
                <w:color w:val="auto"/>
                <w:highlight w:val="none"/>
              </w:rPr>
              <w:t>高效液相色谱串联质谱仪</w:t>
            </w:r>
          </w:p>
        </w:tc>
        <w:tc>
          <w:tcPr>
            <w:tcW w:w="648" w:type="dxa"/>
            <w:vAlign w:val="center"/>
          </w:tcPr>
          <w:p w14:paraId="03C5E7DE">
            <w:pPr>
              <w:spacing w:line="460" w:lineRule="exact"/>
              <w:jc w:val="center"/>
              <w:rPr>
                <w:color w:val="auto"/>
                <w:highlight w:val="none"/>
              </w:rPr>
            </w:pPr>
            <w:r>
              <w:rPr>
                <w:rFonts w:hint="eastAsia"/>
                <w:color w:val="auto"/>
                <w:highlight w:val="none"/>
              </w:rPr>
              <w:t>1</w:t>
            </w:r>
          </w:p>
        </w:tc>
        <w:tc>
          <w:tcPr>
            <w:tcW w:w="684" w:type="dxa"/>
            <w:vAlign w:val="center"/>
          </w:tcPr>
          <w:p w14:paraId="112BD6A3">
            <w:pPr>
              <w:spacing w:line="460" w:lineRule="exact"/>
              <w:jc w:val="center"/>
              <w:rPr>
                <w:color w:val="auto"/>
                <w:highlight w:val="none"/>
              </w:rPr>
            </w:pPr>
            <w:r>
              <w:rPr>
                <w:rFonts w:hint="eastAsia"/>
                <w:color w:val="auto"/>
                <w:highlight w:val="none"/>
              </w:rPr>
              <w:t>套</w:t>
            </w:r>
          </w:p>
        </w:tc>
        <w:tc>
          <w:tcPr>
            <w:tcW w:w="4925" w:type="dxa"/>
          </w:tcPr>
          <w:p w14:paraId="384613C2">
            <w:pPr>
              <w:spacing w:line="360" w:lineRule="auto"/>
              <w:jc w:val="center"/>
              <w:rPr>
                <w:rFonts w:ascii="等线" w:hAnsi="等线" w:eastAsia="等线" w:cs="等线"/>
                <w:b/>
                <w:bCs/>
                <w:color w:val="auto"/>
                <w:sz w:val="28"/>
                <w:szCs w:val="36"/>
                <w:highlight w:val="none"/>
              </w:rPr>
            </w:pPr>
            <w:r>
              <w:rPr>
                <w:rFonts w:hint="eastAsia" w:ascii="等线" w:hAnsi="等线" w:eastAsia="等线" w:cs="等线"/>
                <w:b/>
                <w:bCs/>
                <w:color w:val="auto"/>
                <w:sz w:val="28"/>
                <w:szCs w:val="36"/>
                <w:highlight w:val="none"/>
              </w:rPr>
              <w:t>高效液相色谱串联质谱仪参数</w:t>
            </w:r>
          </w:p>
          <w:p w14:paraId="5E396652">
            <w:pPr>
              <w:spacing w:line="420" w:lineRule="exact"/>
              <w:rPr>
                <w:rFonts w:asciiTheme="minorEastAsia" w:hAnsiTheme="minorEastAsia" w:cstheme="minorEastAsia"/>
                <w:color w:val="auto"/>
                <w:highlight w:val="none"/>
              </w:rPr>
            </w:pPr>
            <w:r>
              <w:rPr>
                <w:rFonts w:hint="eastAsia" w:asciiTheme="minorEastAsia" w:hAnsiTheme="minorEastAsia" w:cstheme="minorEastAsia"/>
                <w:color w:val="auto"/>
                <w:highlight w:val="none"/>
              </w:rPr>
              <w:t>一、仪器用途</w:t>
            </w:r>
          </w:p>
          <w:p w14:paraId="42290EF5">
            <w:pPr>
              <w:spacing w:line="420" w:lineRule="exact"/>
              <w:rPr>
                <w:rFonts w:asciiTheme="minorEastAsia" w:hAnsiTheme="minorEastAsia" w:cstheme="minorEastAsia"/>
                <w:color w:val="auto"/>
                <w:highlight w:val="none"/>
              </w:rPr>
            </w:pPr>
            <w:r>
              <w:rPr>
                <w:rFonts w:hint="eastAsia" w:asciiTheme="minorEastAsia" w:hAnsiTheme="minorEastAsia" w:cstheme="minorEastAsia"/>
                <w:color w:val="auto"/>
                <w:highlight w:val="none"/>
              </w:rPr>
              <w:t>1.用于药物、药物代谢物及维生素、胆汁酸、氨基酸等人体内源性小分子有机化合物的定性、定量检测与研究。</w:t>
            </w:r>
          </w:p>
          <w:p w14:paraId="23FFD300">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二、整体要求</w:t>
            </w:r>
          </w:p>
          <w:p w14:paraId="5A162576">
            <w:pPr>
              <w:spacing w:line="420" w:lineRule="exact"/>
              <w:rPr>
                <w:color w:val="auto"/>
                <w:highlight w:val="none"/>
              </w:rPr>
            </w:pPr>
            <w:r>
              <w:rPr>
                <w:rFonts w:hint="eastAsia"/>
                <w:color w:val="auto"/>
                <w:highlight w:val="none"/>
              </w:rPr>
              <w:t>1.可开展项目（包括但不限于以下项目）：内源成分检测（新生儿遗传代谢疾病筛查、全谱维生素、激素类、儿茶酚胺及代谢物、胆汁酸、脂肪酸、游离氨基酸、诊断标志物）；临床TDM：（精神类药物、抗抑郁药、抗癫痫药、免疫制剂类、抗肿瘤药物、抗菌药、心血管药物）；临床科研类（代谢组学、诊断标志物）；合成药毒物/品类。</w:t>
            </w:r>
          </w:p>
          <w:p w14:paraId="63AA1AAA">
            <w:pPr>
              <w:spacing w:line="420" w:lineRule="exact"/>
              <w:rPr>
                <w:color w:val="auto"/>
                <w:highlight w:val="none"/>
              </w:rPr>
            </w:pPr>
            <w:r>
              <w:rPr>
                <w:rFonts w:hint="eastAsia"/>
                <w:color w:val="auto"/>
                <w:highlight w:val="none"/>
              </w:rPr>
              <w:t>三、液相色谱部分</w:t>
            </w:r>
          </w:p>
          <w:p w14:paraId="25D45BD8">
            <w:pPr>
              <w:spacing w:line="420" w:lineRule="exact"/>
              <w:rPr>
                <w:color w:val="auto"/>
                <w:highlight w:val="none"/>
              </w:rPr>
            </w:pPr>
            <w:r>
              <w:rPr>
                <w:rFonts w:hint="eastAsia"/>
                <w:color w:val="auto"/>
                <w:highlight w:val="none"/>
              </w:rPr>
              <w:t>1.二元高压梯度泵</w:t>
            </w:r>
          </w:p>
          <w:p w14:paraId="3F62F27D">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1）梯度混合精度：≤0.1%RSD；</w:t>
            </w:r>
          </w:p>
          <w:p w14:paraId="420DC39A">
            <w:pPr>
              <w:spacing w:line="420" w:lineRule="exact"/>
              <w:rPr>
                <w:color w:val="auto"/>
                <w:highlight w:val="none"/>
              </w:rPr>
            </w:pPr>
            <w:r>
              <w:rPr>
                <w:rFonts w:hint="eastAsia"/>
                <w:color w:val="auto"/>
                <w:highlight w:val="none"/>
              </w:rPr>
              <w:t>2）流速范围：0.001</w:t>
            </w:r>
            <w:r>
              <w:rPr>
                <w:rFonts w:hint="eastAsia" w:ascii="仿宋_GB2312" w:hAnsi="仿宋_GB2312" w:eastAsia="仿宋_GB2312" w:cs="仿宋_GB2312"/>
                <w:color w:val="auto"/>
                <w:highlight w:val="none"/>
              </w:rPr>
              <w:t>～</w:t>
            </w:r>
            <w:r>
              <w:rPr>
                <w:rFonts w:hint="eastAsia"/>
                <w:color w:val="auto"/>
                <w:highlight w:val="none"/>
              </w:rPr>
              <w:t>8.000mL/min；</w:t>
            </w:r>
          </w:p>
          <w:p w14:paraId="4C4B8935">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3）流速精密度：≤0.06% RSD；流速准确性：±1.0 %；</w:t>
            </w:r>
          </w:p>
          <w:p w14:paraId="68CCC56C">
            <w:pPr>
              <w:spacing w:line="420" w:lineRule="exact"/>
              <w:rPr>
                <w:color w:val="auto"/>
                <w:highlight w:val="none"/>
              </w:rPr>
            </w:pPr>
            <w:r>
              <w:rPr>
                <w:rFonts w:hint="eastAsia"/>
                <w:color w:val="auto"/>
                <w:highlight w:val="none"/>
              </w:rPr>
              <w:t>5.安全机制：支持高压、低压报警、漏液报警等；</w:t>
            </w:r>
          </w:p>
          <w:p w14:paraId="60543EBC">
            <w:pPr>
              <w:spacing w:line="420" w:lineRule="exact"/>
              <w:rPr>
                <w:color w:val="auto"/>
                <w:highlight w:val="none"/>
              </w:rPr>
            </w:pPr>
            <w:r>
              <w:rPr>
                <w:rFonts w:hint="eastAsia"/>
                <w:color w:val="auto"/>
                <w:highlight w:val="none"/>
              </w:rPr>
              <w:t>6.操作压力范围：≥70MPa；</w:t>
            </w:r>
          </w:p>
          <w:p w14:paraId="3879F11B">
            <w:pPr>
              <w:spacing w:line="420" w:lineRule="exact"/>
              <w:rPr>
                <w:color w:val="auto"/>
                <w:highlight w:val="none"/>
              </w:rPr>
            </w:pPr>
            <w:r>
              <w:rPr>
                <w:rFonts w:hint="eastAsia"/>
                <w:color w:val="auto"/>
                <w:highlight w:val="none"/>
              </w:rPr>
              <w:t>7.具备泵头清洗；</w:t>
            </w:r>
          </w:p>
          <w:p w14:paraId="126ED0DF">
            <w:pPr>
              <w:spacing w:line="420" w:lineRule="exact"/>
              <w:rPr>
                <w:color w:val="auto"/>
                <w:highlight w:val="none"/>
              </w:rPr>
            </w:pPr>
            <w:r>
              <w:rPr>
                <w:rFonts w:hint="eastAsia"/>
                <w:color w:val="auto"/>
                <w:highlight w:val="none"/>
              </w:rPr>
              <w:t>8.具备自动进样器；</w:t>
            </w:r>
          </w:p>
          <w:p w14:paraId="186193DD">
            <w:pPr>
              <w:spacing w:line="420" w:lineRule="exact"/>
              <w:rPr>
                <w:color w:val="auto"/>
                <w:highlight w:val="none"/>
              </w:rPr>
            </w:pPr>
            <w:r>
              <w:rPr>
                <w:rFonts w:hint="eastAsia"/>
                <w:color w:val="auto"/>
                <w:highlight w:val="none"/>
              </w:rPr>
              <w:t>9.真空脱气气流路数≥5 路；</w:t>
            </w:r>
          </w:p>
          <w:p w14:paraId="2BF3E392">
            <w:pPr>
              <w:spacing w:line="420" w:lineRule="exact"/>
              <w:rPr>
                <w:color w:val="auto"/>
                <w:highlight w:val="none"/>
              </w:rPr>
            </w:pPr>
            <w:r>
              <w:rPr>
                <w:rFonts w:hint="eastAsia"/>
                <w:color w:val="auto"/>
                <w:highlight w:val="none"/>
              </w:rPr>
              <w:t>10.样品数量：≥160 位(1.5mL/2mL 样品瓶)；</w:t>
            </w:r>
          </w:p>
          <w:p w14:paraId="1E75CC19">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11.进样量：0.1～100ul；</w:t>
            </w:r>
          </w:p>
          <w:p w14:paraId="699FF24D">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12.进样精密度：RSD≤0.25%；</w:t>
            </w:r>
          </w:p>
          <w:p w14:paraId="4C93357E">
            <w:pPr>
              <w:spacing w:line="420" w:lineRule="exact"/>
              <w:rPr>
                <w:color w:val="auto"/>
                <w:highlight w:val="none"/>
              </w:rPr>
            </w:pPr>
            <w:r>
              <w:rPr>
                <w:rFonts w:hint="eastAsia"/>
                <w:color w:val="auto"/>
                <w:highlight w:val="none"/>
              </w:rPr>
              <w:t>13.柱温箱温度范围：室温～100℃；</w:t>
            </w:r>
          </w:p>
          <w:p w14:paraId="172C8F23">
            <w:pPr>
              <w:spacing w:line="420" w:lineRule="exact"/>
              <w:rPr>
                <w:color w:val="auto"/>
                <w:highlight w:val="none"/>
              </w:rPr>
            </w:pPr>
            <w:r>
              <w:rPr>
                <w:rFonts w:hint="eastAsia"/>
                <w:color w:val="auto"/>
                <w:highlight w:val="none"/>
              </w:rPr>
              <w:t>14.具备柱切换阀；</w:t>
            </w:r>
          </w:p>
          <w:p w14:paraId="29D38C2B">
            <w:pPr>
              <w:spacing w:line="420" w:lineRule="exact"/>
              <w:rPr>
                <w:color w:val="auto"/>
                <w:highlight w:val="none"/>
              </w:rPr>
            </w:pPr>
            <w:r>
              <w:rPr>
                <w:rFonts w:hint="eastAsia"/>
                <w:color w:val="auto"/>
                <w:highlight w:val="none"/>
              </w:rPr>
              <w:t>四、质谱仪部分</w:t>
            </w:r>
          </w:p>
          <w:p w14:paraId="6474B19D">
            <w:pPr>
              <w:spacing w:line="420" w:lineRule="exact"/>
              <w:rPr>
                <w:color w:val="auto"/>
                <w:highlight w:val="none"/>
              </w:rPr>
            </w:pPr>
            <w:r>
              <w:rPr>
                <w:rFonts w:hint="eastAsia"/>
                <w:color w:val="auto"/>
                <w:highlight w:val="none"/>
              </w:rPr>
              <w:t>1.具备独立ESI 或APCI 源；</w:t>
            </w:r>
          </w:p>
          <w:p w14:paraId="40646D22">
            <w:pPr>
              <w:spacing w:line="420" w:lineRule="exact"/>
              <w:rPr>
                <w:color w:val="auto"/>
                <w:highlight w:val="none"/>
              </w:rPr>
            </w:pPr>
            <w:r>
              <w:rPr>
                <w:rFonts w:hint="eastAsia"/>
                <w:color w:val="auto"/>
                <w:highlight w:val="none"/>
              </w:rPr>
              <w:t>2.具备无需破坏真空环也可实现快速拆卸、清洗离子源，常规维护免工具；</w:t>
            </w:r>
          </w:p>
          <w:p w14:paraId="203AD945">
            <w:pPr>
              <w:spacing w:line="420" w:lineRule="exact"/>
              <w:rPr>
                <w:color w:val="auto"/>
                <w:highlight w:val="none"/>
              </w:rPr>
            </w:pPr>
            <w:r>
              <w:rPr>
                <w:rFonts w:hint="eastAsia"/>
                <w:color w:val="auto"/>
                <w:highlight w:val="none"/>
              </w:rPr>
              <w:t>3.离子源流速范围：正/负ESI 模式下满足1～2000μL/min；</w:t>
            </w:r>
          </w:p>
          <w:p w14:paraId="31F13A80">
            <w:pPr>
              <w:spacing w:line="420" w:lineRule="exact"/>
              <w:rPr>
                <w:color w:val="auto"/>
                <w:highlight w:val="none"/>
              </w:rPr>
            </w:pPr>
            <w:r>
              <w:rPr>
                <w:rFonts w:hint="eastAsia"/>
                <w:color w:val="auto"/>
                <w:highlight w:val="none"/>
              </w:rPr>
              <w:t>4.离子源温度：辅助加热气温可达550℃及以上，并可针对不同化合物设定不同的分析温度，保证获得最优的离子化效果；</w:t>
            </w:r>
          </w:p>
          <w:p w14:paraId="799B9B6C">
            <w:pPr>
              <w:spacing w:line="420" w:lineRule="exact"/>
              <w:rPr>
                <w:color w:val="auto"/>
                <w:highlight w:val="none"/>
              </w:rPr>
            </w:pPr>
            <w:r>
              <w:rPr>
                <w:rFonts w:hint="eastAsia"/>
                <w:color w:val="auto"/>
                <w:highlight w:val="none"/>
              </w:rPr>
              <w:t>5.质量分析器：双曲面全金属钼四极杆，不需要控温即可保证质量准确度的稳定；</w:t>
            </w:r>
          </w:p>
          <w:p w14:paraId="6186FF82">
            <w:pPr>
              <w:spacing w:line="420" w:lineRule="exact"/>
              <w:rPr>
                <w:color w:val="auto"/>
                <w:highlight w:val="none"/>
              </w:rPr>
            </w:pPr>
            <w:r>
              <w:rPr>
                <w:rFonts w:hint="eastAsia"/>
                <w:color w:val="auto"/>
                <w:highlight w:val="none"/>
              </w:rPr>
              <w:t>6.碰撞池：采用多极杆超快速碰撞室及曲线型加速电势场加碰撞气压控制，可同时进行线性高压加速，有效消除记忆效应和交叉污染；</w:t>
            </w:r>
          </w:p>
          <w:p w14:paraId="7232CF22">
            <w:pPr>
              <w:spacing w:line="420" w:lineRule="exact"/>
              <w:rPr>
                <w:color w:val="auto"/>
                <w:highlight w:val="none"/>
              </w:rPr>
            </w:pPr>
            <w:r>
              <w:rPr>
                <w:rFonts w:hint="eastAsia"/>
                <w:color w:val="auto"/>
                <w:highlight w:val="none"/>
              </w:rPr>
              <w:t>7.检测器系统：电子倍增器，能够确保长期大量样品定量分析数据的可靠性和重复性；</w:t>
            </w:r>
          </w:p>
          <w:p w14:paraId="7E16C560">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8.正负离子切换速度（或切换时间）≤20ms；</w:t>
            </w:r>
          </w:p>
          <w:p w14:paraId="570ADEF0">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9.质量范围：至少包含m/z(质量/电荷比) 5</w:t>
            </w:r>
            <w:r>
              <w:rPr>
                <w:rFonts w:hint="eastAsia" w:ascii="仿宋_GB2312" w:hAnsi="仿宋_GB2312" w:eastAsia="仿宋_GB2312" w:cs="仿宋_GB2312"/>
                <w:color w:val="auto"/>
                <w:highlight w:val="none"/>
              </w:rPr>
              <w:t>～</w:t>
            </w:r>
            <w:r>
              <w:rPr>
                <w:rFonts w:hint="eastAsia"/>
                <w:color w:val="auto"/>
                <w:highlight w:val="none"/>
              </w:rPr>
              <w:t>1950amu</w:t>
            </w:r>
            <w:r>
              <w:rPr>
                <w:rFonts w:hint="eastAsia"/>
                <w:color w:val="auto"/>
                <w:highlight w:val="none"/>
                <w:lang w:eastAsia="zh-CN"/>
              </w:rPr>
              <w:t>（</w:t>
            </w:r>
            <w:r>
              <w:rPr>
                <w:rFonts w:hint="eastAsia"/>
                <w:color w:val="auto"/>
                <w:highlight w:val="none"/>
                <w:lang w:val="en-US" w:eastAsia="zh-CN"/>
              </w:rPr>
              <w:t>或</w:t>
            </w:r>
            <w:r>
              <w:rPr>
                <w:rFonts w:hint="eastAsia"/>
                <w:color w:val="auto"/>
                <w:highlight w:val="none"/>
              </w:rPr>
              <w:t>u</w:t>
            </w:r>
            <w:r>
              <w:rPr>
                <w:rFonts w:hint="eastAsia"/>
                <w:color w:val="auto"/>
                <w:highlight w:val="none"/>
                <w:lang w:eastAsia="zh-CN"/>
              </w:rPr>
              <w:t>）</w:t>
            </w:r>
            <w:r>
              <w:rPr>
                <w:rFonts w:hint="eastAsia"/>
                <w:color w:val="auto"/>
                <w:highlight w:val="none"/>
              </w:rPr>
              <w:t>；</w:t>
            </w:r>
          </w:p>
          <w:p w14:paraId="59369E47">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10.质谱分辨率：FWHM≤0.4 u</w:t>
            </w:r>
            <w:r>
              <w:rPr>
                <w:rFonts w:hint="eastAsia"/>
                <w:color w:val="auto"/>
                <w:highlight w:val="none"/>
                <w:lang w:val="en-US" w:eastAsia="zh-CN"/>
              </w:rPr>
              <w:t>(或</w:t>
            </w:r>
            <w:r>
              <w:rPr>
                <w:rFonts w:hint="eastAsia"/>
                <w:color w:val="auto"/>
                <w:highlight w:val="none"/>
              </w:rPr>
              <w:t>amu</w:t>
            </w:r>
            <w:r>
              <w:rPr>
                <w:rFonts w:hint="eastAsia"/>
                <w:color w:val="auto"/>
                <w:highlight w:val="none"/>
                <w:lang w:val="en-US" w:eastAsia="zh-CN"/>
              </w:rPr>
              <w:t>)</w:t>
            </w:r>
            <w:r>
              <w:rPr>
                <w:rFonts w:hint="eastAsia"/>
                <w:color w:val="auto"/>
                <w:highlight w:val="none"/>
              </w:rPr>
              <w:t>；</w:t>
            </w:r>
          </w:p>
          <w:p w14:paraId="683EE912">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11.灵敏度</w:t>
            </w:r>
          </w:p>
          <w:p w14:paraId="69648B93">
            <w:pPr>
              <w:spacing w:line="420" w:lineRule="exact"/>
              <w:rPr>
                <w:color w:val="auto"/>
                <w:highlight w:val="none"/>
              </w:rPr>
            </w:pPr>
            <w:r>
              <w:rPr>
                <w:rFonts w:hint="eastAsia"/>
                <w:color w:val="auto"/>
                <w:highlight w:val="none"/>
              </w:rPr>
              <w:t>1）ESI 正离子灵敏度：1pg 利血平，MRM（m/z 609&gt;195），噪比S/N≥500000:1（RMS）；2）ESI 负离子灵敏度：1pg 氯霉素，MRM（m/z 321&gt;151），噪比S/N≥500000:1 (RMS) ；</w:t>
            </w:r>
          </w:p>
          <w:p w14:paraId="0687D0F3">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12.扫描速度：≥15000amu/s；</w:t>
            </w:r>
          </w:p>
          <w:p w14:paraId="00025D53">
            <w:pPr>
              <w:spacing w:line="420" w:lineRule="exact"/>
              <w:rPr>
                <w:color w:val="auto"/>
                <w:highlight w:val="none"/>
              </w:rPr>
            </w:pPr>
            <w:r>
              <w:rPr>
                <w:rFonts w:hint="eastAsia"/>
                <w:color w:val="auto"/>
                <w:highlight w:val="none"/>
              </w:rPr>
              <w:t>13.最小驻留时间≤1ms；</w:t>
            </w:r>
          </w:p>
          <w:p w14:paraId="7B8C049A">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14.质量稳定性：≤0.05u/24 小时；</w:t>
            </w:r>
          </w:p>
          <w:p w14:paraId="08AB0DB6">
            <w:pPr>
              <w:spacing w:line="420" w:lineRule="exact"/>
              <w:rPr>
                <w:color w:val="auto"/>
                <w:highlight w:val="none"/>
              </w:rPr>
            </w:pPr>
            <w:r>
              <w:rPr>
                <w:rFonts w:hint="eastAsia"/>
                <w:color w:val="auto"/>
                <w:highlight w:val="none"/>
              </w:rPr>
              <w:t>15.MRM 通道数量：一次进样，不分时间段，可以至少同时检测30000 个MRM 离子对，并保证灵敏度和重现性不受损失；</w:t>
            </w:r>
          </w:p>
          <w:p w14:paraId="03D8046A">
            <w:pPr>
              <w:spacing w:line="420" w:lineRule="exact"/>
              <w:rPr>
                <w:color w:val="auto"/>
                <w:highlight w:val="none"/>
              </w:rPr>
            </w:pPr>
            <w:r>
              <w:rPr>
                <w:rFonts w:hint="eastAsia"/>
                <w:color w:val="auto"/>
                <w:highlight w:val="none"/>
              </w:rPr>
              <w:t>16.MRM 速度：≥500MRM/s；</w:t>
            </w:r>
          </w:p>
          <w:p w14:paraId="394A2105">
            <w:pPr>
              <w:spacing w:line="420" w:lineRule="exact"/>
              <w:rPr>
                <w:color w:val="auto"/>
                <w:highlight w:val="none"/>
              </w:rPr>
            </w:pPr>
            <w:r>
              <w:rPr>
                <w:rFonts w:hint="eastAsia"/>
                <w:color w:val="auto"/>
                <w:highlight w:val="none"/>
              </w:rPr>
              <w:t>17.线性范围：≥6 个数量级；</w:t>
            </w:r>
          </w:p>
          <w:p w14:paraId="0A0A093F">
            <w:pPr>
              <w:spacing w:line="420" w:lineRule="exact"/>
              <w:rPr>
                <w:color w:val="auto"/>
                <w:highlight w:val="none"/>
              </w:rPr>
            </w:pPr>
            <w:r>
              <w:rPr>
                <w:rFonts w:hint="eastAsia"/>
                <w:color w:val="auto"/>
                <w:highlight w:val="none"/>
              </w:rPr>
              <w:t>五、配套运行系统</w:t>
            </w:r>
          </w:p>
          <w:p w14:paraId="1BBADD45">
            <w:pPr>
              <w:spacing w:line="420" w:lineRule="exact"/>
              <w:rPr>
                <w:color w:val="auto"/>
                <w:highlight w:val="none"/>
              </w:rPr>
            </w:pPr>
            <w:r>
              <w:rPr>
                <w:rFonts w:hint="eastAsia"/>
                <w:color w:val="auto"/>
                <w:highlight w:val="none"/>
              </w:rPr>
              <w:t>1.支持全中文应用软件；</w:t>
            </w:r>
          </w:p>
          <w:p w14:paraId="06C2DA6A">
            <w:pPr>
              <w:spacing w:line="420" w:lineRule="exact"/>
              <w:rPr>
                <w:color w:val="auto"/>
                <w:highlight w:val="none"/>
              </w:rPr>
            </w:pPr>
            <w:r>
              <w:rPr>
                <w:rFonts w:hint="eastAsia"/>
                <w:color w:val="auto"/>
                <w:highlight w:val="none"/>
              </w:rPr>
              <w:t>2.具备数据采集、数据处理、定性定量分析、建立数据库、谱库检索等功能；</w:t>
            </w:r>
          </w:p>
          <w:p w14:paraId="7A2355D9">
            <w:pPr>
              <w:spacing w:line="420" w:lineRule="exact"/>
              <w:rPr>
                <w:color w:val="auto"/>
                <w:highlight w:val="none"/>
              </w:rPr>
            </w:pPr>
            <w:r>
              <w:rPr>
                <w:rFonts w:hint="eastAsia"/>
                <w:color w:val="auto"/>
                <w:highlight w:val="none"/>
              </w:rPr>
              <w:t>3.支持全中文质谱报告，可自由添加、修改、提取化合物的信息，分析和处理方法；</w:t>
            </w:r>
          </w:p>
          <w:p w14:paraId="3CD17212">
            <w:pPr>
              <w:spacing w:line="420" w:lineRule="exact"/>
              <w:rPr>
                <w:color w:val="auto"/>
                <w:highlight w:val="none"/>
              </w:rPr>
            </w:pPr>
            <w:r>
              <w:rPr>
                <w:rFonts w:hint="eastAsia"/>
                <w:color w:val="auto"/>
                <w:highlight w:val="none"/>
              </w:rPr>
              <w:t>4.扫描方式：具备全扫描(Full Scan)、选择离子扫描(SIM)、子离子扫描（Product Ion Scan）、母离子扫描（Precursor Ion Scan）、中性丢失扫描（Neutral LossScan）、多反应监测扫描（MRM）等扫描方式；</w:t>
            </w:r>
          </w:p>
          <w:p w14:paraId="5F0154BA">
            <w:pPr>
              <w:spacing w:line="420" w:lineRule="exact"/>
              <w:rPr>
                <w:color w:val="auto"/>
                <w:highlight w:val="none"/>
              </w:rPr>
            </w:pPr>
            <w:r>
              <w:rPr>
                <w:rFonts w:hint="eastAsia"/>
                <w:color w:val="auto"/>
                <w:highlight w:val="none"/>
              </w:rPr>
              <w:t>5.可接入医院LIS 系统，双向通讯；</w:t>
            </w:r>
          </w:p>
          <w:p w14:paraId="23E7F6DF">
            <w:pPr>
              <w:spacing w:line="420" w:lineRule="exact"/>
              <w:rPr>
                <w:color w:val="auto"/>
                <w:highlight w:val="none"/>
              </w:rPr>
            </w:pPr>
            <w:r>
              <w:rPr>
                <w:rFonts w:hint="eastAsia"/>
                <w:color w:val="auto"/>
                <w:highlight w:val="none"/>
              </w:rPr>
              <w:t>六、基本配置（包括但不限于以下配置）</w:t>
            </w:r>
          </w:p>
          <w:p w14:paraId="5835BD7D">
            <w:pPr>
              <w:spacing w:line="420" w:lineRule="exact"/>
              <w:rPr>
                <w:rFonts w:ascii="等线" w:hAnsi="等线" w:eastAsia="等线" w:cs="等线"/>
                <w:color w:val="auto"/>
                <w:highlight w:val="none"/>
              </w:rPr>
            </w:pPr>
            <w:r>
              <w:rPr>
                <w:rFonts w:hint="eastAsia" w:ascii="等线" w:hAnsi="等线" w:eastAsia="等线" w:cs="等线"/>
                <w:color w:val="auto"/>
                <w:highlight w:val="none"/>
              </w:rPr>
              <w:t xml:space="preserve">序号  货物名称  数量 </w:t>
            </w:r>
            <w:r>
              <w:rPr>
                <w:rFonts w:hint="eastAsia" w:ascii="等线" w:hAnsi="等线" w:eastAsia="等线" w:cs="等线"/>
                <w:color w:val="auto"/>
                <w:highlight w:val="none"/>
              </w:rPr>
              <w:br w:type="textWrapping"/>
            </w:r>
            <w:r>
              <w:rPr>
                <w:rFonts w:hint="eastAsia" w:ascii="等线" w:hAnsi="等线" w:eastAsia="等线" w:cs="等线"/>
                <w:color w:val="auto"/>
                <w:highlight w:val="none"/>
              </w:rPr>
              <w:t>1   液相色谱串联质谱检测系统 1 套（标配）</w:t>
            </w:r>
            <w:r>
              <w:rPr>
                <w:rFonts w:hint="eastAsia" w:ascii="等线" w:hAnsi="等线" w:eastAsia="等线" w:cs="等线"/>
                <w:color w:val="auto"/>
                <w:highlight w:val="none"/>
              </w:rPr>
              <w:br w:type="textWrapping"/>
            </w:r>
            <w:r>
              <w:rPr>
                <w:rFonts w:hint="eastAsia" w:ascii="等线" w:hAnsi="等线" w:eastAsia="等线" w:cs="等线"/>
                <w:color w:val="auto"/>
                <w:highlight w:val="none"/>
              </w:rPr>
              <w:t>2   氮气发生器 1 台（标配）</w:t>
            </w:r>
            <w:r>
              <w:rPr>
                <w:rFonts w:hint="eastAsia" w:ascii="等线" w:hAnsi="等线" w:eastAsia="等线" w:cs="等线"/>
                <w:color w:val="auto"/>
                <w:highlight w:val="none"/>
              </w:rPr>
              <w:br w:type="textWrapping"/>
            </w:r>
            <w:r>
              <w:rPr>
                <w:rFonts w:hint="eastAsia" w:ascii="等线" w:hAnsi="等线" w:eastAsia="等线" w:cs="等线"/>
                <w:color w:val="auto"/>
                <w:highlight w:val="none"/>
              </w:rPr>
              <w:t>3   氩气钢瓶 1 个</w:t>
            </w:r>
          </w:p>
          <w:p w14:paraId="6CF27158">
            <w:pPr>
              <w:spacing w:line="420" w:lineRule="exact"/>
              <w:rPr>
                <w:rFonts w:ascii="等线" w:hAnsi="等线" w:eastAsia="等线" w:cs="等线"/>
                <w:color w:val="auto"/>
                <w:highlight w:val="none"/>
              </w:rPr>
            </w:pPr>
            <w:r>
              <w:rPr>
                <w:rFonts w:hint="eastAsia" w:ascii="等线" w:hAnsi="等线" w:eastAsia="等线" w:cs="等线"/>
                <w:color w:val="auto"/>
                <w:highlight w:val="none"/>
              </w:rPr>
              <w:t>4   启动耗材包 1 套（标配）</w:t>
            </w:r>
            <w:r>
              <w:rPr>
                <w:rFonts w:hint="eastAsia" w:ascii="等线" w:hAnsi="等线" w:eastAsia="等线" w:cs="等线"/>
                <w:color w:val="auto"/>
                <w:highlight w:val="none"/>
              </w:rPr>
              <w:br w:type="textWrapping"/>
            </w:r>
            <w:r>
              <w:rPr>
                <w:rFonts w:hint="eastAsia" w:ascii="等线" w:hAnsi="等线" w:eastAsia="等线" w:cs="等线"/>
                <w:color w:val="auto"/>
                <w:highlight w:val="none"/>
              </w:rPr>
              <w:t>5   色谱柱 2 套（标配）</w:t>
            </w:r>
            <w:r>
              <w:rPr>
                <w:rFonts w:hint="eastAsia" w:ascii="等线" w:hAnsi="等线" w:eastAsia="等线" w:cs="等线"/>
                <w:color w:val="auto"/>
                <w:highlight w:val="none"/>
              </w:rPr>
              <w:br w:type="textWrapping"/>
            </w:r>
            <w:r>
              <w:rPr>
                <w:rFonts w:hint="eastAsia" w:ascii="等线" w:hAnsi="等线" w:eastAsia="等线" w:cs="等线"/>
                <w:color w:val="auto"/>
                <w:highlight w:val="none"/>
              </w:rPr>
              <w:t>6   维修工具包 1 套（标配）</w:t>
            </w:r>
            <w:r>
              <w:rPr>
                <w:rFonts w:hint="eastAsia" w:ascii="等线" w:hAnsi="等线" w:eastAsia="等线" w:cs="等线"/>
                <w:color w:val="auto"/>
                <w:highlight w:val="none"/>
              </w:rPr>
              <w:br w:type="textWrapping"/>
            </w:r>
            <w:r>
              <w:rPr>
                <w:rFonts w:hint="eastAsia" w:ascii="等线" w:hAnsi="等线" w:eastAsia="等线" w:cs="等线"/>
                <w:color w:val="auto"/>
                <w:highlight w:val="none"/>
              </w:rPr>
              <w:t>7   高速离心机 1 台（标配）</w:t>
            </w:r>
            <w:r>
              <w:rPr>
                <w:rFonts w:hint="eastAsia" w:ascii="等线" w:hAnsi="等线" w:eastAsia="等线" w:cs="等线"/>
                <w:color w:val="auto"/>
                <w:highlight w:val="none"/>
              </w:rPr>
              <w:br w:type="textWrapping"/>
            </w:r>
            <w:r>
              <w:rPr>
                <w:rFonts w:hint="eastAsia" w:ascii="等线" w:hAnsi="等线" w:eastAsia="等线" w:cs="等线"/>
                <w:color w:val="auto"/>
                <w:highlight w:val="none"/>
              </w:rPr>
              <w:t>8   采血管低速离心机 1 台（标配）</w:t>
            </w:r>
            <w:r>
              <w:rPr>
                <w:rFonts w:hint="eastAsia" w:ascii="等线" w:hAnsi="等线" w:eastAsia="等线" w:cs="等线"/>
                <w:color w:val="auto"/>
                <w:highlight w:val="none"/>
              </w:rPr>
              <w:br w:type="textWrapping"/>
            </w:r>
            <w:r>
              <w:rPr>
                <w:rFonts w:hint="eastAsia" w:ascii="等线" w:hAnsi="等线" w:eastAsia="等线" w:cs="等线"/>
                <w:color w:val="auto"/>
                <w:highlight w:val="none"/>
              </w:rPr>
              <w:t>9   涡旋震荡仪 1 台（标配）</w:t>
            </w:r>
            <w:r>
              <w:rPr>
                <w:rFonts w:hint="eastAsia" w:ascii="等线" w:hAnsi="等线" w:eastAsia="等线" w:cs="等线"/>
                <w:color w:val="auto"/>
                <w:highlight w:val="none"/>
              </w:rPr>
              <w:br w:type="textWrapping"/>
            </w:r>
            <w:r>
              <w:rPr>
                <w:rFonts w:hint="eastAsia" w:ascii="等线" w:hAnsi="等线" w:eastAsia="等线" w:cs="等线"/>
                <w:color w:val="auto"/>
                <w:highlight w:val="none"/>
              </w:rPr>
              <w:t>10  移液枪 2 支（标配）</w:t>
            </w:r>
          </w:p>
          <w:p w14:paraId="6B517625">
            <w:pPr>
              <w:spacing w:line="420" w:lineRule="exact"/>
              <w:rPr>
                <w:color w:val="auto"/>
                <w:highlight w:val="none"/>
              </w:rPr>
            </w:pPr>
            <w:r>
              <w:rPr>
                <w:rFonts w:hint="eastAsia"/>
                <w:color w:val="auto"/>
                <w:highlight w:val="none"/>
              </w:rPr>
              <w:t>七、其他</w:t>
            </w:r>
          </w:p>
          <w:p w14:paraId="1BD3575D">
            <w:pPr>
              <w:spacing w:line="420" w:lineRule="exact"/>
              <w:rPr>
                <w:color w:val="auto"/>
                <w:highlight w:val="none"/>
              </w:rPr>
            </w:pPr>
            <w:r>
              <w:rPr>
                <w:rFonts w:hint="eastAsia" w:ascii="宋体" w:hAnsi="宋体" w:eastAsia="宋体" w:cs="宋体"/>
                <w:color w:val="auto"/>
                <w:sz w:val="24"/>
                <w:szCs w:val="24"/>
                <w:highlight w:val="none"/>
              </w:rPr>
              <w:t>▲</w:t>
            </w:r>
            <w:r>
              <w:rPr>
                <w:rFonts w:hint="eastAsia"/>
                <w:color w:val="auto"/>
                <w:highlight w:val="none"/>
              </w:rPr>
              <w:t>1.质量保证期：≥3年；</w:t>
            </w:r>
          </w:p>
          <w:p w14:paraId="028C872D">
            <w:pPr>
              <w:spacing w:line="340" w:lineRule="exact"/>
              <w:rPr>
                <w:rFonts w:ascii="等线" w:hAnsi="等线" w:eastAsia="等线" w:cs="等线"/>
                <w:color w:val="auto"/>
                <w:highlight w:val="none"/>
              </w:rPr>
            </w:pPr>
            <w:r>
              <w:rPr>
                <w:rFonts w:hint="eastAsia" w:ascii="宋体" w:hAnsi="宋体" w:eastAsia="宋体" w:cs="宋体"/>
                <w:color w:val="auto"/>
                <w:sz w:val="24"/>
                <w:szCs w:val="24"/>
                <w:highlight w:val="none"/>
              </w:rPr>
              <w:t>▲</w:t>
            </w:r>
            <w:r>
              <w:rPr>
                <w:rFonts w:hint="eastAsia"/>
                <w:color w:val="auto"/>
                <w:highlight w:val="none"/>
              </w:rPr>
              <w:t>2.使用年限：≥7年。</w:t>
            </w:r>
            <w:r>
              <w:rPr>
                <w:rFonts w:hint="eastAsia" w:ascii="等线" w:hAnsi="等线" w:eastAsia="等线" w:cs="等线"/>
                <w:color w:val="auto"/>
                <w:highlight w:val="none"/>
              </w:rPr>
              <w:br w:type="textWrapping"/>
            </w:r>
            <w:bookmarkStart w:id="46" w:name="OLE_LINK2"/>
            <w:bookmarkStart w:id="47" w:name="OLE_LINK1"/>
            <w:r>
              <w:rPr>
                <w:rFonts w:hint="eastAsia" w:ascii="等线" w:hAnsi="等线" w:eastAsia="等线" w:cs="等线"/>
                <w:color w:val="auto"/>
                <w:highlight w:val="none"/>
              </w:rPr>
              <w:t>说明：</w:t>
            </w:r>
            <w:r>
              <w:rPr>
                <w:rFonts w:ascii="等线" w:hAnsi="等线" w:eastAsia="等线" w:cs="等线"/>
                <w:color w:val="auto"/>
                <w:highlight w:val="none"/>
              </w:rPr>
              <w:t>1.</w:t>
            </w:r>
            <w:r>
              <w:rPr>
                <w:rFonts w:hint="eastAsia" w:ascii="等线" w:hAnsi="等线" w:eastAsia="等线" w:cs="等线"/>
                <w:color w:val="auto"/>
                <w:highlight w:val="none"/>
              </w:rPr>
              <w:t>打“</w:t>
            </w:r>
            <w:r>
              <w:rPr>
                <w:rFonts w:hint="eastAsia" w:ascii="宋体" w:hAnsi="宋体" w:eastAsia="宋体" w:cs="宋体"/>
                <w:color w:val="auto"/>
                <w:sz w:val="24"/>
                <w:szCs w:val="24"/>
                <w:highlight w:val="none"/>
              </w:rPr>
              <w:t>▲</w:t>
            </w:r>
            <w:r>
              <w:rPr>
                <w:rFonts w:hint="eastAsia" w:ascii="等线" w:hAnsi="等线" w:eastAsia="等线" w:cs="等线"/>
                <w:color w:val="auto"/>
                <w:highlight w:val="none"/>
              </w:rPr>
              <w:t>”号条款为实质性条款，若有任何一条负偏离或不满足则导致投标无效。</w:t>
            </w:r>
          </w:p>
          <w:p w14:paraId="5A117EB0">
            <w:pPr>
              <w:pStyle w:val="8"/>
              <w:spacing w:line="340" w:lineRule="exact"/>
              <w:rPr>
                <w:rFonts w:ascii="等线" w:hAnsi="等线" w:eastAsia="等线" w:cs="等线"/>
                <w:color w:val="auto"/>
                <w:szCs w:val="22"/>
                <w:highlight w:val="none"/>
              </w:rPr>
            </w:pPr>
            <w:r>
              <w:rPr>
                <w:rFonts w:hint="eastAsia"/>
                <w:color w:val="auto"/>
                <w:highlight w:val="none"/>
              </w:rPr>
              <w:t xml:space="preserve"> </w:t>
            </w:r>
            <w:bookmarkStart w:id="48" w:name="OLE_LINK3"/>
            <w:bookmarkStart w:id="49" w:name="OLE_LINK4"/>
            <w:r>
              <w:rPr>
                <w:rFonts w:ascii="等线" w:hAnsi="等线" w:eastAsia="等线" w:cs="等线"/>
                <w:color w:val="auto"/>
                <w:szCs w:val="22"/>
                <w:highlight w:val="none"/>
              </w:rPr>
              <w:t>2.对于区间涵盖值参数，例：电压“测量范围3V-5V”，同时满足下限值更低及上限值更高才视为正偏离，例：响应为“测量范围2V-6V”。如有一端负偏离，不管另一端如何，均视为负偏离，例：响应为“测量范围4V-6V”。</w:t>
            </w:r>
          </w:p>
          <w:p w14:paraId="3F7E8DA6">
            <w:pPr>
              <w:pStyle w:val="8"/>
              <w:spacing w:line="340" w:lineRule="exact"/>
              <w:rPr>
                <w:rFonts w:ascii="等线" w:hAnsi="等线" w:eastAsia="等线" w:cs="等线"/>
                <w:color w:val="auto"/>
                <w:szCs w:val="22"/>
                <w:highlight w:val="none"/>
              </w:rPr>
            </w:pPr>
            <w:r>
              <w:rPr>
                <w:rFonts w:hint="eastAsia" w:ascii="等线" w:hAnsi="等线" w:eastAsia="等线" w:cs="等线"/>
                <w:color w:val="auto"/>
                <w:szCs w:val="22"/>
                <w:highlight w:val="none"/>
              </w:rPr>
              <w:t>3</w:t>
            </w:r>
            <w:r>
              <w:rPr>
                <w:rFonts w:ascii="等线" w:hAnsi="等线" w:eastAsia="等线" w:cs="等线"/>
                <w:color w:val="auto"/>
                <w:szCs w:val="22"/>
                <w:highlight w:val="none"/>
              </w:rPr>
              <w:t>.对于区间任意值参数，例“5mm≤间距≤10mm”或“间距7.5±2.5mm”，若间距响应值为5mm-10mm中任意区间值或任意一个数值（含本数）时为无偏离，例：“6mm≤间距≤8mm”、“8±2mm”、“8mm”。超过区间范围视为负偏离，例：“3mm≤间距≤12mm”、“8±4mm”、“3-12mm”、“3mm”。此类参数不存在正偏离。</w:t>
            </w:r>
          </w:p>
          <w:p w14:paraId="311BDACD">
            <w:pPr>
              <w:pStyle w:val="8"/>
              <w:spacing w:line="340" w:lineRule="exact"/>
              <w:rPr>
                <w:rFonts w:ascii="等线" w:hAnsi="等线" w:eastAsia="等线" w:cs="等线"/>
                <w:color w:val="auto"/>
                <w:szCs w:val="22"/>
                <w:highlight w:val="none"/>
              </w:rPr>
            </w:pPr>
            <w:r>
              <w:rPr>
                <w:rFonts w:hint="eastAsia" w:ascii="等线" w:hAnsi="等线" w:eastAsia="等线" w:cs="等线"/>
                <w:color w:val="auto"/>
                <w:szCs w:val="22"/>
                <w:highlight w:val="none"/>
              </w:rPr>
              <w:t>4</w:t>
            </w:r>
            <w:r>
              <w:rPr>
                <w:rFonts w:ascii="等线" w:hAnsi="等线" w:eastAsia="等线" w:cs="等线"/>
                <w:color w:val="auto"/>
                <w:szCs w:val="22"/>
                <w:highlight w:val="none"/>
              </w:rPr>
              <w:t>.对于单边任意参数的要求，例“长度≥50cm”，若响应为50 cm及50cm以上任意一个数值，均视为无偏离；若响应小于50cm，视为负偏离。此类参数无正偏离。</w:t>
            </w:r>
          </w:p>
          <w:p w14:paraId="2A8AA610">
            <w:pPr>
              <w:pStyle w:val="8"/>
              <w:spacing w:line="340" w:lineRule="exact"/>
              <w:rPr>
                <w:rFonts w:ascii="等线" w:hAnsi="等线" w:eastAsia="等线" w:cs="等线"/>
                <w:color w:val="auto"/>
                <w:szCs w:val="22"/>
                <w:highlight w:val="none"/>
              </w:rPr>
            </w:pPr>
            <w:r>
              <w:rPr>
                <w:rFonts w:hint="eastAsia" w:ascii="等线" w:hAnsi="等线" w:eastAsia="等线" w:cs="等线"/>
                <w:color w:val="auto"/>
                <w:szCs w:val="22"/>
                <w:highlight w:val="none"/>
              </w:rPr>
              <w:t>5</w:t>
            </w:r>
            <w:r>
              <w:rPr>
                <w:rFonts w:ascii="等线" w:hAnsi="等线" w:eastAsia="等线" w:cs="等线"/>
                <w:color w:val="auto"/>
                <w:szCs w:val="22"/>
                <w:highlight w:val="none"/>
              </w:rPr>
              <w:t>.对于固定参数，响应与采购需求中技术参数一致，视为无偏离，其他均视为负偏离，此类参数无正偏离。</w:t>
            </w:r>
          </w:p>
          <w:p w14:paraId="36034D69">
            <w:pPr>
              <w:pStyle w:val="8"/>
              <w:spacing w:line="340" w:lineRule="exact"/>
              <w:rPr>
                <w:color w:val="auto"/>
                <w:highlight w:val="none"/>
              </w:rPr>
            </w:pPr>
            <w:r>
              <w:rPr>
                <w:rFonts w:hint="eastAsia" w:ascii="等线" w:hAnsi="等线" w:eastAsia="等线" w:cs="等线"/>
                <w:color w:val="auto"/>
                <w:szCs w:val="22"/>
                <w:highlight w:val="none"/>
              </w:rPr>
              <w:t>6</w:t>
            </w:r>
            <w:r>
              <w:rPr>
                <w:rFonts w:ascii="等线" w:hAnsi="等线" w:eastAsia="等线" w:cs="等线"/>
                <w:color w:val="auto"/>
                <w:szCs w:val="22"/>
                <w:highlight w:val="none"/>
              </w:rPr>
              <w:t>.如采购需求中技术参数有特殊要求与上述说明不一致的，以特殊要求为准。</w:t>
            </w:r>
            <w:bookmarkEnd w:id="46"/>
            <w:bookmarkEnd w:id="47"/>
            <w:bookmarkEnd w:id="48"/>
            <w:bookmarkEnd w:id="49"/>
          </w:p>
        </w:tc>
      </w:tr>
    </w:tbl>
    <w:p w14:paraId="6DF462E4">
      <w:pPr>
        <w:spacing w:line="560" w:lineRule="exact"/>
        <w:jc w:val="center"/>
        <w:rPr>
          <w:rFonts w:ascii="仿宋" w:hAnsi="仿宋" w:eastAsia="仿宋" w:cs="Times New Roman"/>
          <w:b/>
          <w:color w:val="auto"/>
          <w:sz w:val="32"/>
          <w:szCs w:val="32"/>
          <w:highlight w:val="none"/>
        </w:rPr>
      </w:pPr>
      <w:r>
        <w:rPr>
          <w:rFonts w:hint="eastAsia" w:ascii="仿宋" w:hAnsi="仿宋" w:eastAsia="仿宋" w:cs="Times New Roman"/>
          <w:b/>
          <w:color w:val="auto"/>
          <w:sz w:val="32"/>
          <w:szCs w:val="32"/>
          <w:highlight w:val="none"/>
        </w:rPr>
        <w:t>二、商务要求</w:t>
      </w:r>
    </w:p>
    <w:p w14:paraId="4AB2E1AD">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（一）质量保证期</w:t>
      </w:r>
    </w:p>
    <w:p w14:paraId="0B531032">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质量保证期（以下简称质保期）按国家有关产品“三包”规定执行“三包”，产品生产厂家提供整机保修及免费升级承诺函，且保修时间不得少于3年，自设备验收合格并能正常使用之日起计算。投标人应在投标文件中提供质保期后维保服务优惠报价供招标人日后采购时参考。</w:t>
      </w:r>
    </w:p>
    <w:p w14:paraId="608B66C8">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（二）交货时间及地点</w:t>
      </w:r>
    </w:p>
    <w:p w14:paraId="7AE875E8">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1.交货时间：合同签定之日起，中标供应商在30个日历日内向采购人交付全部货物。</w:t>
      </w:r>
    </w:p>
    <w:p w14:paraId="0BE910B5">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2.交货地点：采购人指定地点。</w:t>
      </w:r>
    </w:p>
    <w:p w14:paraId="14B5EA87">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（三）服务标准、服务效率、售后服务要求</w:t>
      </w:r>
    </w:p>
    <w:p w14:paraId="19C5CE74">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1.中标供应商负责送货上门，保障设备、人员安全及安装调试，安装前提供相关的布局图和设计要求，培训采购人的操作人员至能完全独立操作、日常维护及承担以上所产生的相关费用。</w:t>
      </w:r>
    </w:p>
    <w:p w14:paraId="7578760A">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2.质保期内提供7×24小时售后服务，仪器设备出现故障，在接到电话通知后，2小时内做出实质性响应（远程解决或做出预备维护动作），需维护工程师现场解决的，要求在24小时内到现场处理。</w:t>
      </w:r>
    </w:p>
    <w:p w14:paraId="2E3C88CB">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3.质保期内发生故障的设备如无法在24小时内修复，须保证年开机率95%以上，否则中标供应商承担相应的损失。单次故障（不可抗力因素除外）维修时间超过20天仍无法修复的，采购人有权要求更换设备或赔偿。</w:t>
      </w:r>
    </w:p>
    <w:p w14:paraId="4A027489">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4.质保期内每季度一次定期回访以及对设备维护。质保期满前1个月内中标供应商应负责对设备进行一次免费全面检查，如发现潜在问题，应负责排除，保证设备正常运行。</w:t>
      </w:r>
    </w:p>
    <w:p w14:paraId="6AF84CE8">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投标产品必须是全新，且生产日期为1年内（签订合同之日计算）的产品。产品包装必须是全新的合格产品，并按照原厂标准包装规格供货，不接受散装或拆包装件。所有货物都提供中文说明书和详细装箱清单及质量合格证。</w:t>
      </w:r>
    </w:p>
    <w:p w14:paraId="08B70E9D">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6.安装调试完成后，中标供应商对采购人提供1次或多次培训，使采购人的操作人员及工程人员熟练掌握全部功能及基本维修，相关费用包括在投标报价中，采购人不再另行支付。</w:t>
      </w:r>
    </w:p>
    <w:p w14:paraId="4ED3E820">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7.中标供应商提供维护手册、维修手册、软件备份、故障代码表、备件清单。质保期外，无偿提供维修密码及所附软件在该项目的永久使用权。</w:t>
      </w:r>
    </w:p>
    <w:p w14:paraId="5D5080A0">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14:paraId="36B10BFB">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9.中标供应商保证采购人能够合法应用该器械及相应服务。采购人在办理相关证件及验收等流程中，中标供应商必须提供所需的合法材料。</w:t>
      </w:r>
    </w:p>
    <w:p w14:paraId="05BED3ED">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（四）付款方式</w:t>
      </w:r>
    </w:p>
    <w:p w14:paraId="417A53E9">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本合同采用分期付款方式结算，采购人核对发票无误后支付当期合同款至中标供应商指定对公银行帐户。</w:t>
      </w:r>
    </w:p>
    <w:p w14:paraId="6DB90407">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第一期：收到项目货物并经采购人验收合格入库后，通知中标供应商开具符合税法规定的全额增值税发票并提交请款函，经采购人审核确认无误后，10个工作日内支付至合同总额的90%。</w:t>
      </w:r>
    </w:p>
    <w:p w14:paraId="6F7E6EBB">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第二笔款：余下10%合同款项在验收合格9个月后，中标供应商向采购人请款，采购人收到请款函后10个工作日内支付完毕。(不计利息)。</w:t>
      </w:r>
    </w:p>
    <w:p w14:paraId="2C1FE472">
      <w:pPr>
        <w:spacing w:line="420" w:lineRule="exact"/>
        <w:ind w:firstLine="480" w:firstLineChars="200"/>
        <w:rPr>
          <w:rFonts w:ascii="宋体" w:hAnsi="宋体" w:cs="宋体"/>
          <w:b/>
          <w:bCs/>
          <w:color w:val="auto"/>
          <w:sz w:val="24"/>
          <w:szCs w:val="24"/>
          <w:highlight w:val="none"/>
        </w:rPr>
      </w:pPr>
      <w:r>
        <w:rPr>
          <w:rFonts w:hint="eastAsia" w:ascii="宋体" w:hAnsi="宋体" w:cs="宋体"/>
          <w:color w:val="auto"/>
          <w:sz w:val="24"/>
          <w:szCs w:val="24"/>
          <w:highlight w:val="none"/>
        </w:rPr>
        <w:t>合同签署的中标供应商名称及发票开具单位与收款单位必须一致，在合同执行过程中，中标供应商不得以其他不正当理由要求调整发票开具单位或收款单位，否则视为中标供应商违约。</w:t>
      </w:r>
    </w:p>
    <w:p w14:paraId="0F4B238D">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（五）履约保证金：无</w:t>
      </w:r>
    </w:p>
    <w:p w14:paraId="2453DCD1">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（六）投标报价要求</w:t>
      </w:r>
    </w:p>
    <w:p w14:paraId="4DCBD84F">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投标报价包含货物、货物标准附件、备品备件、专用工具、设备安装辅材、施工辅材、包装、运输、装卸、保险、连接医院信息系统接口费（如</w:t>
      </w:r>
      <w:r>
        <w:rPr>
          <w:rFonts w:hint="eastAsia" w:ascii="宋体" w:hAnsi="宋体" w:cs="宋体"/>
          <w:color w:val="auto"/>
          <w:sz w:val="24"/>
          <w:szCs w:val="24"/>
          <w:highlight w:val="none"/>
          <w:lang w:eastAsia="zh"/>
        </w:rPr>
        <w:t>HIS、PACS</w:t>
      </w:r>
      <w:r>
        <w:rPr>
          <w:rFonts w:hint="eastAsia" w:ascii="宋体" w:hAnsi="宋体" w:cs="宋体"/>
          <w:color w:val="auto"/>
          <w:sz w:val="24"/>
          <w:szCs w:val="24"/>
          <w:highlight w:val="none"/>
        </w:rPr>
        <w:t>）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包括但不限于的所有责任、义务和一般风险等一切费用。</w:t>
      </w:r>
    </w:p>
    <w:p w14:paraId="7AB35518">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（七）政策性加分条件</w:t>
      </w:r>
    </w:p>
    <w:p w14:paraId="31F83728">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符合节能环保等国家政策要求。</w:t>
      </w:r>
    </w:p>
    <w:p w14:paraId="51FD77DA">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（八）验收标准及验收方法</w:t>
      </w:r>
    </w:p>
    <w:p w14:paraId="3DE25905">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1.中标供应商应将所提供货物的装箱清单、用户手册、原厂保修卡、随机资料、工具和备品、备件等交付给采购人，如有缺失应在采购人要求的期限内及时补齐，否则视为逾期交货。</w:t>
      </w:r>
    </w:p>
    <w:p w14:paraId="10F27B14">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采购人将依据招标文件上的技术要求和国家有关质量标准对中标供应商提交的货物进行初步签收；中标供应商如提供不符合招标文件、投标文件和采购合同规定的货物，采购人有权不予签收，由此产生的一切损失均由中标供应商自行承担。</w:t>
      </w:r>
    </w:p>
    <w:p w14:paraId="150BA355">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3.中标供应商需承担供货时产品质量抽样检测的相关费用以及项目验收时发生的一切费用。</w:t>
      </w:r>
    </w:p>
    <w:p w14:paraId="1797DB03">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4.安装合格后15日内提供安装调试报告与原厂技术规格书(或Datasheet)。 本条所有涉及的文件均提供纸质与电子档。</w:t>
      </w:r>
    </w:p>
    <w:p w14:paraId="0A2620CE">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当项目调试完成后，由中标供应商向采购人提出项目竣工测试申请，并于验收前向采购人提供一切有关技术文件、资料、图纸和培训相关记录等竣工材料，并在竣工前5个工作日通知采购人及有关部门准备验收。拟竣工项目的实施总体功能、性能符合采购人认可的技术设计方案及合同规定的，采购人在7个工作日内组织验收，并作出验收结果报告。供需双方签署项目终验验收证书并加盖公章，自正式交付使用之日起，开始计算质保期。</w:t>
      </w:r>
    </w:p>
    <w:p w14:paraId="3A398EE2">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6.采购人对验收有异议的，以书面形式向中标供应商提出，中标供应商应自收到采购人书面异议后5个工作日内及时予以解决，中标供应商不予答复或未予以实质解决的，视为认可采购人异议及处置意见。</w:t>
      </w:r>
    </w:p>
    <w:p w14:paraId="5B0536B5">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7.验收标准</w:t>
      </w:r>
    </w:p>
    <w:p w14:paraId="18D74999">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1)项目招标文件及中标供应商投标文件中的“技术响应表”,逐条验收；</w:t>
      </w:r>
    </w:p>
    <w:p w14:paraId="71519A32">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2)项目招标文件及中标供应商投标文件中的“商务响应表”,逐条验收；</w:t>
      </w:r>
    </w:p>
    <w:p w14:paraId="26A093DE">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3)中标供应商投标文件中其他技术、服务、商务性的说明、承诺事项，逐条验收。</w:t>
      </w:r>
    </w:p>
    <w:p w14:paraId="457DFF8C">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4)国家相关法律、法规、标准和规范等。</w:t>
      </w:r>
    </w:p>
    <w:p w14:paraId="7EC1303B">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其他未尽事宜应严格参照《关于印发广西壮族自治区政府采购项目履约验收管理办法的通知》[桂财采〔2015〕22号]以及《财政部关于进一步加强政府采购需求和履约验收管理的指导意见》[财库〔2016〕205号]规定执行。</w:t>
      </w:r>
    </w:p>
    <w:p w14:paraId="0FF233FE">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8.若采购人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采购人不承担逾期付款责任。</w:t>
      </w:r>
    </w:p>
    <w:p w14:paraId="45C7F3E3">
      <w:pPr>
        <w:spacing w:line="420" w:lineRule="exact"/>
        <w:ind w:firstLine="480" w:firstLineChars="200"/>
        <w:rPr>
          <w:color w:val="auto"/>
          <w:sz w:val="24"/>
          <w:szCs w:val="24"/>
          <w:highlight w:val="none"/>
        </w:rPr>
      </w:pPr>
      <w:r>
        <w:rPr>
          <w:rFonts w:hint="eastAsia" w:ascii="宋体" w:hAnsi="宋体" w:eastAsia="宋体" w:cs="宋体"/>
          <w:color w:val="auto"/>
          <w:sz w:val="24"/>
          <w:szCs w:val="24"/>
          <w:highlight w:val="none"/>
        </w:rPr>
        <w:t>9.中标供应商提供</w:t>
      </w:r>
      <w:r>
        <w:rPr>
          <w:rFonts w:hint="eastAsia" w:ascii="宋体" w:hAnsi="宋体" w:cs="宋体"/>
          <w:color w:val="auto"/>
          <w:sz w:val="24"/>
          <w:szCs w:val="24"/>
          <w:highlight w:val="none"/>
        </w:rPr>
        <w:t>的</w:t>
      </w:r>
      <w:r>
        <w:rPr>
          <w:rFonts w:hint="eastAsia" w:ascii="宋体" w:hAnsi="宋体" w:eastAsia="宋体" w:cs="宋体"/>
          <w:color w:val="auto"/>
          <w:sz w:val="24"/>
          <w:szCs w:val="24"/>
          <w:highlight w:val="none"/>
        </w:rPr>
        <w:t>货物与投标文件响应情况不符，视为验收不合格</w:t>
      </w:r>
      <w:r>
        <w:rPr>
          <w:rFonts w:hint="eastAsia" w:ascii="宋体" w:hAnsi="宋体" w:cs="宋体"/>
          <w:color w:val="auto"/>
          <w:sz w:val="24"/>
          <w:szCs w:val="24"/>
          <w:highlight w:val="none"/>
        </w:rPr>
        <w:t>。</w:t>
      </w:r>
    </w:p>
    <w:p w14:paraId="7C34223B">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（九）进口产品说明</w:t>
      </w:r>
    </w:p>
    <w:p w14:paraId="738C3F37">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本标项不接受进口设备参与投标。</w:t>
      </w:r>
    </w:p>
    <w:p w14:paraId="137733BF">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（十）规范标准</w:t>
      </w:r>
    </w:p>
    <w:p w14:paraId="3EE782AC">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执行现行的强制执行的国家、行业、地方标准。</w:t>
      </w:r>
    </w:p>
    <w:p w14:paraId="57E38142">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（十一）产品资料及说明文件</w:t>
      </w:r>
    </w:p>
    <w:p w14:paraId="4D9C75E3">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投标文件中提供投标产品对外公开的产品彩页或说明书（体现技术参数，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14:paraId="35867754">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（十二）采购预算价及最高限价</w:t>
      </w:r>
    </w:p>
    <w:p w14:paraId="3E82CC7F">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投标报价超采购预算（含单项采购预算，如有）及最高限价（含单项最高限价，如有）的投标无效。</w:t>
      </w:r>
    </w:p>
    <w:p w14:paraId="0F173000">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（十三）医疗器械注册或备案要求</w:t>
      </w:r>
    </w:p>
    <w:p w14:paraId="06FBA2BB">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14:paraId="6AF58099">
      <w:pPr>
        <w:spacing w:line="420" w:lineRule="exact"/>
        <w:ind w:firstLine="480"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（十四）其它</w:t>
      </w:r>
    </w:p>
    <w:p w14:paraId="58828311">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投标人根据自身情况提供项目实施方案，内容包括但不限于：</w:t>
      </w:r>
    </w:p>
    <w:p w14:paraId="0501F0CF">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1.技术及项目实施方案（包含但不限于管理措施、具体实施流程、进度安排、质量保证措施、有利于采购项目实施的内容或合理性建议的等）；</w:t>
      </w:r>
    </w:p>
    <w:p w14:paraId="71FEE5BC">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2.技术人员方案（包含但不限于技术人员投入计划，有技术人员在安装调试过程提供技术支持和协助计划，拟派有资质技术人员完成实施方案，有利于采购项目实施的内容或合理性建议的）；</w:t>
      </w:r>
    </w:p>
    <w:p w14:paraId="4DA55A7F">
      <w:pPr>
        <w:spacing w:line="4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3.培训计划（包括但不限于：培训方式、培训次数、人数、课程内容及师资等）;</w:t>
      </w:r>
    </w:p>
    <w:p w14:paraId="78F6F2E7">
      <w:pPr>
        <w:spacing w:line="420" w:lineRule="exact"/>
        <w:ind w:firstLine="480" w:firstLineChars="200"/>
        <w:jc w:val="left"/>
        <w:rPr>
          <w:rStyle w:val="147"/>
          <w:rFonts w:ascii="宋体" w:hAnsi="宋体"/>
          <w:b/>
          <w:bCs/>
          <w:color w:val="auto"/>
          <w:sz w:val="24"/>
          <w:szCs w:val="24"/>
          <w:highlight w:val="none"/>
          <w:u w:val="none"/>
        </w:rPr>
      </w:pPr>
      <w:r>
        <w:rPr>
          <w:rFonts w:hint="eastAsia" w:ascii="宋体" w:hAnsi="宋体" w:cs="宋体"/>
          <w:color w:val="auto"/>
          <w:sz w:val="24"/>
          <w:szCs w:val="24"/>
          <w:highlight w:val="none"/>
        </w:rPr>
        <w:t>4.生产厂家售后服务承诺书等。</w:t>
      </w:r>
    </w:p>
    <w:p w14:paraId="68F079B5">
      <w:pPr>
        <w:ind w:firstLine="420"/>
        <w:rPr>
          <w:rStyle w:val="147"/>
          <w:rFonts w:ascii="宋体" w:hAnsi="宋体"/>
          <w:b/>
          <w:bCs/>
          <w:color w:val="auto"/>
          <w:sz w:val="24"/>
          <w:szCs w:val="24"/>
          <w:highlight w:val="none"/>
          <w:u w:val="none"/>
        </w:rPr>
      </w:pPr>
    </w:p>
    <w:p w14:paraId="4D516198">
      <w:pPr>
        <w:ind w:firstLine="420"/>
        <w:rPr>
          <w:rStyle w:val="147"/>
          <w:rFonts w:ascii="宋体" w:hAnsi="宋体"/>
          <w:b/>
          <w:bCs/>
          <w:color w:val="auto"/>
          <w:sz w:val="24"/>
          <w:szCs w:val="24"/>
          <w:highlight w:val="none"/>
          <w:u w:val="none"/>
        </w:rPr>
      </w:pPr>
    </w:p>
    <w:p w14:paraId="4471C41D">
      <w:pPr>
        <w:rPr>
          <w:rFonts w:ascii="Times New Roman" w:hAnsi="Times New Roman" w:eastAsia="宋体" w:cs="Times New Roman"/>
          <w:color w:val="auto"/>
          <w:kern w:val="0"/>
          <w:sz w:val="24"/>
          <w:szCs w:val="24"/>
          <w:highlight w:val="none"/>
        </w:rPr>
      </w:pPr>
    </w:p>
    <w:p w14:paraId="46D13DDB">
      <w:pPr>
        <w:pStyle w:val="144"/>
        <w:rPr>
          <w:rFonts w:ascii="Times New Roman" w:cs="Times New Roman"/>
          <w:color w:val="auto"/>
          <w:highlight w:val="none"/>
        </w:rPr>
      </w:pPr>
    </w:p>
    <w:p w14:paraId="3344F984">
      <w:pPr>
        <w:pStyle w:val="144"/>
        <w:rPr>
          <w:rFonts w:ascii="Times New Roman" w:cs="Times New Roman"/>
          <w:color w:val="auto"/>
          <w:highlight w:val="none"/>
        </w:rPr>
      </w:pPr>
    </w:p>
    <w:p w14:paraId="072BE633">
      <w:pPr>
        <w:pStyle w:val="144"/>
        <w:rPr>
          <w:rFonts w:ascii="Times New Roman" w:cs="Times New Roman"/>
          <w:color w:val="auto"/>
          <w:highlight w:val="none"/>
        </w:rPr>
      </w:pPr>
    </w:p>
    <w:p w14:paraId="5CC66B2B">
      <w:pPr>
        <w:pStyle w:val="144"/>
        <w:rPr>
          <w:rFonts w:ascii="Times New Roman" w:cs="Times New Roman"/>
          <w:color w:val="auto"/>
          <w:highlight w:val="none"/>
        </w:rPr>
      </w:pPr>
    </w:p>
    <w:p w14:paraId="05620854">
      <w:pPr>
        <w:pStyle w:val="144"/>
        <w:rPr>
          <w:rFonts w:ascii="Times New Roman" w:cs="Times New Roman"/>
          <w:color w:val="auto"/>
          <w:highlight w:val="none"/>
        </w:rPr>
      </w:pPr>
    </w:p>
    <w:p w14:paraId="7CB81C69">
      <w:pPr>
        <w:pStyle w:val="144"/>
        <w:rPr>
          <w:rFonts w:ascii="Times New Roman" w:cs="Times New Roman"/>
          <w:color w:val="auto"/>
          <w:highlight w:val="none"/>
        </w:rPr>
      </w:pPr>
    </w:p>
    <w:p w14:paraId="6EF937AB">
      <w:pPr>
        <w:pStyle w:val="144"/>
        <w:rPr>
          <w:rFonts w:ascii="Times New Roman" w:cs="Times New Roman"/>
          <w:color w:val="auto"/>
          <w:highlight w:val="none"/>
        </w:rPr>
      </w:pPr>
    </w:p>
    <w:p w14:paraId="0A3F3BB2">
      <w:pPr>
        <w:pStyle w:val="144"/>
        <w:rPr>
          <w:rFonts w:ascii="Times New Roman" w:cs="Times New Roman"/>
          <w:color w:val="auto"/>
          <w:highlight w:val="none"/>
        </w:rPr>
      </w:pPr>
    </w:p>
    <w:p w14:paraId="2F3932E9">
      <w:pPr>
        <w:pStyle w:val="144"/>
        <w:rPr>
          <w:rFonts w:ascii="Times New Roman" w:cs="Times New Roman"/>
          <w:color w:val="auto"/>
          <w:highlight w:val="none"/>
        </w:rPr>
      </w:pPr>
    </w:p>
    <w:p w14:paraId="5C4C4D49">
      <w:pPr>
        <w:pStyle w:val="144"/>
        <w:rPr>
          <w:rFonts w:ascii="Times New Roman" w:cs="Times New Roman"/>
          <w:color w:val="auto"/>
          <w:highlight w:val="none"/>
        </w:rPr>
      </w:pPr>
    </w:p>
    <w:p w14:paraId="6048B02F">
      <w:pPr>
        <w:pStyle w:val="144"/>
        <w:rPr>
          <w:rFonts w:ascii="Times New Roman" w:cs="Times New Roman"/>
          <w:color w:val="auto"/>
          <w:highlight w:val="none"/>
        </w:rPr>
      </w:pPr>
    </w:p>
    <w:p w14:paraId="2B58B970">
      <w:pPr>
        <w:pStyle w:val="144"/>
        <w:rPr>
          <w:rFonts w:ascii="Times New Roman" w:cs="Times New Roman"/>
          <w:color w:val="auto"/>
          <w:highlight w:val="none"/>
        </w:rPr>
      </w:pPr>
    </w:p>
    <w:p w14:paraId="50701E79">
      <w:pPr>
        <w:pStyle w:val="144"/>
        <w:rPr>
          <w:rFonts w:ascii="Times New Roman" w:cs="Times New Roman"/>
          <w:color w:val="auto"/>
          <w:highlight w:val="none"/>
        </w:rPr>
      </w:pPr>
    </w:p>
    <w:p w14:paraId="43C3E856">
      <w:pPr>
        <w:pStyle w:val="144"/>
        <w:rPr>
          <w:rFonts w:ascii="Times New Roman" w:cs="Times New Roman"/>
          <w:color w:val="auto"/>
          <w:highlight w:val="none"/>
        </w:rPr>
      </w:pPr>
    </w:p>
    <w:p w14:paraId="27895452">
      <w:pPr>
        <w:pStyle w:val="144"/>
        <w:rPr>
          <w:rFonts w:ascii="Times New Roman" w:cs="Times New Roman"/>
          <w:color w:val="auto"/>
          <w:highlight w:val="none"/>
        </w:rPr>
      </w:pPr>
    </w:p>
    <w:p w14:paraId="6F361E4A">
      <w:pPr>
        <w:pStyle w:val="144"/>
        <w:rPr>
          <w:rFonts w:ascii="Times New Roman" w:cs="Times New Roman"/>
          <w:color w:val="auto"/>
          <w:highlight w:val="none"/>
        </w:rPr>
      </w:pPr>
    </w:p>
    <w:p w14:paraId="595B2E4D">
      <w:pPr>
        <w:pStyle w:val="144"/>
        <w:rPr>
          <w:rFonts w:ascii="Times New Roman" w:cs="Times New Roman"/>
          <w:color w:val="auto"/>
          <w:highlight w:val="none"/>
        </w:rPr>
      </w:pPr>
    </w:p>
    <w:p w14:paraId="787AA91C">
      <w:pPr>
        <w:pStyle w:val="144"/>
        <w:rPr>
          <w:rFonts w:ascii="Times New Roman" w:cs="Times New Roman"/>
          <w:color w:val="auto"/>
          <w:highlight w:val="none"/>
        </w:rPr>
      </w:pPr>
    </w:p>
    <w:p w14:paraId="3A37627B">
      <w:pPr>
        <w:pStyle w:val="144"/>
        <w:rPr>
          <w:rFonts w:ascii="Times New Roman" w:cs="Times New Roman"/>
          <w:color w:val="auto"/>
          <w:highlight w:val="none"/>
        </w:rPr>
      </w:pPr>
    </w:p>
    <w:p w14:paraId="41B175B6">
      <w:pPr>
        <w:pStyle w:val="144"/>
        <w:rPr>
          <w:rFonts w:ascii="Times New Roman" w:cs="Times New Roman"/>
          <w:color w:val="auto"/>
          <w:highlight w:val="none"/>
        </w:rPr>
      </w:pPr>
    </w:p>
    <w:p w14:paraId="6285C5CE">
      <w:pPr>
        <w:pStyle w:val="144"/>
        <w:rPr>
          <w:rFonts w:ascii="Times New Roman" w:cs="Times New Roman"/>
          <w:color w:val="auto"/>
          <w:highlight w:val="none"/>
        </w:rPr>
      </w:pPr>
    </w:p>
    <w:p w14:paraId="1F1D2135">
      <w:pPr>
        <w:pStyle w:val="144"/>
        <w:rPr>
          <w:rFonts w:ascii="Times New Roman" w:cs="Times New Roman"/>
          <w:color w:val="auto"/>
          <w:highlight w:val="none"/>
        </w:rPr>
      </w:pPr>
    </w:p>
    <w:p w14:paraId="5C2FBDB4">
      <w:pPr>
        <w:pStyle w:val="144"/>
        <w:rPr>
          <w:rFonts w:ascii="Times New Roman" w:cs="Times New Roman"/>
          <w:color w:val="auto"/>
          <w:highlight w:val="none"/>
        </w:rPr>
      </w:pPr>
    </w:p>
    <w:p w14:paraId="020DDF9E">
      <w:pPr>
        <w:pStyle w:val="144"/>
        <w:rPr>
          <w:rFonts w:ascii="Times New Roman" w:cs="Times New Roman"/>
          <w:color w:val="auto"/>
          <w:highlight w:val="none"/>
        </w:rPr>
      </w:pPr>
    </w:p>
    <w:p w14:paraId="575EEF38">
      <w:pPr>
        <w:pStyle w:val="144"/>
        <w:rPr>
          <w:rFonts w:ascii="Times New Roman" w:cs="Times New Roman"/>
          <w:color w:val="auto"/>
          <w:highlight w:val="none"/>
        </w:rPr>
      </w:pPr>
    </w:p>
    <w:p w14:paraId="728FEAF3">
      <w:pPr>
        <w:pStyle w:val="144"/>
        <w:rPr>
          <w:rFonts w:ascii="Times New Roman" w:cs="Times New Roman"/>
          <w:color w:val="auto"/>
          <w:highlight w:val="none"/>
        </w:rPr>
      </w:pPr>
    </w:p>
    <w:p w14:paraId="08F13B95">
      <w:pPr>
        <w:pStyle w:val="144"/>
        <w:rPr>
          <w:rFonts w:ascii="Times New Roman" w:cs="Times New Roman"/>
          <w:color w:val="auto"/>
          <w:highlight w:val="none"/>
        </w:rPr>
      </w:pPr>
    </w:p>
    <w:p w14:paraId="063D57D3">
      <w:pPr>
        <w:pStyle w:val="144"/>
        <w:rPr>
          <w:rFonts w:ascii="Times New Roman" w:cs="Times New Roman"/>
          <w:color w:val="auto"/>
          <w:highlight w:val="none"/>
        </w:rPr>
      </w:pPr>
    </w:p>
    <w:p w14:paraId="16EBB8D9">
      <w:pPr>
        <w:pStyle w:val="144"/>
        <w:rPr>
          <w:rFonts w:ascii="Times New Roman" w:cs="Times New Roman"/>
          <w:color w:val="auto"/>
          <w:highlight w:val="none"/>
        </w:rPr>
      </w:pPr>
    </w:p>
    <w:p w14:paraId="545A52B3">
      <w:pPr>
        <w:pStyle w:val="144"/>
        <w:rPr>
          <w:rFonts w:ascii="Times New Roman" w:cs="Times New Roman"/>
          <w:color w:val="auto"/>
          <w:highlight w:val="none"/>
        </w:rPr>
      </w:pPr>
    </w:p>
    <w:p w14:paraId="38DC5AED">
      <w:pPr>
        <w:pStyle w:val="144"/>
        <w:rPr>
          <w:rFonts w:ascii="Times New Roman" w:cs="Times New Roman"/>
          <w:color w:val="auto"/>
          <w:highlight w:val="none"/>
        </w:rPr>
      </w:pPr>
    </w:p>
    <w:p w14:paraId="617E936F">
      <w:pPr>
        <w:pStyle w:val="144"/>
        <w:rPr>
          <w:rFonts w:ascii="Times New Roman" w:cs="Times New Roman"/>
          <w:color w:val="auto"/>
          <w:highlight w:val="none"/>
        </w:rPr>
      </w:pPr>
    </w:p>
    <w:p w14:paraId="56AFFEFF">
      <w:pPr>
        <w:pStyle w:val="144"/>
        <w:rPr>
          <w:rFonts w:ascii="Times New Roman" w:cs="Times New Roman"/>
          <w:color w:val="auto"/>
          <w:highlight w:val="none"/>
        </w:rPr>
      </w:pPr>
    </w:p>
    <w:p w14:paraId="6ACF34A0">
      <w:pPr>
        <w:pStyle w:val="144"/>
        <w:rPr>
          <w:rFonts w:ascii="Times New Roman" w:cs="Times New Roman"/>
          <w:color w:val="auto"/>
          <w:highlight w:val="none"/>
        </w:rPr>
      </w:pPr>
    </w:p>
    <w:p w14:paraId="7C11A636">
      <w:pPr>
        <w:pStyle w:val="144"/>
        <w:rPr>
          <w:rFonts w:ascii="Times New Roman" w:cs="Times New Roman"/>
          <w:color w:val="auto"/>
          <w:highlight w:val="none"/>
        </w:rPr>
      </w:pPr>
    </w:p>
    <w:p w14:paraId="6C847C35">
      <w:pPr>
        <w:pStyle w:val="144"/>
        <w:rPr>
          <w:rFonts w:ascii="Times New Roman" w:cs="Times New Roman"/>
          <w:color w:val="auto"/>
          <w:highlight w:val="none"/>
        </w:rPr>
      </w:pPr>
    </w:p>
    <w:p w14:paraId="44DC6419">
      <w:pPr>
        <w:pStyle w:val="144"/>
        <w:rPr>
          <w:rFonts w:ascii="Times New Roman" w:cs="Times New Roman"/>
          <w:color w:val="auto"/>
          <w:highlight w:val="none"/>
        </w:rPr>
      </w:pPr>
    </w:p>
    <w:p w14:paraId="16A3F131">
      <w:pPr>
        <w:rPr>
          <w:rFonts w:ascii="Times New Roman" w:hAnsi="Times New Roman" w:eastAsia="宋体" w:cs="Times New Roman"/>
          <w:color w:val="auto"/>
          <w:szCs w:val="24"/>
          <w:highlight w:val="none"/>
        </w:rPr>
      </w:pPr>
    </w:p>
    <w:bookmarkEnd w:id="44"/>
    <w:bookmarkEnd w:id="45"/>
    <w:p w14:paraId="43BCBE3C">
      <w:pPr>
        <w:tabs>
          <w:tab w:val="left" w:pos="0"/>
          <w:tab w:val="left" w:pos="3165"/>
          <w:tab w:val="center" w:pos="4153"/>
        </w:tabs>
        <w:autoSpaceDE w:val="0"/>
        <w:autoSpaceDN w:val="0"/>
        <w:adjustRightInd w:val="0"/>
        <w:spacing w:line="360" w:lineRule="auto"/>
        <w:jc w:val="center"/>
        <w:outlineLvl w:val="0"/>
        <w:rPr>
          <w:rFonts w:ascii="Times New Roman" w:hAnsi="Times New Roman" w:eastAsia="宋体" w:cs="Times New Roman"/>
          <w:b/>
          <w:bCs/>
          <w:color w:val="auto"/>
          <w:kern w:val="44"/>
          <w:sz w:val="44"/>
          <w:szCs w:val="44"/>
          <w:highlight w:val="none"/>
          <w:lang w:val="zh-CN"/>
        </w:rPr>
      </w:pPr>
      <w:bookmarkStart w:id="50" w:name="_Toc74323513"/>
      <w:r>
        <w:rPr>
          <w:rFonts w:hint="eastAsia" w:ascii="Times New Roman" w:hAnsi="Times New Roman" w:eastAsia="宋体" w:cs="Times New Roman"/>
          <w:b/>
          <w:bCs/>
          <w:color w:val="auto"/>
          <w:kern w:val="44"/>
          <w:sz w:val="44"/>
          <w:szCs w:val="44"/>
          <w:highlight w:val="none"/>
          <w:lang w:val="zh-CN"/>
        </w:rPr>
        <w:t>第三章  投标人须知</w:t>
      </w:r>
      <w:bookmarkEnd w:id="50"/>
    </w:p>
    <w:p w14:paraId="0E2EEA4B">
      <w:pPr>
        <w:jc w:val="center"/>
        <w:rPr>
          <w:rFonts w:ascii="Times New Roman" w:hAnsi="Times New Roman" w:eastAsia="宋体" w:cs="Times New Roman"/>
          <w:color w:val="auto"/>
          <w:sz w:val="36"/>
          <w:szCs w:val="36"/>
          <w:highlight w:val="none"/>
        </w:rPr>
      </w:pPr>
      <w:bookmarkStart w:id="51" w:name="_Toc254970667"/>
      <w:bookmarkStart w:id="52" w:name="_Toc254970526"/>
      <w:r>
        <w:rPr>
          <w:rFonts w:hint="eastAsia" w:ascii="Times New Roman" w:hAnsi="Times New Roman" w:eastAsia="宋体" w:cs="Times New Roman"/>
          <w:color w:val="auto"/>
          <w:sz w:val="36"/>
          <w:szCs w:val="36"/>
          <w:highlight w:val="none"/>
        </w:rPr>
        <w:t>投标人须知前附表</w:t>
      </w:r>
      <w:bookmarkEnd w:id="51"/>
      <w:bookmarkEnd w:id="52"/>
    </w:p>
    <w:tbl>
      <w:tblPr>
        <w:tblStyle w:val="37"/>
        <w:tblW w:w="4999"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43"/>
        <w:gridCol w:w="7974"/>
      </w:tblGrid>
      <w:tr w14:paraId="269FAE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4C03BACE">
            <w:pPr>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条款号</w:t>
            </w:r>
          </w:p>
        </w:tc>
        <w:tc>
          <w:tcPr>
            <w:tcW w:w="4573" w:type="pct"/>
            <w:tcBorders>
              <w:top w:val="single" w:color="auto" w:sz="4" w:space="0"/>
              <w:left w:val="single" w:color="auto" w:sz="4" w:space="0"/>
              <w:bottom w:val="single" w:color="auto" w:sz="4" w:space="0"/>
              <w:right w:val="single" w:color="auto" w:sz="4" w:space="0"/>
            </w:tcBorders>
            <w:vAlign w:val="center"/>
          </w:tcPr>
          <w:p w14:paraId="5937B2FF">
            <w:pPr>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编列内容</w:t>
            </w:r>
          </w:p>
        </w:tc>
      </w:tr>
      <w:tr w14:paraId="10E7AC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0903FF3D">
            <w:pPr>
              <w:spacing w:line="360" w:lineRule="auto"/>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1</w:t>
            </w:r>
          </w:p>
        </w:tc>
        <w:tc>
          <w:tcPr>
            <w:tcW w:w="4573" w:type="pct"/>
            <w:tcBorders>
              <w:top w:val="single" w:color="auto" w:sz="4" w:space="0"/>
              <w:left w:val="single" w:color="auto" w:sz="4" w:space="0"/>
              <w:bottom w:val="single" w:color="auto" w:sz="4" w:space="0"/>
              <w:right w:val="single" w:color="auto" w:sz="4" w:space="0"/>
            </w:tcBorders>
            <w:vAlign w:val="center"/>
          </w:tcPr>
          <w:p w14:paraId="3CA09415">
            <w:pPr>
              <w:snapToGrid w:val="0"/>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投标人的资格要求详见招标公告。</w:t>
            </w:r>
          </w:p>
          <w:p w14:paraId="3489BF86">
            <w:pPr>
              <w:snapToGrid w:val="0"/>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投标人出现下列情形之一的，不得参加政府采购活动：</w:t>
            </w:r>
          </w:p>
          <w:p w14:paraId="645C86A2">
            <w:pPr>
              <w:snapToGrid w:val="0"/>
              <w:spacing w:line="360" w:lineRule="auto"/>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2.1</w:t>
            </w:r>
            <w:r>
              <w:rPr>
                <w:rFonts w:hint="eastAsia" w:ascii="宋体" w:hAnsi="宋体" w:eastAsia="宋体" w:cs="Times New Roman"/>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F5F5DB6">
            <w:pPr>
              <w:snapToGrid w:val="0"/>
              <w:spacing w:line="360" w:lineRule="auto"/>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2.2</w:t>
            </w:r>
            <w:r>
              <w:rPr>
                <w:rFonts w:hint="eastAsia" w:ascii="宋体" w:hAnsi="宋体" w:eastAsia="宋体" w:cs="Times New Roman"/>
                <w:color w:val="auto"/>
                <w:szCs w:val="21"/>
                <w:highlight w:val="none"/>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tc>
      </w:tr>
      <w:tr w14:paraId="4DFE5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0731D19F">
            <w:pPr>
              <w:spacing w:line="360" w:lineRule="auto"/>
              <w:jc w:val="center"/>
              <w:rPr>
                <w:rFonts w:ascii="宋体" w:hAnsi="宋体" w:eastAsia="宋体" w:cs="Times New Roman"/>
                <w:color w:val="auto"/>
                <w:szCs w:val="21"/>
                <w:highlight w:val="none"/>
              </w:rPr>
            </w:pPr>
            <w:bookmarkStart w:id="53" w:name="_5"/>
            <w:bookmarkEnd w:id="53"/>
            <w:bookmarkStart w:id="54" w:name="_8.1"/>
            <w:bookmarkEnd w:id="54"/>
            <w:bookmarkStart w:id="55" w:name="_9.2"/>
            <w:bookmarkEnd w:id="55"/>
            <w:r>
              <w:rPr>
                <w:rFonts w:ascii="宋体" w:hAnsi="宋体" w:eastAsia="宋体" w:cs="Times New Roman"/>
                <w:color w:val="auto"/>
                <w:szCs w:val="21"/>
                <w:highlight w:val="none"/>
              </w:rPr>
              <w:t>2</w:t>
            </w:r>
          </w:p>
        </w:tc>
        <w:tc>
          <w:tcPr>
            <w:tcW w:w="4573" w:type="pct"/>
            <w:tcBorders>
              <w:top w:val="single" w:color="auto" w:sz="4" w:space="0"/>
              <w:left w:val="single" w:color="auto" w:sz="4" w:space="0"/>
              <w:bottom w:val="single" w:color="auto" w:sz="4" w:space="0"/>
              <w:right w:val="single" w:color="auto" w:sz="4" w:space="0"/>
            </w:tcBorders>
            <w:vAlign w:val="center"/>
          </w:tcPr>
          <w:p w14:paraId="4F65D3AF">
            <w:pPr>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本项目是否接受联合体投标：详见招标公告。</w:t>
            </w:r>
          </w:p>
        </w:tc>
      </w:tr>
      <w:tr w14:paraId="5673BD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0C13381C">
            <w:pPr>
              <w:spacing w:line="360" w:lineRule="auto"/>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3</w:t>
            </w:r>
          </w:p>
        </w:tc>
        <w:tc>
          <w:tcPr>
            <w:tcW w:w="4573" w:type="pct"/>
            <w:tcBorders>
              <w:top w:val="single" w:color="auto" w:sz="4" w:space="0"/>
              <w:left w:val="single" w:color="auto" w:sz="4" w:space="0"/>
              <w:bottom w:val="single" w:color="auto" w:sz="4" w:space="0"/>
              <w:right w:val="single" w:color="auto" w:sz="4" w:space="0"/>
            </w:tcBorders>
            <w:vAlign w:val="center"/>
          </w:tcPr>
          <w:p w14:paraId="3DB46618">
            <w:pPr>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联合体投标要求如下：无</w:t>
            </w:r>
          </w:p>
        </w:tc>
      </w:tr>
      <w:tr w14:paraId="7F244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5117500C">
            <w:pPr>
              <w:spacing w:line="360" w:lineRule="auto"/>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4</w:t>
            </w:r>
          </w:p>
        </w:tc>
        <w:tc>
          <w:tcPr>
            <w:tcW w:w="4573" w:type="pct"/>
            <w:tcBorders>
              <w:top w:val="single" w:color="auto" w:sz="4" w:space="0"/>
              <w:left w:val="single" w:color="auto" w:sz="4" w:space="0"/>
              <w:bottom w:val="single" w:color="auto" w:sz="4" w:space="0"/>
              <w:right w:val="single" w:color="auto" w:sz="4" w:space="0"/>
            </w:tcBorders>
            <w:vAlign w:val="center"/>
          </w:tcPr>
          <w:p w14:paraId="2F52A45F">
            <w:pPr>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F0FE"/>
            </w:r>
            <w:r>
              <w:rPr>
                <w:rFonts w:hint="eastAsia" w:ascii="宋体" w:hAnsi="宋体" w:eastAsia="宋体" w:cs="Times New Roman"/>
                <w:color w:val="auto"/>
                <w:szCs w:val="21"/>
                <w:highlight w:val="none"/>
              </w:rPr>
              <w:t>不允许分包</w:t>
            </w:r>
          </w:p>
          <w:p w14:paraId="78DD0D2C">
            <w:pPr>
              <w:spacing w:line="360" w:lineRule="auto"/>
              <w:jc w:val="left"/>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□允许分包</w:t>
            </w:r>
          </w:p>
        </w:tc>
      </w:tr>
      <w:tr w14:paraId="586B13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23033E29">
            <w:pPr>
              <w:spacing w:line="360" w:lineRule="auto"/>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5</w:t>
            </w:r>
          </w:p>
        </w:tc>
        <w:tc>
          <w:tcPr>
            <w:tcW w:w="4573" w:type="pct"/>
            <w:tcBorders>
              <w:top w:val="single" w:color="auto" w:sz="4" w:space="0"/>
              <w:left w:val="single" w:color="auto" w:sz="4" w:space="0"/>
              <w:bottom w:val="single" w:color="auto" w:sz="4" w:space="0"/>
              <w:right w:val="single" w:color="auto" w:sz="4" w:space="0"/>
            </w:tcBorders>
            <w:vAlign w:val="center"/>
          </w:tcPr>
          <w:p w14:paraId="7BB24F6E">
            <w:pPr>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本项目采用兼投兼中形式开展</w:t>
            </w:r>
          </w:p>
        </w:tc>
      </w:tr>
      <w:tr w14:paraId="2F7AA5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7E80BCB0">
            <w:pPr>
              <w:spacing w:line="360" w:lineRule="auto"/>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6</w:t>
            </w:r>
          </w:p>
        </w:tc>
        <w:tc>
          <w:tcPr>
            <w:tcW w:w="4573" w:type="pct"/>
            <w:tcBorders>
              <w:top w:val="single" w:color="auto" w:sz="4" w:space="0"/>
              <w:left w:val="single" w:color="auto" w:sz="4" w:space="0"/>
              <w:bottom w:val="single" w:color="auto" w:sz="4" w:space="0"/>
              <w:right w:val="single" w:color="auto" w:sz="4" w:space="0"/>
            </w:tcBorders>
            <w:vAlign w:val="center"/>
          </w:tcPr>
          <w:p w14:paraId="063706A5">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F0FE"/>
            </w:r>
            <w:r>
              <w:rPr>
                <w:rFonts w:hint="eastAsia" w:ascii="宋体" w:hAnsi="宋体" w:eastAsia="宋体" w:cs="Times New Roman"/>
                <w:color w:val="auto"/>
                <w:szCs w:val="21"/>
                <w:highlight w:val="none"/>
              </w:rPr>
              <w:t>不组织现场考察</w:t>
            </w:r>
          </w:p>
          <w:p w14:paraId="2F8FE210">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□组织现场考察：</w:t>
            </w:r>
          </w:p>
          <w:p w14:paraId="1FF9B5D0">
            <w:pPr>
              <w:snapToGrid w:val="0"/>
              <w:spacing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详见招标文件第二章</w:t>
            </w:r>
          </w:p>
          <w:p w14:paraId="78531784">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2" w:char="0052"/>
            </w:r>
            <w:r>
              <w:rPr>
                <w:rFonts w:hint="eastAsia" w:ascii="宋体" w:hAnsi="宋体" w:eastAsia="宋体" w:cs="Times New Roman"/>
                <w:color w:val="auto"/>
                <w:szCs w:val="21"/>
                <w:highlight w:val="none"/>
              </w:rPr>
              <w:t>不组织召开开标前答疑会</w:t>
            </w:r>
          </w:p>
          <w:p w14:paraId="12D6AE38">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□组织召开开标前答疑会</w:t>
            </w:r>
          </w:p>
        </w:tc>
      </w:tr>
      <w:tr w14:paraId="05D508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3E1A0591">
            <w:pPr>
              <w:spacing w:line="360" w:lineRule="auto"/>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7</w:t>
            </w:r>
          </w:p>
        </w:tc>
        <w:tc>
          <w:tcPr>
            <w:tcW w:w="4573" w:type="pct"/>
            <w:tcBorders>
              <w:top w:val="single" w:color="auto" w:sz="4" w:space="0"/>
              <w:left w:val="single" w:color="auto" w:sz="4" w:space="0"/>
              <w:bottom w:val="single" w:color="auto" w:sz="4" w:space="0"/>
              <w:right w:val="single" w:color="auto" w:sz="4" w:space="0"/>
            </w:tcBorders>
            <w:vAlign w:val="center"/>
          </w:tcPr>
          <w:p w14:paraId="727803DE">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投标前准备：</w:t>
            </w:r>
          </w:p>
          <w:p w14:paraId="6BB20413">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1.本项目实行网上投标，采用电子投标文件。若供应商参与投标，自行承担投标一切费用。</w:t>
            </w:r>
          </w:p>
          <w:p w14:paraId="4B3CE4CD">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2.各供应商应在投标文件递交截止时间前应确保成为政采云正式注册入库供应商，并完成CA数字证书申领。因未注册入库、未办理CA数字证书等原因造成无法投标或投标失败等后果由供应商自行承担。</w:t>
            </w:r>
          </w:p>
          <w:p w14:paraId="02ACDEBB">
            <w:pPr>
              <w:wordWrap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供应商将政采云电子交易客户端下载、安装完成后，可通过账号密码或CA登录客户端进行投标文件制作。客户端请自行前往广西政府采购网下载并安装（http://zfcg.gxzf.gov.cn/OfficeService/DownloadArea/2455918.html?utm=sites_group_front.b8b6c91.0.0.c51f9820a48111eabb9bcbdf01af125e），如有问题可拨打政采云客户服务热线95763进行咨询。</w:t>
            </w:r>
          </w:p>
        </w:tc>
      </w:tr>
      <w:tr w14:paraId="44CCE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vMerge w:val="restart"/>
            <w:tcBorders>
              <w:top w:val="single" w:color="auto" w:sz="4" w:space="0"/>
              <w:left w:val="single" w:color="auto" w:sz="4" w:space="0"/>
              <w:right w:val="single" w:color="auto" w:sz="4" w:space="0"/>
            </w:tcBorders>
            <w:vAlign w:val="center"/>
          </w:tcPr>
          <w:p w14:paraId="501006B0">
            <w:pPr>
              <w:spacing w:line="360" w:lineRule="auto"/>
              <w:rPr>
                <w:rFonts w:ascii="宋体" w:hAnsi="宋体" w:eastAsia="宋体" w:cs="Times New Roman"/>
                <w:color w:val="auto"/>
                <w:szCs w:val="21"/>
                <w:highlight w:val="none"/>
              </w:rPr>
            </w:pPr>
            <w:bookmarkStart w:id="56" w:name="_13.1"/>
            <w:bookmarkEnd w:id="56"/>
            <w:r>
              <w:rPr>
                <w:rFonts w:ascii="宋体" w:hAnsi="宋体" w:eastAsia="宋体" w:cs="Times New Roman"/>
                <w:color w:val="auto"/>
                <w:szCs w:val="21"/>
                <w:highlight w:val="none"/>
              </w:rPr>
              <w:t>8</w:t>
            </w:r>
          </w:p>
        </w:tc>
        <w:tc>
          <w:tcPr>
            <w:tcW w:w="4573" w:type="pct"/>
            <w:tcBorders>
              <w:top w:val="single" w:color="auto" w:sz="4" w:space="0"/>
              <w:left w:val="single" w:color="auto" w:sz="4" w:space="0"/>
              <w:bottom w:val="single" w:color="auto" w:sz="4" w:space="0"/>
              <w:right w:val="single" w:color="auto" w:sz="4" w:space="0"/>
            </w:tcBorders>
            <w:vAlign w:val="center"/>
          </w:tcPr>
          <w:p w14:paraId="5AFA01C9">
            <w:pPr>
              <w:snapToGrid w:val="0"/>
              <w:spacing w:line="360" w:lineRule="auto"/>
              <w:jc w:val="left"/>
              <w:rPr>
                <w:rFonts w:ascii="宋体" w:hAnsi="宋体" w:eastAsia="宋体" w:cs="Courier New"/>
                <w:b/>
                <w:color w:val="auto"/>
                <w:szCs w:val="21"/>
                <w:highlight w:val="none"/>
              </w:rPr>
            </w:pPr>
            <w:r>
              <w:rPr>
                <w:rFonts w:hint="eastAsia" w:ascii="宋体" w:hAnsi="宋体" w:eastAsia="宋体" w:cs="Courier New"/>
                <w:b/>
                <w:color w:val="auto"/>
                <w:szCs w:val="21"/>
                <w:highlight w:val="none"/>
              </w:rPr>
              <w:t>报价文件：</w:t>
            </w:r>
          </w:p>
          <w:p w14:paraId="59D0F16A">
            <w:pPr>
              <w:numPr>
                <w:ilvl w:val="0"/>
                <w:numId w:val="5"/>
              </w:numPr>
              <w:tabs>
                <w:tab w:val="left" w:pos="459"/>
              </w:tabs>
              <w:snapToGrid w:val="0"/>
              <w:spacing w:line="360" w:lineRule="auto"/>
              <w:ind w:left="459" w:hanging="39"/>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投标函（格式后附）；</w:t>
            </w:r>
            <w:r>
              <w:rPr>
                <w:rFonts w:hint="eastAsia" w:ascii="宋体" w:hAnsi="宋体" w:eastAsia="宋体" w:cs="Times New Roman"/>
                <w:b/>
                <w:color w:val="auto"/>
                <w:szCs w:val="21"/>
                <w:highlight w:val="none"/>
              </w:rPr>
              <w:t>（必须提供，否则按无效投标处理）</w:t>
            </w:r>
          </w:p>
          <w:p w14:paraId="2C15C7AE">
            <w:pPr>
              <w:numPr>
                <w:ilvl w:val="0"/>
                <w:numId w:val="5"/>
              </w:numPr>
              <w:tabs>
                <w:tab w:val="left" w:pos="459"/>
              </w:tabs>
              <w:snapToGrid w:val="0"/>
              <w:spacing w:line="360" w:lineRule="auto"/>
              <w:ind w:left="459" w:hanging="39"/>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开标一览表（格式后附）； （</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6C2346D5">
            <w:pPr>
              <w:numPr>
                <w:ilvl w:val="0"/>
                <w:numId w:val="5"/>
              </w:numPr>
              <w:tabs>
                <w:tab w:val="left" w:pos="459"/>
              </w:tabs>
              <w:snapToGrid w:val="0"/>
              <w:spacing w:line="360" w:lineRule="auto"/>
              <w:ind w:left="459" w:hanging="39"/>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报价明细表（格式后附）； （</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6E63DE6F">
            <w:pPr>
              <w:numPr>
                <w:ilvl w:val="0"/>
                <w:numId w:val="5"/>
              </w:numPr>
              <w:tabs>
                <w:tab w:val="left" w:pos="459"/>
              </w:tabs>
              <w:snapToGrid w:val="0"/>
              <w:spacing w:line="360" w:lineRule="auto"/>
              <w:ind w:left="459" w:hanging="39"/>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投标人针对报价需要说明的其他文件和说明（格式自拟）。</w:t>
            </w:r>
          </w:p>
          <w:p w14:paraId="13A515DC">
            <w:pPr>
              <w:snapToGrid w:val="0"/>
              <w:spacing w:line="360" w:lineRule="auto"/>
              <w:ind w:firstLine="420"/>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注：1.投标函、开标一览表必须由法定代表人或者委托代理人在规定签章处逐一签字并加盖投标人公章，否则按无效投标</w:t>
            </w:r>
            <w:r>
              <w:rPr>
                <w:rFonts w:hint="eastAsia" w:ascii="宋体" w:hAnsi="宋体" w:eastAsia="宋体" w:cs="Courier New"/>
                <w:b/>
                <w:color w:val="auto"/>
                <w:szCs w:val="21"/>
                <w:highlight w:val="none"/>
              </w:rPr>
              <w:t>处理</w:t>
            </w:r>
            <w:r>
              <w:rPr>
                <w:rFonts w:hint="eastAsia" w:ascii="宋体" w:hAnsi="宋体" w:eastAsia="宋体" w:cs="Times New Roman"/>
                <w:b/>
                <w:bCs/>
                <w:color w:val="auto"/>
                <w:szCs w:val="21"/>
                <w:highlight w:val="none"/>
              </w:rPr>
              <w:t>。</w:t>
            </w:r>
          </w:p>
          <w:p w14:paraId="1956B5AB">
            <w:pPr>
              <w:snapToGrid w:val="0"/>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b/>
                <w:bCs/>
                <w:color w:val="auto"/>
                <w:szCs w:val="21"/>
                <w:highlight w:val="none"/>
              </w:rPr>
              <w:t>2.电子投标文件中所须加盖公章部分均采用CA签章。若招标文件中有专门标注的某关联点，并要求供应商在电子投标系统中作出投标响应的，如供应商未对关联点进行响应或者在投标文件其它内容进行描述，造成电子评审不能查询的责任由供应商自行承担。</w:t>
            </w:r>
          </w:p>
        </w:tc>
      </w:tr>
      <w:tr w14:paraId="18506F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vMerge w:val="continue"/>
            <w:tcBorders>
              <w:left w:val="single" w:color="auto" w:sz="4" w:space="0"/>
              <w:right w:val="single" w:color="auto" w:sz="4" w:space="0"/>
            </w:tcBorders>
            <w:vAlign w:val="center"/>
          </w:tcPr>
          <w:p w14:paraId="72D5487A">
            <w:pPr>
              <w:spacing w:line="360" w:lineRule="auto"/>
              <w:rPr>
                <w:rFonts w:ascii="宋体" w:hAnsi="宋体" w:eastAsia="宋体" w:cs="Times New Roman"/>
                <w:color w:val="auto"/>
                <w:szCs w:val="21"/>
                <w:highlight w:val="none"/>
              </w:rPr>
            </w:pPr>
            <w:bookmarkStart w:id="57" w:name="_13.2"/>
            <w:bookmarkEnd w:id="57"/>
          </w:p>
        </w:tc>
        <w:tc>
          <w:tcPr>
            <w:tcW w:w="4573" w:type="pct"/>
            <w:tcBorders>
              <w:top w:val="single" w:color="auto" w:sz="4" w:space="0"/>
              <w:left w:val="single" w:color="auto" w:sz="4" w:space="0"/>
              <w:bottom w:val="single" w:color="auto" w:sz="4" w:space="0"/>
              <w:right w:val="single" w:color="auto" w:sz="4" w:space="0"/>
            </w:tcBorders>
            <w:vAlign w:val="center"/>
          </w:tcPr>
          <w:p w14:paraId="1D55B2F1">
            <w:pPr>
              <w:snapToGrid w:val="0"/>
              <w:spacing w:line="360" w:lineRule="auto"/>
              <w:jc w:val="left"/>
              <w:rPr>
                <w:rFonts w:ascii="宋体" w:hAnsi="宋体" w:eastAsia="宋体" w:cs="Courier New"/>
                <w:b/>
                <w:color w:val="auto"/>
                <w:szCs w:val="21"/>
                <w:highlight w:val="none"/>
              </w:rPr>
            </w:pPr>
            <w:r>
              <w:rPr>
                <w:rFonts w:hint="eastAsia" w:ascii="宋体" w:hAnsi="宋体" w:eastAsia="宋体" w:cs="Courier New"/>
                <w:b/>
                <w:color w:val="auto"/>
                <w:szCs w:val="21"/>
                <w:highlight w:val="none"/>
              </w:rPr>
              <w:t>资格证明文件</w:t>
            </w:r>
          </w:p>
          <w:p w14:paraId="7DBAB310">
            <w:pPr>
              <w:numPr>
                <w:ilvl w:val="0"/>
                <w:numId w:val="6"/>
              </w:numPr>
              <w:snapToGrid w:val="0"/>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投标人为法人或者其他组织的，提供营业执照等证明文件</w:t>
            </w:r>
            <w:r>
              <w:rPr>
                <w:rFonts w:hint="eastAsia" w:ascii="宋体" w:hAnsi="宋体" w:eastAsia="宋体" w:cs="宋体"/>
                <w:color w:val="auto"/>
                <w:szCs w:val="21"/>
                <w:highlight w:val="none"/>
              </w:rPr>
              <w:t>（如营业执照或者事业单位法人证书或者</w:t>
            </w:r>
            <w:r>
              <w:rPr>
                <w:rFonts w:ascii="宋体" w:hAnsi="宋体" w:eastAsia="宋体" w:cs="宋体"/>
                <w:color w:val="auto"/>
                <w:szCs w:val="21"/>
                <w:highlight w:val="none"/>
                <w:lang w:val="zh-CN" w:bidi="zh-CN"/>
              </w:rPr>
              <w:t>执业许可证</w:t>
            </w:r>
            <w:r>
              <w:rPr>
                <w:rFonts w:hint="eastAsia" w:ascii="宋体" w:hAnsi="宋体" w:eastAsia="宋体" w:cs="宋体"/>
                <w:color w:val="auto"/>
                <w:szCs w:val="21"/>
                <w:highlight w:val="none"/>
              </w:rPr>
              <w:t>等）</w:t>
            </w:r>
            <w:r>
              <w:rPr>
                <w:rFonts w:hint="eastAsia" w:ascii="宋体" w:hAnsi="宋体" w:eastAsia="宋体" w:cs="Times New Roman"/>
                <w:color w:val="auto"/>
                <w:szCs w:val="21"/>
                <w:highlight w:val="none"/>
              </w:rPr>
              <w:t>，投标人为自然人的，提供身份证</w:t>
            </w:r>
            <w:r>
              <w:rPr>
                <w:rFonts w:hint="eastAsia" w:ascii="宋体" w:hAnsi="宋体" w:eastAsia="宋体" w:cs="宋体"/>
                <w:color w:val="auto"/>
                <w:szCs w:val="21"/>
                <w:highlight w:val="none"/>
              </w:rPr>
              <w:t>复印件</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134A6235">
            <w:pPr>
              <w:numPr>
                <w:ilvl w:val="0"/>
                <w:numId w:val="6"/>
              </w:numPr>
              <w:snapToGrid w:val="0"/>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投标人有效的《医疗器械经营备案凭证》或《医疗器械经营企业许可证》（复印件，必须提供，同时要加盖单位公章，生产厂家参加投标的，则必须提供《医疗器械生产企业许可证》复印件）；</w:t>
            </w:r>
          </w:p>
          <w:p w14:paraId="538E68B6">
            <w:pPr>
              <w:numPr>
                <w:ilvl w:val="0"/>
                <w:numId w:val="6"/>
              </w:numPr>
              <w:snapToGrid w:val="0"/>
              <w:spacing w:line="360" w:lineRule="auto"/>
              <w:jc w:val="left"/>
              <w:rPr>
                <w:rFonts w:ascii="宋体" w:hAnsi="宋体" w:eastAsia="宋体" w:cs="Times New Roman"/>
                <w:color w:val="auto"/>
                <w:szCs w:val="21"/>
                <w:highlight w:val="none"/>
              </w:rPr>
            </w:pPr>
            <w:r>
              <w:rPr>
                <w:rFonts w:hint="eastAsia" w:ascii="宋体" w:hAnsi="宋体" w:eastAsia="宋体" w:cs="宋体"/>
                <w:color w:val="auto"/>
                <w:szCs w:val="21"/>
                <w:highlight w:val="none"/>
              </w:rPr>
              <w:t>投标人依法缴纳税收的相关材料（</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rPr>
              <w:t>年内任意</w:t>
            </w:r>
            <w:r>
              <w:rPr>
                <w:rFonts w:hint="eastAsia" w:ascii="宋体" w:hAnsi="宋体" w:eastAsia="宋体" w:cs="宋体"/>
                <w:color w:val="auto"/>
                <w:szCs w:val="21"/>
                <w:highlight w:val="none"/>
                <w:u w:val="single"/>
              </w:rPr>
              <w:t xml:space="preserve"> 1 </w:t>
            </w:r>
            <w:r>
              <w:rPr>
                <w:rFonts w:hint="eastAsia" w:ascii="宋体" w:hAnsi="宋体" w:eastAsia="宋体" w:cs="宋体"/>
                <w:color w:val="auto"/>
                <w:szCs w:val="21"/>
                <w:highlight w:val="none"/>
              </w:rPr>
              <w:t>个月的依法缴纳税收的凭据复印件；</w:t>
            </w:r>
            <w:r>
              <w:rPr>
                <w:rFonts w:hint="eastAsia" w:ascii="宋体" w:hAnsi="宋体" w:eastAsia="宋体" w:cs="Times New Roman"/>
                <w:color w:val="auto"/>
                <w:szCs w:val="21"/>
                <w:highlight w:val="none"/>
              </w:rPr>
              <w:t>依法免税的供应商，必须提供相应文件证明其依法免税。</w:t>
            </w:r>
            <w:r>
              <w:rPr>
                <w:rFonts w:hint="eastAsia" w:ascii="宋体" w:hAnsi="宋体" w:eastAsia="宋体" w:cs="宋体"/>
                <w:color w:val="auto"/>
                <w:szCs w:val="21"/>
                <w:highlight w:val="none"/>
              </w:rPr>
              <w:t>从取得营业执照时间起到投标文件提交截止时间为止不足要求月数的，只需提供从取得营业执照起的依法缴纳税收</w:t>
            </w:r>
            <w:r>
              <w:rPr>
                <w:rFonts w:hint="eastAsia" w:ascii="宋体" w:hAnsi="宋体" w:eastAsia="宋体" w:cs="Times New Roman"/>
                <w:color w:val="auto"/>
                <w:szCs w:val="21"/>
                <w:highlight w:val="none"/>
              </w:rPr>
              <w:t>相应证明文件</w:t>
            </w:r>
            <w:r>
              <w:rPr>
                <w:rFonts w:hint="eastAsia" w:ascii="宋体" w:hAnsi="宋体" w:eastAsia="宋体" w:cs="宋体"/>
                <w:color w:val="auto"/>
                <w:szCs w:val="21"/>
                <w:highlight w:val="none"/>
              </w:rPr>
              <w:t>）</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0E3CDEC6">
            <w:pPr>
              <w:numPr>
                <w:ilvl w:val="0"/>
                <w:numId w:val="6"/>
              </w:numPr>
              <w:snapToGrid w:val="0"/>
              <w:spacing w:line="360" w:lineRule="auto"/>
              <w:jc w:val="left"/>
              <w:rPr>
                <w:rFonts w:ascii="宋体" w:hAnsi="宋体" w:eastAsia="宋体" w:cs="Times New Roman"/>
                <w:color w:val="auto"/>
                <w:szCs w:val="21"/>
                <w:highlight w:val="none"/>
              </w:rPr>
            </w:pPr>
            <w:r>
              <w:rPr>
                <w:rFonts w:hint="eastAsia" w:ascii="宋体" w:hAnsi="宋体" w:eastAsia="宋体" w:cs="宋体"/>
                <w:color w:val="auto"/>
                <w:szCs w:val="21"/>
                <w:highlight w:val="none"/>
              </w:rPr>
              <w:t>投标人依法缴纳社会保障资金的相关材料[</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rPr>
              <w:t>年内任意</w:t>
            </w:r>
            <w:r>
              <w:rPr>
                <w:rFonts w:hint="eastAsia" w:ascii="宋体" w:hAnsi="宋体" w:eastAsia="宋体" w:cs="宋体"/>
                <w:color w:val="auto"/>
                <w:szCs w:val="21"/>
                <w:highlight w:val="none"/>
                <w:u w:val="single"/>
              </w:rPr>
              <w:t xml:space="preserve"> 1 个月</w:t>
            </w:r>
            <w:r>
              <w:rPr>
                <w:rFonts w:hint="eastAsia" w:ascii="宋体" w:hAnsi="宋体" w:eastAsia="宋体" w:cs="宋体"/>
                <w:color w:val="auto"/>
                <w:szCs w:val="21"/>
                <w:highlight w:val="none"/>
              </w:rPr>
              <w:t>的依法缴纳社会保障资金的缴费凭证（专用收据或者社会保险缴纳清单）复印件；</w:t>
            </w:r>
            <w:r>
              <w:rPr>
                <w:rFonts w:hint="eastAsia" w:ascii="宋体" w:hAnsi="宋体" w:eastAsia="宋体" w:cs="Times New Roman"/>
                <w:color w:val="auto"/>
                <w:szCs w:val="21"/>
                <w:highlight w:val="none"/>
              </w:rPr>
              <w:t>依法不需要缴纳社会保障资金的供应商，必须提供相应文件证明不需要缴纳社会保障资金。</w:t>
            </w:r>
            <w:r>
              <w:rPr>
                <w:rFonts w:hint="eastAsia" w:ascii="宋体" w:hAnsi="宋体" w:eastAsia="宋体" w:cs="宋体"/>
                <w:color w:val="auto"/>
                <w:szCs w:val="21"/>
                <w:highlight w:val="none"/>
              </w:rPr>
              <w:t>从取得营业执照时间起到投标文件提交截止时间为止不足要求月数的只需提供从取得营业执照起的依法缴纳社会保障资金的</w:t>
            </w:r>
            <w:r>
              <w:rPr>
                <w:rFonts w:hint="eastAsia" w:ascii="宋体" w:hAnsi="宋体" w:eastAsia="宋体" w:cs="Times New Roman"/>
                <w:color w:val="auto"/>
                <w:szCs w:val="21"/>
                <w:highlight w:val="none"/>
              </w:rPr>
              <w:t>相应证明文件</w:t>
            </w:r>
            <w:r>
              <w:rPr>
                <w:rFonts w:hint="eastAsia" w:ascii="宋体" w:hAnsi="宋体" w:eastAsia="宋体" w:cs="宋体"/>
                <w:color w:val="auto"/>
                <w:szCs w:val="21"/>
                <w:highlight w:val="none"/>
              </w:rPr>
              <w:t>]</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3B21D2DA">
            <w:pPr>
              <w:numPr>
                <w:ilvl w:val="0"/>
                <w:numId w:val="6"/>
              </w:numPr>
              <w:snapToGrid w:val="0"/>
              <w:spacing w:line="360" w:lineRule="auto"/>
              <w:jc w:val="left"/>
              <w:rPr>
                <w:rFonts w:ascii="宋体" w:hAnsi="宋体" w:eastAsia="宋体" w:cs="Times New Roman"/>
                <w:color w:val="auto"/>
                <w:szCs w:val="21"/>
                <w:highlight w:val="none"/>
              </w:rPr>
            </w:pPr>
            <w:r>
              <w:rPr>
                <w:rFonts w:hint="eastAsia" w:ascii="宋体" w:hAnsi="宋体" w:eastAsia="宋体" w:cs="宋体"/>
                <w:color w:val="auto"/>
                <w:szCs w:val="21"/>
                <w:highlight w:val="none"/>
              </w:rPr>
              <w:t>投标人提供202</w:t>
            </w:r>
            <w:r>
              <w:rPr>
                <w:rFonts w:hint="eastAsia" w:ascii="宋体" w:hAnsi="宋体" w:eastAsia="宋体" w:cs="宋体"/>
                <w:color w:val="auto"/>
                <w:szCs w:val="21"/>
                <w:highlight w:val="none"/>
                <w:lang w:val="en-US" w:eastAsia="zh-CN"/>
              </w:rPr>
              <w:t>5</w:t>
            </w:r>
            <w:r>
              <w:rPr>
                <w:rFonts w:ascii="宋体" w:hAnsi="宋体" w:eastAsia="宋体" w:cs="宋体"/>
                <w:color w:val="auto"/>
                <w:szCs w:val="21"/>
                <w:highlight w:val="none"/>
              </w:rPr>
              <w:t>年经审计的财务报告或银行出具的资信证明，202</w:t>
            </w:r>
            <w:r>
              <w:rPr>
                <w:rFonts w:hint="eastAsia" w:ascii="宋体" w:hAnsi="宋体" w:eastAsia="宋体" w:cs="宋体"/>
                <w:color w:val="auto"/>
                <w:szCs w:val="21"/>
                <w:highlight w:val="none"/>
                <w:lang w:val="en-US" w:eastAsia="zh-CN"/>
              </w:rPr>
              <w:t>6</w:t>
            </w:r>
            <w:r>
              <w:rPr>
                <w:rFonts w:ascii="宋体" w:hAnsi="宋体" w:eastAsia="宋体" w:cs="宋体"/>
                <w:color w:val="auto"/>
                <w:szCs w:val="21"/>
                <w:highlight w:val="none"/>
              </w:rPr>
              <w:t>年1月1日以后成立的企业按实际情况提供月度财务报表。</w:t>
            </w:r>
            <w:r>
              <w:rPr>
                <w:rFonts w:hint="eastAsia" w:ascii="宋体" w:hAnsi="宋体" w:eastAsia="宋体" w:cs="宋体"/>
                <w:color w:val="auto"/>
                <w:szCs w:val="21"/>
                <w:highlight w:val="none"/>
              </w:rPr>
              <w:t>（</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14D72491">
            <w:pPr>
              <w:numPr>
                <w:ilvl w:val="0"/>
                <w:numId w:val="6"/>
              </w:numPr>
              <w:snapToGrid w:val="0"/>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投标人直接控股、管理关系信息表（格式后附）；（</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671D5CDC">
            <w:pPr>
              <w:numPr>
                <w:ilvl w:val="0"/>
                <w:numId w:val="6"/>
              </w:numPr>
              <w:snapToGrid w:val="0"/>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投标声明（格式后附）；（</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46FEDD61">
            <w:pPr>
              <w:numPr>
                <w:ilvl w:val="0"/>
                <w:numId w:val="6"/>
              </w:numPr>
              <w:snapToGrid w:val="0"/>
              <w:spacing w:line="36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除招标文件规定必须提供以外，投标人认为需要提供的其他证明材料。</w:t>
            </w:r>
          </w:p>
          <w:p w14:paraId="18F91AB3">
            <w:pPr>
              <w:snapToGrid w:val="0"/>
              <w:spacing w:line="360" w:lineRule="auto"/>
              <w:jc w:val="left"/>
              <w:rPr>
                <w:rFonts w:ascii="宋体" w:hAnsi="宋体" w:eastAsia="宋体" w:cs="Courier New"/>
                <w:b/>
                <w:color w:val="auto"/>
                <w:szCs w:val="21"/>
                <w:highlight w:val="none"/>
              </w:rPr>
            </w:pPr>
            <w:r>
              <w:rPr>
                <w:rFonts w:hint="eastAsia" w:ascii="宋体" w:hAnsi="宋体" w:eastAsia="宋体" w:cs="Times New Roman"/>
                <w:b/>
                <w:bCs/>
                <w:color w:val="auto"/>
                <w:szCs w:val="21"/>
                <w:highlight w:val="none"/>
              </w:rPr>
              <w:t>注：1.</w:t>
            </w:r>
            <w:r>
              <w:rPr>
                <w:rFonts w:hint="eastAsia" w:ascii="宋体" w:hAnsi="宋体" w:eastAsia="宋体" w:cs="Times New Roman"/>
                <w:color w:val="auto"/>
                <w:szCs w:val="21"/>
                <w:highlight w:val="none"/>
              </w:rPr>
              <w:t xml:space="preserve"> </w:t>
            </w:r>
            <w:r>
              <w:rPr>
                <w:rFonts w:hint="eastAsia" w:ascii="宋体" w:hAnsi="宋体" w:eastAsia="宋体" w:cs="Times New Roman"/>
                <w:b/>
                <w:bCs/>
                <w:color w:val="auto"/>
                <w:szCs w:val="21"/>
                <w:highlight w:val="none"/>
              </w:rPr>
              <w:t>以上标明“必须提供”的材料属于复印件的，必须加盖投标人公章，否则按无效投标</w:t>
            </w:r>
            <w:r>
              <w:rPr>
                <w:rFonts w:hint="eastAsia" w:ascii="宋体" w:hAnsi="宋体" w:eastAsia="宋体" w:cs="Courier New"/>
                <w:b/>
                <w:color w:val="auto"/>
                <w:szCs w:val="21"/>
                <w:highlight w:val="none"/>
              </w:rPr>
              <w:t>处理。</w:t>
            </w:r>
          </w:p>
          <w:p w14:paraId="2723AA39">
            <w:pPr>
              <w:snapToGrid w:val="0"/>
              <w:spacing w:line="360" w:lineRule="auto"/>
              <w:ind w:firstLine="422" w:firstLineChars="200"/>
              <w:jc w:val="left"/>
              <w:rPr>
                <w:rFonts w:ascii="宋体" w:hAnsi="宋体" w:eastAsia="宋体" w:cs="Times New Roman"/>
                <w:b/>
                <w:bCs/>
                <w:color w:val="auto"/>
                <w:szCs w:val="21"/>
                <w:highlight w:val="none"/>
              </w:rPr>
            </w:pPr>
            <w:r>
              <w:rPr>
                <w:rFonts w:hint="eastAsia" w:ascii="宋体" w:hAnsi="宋体" w:eastAsia="宋体" w:cs="Courier New"/>
                <w:b/>
                <w:color w:val="auto"/>
                <w:szCs w:val="21"/>
                <w:highlight w:val="none"/>
              </w:rPr>
              <w:t>2.</w:t>
            </w:r>
            <w:r>
              <w:rPr>
                <w:rFonts w:hint="eastAsia" w:ascii="宋体" w:hAnsi="宋体" w:eastAsia="宋体" w:cs="Times New Roman"/>
                <w:b/>
                <w:bCs/>
                <w:color w:val="auto"/>
                <w:szCs w:val="21"/>
                <w:highlight w:val="none"/>
              </w:rPr>
              <w:t>投标声明必须由法定代表人在规定签章处签字并加盖投标人公章，否则按无效投标处理。</w:t>
            </w:r>
          </w:p>
          <w:p w14:paraId="37741638">
            <w:pPr>
              <w:snapToGrid w:val="0"/>
              <w:spacing w:line="360" w:lineRule="auto"/>
              <w:ind w:firstLine="422" w:firstLineChars="200"/>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3.投标人直接控股、管理关系信息表必须由法定代表人或者委托代理人在规定签章处签字并加盖投标人公章，否则按无效投标</w:t>
            </w:r>
            <w:r>
              <w:rPr>
                <w:rFonts w:hint="eastAsia" w:ascii="宋体" w:hAnsi="宋体" w:eastAsia="宋体" w:cs="Courier New"/>
                <w:b/>
                <w:color w:val="auto"/>
                <w:szCs w:val="21"/>
                <w:highlight w:val="none"/>
              </w:rPr>
              <w:t>处理</w:t>
            </w:r>
            <w:r>
              <w:rPr>
                <w:rFonts w:hint="eastAsia" w:ascii="宋体" w:hAnsi="宋体" w:eastAsia="宋体" w:cs="Times New Roman"/>
                <w:b/>
                <w:bCs/>
                <w:color w:val="auto"/>
                <w:szCs w:val="21"/>
                <w:highlight w:val="none"/>
              </w:rPr>
              <w:t>。</w:t>
            </w:r>
          </w:p>
          <w:p w14:paraId="1EDECEDD">
            <w:pPr>
              <w:snapToGrid w:val="0"/>
              <w:spacing w:line="360" w:lineRule="auto"/>
              <w:ind w:firstLine="422" w:firstLineChars="200"/>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4.电子投标文件中所须加盖公章部分均采用CA签章。若招标文件中有专门标注的某关联点，并要求供应商在电子投标系统中作出投标响应的，如供应商未对关联点进行响应或者在投标文件其它内容进行描述，造成电子评审不能查询的责任由供应商自行承担。</w:t>
            </w:r>
          </w:p>
        </w:tc>
      </w:tr>
      <w:tr w14:paraId="265FB7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vMerge w:val="continue"/>
            <w:tcBorders>
              <w:left w:val="single" w:color="auto" w:sz="4" w:space="0"/>
              <w:right w:val="single" w:color="auto" w:sz="4" w:space="0"/>
            </w:tcBorders>
            <w:vAlign w:val="center"/>
          </w:tcPr>
          <w:p w14:paraId="6C0321FB">
            <w:pPr>
              <w:spacing w:line="360" w:lineRule="auto"/>
              <w:rPr>
                <w:rFonts w:ascii="宋体" w:hAnsi="宋体" w:eastAsia="宋体" w:cs="Times New Roman"/>
                <w:color w:val="auto"/>
                <w:szCs w:val="21"/>
                <w:highlight w:val="none"/>
              </w:rPr>
            </w:pPr>
            <w:bookmarkStart w:id="58" w:name="_13.3"/>
            <w:bookmarkEnd w:id="58"/>
          </w:p>
        </w:tc>
        <w:tc>
          <w:tcPr>
            <w:tcW w:w="4573" w:type="pct"/>
            <w:tcBorders>
              <w:top w:val="single" w:color="auto" w:sz="4" w:space="0"/>
              <w:left w:val="single" w:color="auto" w:sz="4" w:space="0"/>
              <w:bottom w:val="single" w:color="auto" w:sz="4" w:space="0"/>
              <w:right w:val="single" w:color="auto" w:sz="4" w:space="0"/>
            </w:tcBorders>
            <w:vAlign w:val="center"/>
          </w:tcPr>
          <w:p w14:paraId="5ECF99BB">
            <w:pPr>
              <w:snapToGrid w:val="0"/>
              <w:spacing w:line="360" w:lineRule="auto"/>
              <w:jc w:val="left"/>
              <w:rPr>
                <w:rFonts w:ascii="宋体" w:hAnsi="宋体" w:eastAsia="宋体" w:cs="Courier New"/>
                <w:b/>
                <w:color w:val="auto"/>
                <w:szCs w:val="21"/>
                <w:highlight w:val="none"/>
              </w:rPr>
            </w:pPr>
            <w:r>
              <w:rPr>
                <w:rFonts w:hint="eastAsia" w:ascii="宋体" w:hAnsi="宋体" w:eastAsia="宋体" w:cs="Courier New"/>
                <w:b/>
                <w:color w:val="auto"/>
                <w:szCs w:val="21"/>
                <w:highlight w:val="none"/>
              </w:rPr>
              <w:t>商务文件：</w:t>
            </w:r>
          </w:p>
          <w:p w14:paraId="6DCACEBF">
            <w:pPr>
              <w:snapToGrid w:val="0"/>
              <w:spacing w:line="360" w:lineRule="auto"/>
              <w:ind w:left="413"/>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1.无串通投标行为的承诺函（格式后附）；（</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66A26C84">
            <w:pPr>
              <w:snapToGrid w:val="0"/>
              <w:spacing w:line="360" w:lineRule="auto"/>
              <w:ind w:left="413"/>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2.法定代表人身份证明及法定代表人有效身份证正反面复印件（格式后附）；（</w:t>
            </w:r>
            <w:r>
              <w:rPr>
                <w:rFonts w:hint="eastAsia" w:ascii="宋体" w:hAnsi="宋体" w:eastAsia="宋体" w:cs="宋体"/>
                <w:b/>
                <w:bCs/>
                <w:color w:val="auto"/>
                <w:szCs w:val="21"/>
                <w:highlight w:val="none"/>
              </w:rPr>
              <w:t>除自然人投标外</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44C9920B">
            <w:pPr>
              <w:snapToGrid w:val="0"/>
              <w:spacing w:line="360" w:lineRule="auto"/>
              <w:ind w:left="413"/>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3.授权委托书及委托代理人有效身份证正反面复印件（格式后附）；（</w:t>
            </w:r>
            <w:r>
              <w:rPr>
                <w:rFonts w:hint="eastAsia" w:ascii="宋体" w:hAnsi="宋体" w:eastAsia="宋体" w:cs="Times New Roman"/>
                <w:b/>
                <w:color w:val="auto"/>
                <w:szCs w:val="21"/>
                <w:highlight w:val="none"/>
              </w:rPr>
              <w:t>委托时必须提供，否则按无效投标处理</w:t>
            </w:r>
            <w:r>
              <w:rPr>
                <w:rFonts w:hint="eastAsia" w:ascii="宋体" w:hAnsi="宋体" w:eastAsia="宋体" w:cs="Times New Roman"/>
                <w:color w:val="auto"/>
                <w:szCs w:val="21"/>
                <w:highlight w:val="none"/>
              </w:rPr>
              <w:t>）</w:t>
            </w:r>
          </w:p>
          <w:p w14:paraId="3CD077AF">
            <w:pPr>
              <w:snapToGrid w:val="0"/>
              <w:spacing w:line="360" w:lineRule="auto"/>
              <w:ind w:left="413"/>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商务条款偏离表（格式后附）；（</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57B4D10D">
            <w:pPr>
              <w:snapToGrid w:val="0"/>
              <w:spacing w:line="360" w:lineRule="auto"/>
              <w:ind w:left="413"/>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5.售后服务承诺（格式自拟）；（</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4C31A3A5">
            <w:pPr>
              <w:snapToGrid w:val="0"/>
              <w:spacing w:line="360" w:lineRule="auto"/>
              <w:ind w:left="413"/>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6.投标人情况介绍（格式自拟）；</w:t>
            </w:r>
          </w:p>
          <w:p w14:paraId="6AC9807C">
            <w:pPr>
              <w:snapToGrid w:val="0"/>
              <w:spacing w:line="360" w:lineRule="auto"/>
              <w:ind w:left="413"/>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7.中小企业声明函（格式后附）；（</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4DEBD160">
            <w:pPr>
              <w:snapToGrid w:val="0"/>
              <w:spacing w:line="360" w:lineRule="auto"/>
              <w:ind w:left="413"/>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8.除招标文件规定必须提供以外，投标人认为需要提供的其他证明材料（格式自拟）。（投标人根据“第二章 采购需求”及“第四章 评标方法及评标标准”提供有关证明材料）。</w:t>
            </w:r>
          </w:p>
          <w:p w14:paraId="46A84711">
            <w:pPr>
              <w:snapToGrid w:val="0"/>
              <w:spacing w:line="360" w:lineRule="auto"/>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注： 1.授权委托书必须由法定代表人及委托代理人签字，并加盖投标人公章，否则按无效投标处理。</w:t>
            </w:r>
          </w:p>
          <w:p w14:paraId="7EB6723F">
            <w:pPr>
              <w:snapToGrid w:val="0"/>
              <w:spacing w:line="360" w:lineRule="auto"/>
              <w:ind w:firstLine="422" w:firstLineChars="200"/>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w:t>
            </w:r>
            <w:r>
              <w:rPr>
                <w:rFonts w:hint="eastAsia" w:ascii="宋体" w:hAnsi="宋体" w:eastAsia="宋体" w:cs="Times New Roman"/>
                <w:color w:val="auto"/>
                <w:szCs w:val="21"/>
                <w:highlight w:val="none"/>
              </w:rPr>
              <w:t xml:space="preserve"> </w:t>
            </w:r>
            <w:r>
              <w:rPr>
                <w:rFonts w:hint="eastAsia" w:ascii="宋体" w:hAnsi="宋体" w:eastAsia="宋体" w:cs="Times New Roman"/>
                <w:b/>
                <w:bCs/>
                <w:color w:val="auto"/>
                <w:szCs w:val="21"/>
                <w:highlight w:val="none"/>
              </w:rPr>
              <w:t>以上标明“必须提供”的材料属于复印件的，必须加盖投标人公章，否则按无效投标</w:t>
            </w:r>
            <w:r>
              <w:rPr>
                <w:rFonts w:hint="eastAsia" w:ascii="宋体" w:hAnsi="宋体" w:eastAsia="宋体" w:cs="Courier New"/>
                <w:b/>
                <w:color w:val="auto"/>
                <w:szCs w:val="21"/>
                <w:highlight w:val="none"/>
              </w:rPr>
              <w:t>处理</w:t>
            </w:r>
            <w:r>
              <w:rPr>
                <w:rFonts w:hint="eastAsia" w:ascii="宋体" w:hAnsi="宋体" w:eastAsia="宋体" w:cs="Times New Roman"/>
                <w:b/>
                <w:bCs/>
                <w:color w:val="auto"/>
                <w:szCs w:val="21"/>
                <w:highlight w:val="none"/>
              </w:rPr>
              <w:t>。</w:t>
            </w:r>
          </w:p>
          <w:p w14:paraId="782FE0E7">
            <w:pPr>
              <w:snapToGrid w:val="0"/>
              <w:spacing w:line="360" w:lineRule="auto"/>
              <w:ind w:firstLine="422" w:firstLineChars="200"/>
              <w:jc w:val="left"/>
              <w:rPr>
                <w:rFonts w:ascii="宋体" w:hAnsi="宋体" w:eastAsia="宋体" w:cs="Courier New"/>
                <w:b/>
                <w:color w:val="auto"/>
                <w:szCs w:val="21"/>
                <w:highlight w:val="none"/>
              </w:rPr>
            </w:pPr>
            <w:r>
              <w:rPr>
                <w:rFonts w:hint="eastAsia" w:ascii="宋体" w:hAnsi="宋体" w:eastAsia="宋体" w:cs="Times New Roman"/>
                <w:b/>
                <w:bCs/>
                <w:color w:val="auto"/>
                <w:szCs w:val="21"/>
                <w:highlight w:val="none"/>
              </w:rPr>
              <w:t>3.电子投标文件中所须加盖公章部分均采用CA签章。若招标文件中有专门标注的某关联点，并要求供应商在电子投标系统中作出投标响应的，如供应商未对关联点进行响应或者在投标文件其它内容进行描述，造成电子评审不能查询的责任由供应商自行承担。</w:t>
            </w:r>
          </w:p>
        </w:tc>
      </w:tr>
      <w:tr w14:paraId="3D3174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vMerge w:val="continue"/>
            <w:tcBorders>
              <w:left w:val="single" w:color="auto" w:sz="4" w:space="0"/>
              <w:bottom w:val="single" w:color="auto" w:sz="4" w:space="0"/>
              <w:right w:val="single" w:color="auto" w:sz="4" w:space="0"/>
            </w:tcBorders>
            <w:vAlign w:val="center"/>
          </w:tcPr>
          <w:p w14:paraId="2FC66619">
            <w:pPr>
              <w:spacing w:line="360" w:lineRule="auto"/>
              <w:rPr>
                <w:rFonts w:ascii="宋体" w:hAnsi="宋体" w:eastAsia="宋体" w:cs="Times New Roman"/>
                <w:color w:val="auto"/>
                <w:szCs w:val="21"/>
                <w:highlight w:val="none"/>
              </w:rPr>
            </w:pPr>
            <w:bookmarkStart w:id="59" w:name="_13.4"/>
            <w:bookmarkEnd w:id="59"/>
          </w:p>
        </w:tc>
        <w:tc>
          <w:tcPr>
            <w:tcW w:w="4573" w:type="pct"/>
            <w:tcBorders>
              <w:top w:val="single" w:color="auto" w:sz="4" w:space="0"/>
              <w:left w:val="single" w:color="auto" w:sz="4" w:space="0"/>
              <w:bottom w:val="single" w:color="auto" w:sz="4" w:space="0"/>
              <w:right w:val="single" w:color="auto" w:sz="4" w:space="0"/>
            </w:tcBorders>
            <w:vAlign w:val="center"/>
          </w:tcPr>
          <w:p w14:paraId="3663D890">
            <w:pPr>
              <w:snapToGrid w:val="0"/>
              <w:spacing w:line="360" w:lineRule="auto"/>
              <w:jc w:val="left"/>
              <w:rPr>
                <w:rFonts w:ascii="宋体" w:hAnsi="宋体" w:eastAsia="宋体" w:cs="Courier New"/>
                <w:b/>
                <w:color w:val="auto"/>
                <w:szCs w:val="21"/>
                <w:highlight w:val="none"/>
              </w:rPr>
            </w:pPr>
            <w:r>
              <w:rPr>
                <w:rFonts w:hint="eastAsia" w:ascii="宋体" w:hAnsi="宋体" w:eastAsia="宋体" w:cs="Courier New"/>
                <w:b/>
                <w:color w:val="auto"/>
                <w:szCs w:val="21"/>
                <w:highlight w:val="none"/>
              </w:rPr>
              <w:t>技术文件：</w:t>
            </w:r>
          </w:p>
          <w:p w14:paraId="58F318C8">
            <w:pPr>
              <w:snapToGrid w:val="0"/>
              <w:spacing w:line="360" w:lineRule="auto"/>
              <w:ind w:left="420"/>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1</w:t>
            </w:r>
            <w:r>
              <w:rPr>
                <w:rFonts w:hint="eastAsia" w:ascii="宋体" w:hAnsi="宋体" w:eastAsia="宋体" w:cs="Times New Roman"/>
                <w:color w:val="auto"/>
                <w:szCs w:val="21"/>
                <w:highlight w:val="none"/>
              </w:rPr>
              <w:t>. 售后服务方案；（</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1DD5938A">
            <w:pPr>
              <w:snapToGrid w:val="0"/>
              <w:spacing w:line="360" w:lineRule="auto"/>
              <w:ind w:left="420"/>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rPr>
              <w:t>. 技术响应表；（</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631180A0">
            <w:pPr>
              <w:snapToGrid w:val="0"/>
              <w:spacing w:line="360" w:lineRule="auto"/>
              <w:ind w:left="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 设备配置清单（均不含报价）；（</w:t>
            </w:r>
            <w:r>
              <w:rPr>
                <w:rFonts w:hint="eastAsia" w:ascii="宋体" w:hAnsi="宋体" w:eastAsia="宋体" w:cs="Times New Roman"/>
                <w:b/>
                <w:color w:val="auto"/>
                <w:szCs w:val="21"/>
                <w:highlight w:val="none"/>
              </w:rPr>
              <w:t>必须提供，否则按无效投标处理</w:t>
            </w:r>
            <w:r>
              <w:rPr>
                <w:rFonts w:hint="eastAsia" w:ascii="宋体" w:hAnsi="宋体" w:eastAsia="宋体" w:cs="Times New Roman"/>
                <w:color w:val="auto"/>
                <w:szCs w:val="21"/>
                <w:highlight w:val="none"/>
              </w:rPr>
              <w:t>）</w:t>
            </w:r>
          </w:p>
          <w:p w14:paraId="7064269D">
            <w:pPr>
              <w:snapToGrid w:val="0"/>
              <w:spacing w:line="360" w:lineRule="auto"/>
              <w:ind w:left="420"/>
              <w:jc w:val="left"/>
              <w:rPr>
                <w:rFonts w:ascii="宋体" w:hAnsi="宋体" w:eastAsia="宋体" w:cs="Times New Roman"/>
                <w:bCs/>
                <w:color w:val="auto"/>
                <w:szCs w:val="21"/>
                <w:highlight w:val="none"/>
              </w:rPr>
            </w:pPr>
            <w:r>
              <w:rPr>
                <w:rFonts w:ascii="宋体" w:hAnsi="宋体" w:eastAsia="宋体" w:cs="Times New Roman"/>
                <w:color w:val="auto"/>
                <w:szCs w:val="21"/>
                <w:highlight w:val="none"/>
              </w:rPr>
              <w:t>4</w:t>
            </w:r>
            <w:r>
              <w:rPr>
                <w:rFonts w:hint="eastAsia" w:ascii="宋体" w:hAnsi="宋体" w:eastAsia="宋体" w:cs="Times New Roman"/>
                <w:color w:val="auto"/>
                <w:szCs w:val="21"/>
                <w:highlight w:val="none"/>
              </w:rPr>
              <w:t>.除招标文件规定必须提供以外，投标人需要说明的其他文件和说明（格式自拟）。</w:t>
            </w:r>
          </w:p>
          <w:p w14:paraId="3BF8A032">
            <w:pPr>
              <w:snapToGrid w:val="0"/>
              <w:spacing w:line="360" w:lineRule="auto"/>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注：1.以上标明“必须提供”的材料属于复印件的，必须加盖投标人公章，否则按无效投标</w:t>
            </w:r>
            <w:r>
              <w:rPr>
                <w:rFonts w:hint="eastAsia" w:ascii="宋体" w:hAnsi="宋体" w:eastAsia="宋体" w:cs="Courier New"/>
                <w:b/>
                <w:color w:val="auto"/>
                <w:szCs w:val="21"/>
                <w:highlight w:val="none"/>
              </w:rPr>
              <w:t>处理</w:t>
            </w:r>
            <w:r>
              <w:rPr>
                <w:rFonts w:hint="eastAsia" w:ascii="宋体" w:hAnsi="宋体" w:eastAsia="宋体" w:cs="Times New Roman"/>
                <w:b/>
                <w:bCs/>
                <w:color w:val="auto"/>
                <w:szCs w:val="21"/>
                <w:highlight w:val="none"/>
              </w:rPr>
              <w:t>。</w:t>
            </w:r>
          </w:p>
          <w:p w14:paraId="55A8DEF4">
            <w:pPr>
              <w:snapToGrid w:val="0"/>
              <w:spacing w:line="360" w:lineRule="auto"/>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 xml:space="preserve">    2.电子投标文件中所须加盖公章部分均采用CA签章。若招标文件中有专门标注的某关联点，并要求供应商在电子投标系统中作出投标响应的，如供应商未对关联点进行响应或者在投标文件其它内容进行描述，造成电子评审不能查询的责任由供应商自行承担。</w:t>
            </w:r>
          </w:p>
        </w:tc>
      </w:tr>
      <w:tr w14:paraId="5E355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505EB1FE">
            <w:pPr>
              <w:spacing w:line="360" w:lineRule="auto"/>
              <w:rPr>
                <w:rFonts w:ascii="宋体" w:hAnsi="宋体" w:eastAsia="宋体" w:cs="Times New Roman"/>
                <w:color w:val="auto"/>
                <w:szCs w:val="21"/>
                <w:highlight w:val="none"/>
              </w:rPr>
            </w:pPr>
            <w:bookmarkStart w:id="60" w:name="_13.5"/>
            <w:bookmarkEnd w:id="60"/>
            <w:bookmarkStart w:id="61" w:name="_16.2"/>
            <w:bookmarkEnd w:id="61"/>
            <w:r>
              <w:rPr>
                <w:rFonts w:ascii="宋体" w:hAnsi="宋体" w:eastAsia="宋体" w:cs="Times New Roman"/>
                <w:color w:val="auto"/>
                <w:szCs w:val="21"/>
                <w:highlight w:val="none"/>
              </w:rPr>
              <w:t>9</w:t>
            </w:r>
          </w:p>
        </w:tc>
        <w:tc>
          <w:tcPr>
            <w:tcW w:w="4573" w:type="pct"/>
            <w:tcBorders>
              <w:top w:val="single" w:color="auto" w:sz="4" w:space="0"/>
              <w:left w:val="single" w:color="auto" w:sz="4" w:space="0"/>
              <w:bottom w:val="single" w:color="auto" w:sz="4" w:space="0"/>
              <w:right w:val="single" w:color="auto" w:sz="4" w:space="0"/>
            </w:tcBorders>
            <w:vAlign w:val="center"/>
          </w:tcPr>
          <w:p w14:paraId="79680130">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投标报价是履行合同的最终价格，</w:t>
            </w:r>
            <w:r>
              <w:rPr>
                <w:rFonts w:hint="eastAsia" w:ascii="宋体" w:hAnsi="宋体" w:eastAsia="宋体" w:cs="宋体"/>
                <w:color w:val="auto"/>
                <w:szCs w:val="21"/>
                <w:highlight w:val="none"/>
              </w:rPr>
              <w:t>供应商必须就第二章采购需求中</w:t>
            </w:r>
            <w:r>
              <w:rPr>
                <w:rFonts w:hint="eastAsia" w:ascii="宋体" w:hAnsi="宋体" w:eastAsia="宋体" w:cs="Times New Roman"/>
                <w:color w:val="auto"/>
                <w:szCs w:val="24"/>
                <w:highlight w:val="none"/>
              </w:rPr>
              <w:t>所有货物和服务内容分别作完整唯一报价。</w:t>
            </w:r>
          </w:p>
        </w:tc>
      </w:tr>
      <w:tr w14:paraId="46582C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7061400B">
            <w:pPr>
              <w:spacing w:line="360" w:lineRule="auto"/>
              <w:rPr>
                <w:rFonts w:ascii="宋体" w:hAnsi="宋体" w:eastAsia="宋体" w:cs="Times New Roman"/>
                <w:color w:val="auto"/>
                <w:szCs w:val="21"/>
                <w:highlight w:val="none"/>
              </w:rPr>
            </w:pPr>
            <w:bookmarkStart w:id="62" w:name="_17.1"/>
            <w:bookmarkEnd w:id="62"/>
            <w:r>
              <w:rPr>
                <w:rFonts w:ascii="宋体" w:hAnsi="宋体" w:eastAsia="宋体" w:cs="Times New Roman"/>
                <w:color w:val="auto"/>
                <w:szCs w:val="21"/>
                <w:highlight w:val="none"/>
              </w:rPr>
              <w:t>10</w:t>
            </w:r>
          </w:p>
        </w:tc>
        <w:tc>
          <w:tcPr>
            <w:tcW w:w="4573" w:type="pct"/>
            <w:tcBorders>
              <w:top w:val="single" w:color="auto" w:sz="4" w:space="0"/>
              <w:left w:val="single" w:color="auto" w:sz="4" w:space="0"/>
              <w:bottom w:val="single" w:color="auto" w:sz="4" w:space="0"/>
              <w:right w:val="single" w:color="auto" w:sz="4" w:space="0"/>
            </w:tcBorders>
            <w:vAlign w:val="center"/>
          </w:tcPr>
          <w:p w14:paraId="6A86A652">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投标有效期：自投标截止之日起</w:t>
            </w:r>
            <w:r>
              <w:rPr>
                <w:rFonts w:hint="eastAsia" w:ascii="宋体" w:hAnsi="宋体" w:eastAsia="宋体" w:cs="Times New Roman"/>
                <w:color w:val="auto"/>
                <w:szCs w:val="21"/>
                <w:highlight w:val="none"/>
                <w:u w:val="single"/>
              </w:rPr>
              <w:t>60</w:t>
            </w:r>
            <w:r>
              <w:rPr>
                <w:rFonts w:hint="eastAsia" w:ascii="宋体" w:hAnsi="宋体" w:eastAsia="宋体" w:cs="Times New Roman"/>
                <w:color w:val="auto"/>
                <w:szCs w:val="21"/>
                <w:highlight w:val="none"/>
              </w:rPr>
              <w:t>日。</w:t>
            </w:r>
          </w:p>
        </w:tc>
      </w:tr>
      <w:tr w14:paraId="102F6A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7055D36F">
            <w:pPr>
              <w:spacing w:line="360" w:lineRule="auto"/>
              <w:rPr>
                <w:rFonts w:ascii="宋体" w:hAnsi="宋体" w:eastAsia="宋体" w:cs="Times New Roman"/>
                <w:color w:val="auto"/>
                <w:szCs w:val="21"/>
                <w:highlight w:val="none"/>
              </w:rPr>
            </w:pPr>
            <w:bookmarkStart w:id="63" w:name="_18"/>
            <w:bookmarkEnd w:id="63"/>
            <w:r>
              <w:rPr>
                <w:rFonts w:ascii="宋体" w:hAnsi="宋体" w:eastAsia="宋体" w:cs="Times New Roman"/>
                <w:color w:val="auto"/>
                <w:szCs w:val="21"/>
                <w:highlight w:val="none"/>
              </w:rPr>
              <w:t>11</w:t>
            </w:r>
          </w:p>
        </w:tc>
        <w:tc>
          <w:tcPr>
            <w:tcW w:w="4573" w:type="pct"/>
            <w:tcBorders>
              <w:top w:val="single" w:color="auto" w:sz="4" w:space="0"/>
              <w:left w:val="single" w:color="auto" w:sz="4" w:space="0"/>
              <w:bottom w:val="single" w:color="auto" w:sz="4" w:space="0"/>
              <w:right w:val="single" w:color="auto" w:sz="4" w:space="0"/>
            </w:tcBorders>
            <w:vAlign w:val="center"/>
          </w:tcPr>
          <w:p w14:paraId="1C17F18D">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本项目不收取投标保证金。</w:t>
            </w:r>
          </w:p>
          <w:p w14:paraId="31B29E35">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FE"/>
            </w:r>
            <w:r>
              <w:rPr>
                <w:rFonts w:hint="eastAsia" w:ascii="宋体" w:hAnsi="宋体" w:eastAsia="宋体" w:cs="Times New Roman"/>
                <w:color w:val="auto"/>
                <w:szCs w:val="21"/>
                <w:highlight w:val="none"/>
              </w:rPr>
              <w:t>本项目收取投标保证金，详见招标公告要求</w:t>
            </w:r>
          </w:p>
          <w:p w14:paraId="3CE2DA74">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 xml:space="preserve">备注： </w:t>
            </w:r>
          </w:p>
          <w:p w14:paraId="3F1A651C">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1. 投标保证金在投标截止时间后提交的，或者不按规定交纳方式交纳的，或者未足额交纳的（包含保函额度不足的），视为无效投标保证金。</w:t>
            </w:r>
          </w:p>
          <w:p w14:paraId="7D9241A5">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2.投标人采用现钞方式或者从个人账户（自然人投标除外）转出的投标保证金，视为无效投标保证金。</w:t>
            </w:r>
          </w:p>
          <w:p w14:paraId="6B0FE771">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3.支票、汇票或者本票出现无效或者背书情形的，视为无效投标保证金。</w:t>
            </w:r>
          </w:p>
          <w:p w14:paraId="43637B35">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4.保函有效期低于投标有效期的，视为无效投标保证金。</w:t>
            </w:r>
          </w:p>
          <w:p w14:paraId="2D447ED0">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5.采用银行、保险机构出具保函的，必须为无条件保函，否则视为无效投标保证金。</w:t>
            </w:r>
          </w:p>
          <w:p w14:paraId="078767D1">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投标保证金指定账户：</w:t>
            </w:r>
          </w:p>
          <w:p w14:paraId="5763DF76">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开户名称：</w:t>
            </w:r>
          </w:p>
          <w:p w14:paraId="769C8947">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开户银行：</w:t>
            </w:r>
          </w:p>
          <w:p w14:paraId="79BFB83B">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银行账号：</w:t>
            </w:r>
          </w:p>
        </w:tc>
      </w:tr>
      <w:tr w14:paraId="75F8D6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37FBACCB">
            <w:pPr>
              <w:spacing w:line="360" w:lineRule="auto"/>
              <w:jc w:val="center"/>
              <w:rPr>
                <w:rFonts w:ascii="宋体" w:hAnsi="宋体" w:eastAsia="宋体" w:cs="Times New Roman"/>
                <w:color w:val="auto"/>
                <w:szCs w:val="21"/>
                <w:highlight w:val="none"/>
              </w:rPr>
            </w:pPr>
            <w:bookmarkStart w:id="64" w:name="_19.2"/>
            <w:bookmarkEnd w:id="64"/>
            <w:r>
              <w:rPr>
                <w:rFonts w:ascii="宋体" w:hAnsi="宋体" w:eastAsia="宋体" w:cs="Times New Roman"/>
                <w:color w:val="auto"/>
                <w:szCs w:val="21"/>
                <w:highlight w:val="none"/>
              </w:rPr>
              <w:t>12</w:t>
            </w:r>
          </w:p>
        </w:tc>
        <w:tc>
          <w:tcPr>
            <w:tcW w:w="4573" w:type="pct"/>
            <w:tcBorders>
              <w:top w:val="single" w:color="auto" w:sz="4" w:space="0"/>
              <w:left w:val="single" w:color="auto" w:sz="4" w:space="0"/>
              <w:bottom w:val="single" w:color="auto" w:sz="4" w:space="0"/>
              <w:right w:val="single" w:color="auto" w:sz="4" w:space="0"/>
            </w:tcBorders>
            <w:vAlign w:val="center"/>
          </w:tcPr>
          <w:p w14:paraId="2B8FA190">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投标文件编制按报价文件、资格证明文件、商务文件、技术文件分别编制。</w:t>
            </w:r>
          </w:p>
        </w:tc>
      </w:tr>
      <w:tr w14:paraId="5B4DED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426" w:type="pct"/>
            <w:tcBorders>
              <w:top w:val="single" w:color="auto" w:sz="4" w:space="0"/>
              <w:left w:val="single" w:color="auto" w:sz="4" w:space="0"/>
              <w:bottom w:val="single" w:color="auto" w:sz="4" w:space="0"/>
              <w:right w:val="single" w:color="auto" w:sz="4" w:space="0"/>
            </w:tcBorders>
            <w:vAlign w:val="center"/>
          </w:tcPr>
          <w:p w14:paraId="7592BFE3">
            <w:pPr>
              <w:spacing w:line="360" w:lineRule="auto"/>
              <w:jc w:val="center"/>
              <w:rPr>
                <w:rFonts w:ascii="宋体" w:hAnsi="宋体" w:eastAsia="宋体" w:cs="Times New Roman"/>
                <w:color w:val="auto"/>
                <w:szCs w:val="21"/>
                <w:highlight w:val="none"/>
              </w:rPr>
            </w:pPr>
            <w:bookmarkStart w:id="65" w:name="_21.1"/>
            <w:bookmarkEnd w:id="65"/>
            <w:r>
              <w:rPr>
                <w:rFonts w:ascii="宋体" w:hAnsi="宋体" w:eastAsia="宋体" w:cs="Times New Roman"/>
                <w:color w:val="auto"/>
                <w:szCs w:val="21"/>
                <w:highlight w:val="none"/>
              </w:rPr>
              <w:t>13</w:t>
            </w:r>
          </w:p>
        </w:tc>
        <w:tc>
          <w:tcPr>
            <w:tcW w:w="4573" w:type="pct"/>
            <w:tcBorders>
              <w:top w:val="single" w:color="auto" w:sz="4" w:space="0"/>
              <w:left w:val="single" w:color="auto" w:sz="4" w:space="0"/>
              <w:bottom w:val="single" w:color="auto" w:sz="4" w:space="0"/>
              <w:right w:val="single" w:color="auto" w:sz="4" w:space="0"/>
            </w:tcBorders>
            <w:vAlign w:val="center"/>
          </w:tcPr>
          <w:p w14:paraId="76EE6887">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1.提交投标文件截止时间：详见招标公告</w:t>
            </w:r>
          </w:p>
          <w:p w14:paraId="6CB7DA31">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2.投标地点：广西政府采购云平台（网址：http://www.gcy.zfcg.gxzf.gov.cn）在线投标</w:t>
            </w:r>
          </w:p>
        </w:tc>
      </w:tr>
      <w:tr w14:paraId="4B29EF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06C0FA21">
            <w:pPr>
              <w:spacing w:line="360" w:lineRule="auto"/>
              <w:jc w:val="center"/>
              <w:rPr>
                <w:rFonts w:ascii="宋体" w:hAnsi="宋体" w:eastAsia="宋体" w:cs="Times New Roman"/>
                <w:color w:val="auto"/>
                <w:szCs w:val="21"/>
                <w:highlight w:val="none"/>
              </w:rPr>
            </w:pPr>
            <w:bookmarkStart w:id="66" w:name="_23"/>
            <w:bookmarkEnd w:id="66"/>
            <w:r>
              <w:rPr>
                <w:rFonts w:ascii="宋体" w:hAnsi="宋体" w:eastAsia="宋体" w:cs="Times New Roman"/>
                <w:color w:val="auto"/>
                <w:szCs w:val="21"/>
                <w:highlight w:val="none"/>
              </w:rPr>
              <w:t>14</w:t>
            </w:r>
          </w:p>
        </w:tc>
        <w:tc>
          <w:tcPr>
            <w:tcW w:w="4573" w:type="pct"/>
            <w:tcBorders>
              <w:top w:val="single" w:color="auto" w:sz="4" w:space="0"/>
              <w:left w:val="single" w:color="auto" w:sz="4" w:space="0"/>
              <w:bottom w:val="single" w:color="auto" w:sz="4" w:space="0"/>
              <w:right w:val="single" w:color="auto" w:sz="4" w:space="0"/>
            </w:tcBorders>
            <w:vAlign w:val="center"/>
          </w:tcPr>
          <w:p w14:paraId="69B2D9F6">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1.开标时间：同投标文件递交截止时间</w:t>
            </w:r>
          </w:p>
          <w:p w14:paraId="54E92BA0">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2.开标地点： 通过广西政府采购云平台实行在线截标</w:t>
            </w:r>
          </w:p>
          <w:p w14:paraId="255101EB">
            <w:pPr>
              <w:snapToGrid w:val="0"/>
              <w:spacing w:line="360" w:lineRule="auto"/>
              <w:rPr>
                <w:color w:val="auto"/>
                <w:highlight w:val="none"/>
                <w:lang w:val="en-US"/>
              </w:rPr>
            </w:pPr>
            <w:r>
              <w:rPr>
                <w:rFonts w:hint="eastAsia" w:ascii="宋体" w:hAnsi="宋体" w:eastAsia="宋体" w:cs="Times New Roman"/>
                <w:b/>
                <w:color w:val="auto"/>
                <w:sz w:val="22"/>
                <w:szCs w:val="21"/>
                <w:highlight w:val="none"/>
              </w:rPr>
              <w:t>3.电子投标文件解密时间：</w:t>
            </w:r>
            <w:r>
              <w:rPr>
                <w:rFonts w:hint="eastAsia" w:ascii="宋体" w:hAnsi="宋体" w:eastAsia="宋体" w:cs="Times New Roman"/>
                <w:color w:val="auto"/>
                <w:sz w:val="22"/>
                <w:szCs w:val="21"/>
                <w:highlight w:val="none"/>
              </w:rPr>
              <w:t>截标时间后30分钟内，供应商必须在此时间段内登录</w:t>
            </w:r>
            <w:r>
              <w:rPr>
                <w:rFonts w:hint="eastAsia" w:ascii="宋体" w:hAnsi="宋体" w:eastAsia="宋体" w:cs="Times New Roman"/>
                <w:color w:val="auto"/>
                <w:szCs w:val="21"/>
                <w:highlight w:val="none"/>
              </w:rPr>
              <w:t>广西政府采购云平台</w:t>
            </w:r>
            <w:r>
              <w:rPr>
                <w:rFonts w:hint="eastAsia" w:ascii="宋体" w:hAnsi="宋体" w:eastAsia="宋体" w:cs="Times New Roman"/>
                <w:color w:val="auto"/>
                <w:sz w:val="22"/>
                <w:szCs w:val="21"/>
                <w:highlight w:val="none"/>
              </w:rPr>
              <w:t>，用“项目采购-开标评标”功能完成电子投标文件的解密。若投标供应商在规定时间内未按时解密的，视为投标文件撤回。</w:t>
            </w:r>
          </w:p>
        </w:tc>
      </w:tr>
      <w:tr w14:paraId="12B643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4CD3A725">
            <w:pPr>
              <w:spacing w:line="360" w:lineRule="auto"/>
              <w:jc w:val="center"/>
              <w:rPr>
                <w:rFonts w:ascii="宋体" w:hAnsi="宋体" w:eastAsia="宋体" w:cs="Times New Roman"/>
                <w:color w:val="auto"/>
                <w:szCs w:val="21"/>
                <w:highlight w:val="none"/>
              </w:rPr>
            </w:pPr>
            <w:bookmarkStart w:id="67" w:name="_25.3"/>
            <w:bookmarkEnd w:id="67"/>
            <w:r>
              <w:rPr>
                <w:rFonts w:ascii="宋体" w:hAnsi="宋体" w:eastAsia="宋体" w:cs="Times New Roman"/>
                <w:color w:val="auto"/>
                <w:szCs w:val="21"/>
                <w:highlight w:val="none"/>
              </w:rPr>
              <w:t>15</w:t>
            </w:r>
          </w:p>
        </w:tc>
        <w:tc>
          <w:tcPr>
            <w:tcW w:w="4573" w:type="pct"/>
            <w:tcBorders>
              <w:top w:val="single" w:color="auto" w:sz="4" w:space="0"/>
              <w:left w:val="single" w:color="auto" w:sz="4" w:space="0"/>
              <w:bottom w:val="single" w:color="auto" w:sz="4" w:space="0"/>
              <w:right w:val="single" w:color="auto" w:sz="4" w:space="0"/>
            </w:tcBorders>
            <w:vAlign w:val="center"/>
          </w:tcPr>
          <w:p w14:paraId="67A49F27">
            <w:pPr>
              <w:snapToGrid w:val="0"/>
              <w:spacing w:line="360" w:lineRule="auto"/>
              <w:rPr>
                <w:rFonts w:ascii="宋体" w:hAnsi="宋体" w:eastAsia="宋体" w:cs="Times New Roman"/>
                <w:color w:val="auto"/>
                <w:szCs w:val="21"/>
                <w:highlight w:val="none"/>
              </w:rPr>
            </w:pPr>
            <w:r>
              <w:rPr>
                <w:rFonts w:hint="eastAsia" w:ascii="Times New Roman" w:hAnsi="Times New Roman" w:eastAsia="宋体" w:cs="Times New Roman"/>
                <w:color w:val="auto"/>
                <w:szCs w:val="24"/>
                <w:highlight w:val="none"/>
              </w:rPr>
              <w:t>采购人或者采购代理机构在资格审查结束前，对投标人进行信用查询。</w:t>
            </w:r>
          </w:p>
          <w:p w14:paraId="1BC8FCD0">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查询渠道：“信用中国”网站(www.creditchina.gov.cn) 、中国政府采购网(www.ccgp.gov.cn)。</w:t>
            </w:r>
          </w:p>
          <w:p w14:paraId="0E148E5E">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招标人或者采购代理机构</w:t>
            </w:r>
            <w:r>
              <w:rPr>
                <w:rFonts w:hint="eastAsia" w:ascii="Times New Roman" w:hAnsi="Times New Roman" w:eastAsia="宋体" w:cs="Times New Roman"/>
                <w:color w:val="auto"/>
                <w:sz w:val="22"/>
                <w:highlight w:val="none"/>
              </w:rPr>
              <w:t>应当拒绝其参与政府采购活动</w:t>
            </w:r>
            <w:r>
              <w:rPr>
                <w:rFonts w:hint="eastAsia" w:ascii="宋体" w:hAnsi="宋体" w:eastAsia="宋体" w:cs="Times New Roman"/>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6BF3AF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1187123C">
            <w:pPr>
              <w:spacing w:line="360" w:lineRule="auto"/>
              <w:jc w:val="center"/>
              <w:rPr>
                <w:rFonts w:ascii="宋体" w:hAnsi="宋体" w:eastAsia="宋体" w:cs="Times New Roman"/>
                <w:color w:val="auto"/>
                <w:szCs w:val="21"/>
                <w:highlight w:val="none"/>
              </w:rPr>
            </w:pPr>
            <w:bookmarkStart w:id="68" w:name="_26"/>
            <w:bookmarkEnd w:id="68"/>
            <w:r>
              <w:rPr>
                <w:rFonts w:ascii="宋体" w:hAnsi="宋体" w:eastAsia="宋体" w:cs="Times New Roman"/>
                <w:color w:val="auto"/>
                <w:szCs w:val="21"/>
                <w:highlight w:val="none"/>
              </w:rPr>
              <w:t>16</w:t>
            </w:r>
          </w:p>
        </w:tc>
        <w:tc>
          <w:tcPr>
            <w:tcW w:w="4573" w:type="pct"/>
            <w:tcBorders>
              <w:top w:val="single" w:color="auto" w:sz="4" w:space="0"/>
              <w:left w:val="single" w:color="auto" w:sz="4" w:space="0"/>
              <w:bottom w:val="single" w:color="auto" w:sz="4" w:space="0"/>
              <w:right w:val="single" w:color="auto" w:sz="4" w:space="0"/>
            </w:tcBorders>
            <w:vAlign w:val="center"/>
          </w:tcPr>
          <w:p w14:paraId="22837B36">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评标委员会的人数：</w:t>
            </w:r>
            <w:r>
              <w:rPr>
                <w:rFonts w:ascii="宋体" w:hAnsi="宋体" w:eastAsia="宋体" w:cs="Times New Roman"/>
                <w:color w:val="auto"/>
                <w:szCs w:val="21"/>
                <w:highlight w:val="none"/>
                <w:u w:val="single"/>
              </w:rPr>
              <w:t>5</w:t>
            </w:r>
            <w:r>
              <w:rPr>
                <w:rFonts w:hint="eastAsia" w:ascii="宋体" w:hAnsi="宋体" w:eastAsia="宋体" w:cs="Times New Roman"/>
                <w:color w:val="auto"/>
                <w:szCs w:val="21"/>
                <w:highlight w:val="none"/>
              </w:rPr>
              <w:t>人</w:t>
            </w:r>
          </w:p>
        </w:tc>
      </w:tr>
      <w:tr w14:paraId="4D4C28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743FC869">
            <w:pPr>
              <w:spacing w:line="360" w:lineRule="auto"/>
              <w:jc w:val="center"/>
              <w:rPr>
                <w:rFonts w:ascii="宋体" w:hAnsi="宋体" w:eastAsia="宋体" w:cs="Times New Roman"/>
                <w:color w:val="auto"/>
                <w:szCs w:val="21"/>
                <w:highlight w:val="none"/>
              </w:rPr>
            </w:pPr>
            <w:bookmarkStart w:id="69" w:name="_28.3"/>
            <w:bookmarkEnd w:id="69"/>
            <w:r>
              <w:rPr>
                <w:rFonts w:ascii="宋体" w:hAnsi="宋体" w:eastAsia="宋体" w:cs="Times New Roman"/>
                <w:color w:val="auto"/>
                <w:szCs w:val="21"/>
                <w:highlight w:val="none"/>
              </w:rPr>
              <w:t>17</w:t>
            </w:r>
          </w:p>
        </w:tc>
        <w:tc>
          <w:tcPr>
            <w:tcW w:w="4573" w:type="pct"/>
            <w:tcBorders>
              <w:top w:val="single" w:color="auto" w:sz="4" w:space="0"/>
              <w:left w:val="single" w:color="auto" w:sz="4" w:space="0"/>
              <w:bottom w:val="single" w:color="auto" w:sz="4" w:space="0"/>
              <w:right w:val="single" w:color="auto" w:sz="4" w:space="0"/>
            </w:tcBorders>
            <w:vAlign w:val="center"/>
          </w:tcPr>
          <w:p w14:paraId="71D7CF27">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评标方法：</w:t>
            </w:r>
          </w:p>
          <w:p w14:paraId="3C13C0DE">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F0FE"/>
            </w:r>
            <w:r>
              <w:rPr>
                <w:rFonts w:hint="eastAsia" w:ascii="宋体" w:hAnsi="宋体" w:eastAsia="宋体" w:cs="Times New Roman"/>
                <w:color w:val="auto"/>
                <w:szCs w:val="21"/>
                <w:highlight w:val="none"/>
              </w:rPr>
              <w:t>综合评分法</w:t>
            </w:r>
          </w:p>
          <w:p w14:paraId="60469391">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□最低评标报价法</w:t>
            </w:r>
          </w:p>
        </w:tc>
      </w:tr>
      <w:tr w14:paraId="2C7999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5F1860E4">
            <w:pPr>
              <w:spacing w:line="360" w:lineRule="auto"/>
              <w:jc w:val="center"/>
              <w:rPr>
                <w:rFonts w:ascii="宋体" w:hAnsi="宋体" w:eastAsia="宋体" w:cs="Times New Roman"/>
                <w:color w:val="auto"/>
                <w:szCs w:val="21"/>
                <w:highlight w:val="none"/>
              </w:rPr>
            </w:pPr>
            <w:bookmarkStart w:id="70" w:name="_29.2.2（2）"/>
            <w:bookmarkEnd w:id="70"/>
            <w:r>
              <w:rPr>
                <w:rFonts w:ascii="宋体" w:hAnsi="宋体" w:eastAsia="宋体" w:cs="Times New Roman"/>
                <w:color w:val="auto"/>
                <w:szCs w:val="21"/>
                <w:highlight w:val="none"/>
              </w:rPr>
              <w:t>18</w:t>
            </w:r>
          </w:p>
        </w:tc>
        <w:tc>
          <w:tcPr>
            <w:tcW w:w="4573" w:type="pct"/>
            <w:tcBorders>
              <w:top w:val="single" w:color="auto" w:sz="4" w:space="0"/>
              <w:left w:val="single" w:color="auto" w:sz="4" w:space="0"/>
              <w:bottom w:val="single" w:color="auto" w:sz="4" w:space="0"/>
              <w:right w:val="single" w:color="auto" w:sz="4" w:space="0"/>
            </w:tcBorders>
            <w:vAlign w:val="center"/>
          </w:tcPr>
          <w:p w14:paraId="3DF768E4">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 w:val="22"/>
                <w:highlight w:val="none"/>
              </w:rPr>
              <w:t>采用综合评分法的采购项目，</w:t>
            </w:r>
            <w:r>
              <w:rPr>
                <w:rFonts w:hint="eastAsia" w:ascii="宋体" w:hAnsi="宋体" w:eastAsia="宋体" w:cs="Times New Roman"/>
                <w:color w:val="auto"/>
                <w:szCs w:val="21"/>
                <w:highlight w:val="none"/>
              </w:rPr>
              <w:t>招标人确定中标人时，出现中标候选人并列的情形，招标人按以下的方式确定中标人：</w:t>
            </w:r>
          </w:p>
          <w:p w14:paraId="0E04739C">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F0FE"/>
            </w:r>
            <w:r>
              <w:rPr>
                <w:rFonts w:hint="eastAsia" w:ascii="宋体" w:hAnsi="宋体" w:eastAsia="宋体" w:cs="Times New Roman"/>
                <w:color w:val="auto"/>
                <w:szCs w:val="21"/>
                <w:highlight w:val="none"/>
              </w:rPr>
              <w:t>依次按投标报价低的优先、政策分得分高的优先、技术评分高的优先、商务评分高的优先、项目质保期长优先、交货期短优先、故障响应时间短优先的顺序确定；</w:t>
            </w:r>
          </w:p>
          <w:p w14:paraId="78C0502C">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□随机抽取；</w:t>
            </w:r>
          </w:p>
          <w:p w14:paraId="7E2FF927">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 w:val="22"/>
                <w:highlight w:val="none"/>
              </w:rPr>
              <w:t>采用最低评标价法的采购项目，</w:t>
            </w:r>
            <w:r>
              <w:rPr>
                <w:rFonts w:hint="eastAsia" w:ascii="宋体" w:hAnsi="宋体" w:eastAsia="宋体" w:cs="Times New Roman"/>
                <w:color w:val="auto"/>
                <w:szCs w:val="21"/>
                <w:highlight w:val="none"/>
              </w:rPr>
              <w:t>招标人确定中标人时，出现中标候选人并列的情形，招标人按以下的方式确定中标人：</w:t>
            </w:r>
          </w:p>
          <w:p w14:paraId="4164818B">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依次按投标报价低的优先、节能及环保产品累计金额高的优先、带“▲”的实质性要求正偏离项数多的优先、均无正偏离或者正偏离项数一致时负偏离项数少的优先、质量保证期长优先、交货期短优先、故障响应时间短优先的顺序确定。</w:t>
            </w:r>
          </w:p>
          <w:p w14:paraId="6BB19287">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□随机抽取；</w:t>
            </w:r>
          </w:p>
        </w:tc>
      </w:tr>
      <w:tr w14:paraId="646808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26" w:type="pct"/>
            <w:tcBorders>
              <w:top w:val="single" w:color="auto" w:sz="4" w:space="0"/>
              <w:left w:val="single" w:color="auto" w:sz="4" w:space="0"/>
              <w:bottom w:val="single" w:color="auto" w:sz="4" w:space="0"/>
              <w:right w:val="single" w:color="auto" w:sz="4" w:space="0"/>
            </w:tcBorders>
            <w:vAlign w:val="center"/>
          </w:tcPr>
          <w:p w14:paraId="49ED33BB">
            <w:pPr>
              <w:spacing w:line="360" w:lineRule="auto"/>
              <w:jc w:val="center"/>
              <w:rPr>
                <w:rFonts w:ascii="宋体" w:hAnsi="宋体" w:eastAsia="宋体" w:cs="Times New Roman"/>
                <w:color w:val="auto"/>
                <w:szCs w:val="21"/>
                <w:highlight w:val="none"/>
              </w:rPr>
            </w:pPr>
            <w:bookmarkStart w:id="71" w:name="_39.1"/>
            <w:bookmarkEnd w:id="71"/>
            <w:r>
              <w:rPr>
                <w:rFonts w:ascii="宋体" w:hAnsi="宋体" w:eastAsia="宋体" w:cs="Times New Roman"/>
                <w:color w:val="auto"/>
                <w:szCs w:val="21"/>
                <w:highlight w:val="none"/>
              </w:rPr>
              <w:t>19</w:t>
            </w:r>
          </w:p>
        </w:tc>
        <w:tc>
          <w:tcPr>
            <w:tcW w:w="4573" w:type="pct"/>
            <w:tcBorders>
              <w:top w:val="single" w:color="auto" w:sz="4" w:space="0"/>
              <w:left w:val="single" w:color="auto" w:sz="4" w:space="0"/>
              <w:bottom w:val="single" w:color="auto" w:sz="4" w:space="0"/>
              <w:right w:val="single" w:color="auto" w:sz="4" w:space="0"/>
            </w:tcBorders>
            <w:vAlign w:val="center"/>
          </w:tcPr>
          <w:p w14:paraId="10F4B777">
            <w:pPr>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履约保证金金额：无</w:t>
            </w:r>
          </w:p>
          <w:p w14:paraId="5D3BDFDF">
            <w:pPr>
              <w:spacing w:line="360" w:lineRule="auto"/>
              <w:rPr>
                <w:rFonts w:ascii="Times New Roman" w:hAnsi="Times New Roman" w:eastAsia="宋体" w:cs="Times New Roman"/>
                <w:color w:val="auto"/>
                <w:szCs w:val="24"/>
                <w:highlight w:val="none"/>
              </w:rPr>
            </w:pPr>
            <w:r>
              <w:rPr>
                <w:rFonts w:hint="eastAsia" w:ascii="宋体" w:hAnsi="宋体" w:eastAsia="宋体" w:cs="Times New Roman"/>
                <w:color w:val="auto"/>
                <w:szCs w:val="21"/>
                <w:highlight w:val="none"/>
              </w:rPr>
              <w:t>履约保证金递交方式：银行转账、支票、汇票、本票、</w:t>
            </w:r>
            <w:r>
              <w:rPr>
                <w:rFonts w:ascii="宋体" w:hAnsi="宋体" w:eastAsia="宋体" w:cs="Arial"/>
                <w:color w:val="auto"/>
                <w:kern w:val="0"/>
                <w:szCs w:val="21"/>
                <w:highlight w:val="none"/>
              </w:rPr>
              <w:t>保险机构出具的保函等形式</w:t>
            </w:r>
          </w:p>
          <w:p w14:paraId="275B57C9">
            <w:pPr>
              <w:autoSpaceDE w:val="0"/>
              <w:autoSpaceDN w:val="0"/>
              <w:spacing w:line="360" w:lineRule="auto"/>
              <w:contextualSpacing/>
              <w:textAlignment w:val="bottom"/>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履约保证金退付方式、时间及条件：详见第二章采购需求</w:t>
            </w:r>
          </w:p>
          <w:p w14:paraId="6CAD5F74">
            <w:pPr>
              <w:autoSpaceDE w:val="0"/>
              <w:autoSpaceDN w:val="0"/>
              <w:spacing w:line="360" w:lineRule="auto"/>
              <w:contextualSpacing/>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履约保证金指定账户：</w:t>
            </w:r>
          </w:p>
          <w:p w14:paraId="756BD4AD">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开户名称：/</w:t>
            </w:r>
          </w:p>
          <w:p w14:paraId="2E48B5A1">
            <w:pPr>
              <w:snapToGrid w:val="0"/>
              <w:spacing w:line="360" w:lineRule="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开户银行：/</w:t>
            </w:r>
          </w:p>
          <w:p w14:paraId="383CC088">
            <w:pPr>
              <w:spacing w:line="360" w:lineRule="auto"/>
              <w:contextualSpacing/>
              <w:jc w:val="left"/>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银行账号：/</w:t>
            </w:r>
          </w:p>
          <w:p w14:paraId="4F990761">
            <w:pPr>
              <w:spacing w:line="360" w:lineRule="auto"/>
              <w:contextualSpacing/>
              <w:jc w:val="left"/>
              <w:rPr>
                <w:rFonts w:ascii="宋体" w:hAnsi="宋体" w:eastAsia="宋体" w:cs="Courier New"/>
                <w:color w:val="auto"/>
                <w:szCs w:val="21"/>
                <w:highlight w:val="none"/>
              </w:rPr>
            </w:pPr>
            <w:r>
              <w:rPr>
                <w:rFonts w:ascii="宋体" w:hAnsi="宋体" w:eastAsia="宋体" w:cs="Courier New"/>
                <w:color w:val="auto"/>
                <w:szCs w:val="21"/>
                <w:highlight w:val="none"/>
              </w:rPr>
              <w:t>备注：</w:t>
            </w:r>
          </w:p>
          <w:p w14:paraId="3213FD86">
            <w:pPr>
              <w:spacing w:line="360" w:lineRule="auto"/>
              <w:contextualSpacing/>
              <w:jc w:val="left"/>
              <w:rPr>
                <w:rFonts w:ascii="宋体" w:hAnsi="宋体" w:eastAsia="宋体" w:cs="Times New Roman"/>
                <w:b/>
                <w:color w:val="auto"/>
                <w:szCs w:val="21"/>
                <w:highlight w:val="none"/>
              </w:rPr>
            </w:pPr>
            <w:r>
              <w:rPr>
                <w:rFonts w:ascii="宋体" w:hAnsi="宋体" w:eastAsia="宋体" w:cs="Times New Roman"/>
                <w:b/>
                <w:color w:val="auto"/>
                <w:szCs w:val="21"/>
                <w:highlight w:val="none"/>
              </w:rPr>
              <w:t>1.</w:t>
            </w:r>
            <w:r>
              <w:rPr>
                <w:rFonts w:hint="eastAsia" w:ascii="宋体" w:hAnsi="宋体" w:eastAsia="宋体" w:cs="Times New Roman"/>
                <w:b/>
                <w:color w:val="auto"/>
                <w:szCs w:val="21"/>
                <w:highlight w:val="none"/>
              </w:rPr>
              <w:t xml:space="preserve"> </w:t>
            </w:r>
            <w:bookmarkStart w:id="72" w:name="_Hlk54170335"/>
            <w:r>
              <w:rPr>
                <w:rFonts w:hint="eastAsia" w:ascii="宋体" w:hAnsi="宋体" w:eastAsia="宋体" w:cs="Times New Roman"/>
                <w:b/>
                <w:color w:val="auto"/>
                <w:szCs w:val="21"/>
                <w:highlight w:val="none"/>
              </w:rPr>
              <w:t>根据《广西壮族自治区财政厅关于贯彻落实政府采购优化营商环境百日攻坚行动方案的通知》（桂财采〔2020〕49号）规定，鼓励招标人在与中小微企业签订政府采购合同时，减少或免于收取履约保证金，有必要收取履约保证金的，收取的履约保证金不得超过政府采购合同金额的5%。</w:t>
            </w:r>
            <w:bookmarkEnd w:id="72"/>
          </w:p>
          <w:p w14:paraId="7476A985">
            <w:pPr>
              <w:spacing w:line="360" w:lineRule="auto"/>
              <w:contextualSpacing/>
              <w:jc w:val="left"/>
              <w:rPr>
                <w:rFonts w:ascii="宋体" w:hAnsi="宋体" w:eastAsia="宋体" w:cs="Times New Roman"/>
                <w:b/>
                <w:color w:val="auto"/>
                <w:szCs w:val="21"/>
                <w:highlight w:val="none"/>
              </w:rPr>
            </w:pPr>
            <w:r>
              <w:rPr>
                <w:rFonts w:ascii="宋体" w:hAnsi="宋体" w:eastAsia="宋体" w:cs="Times New Roman"/>
                <w:b/>
                <w:color w:val="auto"/>
                <w:szCs w:val="21"/>
                <w:highlight w:val="none"/>
              </w:rPr>
              <w:t>2.</w:t>
            </w:r>
            <w:r>
              <w:rPr>
                <w:rFonts w:hint="eastAsia" w:ascii="宋体" w:hAnsi="宋体" w:eastAsia="宋体" w:cs="Times New Roman"/>
                <w:color w:val="auto"/>
                <w:szCs w:val="21"/>
                <w:highlight w:val="none"/>
              </w:rPr>
              <w:t xml:space="preserve"> </w:t>
            </w:r>
            <w:r>
              <w:rPr>
                <w:rFonts w:hint="eastAsia" w:ascii="宋体" w:hAnsi="宋体" w:eastAsia="宋体" w:cs="Times New Roman"/>
                <w:b/>
                <w:color w:val="auto"/>
                <w:szCs w:val="21"/>
                <w:highlight w:val="none"/>
              </w:rPr>
              <w:t>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27DD1AF4">
            <w:pPr>
              <w:spacing w:line="360" w:lineRule="auto"/>
              <w:contextualSpacing/>
              <w:jc w:val="left"/>
              <w:rPr>
                <w:rFonts w:ascii="宋体" w:hAnsi="宋体" w:eastAsia="宋体" w:cs="Times New Roman"/>
                <w:b/>
                <w:color w:val="auto"/>
                <w:szCs w:val="21"/>
                <w:highlight w:val="none"/>
              </w:rPr>
            </w:pPr>
            <w:r>
              <w:rPr>
                <w:rFonts w:ascii="宋体" w:hAnsi="宋体" w:eastAsia="宋体" w:cs="Times New Roman"/>
                <w:b/>
                <w:color w:val="auto"/>
                <w:szCs w:val="21"/>
                <w:highlight w:val="none"/>
              </w:rPr>
              <w:t>3.采用银行、保险机构出具的保函的，必须为无条件保函，否则不予签订合同。</w:t>
            </w:r>
          </w:p>
        </w:tc>
      </w:tr>
      <w:tr w14:paraId="41518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14E4BB48">
            <w:pPr>
              <w:spacing w:line="360" w:lineRule="auto"/>
              <w:jc w:val="center"/>
              <w:rPr>
                <w:rFonts w:ascii="宋体" w:hAnsi="宋体" w:eastAsia="宋体" w:cs="Times New Roman"/>
                <w:color w:val="auto"/>
                <w:szCs w:val="21"/>
                <w:highlight w:val="none"/>
              </w:rPr>
            </w:pPr>
            <w:bookmarkStart w:id="73" w:name="_40.1"/>
            <w:bookmarkEnd w:id="73"/>
            <w:r>
              <w:rPr>
                <w:rFonts w:ascii="宋体" w:hAnsi="宋体" w:eastAsia="宋体" w:cs="Times New Roman"/>
                <w:color w:val="auto"/>
                <w:szCs w:val="21"/>
                <w:highlight w:val="none"/>
              </w:rPr>
              <w:t>20</w:t>
            </w:r>
          </w:p>
        </w:tc>
        <w:tc>
          <w:tcPr>
            <w:tcW w:w="4573" w:type="pct"/>
            <w:tcBorders>
              <w:top w:val="single" w:color="auto" w:sz="4" w:space="0"/>
              <w:left w:val="single" w:color="auto" w:sz="4" w:space="0"/>
              <w:bottom w:val="single" w:color="auto" w:sz="4" w:space="0"/>
              <w:right w:val="single" w:color="auto" w:sz="4" w:space="0"/>
            </w:tcBorders>
            <w:vAlign w:val="center"/>
          </w:tcPr>
          <w:p w14:paraId="5A317315">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签订合同携带的证明材料： </w:t>
            </w:r>
          </w:p>
          <w:p w14:paraId="0907164C">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委托代理人负责签订合同的，须携带授权委托书及委托代理人身份证原件等其他资格证件。</w:t>
            </w:r>
          </w:p>
          <w:p w14:paraId="5231AEF3">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法定代表人负责签订合同的，须携带法定代表人</w:t>
            </w:r>
            <w:r>
              <w:rPr>
                <w:rFonts w:ascii="宋体" w:hAnsi="宋体" w:eastAsia="宋体" w:cs="Times New Roman"/>
                <w:color w:val="auto"/>
                <w:szCs w:val="21"/>
                <w:highlight w:val="none"/>
              </w:rPr>
              <w:t>身份证明原件</w:t>
            </w:r>
            <w:r>
              <w:rPr>
                <w:rFonts w:hint="eastAsia" w:ascii="宋体" w:hAnsi="宋体" w:eastAsia="宋体" w:cs="Times New Roman"/>
                <w:color w:val="auto"/>
                <w:szCs w:val="21"/>
                <w:highlight w:val="none"/>
              </w:rPr>
              <w:t>及</w:t>
            </w:r>
            <w:r>
              <w:rPr>
                <w:rFonts w:ascii="宋体" w:hAnsi="宋体" w:eastAsia="宋体" w:cs="Times New Roman"/>
                <w:color w:val="auto"/>
                <w:szCs w:val="21"/>
                <w:highlight w:val="none"/>
              </w:rPr>
              <w:t>身份证原件</w:t>
            </w:r>
            <w:r>
              <w:rPr>
                <w:rFonts w:hint="eastAsia" w:ascii="宋体" w:hAnsi="宋体" w:eastAsia="宋体" w:cs="Times New Roman"/>
                <w:color w:val="auto"/>
                <w:szCs w:val="21"/>
                <w:highlight w:val="none"/>
              </w:rPr>
              <w:t>等其他证明材料。</w:t>
            </w:r>
          </w:p>
        </w:tc>
      </w:tr>
      <w:tr w14:paraId="67F1A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050D1806">
            <w:pPr>
              <w:spacing w:line="360" w:lineRule="auto"/>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21</w:t>
            </w:r>
          </w:p>
        </w:tc>
        <w:tc>
          <w:tcPr>
            <w:tcW w:w="4573" w:type="pct"/>
            <w:tcBorders>
              <w:top w:val="single" w:color="auto" w:sz="4" w:space="0"/>
              <w:left w:val="single" w:color="auto" w:sz="4" w:space="0"/>
              <w:bottom w:val="single" w:color="auto" w:sz="4" w:space="0"/>
              <w:right w:val="single" w:color="auto" w:sz="4" w:space="0"/>
            </w:tcBorders>
            <w:vAlign w:val="center"/>
          </w:tcPr>
          <w:p w14:paraId="7434D568">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接收质疑函方式：以书面形式</w:t>
            </w:r>
          </w:p>
          <w:p w14:paraId="71505187">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质疑联系部门及联系方式：</w:t>
            </w:r>
            <w:r>
              <w:rPr>
                <w:rFonts w:hint="eastAsia" w:ascii="宋体" w:hAnsi="宋体" w:eastAsia="宋体" w:cs="Times New Roman"/>
                <w:color w:val="auto"/>
                <w:szCs w:val="21"/>
                <w:highlight w:val="none"/>
                <w:u w:val="single"/>
              </w:rPr>
              <w:t>中经国际招标集团有限公司</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联系电话</w:t>
            </w:r>
            <w:r>
              <w:rPr>
                <w:rFonts w:hint="eastAsia" w:ascii="宋体" w:hAnsi="宋体" w:eastAsia="宋体" w:cs="Times New Roman"/>
                <w:color w:val="auto"/>
                <w:szCs w:val="21"/>
                <w:highlight w:val="none"/>
              </w:rPr>
              <w:t>：0774-</w:t>
            </w:r>
            <w:r>
              <w:rPr>
                <w:rFonts w:ascii="宋体" w:hAnsi="宋体" w:eastAsia="宋体" w:cs="Times New Roman"/>
                <w:color w:val="auto"/>
                <w:szCs w:val="21"/>
                <w:highlight w:val="none"/>
              </w:rPr>
              <w:t>3819193</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通讯地址</w:t>
            </w:r>
            <w:r>
              <w:rPr>
                <w:rFonts w:hint="eastAsia" w:ascii="宋体" w:hAnsi="宋体" w:eastAsia="宋体" w:cs="Helvetica"/>
                <w:color w:val="auto"/>
                <w:szCs w:val="21"/>
                <w:highlight w:val="none"/>
              </w:rPr>
              <w:t>：</w:t>
            </w:r>
            <w:r>
              <w:rPr>
                <w:rFonts w:hint="eastAsia" w:ascii="宋体" w:hAnsi="宋体" w:eastAsia="宋体" w:cs="Times New Roman"/>
                <w:color w:val="auto"/>
                <w:szCs w:val="21"/>
                <w:highlight w:val="none"/>
                <w:u w:val="single"/>
              </w:rPr>
              <w:t>梧州市长洲区新兴二路1</w:t>
            </w:r>
            <w:r>
              <w:rPr>
                <w:rFonts w:ascii="宋体" w:hAnsi="宋体" w:eastAsia="宋体" w:cs="Times New Roman"/>
                <w:color w:val="auto"/>
                <w:szCs w:val="21"/>
                <w:highlight w:val="none"/>
                <w:u w:val="single"/>
              </w:rPr>
              <w:t>25</w:t>
            </w:r>
            <w:r>
              <w:rPr>
                <w:rFonts w:hint="eastAsia" w:ascii="宋体" w:hAnsi="宋体" w:eastAsia="宋体" w:cs="Times New Roman"/>
                <w:color w:val="auto"/>
                <w:szCs w:val="21"/>
                <w:highlight w:val="none"/>
                <w:u w:val="single"/>
              </w:rPr>
              <w:t>梧州日报社</w:t>
            </w:r>
            <w:r>
              <w:rPr>
                <w:rFonts w:ascii="宋体" w:hAnsi="宋体" w:eastAsia="宋体" w:cs="Times New Roman"/>
                <w:color w:val="auto"/>
                <w:szCs w:val="21"/>
                <w:highlight w:val="none"/>
                <w:u w:val="single"/>
              </w:rPr>
              <w:t>8</w:t>
            </w:r>
            <w:r>
              <w:rPr>
                <w:rFonts w:hint="eastAsia" w:ascii="宋体" w:hAnsi="宋体" w:eastAsia="宋体" w:cs="Times New Roman"/>
                <w:color w:val="auto"/>
                <w:szCs w:val="21"/>
                <w:highlight w:val="none"/>
                <w:u w:val="single"/>
              </w:rPr>
              <w:t>楼</w:t>
            </w:r>
          </w:p>
          <w:p w14:paraId="36165009">
            <w:pPr>
              <w:autoSpaceDE w:val="0"/>
              <w:autoSpaceDN w:val="0"/>
              <w:snapToGrid w:val="0"/>
              <w:spacing w:line="360" w:lineRule="auto"/>
              <w:textAlignment w:val="bottom"/>
              <w:rPr>
                <w:rFonts w:ascii="宋体" w:hAnsi="宋体" w:eastAsia="宋体" w:cs="Times New Roman"/>
                <w:color w:val="auto"/>
                <w:szCs w:val="21"/>
                <w:highlight w:val="none"/>
              </w:rPr>
            </w:pPr>
            <w:r>
              <w:rPr>
                <w:rFonts w:hint="eastAsia" w:ascii="Times New Roman" w:hAnsi="宋体" w:eastAsia="宋体" w:cs="Times New Roman"/>
                <w:color w:val="auto"/>
                <w:szCs w:val="24"/>
                <w:highlight w:val="none"/>
              </w:rPr>
              <w:t>现场提交质疑办理业务时间：每天8时00分到12时00分，15时00分到18时00分，业务时间以外、双休日和法定节假日不办理业务。</w:t>
            </w:r>
          </w:p>
        </w:tc>
      </w:tr>
      <w:tr w14:paraId="650BA2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432E7119">
            <w:pPr>
              <w:spacing w:line="360" w:lineRule="auto"/>
              <w:jc w:val="center"/>
              <w:rPr>
                <w:rFonts w:ascii="宋体" w:hAnsi="宋体" w:eastAsia="宋体" w:cs="Times New Roman"/>
                <w:color w:val="auto"/>
                <w:szCs w:val="21"/>
                <w:highlight w:val="none"/>
              </w:rPr>
            </w:pPr>
            <w:bookmarkStart w:id="74" w:name="_41"/>
            <w:bookmarkEnd w:id="74"/>
            <w:bookmarkStart w:id="75" w:name="_42"/>
            <w:bookmarkEnd w:id="75"/>
            <w:r>
              <w:rPr>
                <w:rFonts w:ascii="宋体" w:hAnsi="宋体" w:eastAsia="宋体" w:cs="Times New Roman"/>
                <w:color w:val="auto"/>
                <w:szCs w:val="21"/>
                <w:highlight w:val="none"/>
              </w:rPr>
              <w:t>22</w:t>
            </w:r>
          </w:p>
        </w:tc>
        <w:tc>
          <w:tcPr>
            <w:tcW w:w="4573" w:type="pct"/>
            <w:tcBorders>
              <w:top w:val="single" w:color="auto" w:sz="4" w:space="0"/>
              <w:left w:val="single" w:color="auto" w:sz="4" w:space="0"/>
              <w:bottom w:val="single" w:color="auto" w:sz="4" w:space="0"/>
              <w:right w:val="single" w:color="auto" w:sz="4" w:space="0"/>
            </w:tcBorders>
            <w:vAlign w:val="center"/>
          </w:tcPr>
          <w:p w14:paraId="10DF0C0D">
            <w:pPr>
              <w:pStyle w:val="21"/>
              <w:snapToGrid w:val="0"/>
              <w:spacing w:line="360" w:lineRule="auto"/>
              <w:rPr>
                <w:rFonts w:hAnsi="宋体" w:cs="宋体"/>
                <w:color w:val="auto"/>
                <w:sz w:val="21"/>
                <w:highlight w:val="none"/>
              </w:rPr>
            </w:pPr>
            <w:r>
              <w:rPr>
                <w:rFonts w:hint="eastAsia" w:hAnsi="宋体" w:cs="宋体"/>
                <w:color w:val="auto"/>
                <w:sz w:val="21"/>
                <w:highlight w:val="none"/>
                <w:lang w:val="en-US"/>
              </w:rPr>
              <w:t>1.</w:t>
            </w:r>
            <w:r>
              <w:rPr>
                <w:rFonts w:hint="eastAsia" w:hAnsi="宋体" w:cs="宋体"/>
                <w:color w:val="auto"/>
                <w:sz w:val="21"/>
                <w:highlight w:val="none"/>
              </w:rPr>
              <w:t>采购代理费支付方式：</w:t>
            </w:r>
          </w:p>
          <w:p w14:paraId="2ED97484">
            <w:pPr>
              <w:pStyle w:val="21"/>
              <w:snapToGrid w:val="0"/>
              <w:spacing w:line="360" w:lineRule="auto"/>
              <w:rPr>
                <w:rFonts w:hAnsi="宋体" w:cs="宋体"/>
                <w:color w:val="auto"/>
                <w:sz w:val="21"/>
                <w:highlight w:val="none"/>
              </w:rPr>
            </w:pPr>
            <w:r>
              <w:rPr>
                <w:rFonts w:hint="eastAsia" w:hAnsi="宋体" w:cs="宋体"/>
                <w:color w:val="auto"/>
                <w:highlight w:val="none"/>
              </w:rPr>
              <w:t xml:space="preserve"> </w:t>
            </w:r>
            <w:r>
              <w:rPr>
                <w:rFonts w:hint="eastAsia" w:hAnsi="宋体" w:cs="宋体"/>
                <w:color w:val="auto"/>
                <w:sz w:val="21"/>
                <w:highlight w:val="none"/>
              </w:rPr>
              <w:sym w:font="Wingdings" w:char="F0FE"/>
            </w:r>
            <w:r>
              <w:rPr>
                <w:rFonts w:hint="eastAsia" w:hAnsi="宋体" w:cs="宋体"/>
                <w:color w:val="auto"/>
                <w:sz w:val="21"/>
                <w:highlight w:val="none"/>
              </w:rPr>
              <w:t>本项目代理服务费由</w:t>
            </w:r>
            <w:r>
              <w:rPr>
                <w:rFonts w:hint="eastAsia" w:hAnsi="宋体" w:cs="宋体"/>
                <w:color w:val="auto"/>
                <w:sz w:val="21"/>
                <w:highlight w:val="none"/>
                <w:u w:val="single"/>
              </w:rPr>
              <w:t>中标人</w:t>
            </w:r>
            <w:r>
              <w:rPr>
                <w:rFonts w:hint="eastAsia" w:hAnsi="宋体" w:cs="宋体"/>
                <w:color w:val="auto"/>
                <w:sz w:val="21"/>
                <w:highlight w:val="none"/>
              </w:rPr>
              <w:t>在领取中标通知书前，一次性向采购代理机构支付。</w:t>
            </w:r>
          </w:p>
          <w:p w14:paraId="7D7D9F08">
            <w:pPr>
              <w:pStyle w:val="21"/>
              <w:snapToGrid w:val="0"/>
              <w:spacing w:line="360" w:lineRule="auto"/>
              <w:rPr>
                <w:rFonts w:hAnsi="宋体" w:cs="宋体"/>
                <w:color w:val="auto"/>
                <w:sz w:val="21"/>
                <w:highlight w:val="none"/>
              </w:rPr>
            </w:pPr>
            <w:r>
              <w:rPr>
                <w:rFonts w:hint="eastAsia" w:hAnsi="宋体" w:cs="宋体"/>
                <w:color w:val="auto"/>
                <w:sz w:val="21"/>
                <w:highlight w:val="none"/>
              </w:rPr>
              <w:t>□招标人支付。</w:t>
            </w:r>
          </w:p>
          <w:p w14:paraId="3F0E6334">
            <w:pPr>
              <w:pStyle w:val="21"/>
              <w:snapToGrid w:val="0"/>
              <w:spacing w:line="360" w:lineRule="auto"/>
              <w:rPr>
                <w:rFonts w:hAnsi="宋体" w:cs="宋体"/>
                <w:color w:val="auto"/>
                <w:sz w:val="21"/>
                <w:highlight w:val="none"/>
              </w:rPr>
            </w:pPr>
            <w:r>
              <w:rPr>
                <w:rFonts w:hint="eastAsia" w:hAnsi="宋体" w:cs="宋体"/>
                <w:color w:val="auto"/>
                <w:sz w:val="21"/>
                <w:highlight w:val="none"/>
              </w:rPr>
              <w:t>2.采购代理费收取标准：</w:t>
            </w:r>
          </w:p>
          <w:p w14:paraId="4E0E0B53">
            <w:pPr>
              <w:pStyle w:val="21"/>
              <w:snapToGrid w:val="0"/>
              <w:spacing w:line="360" w:lineRule="auto"/>
              <w:rPr>
                <w:rFonts w:hAnsi="宋体" w:cs="宋体"/>
                <w:color w:val="auto"/>
                <w:sz w:val="21"/>
                <w:highlight w:val="none"/>
              </w:rPr>
            </w:pPr>
            <w:r>
              <w:rPr>
                <w:rFonts w:hint="eastAsia" w:hAnsi="宋体" w:cs="宋体"/>
                <w:color w:val="auto"/>
                <w:sz w:val="21"/>
                <w:highlight w:val="none"/>
                <w:lang w:eastAsia="zh-CN"/>
              </w:rPr>
              <w:t>□</w:t>
            </w:r>
            <w:r>
              <w:rPr>
                <w:rFonts w:hint="eastAsia" w:hAnsi="宋体" w:cs="宋体"/>
                <w:color w:val="auto"/>
                <w:sz w:val="21"/>
                <w:highlight w:val="none"/>
              </w:rPr>
              <w:t>以（☑中标金额/□采购预算/□暂定中标金额/□其他</w:t>
            </w:r>
            <w:r>
              <w:rPr>
                <w:rFonts w:hint="eastAsia" w:hAnsi="宋体" w:cs="宋体"/>
                <w:color w:val="auto"/>
                <w:sz w:val="21"/>
                <w:highlight w:val="none"/>
                <w:u w:val="single"/>
              </w:rPr>
              <w:t xml:space="preserve"> </w:t>
            </w:r>
            <w:r>
              <w:rPr>
                <w:rFonts w:hAnsi="宋体" w:cs="宋体"/>
                <w:color w:val="auto"/>
                <w:sz w:val="21"/>
                <w:highlight w:val="none"/>
                <w:u w:val="single"/>
              </w:rPr>
              <w:t xml:space="preserve">  </w:t>
            </w:r>
            <w:r>
              <w:rPr>
                <w:rFonts w:hint="eastAsia" w:hAnsi="宋体" w:cs="宋体"/>
                <w:color w:val="auto"/>
                <w:sz w:val="21"/>
                <w:highlight w:val="none"/>
              </w:rPr>
              <w:t>）为计费额，按本须知正文第</w:t>
            </w:r>
            <w:r>
              <w:rPr>
                <w:rFonts w:hAnsi="宋体" w:cs="宋体"/>
                <w:color w:val="auto"/>
                <w:sz w:val="21"/>
                <w:highlight w:val="none"/>
              </w:rPr>
              <w:t>39</w:t>
            </w:r>
            <w:r>
              <w:rPr>
                <w:rFonts w:hint="eastAsia" w:hAnsi="宋体" w:cs="宋体"/>
                <w:color w:val="auto"/>
                <w:sz w:val="21"/>
                <w:highlight w:val="none"/>
              </w:rPr>
              <w:t>.</w:t>
            </w:r>
            <w:r>
              <w:rPr>
                <w:rFonts w:hAnsi="宋体" w:cs="宋体"/>
                <w:color w:val="auto"/>
                <w:sz w:val="21"/>
                <w:highlight w:val="none"/>
              </w:rPr>
              <w:t>2</w:t>
            </w:r>
            <w:r>
              <w:rPr>
                <w:rFonts w:hint="eastAsia" w:hAnsi="宋体" w:cs="宋体"/>
                <w:color w:val="auto"/>
                <w:sz w:val="21"/>
                <w:highlight w:val="none"/>
              </w:rPr>
              <w:t>条规定的收费计算标准（☑货物招标/□服务招标/□工程招标）采用差额定率累进法计算出收费基准价格，采购代理收费以（☑收费基准价格/□收费基准价格下浮</w:t>
            </w:r>
            <w:r>
              <w:rPr>
                <w:rFonts w:hint="eastAsia" w:hAnsi="宋体" w:cs="宋体"/>
                <w:color w:val="auto"/>
                <w:sz w:val="21"/>
                <w:highlight w:val="none"/>
                <w:u w:val="single"/>
              </w:rPr>
              <w:t xml:space="preserve"> </w:t>
            </w:r>
            <w:r>
              <w:rPr>
                <w:rFonts w:hAnsi="宋体" w:cs="宋体"/>
                <w:color w:val="auto"/>
                <w:sz w:val="21"/>
                <w:highlight w:val="none"/>
                <w:u w:val="single"/>
              </w:rPr>
              <w:t xml:space="preserve"> </w:t>
            </w:r>
            <w:r>
              <w:rPr>
                <w:rFonts w:hint="eastAsia" w:hAnsi="宋体" w:cs="宋体"/>
                <w:color w:val="auto"/>
                <w:sz w:val="21"/>
                <w:highlight w:val="none"/>
                <w:u w:val="single"/>
              </w:rPr>
              <w:t>%</w:t>
            </w:r>
            <w:r>
              <w:rPr>
                <w:rFonts w:hAnsi="宋体" w:cs="宋体"/>
                <w:color w:val="auto"/>
                <w:sz w:val="21"/>
                <w:highlight w:val="none"/>
              </w:rPr>
              <w:t>/</w:t>
            </w:r>
            <w:r>
              <w:rPr>
                <w:rFonts w:hint="eastAsia" w:hAnsi="宋体" w:cs="宋体"/>
                <w:color w:val="auto"/>
                <w:sz w:val="21"/>
                <w:highlight w:val="none"/>
              </w:rPr>
              <w:t>□收费基准价格上浮</w:t>
            </w:r>
            <w:r>
              <w:rPr>
                <w:rFonts w:hint="eastAsia" w:hAnsi="宋体" w:cs="宋体"/>
                <w:color w:val="auto"/>
                <w:sz w:val="21"/>
                <w:highlight w:val="none"/>
                <w:u w:val="single"/>
              </w:rPr>
              <w:t xml:space="preserve"> </w:t>
            </w:r>
            <w:r>
              <w:rPr>
                <w:rFonts w:hAnsi="宋体" w:cs="宋体"/>
                <w:color w:val="auto"/>
                <w:sz w:val="21"/>
                <w:highlight w:val="none"/>
                <w:u w:val="single"/>
              </w:rPr>
              <w:t xml:space="preserve">  </w:t>
            </w:r>
            <w:r>
              <w:rPr>
                <w:rFonts w:hint="eastAsia" w:hAnsi="宋体" w:cs="宋体"/>
                <w:color w:val="auto"/>
                <w:sz w:val="21"/>
                <w:highlight w:val="none"/>
                <w:u w:val="single"/>
              </w:rPr>
              <w:t>%</w:t>
            </w:r>
            <w:r>
              <w:rPr>
                <w:rFonts w:hint="eastAsia" w:hAnsi="宋体" w:cs="宋体"/>
                <w:color w:val="auto"/>
                <w:sz w:val="21"/>
                <w:highlight w:val="none"/>
              </w:rPr>
              <w:t>）收取。</w:t>
            </w:r>
          </w:p>
          <w:p w14:paraId="5B3A5D56">
            <w:pPr>
              <w:pStyle w:val="21"/>
              <w:snapToGrid w:val="0"/>
              <w:spacing w:line="360" w:lineRule="auto"/>
              <w:rPr>
                <w:rFonts w:hAnsi="宋体" w:cs="宋体"/>
                <w:color w:val="auto"/>
                <w:sz w:val="21"/>
                <w:highlight w:val="none"/>
                <w:u w:val="single"/>
              </w:rPr>
            </w:pPr>
            <w:r>
              <w:rPr>
                <w:rFonts w:hint="eastAsia" w:hAnsi="宋体" w:cs="宋体"/>
                <w:color w:val="auto"/>
                <w:sz w:val="21"/>
                <w:highlight w:val="none"/>
              </w:rPr>
              <w:sym w:font="Wingdings" w:char="00A8"/>
            </w:r>
            <w:r>
              <w:rPr>
                <w:rFonts w:hint="eastAsia" w:hAnsi="宋体" w:cs="宋体"/>
                <w:color w:val="auto"/>
                <w:sz w:val="21"/>
                <w:highlight w:val="none"/>
              </w:rPr>
              <w:t>固定采购代理收费</w:t>
            </w:r>
          </w:p>
          <w:p w14:paraId="715CCDB7">
            <w:pPr>
              <w:snapToGrid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3.采购代理费收取银行账户信息以中标事项告知书为准。</w:t>
            </w:r>
          </w:p>
        </w:tc>
      </w:tr>
      <w:tr w14:paraId="6400EF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10606EF2">
            <w:pPr>
              <w:snapToGrid w:val="0"/>
              <w:spacing w:line="360" w:lineRule="auto"/>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23</w:t>
            </w:r>
          </w:p>
        </w:tc>
        <w:tc>
          <w:tcPr>
            <w:tcW w:w="4573" w:type="pct"/>
            <w:tcBorders>
              <w:top w:val="single" w:color="auto" w:sz="4" w:space="0"/>
              <w:left w:val="single" w:color="auto" w:sz="4" w:space="0"/>
              <w:bottom w:val="single" w:color="auto" w:sz="4" w:space="0"/>
              <w:right w:val="single" w:color="auto" w:sz="4" w:space="0"/>
            </w:tcBorders>
            <w:vAlign w:val="center"/>
          </w:tcPr>
          <w:p w14:paraId="6B6EF3EC">
            <w:pPr>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解释：</w:t>
            </w:r>
            <w:r>
              <w:rPr>
                <w:rFonts w:ascii="宋体" w:hAnsi="宋体" w:eastAsia="宋体" w:cs="Times New Roman"/>
                <w:color w:val="auto"/>
                <w:szCs w:val="21"/>
                <w:highlight w:val="none"/>
              </w:rPr>
              <w:t>构成本招标文件的各个组成文件应互为解释，互为说明；除招标文件中有特别规定外，仅适用于招标投标阶段的规定，按</w:t>
            </w:r>
            <w:r>
              <w:rPr>
                <w:rFonts w:hint="eastAsia" w:ascii="宋体" w:hAnsi="宋体" w:eastAsia="宋体" w:cs="Times New Roman"/>
                <w:color w:val="auto"/>
                <w:szCs w:val="21"/>
                <w:highlight w:val="none"/>
              </w:rPr>
              <w:t>更正公告（澄清公告）</w:t>
            </w:r>
            <w:r>
              <w:rPr>
                <w:rFonts w:ascii="宋体" w:hAnsi="宋体" w:eastAsia="宋体" w:cs="Times New Roman"/>
                <w:color w:val="auto"/>
                <w:szCs w:val="21"/>
                <w:highlight w:val="none"/>
              </w:rPr>
              <w:t>、招标公告、</w:t>
            </w:r>
            <w:r>
              <w:rPr>
                <w:rFonts w:hint="eastAsia" w:ascii="宋体" w:hAnsi="宋体" w:eastAsia="宋体" w:cs="Times New Roman"/>
                <w:color w:val="auto"/>
                <w:szCs w:val="21"/>
                <w:highlight w:val="none"/>
              </w:rPr>
              <w:t>采购需求、</w:t>
            </w:r>
            <w:r>
              <w:rPr>
                <w:rFonts w:ascii="宋体" w:hAnsi="宋体" w:eastAsia="宋体" w:cs="Times New Roman"/>
                <w:color w:val="auto"/>
                <w:szCs w:val="21"/>
                <w:highlight w:val="none"/>
              </w:rPr>
              <w:t>投标人须知、</w:t>
            </w:r>
            <w:r>
              <w:rPr>
                <w:rFonts w:hint="eastAsia" w:ascii="宋体" w:hAnsi="宋体" w:eastAsia="宋体" w:cs="Times New Roman"/>
                <w:color w:val="auto"/>
                <w:szCs w:val="21"/>
                <w:highlight w:val="none"/>
              </w:rPr>
              <w:t>评标方法及评标标准</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拟签订的合同文本、</w:t>
            </w:r>
            <w:r>
              <w:rPr>
                <w:rFonts w:ascii="宋体" w:hAnsi="宋体" w:eastAsia="宋体" w:cs="Times New Roman"/>
                <w:color w:val="auto"/>
                <w:szCs w:val="21"/>
                <w:highlight w:val="none"/>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eastAsia="宋体" w:cs="Times New Roman"/>
                <w:color w:val="auto"/>
                <w:szCs w:val="21"/>
                <w:highlight w:val="none"/>
              </w:rPr>
              <w:t>更正公告（澄清公告）</w:t>
            </w:r>
            <w:r>
              <w:rPr>
                <w:rFonts w:ascii="宋体" w:hAnsi="宋体" w:eastAsia="宋体" w:cs="Times New Roman"/>
                <w:color w:val="auto"/>
                <w:szCs w:val="21"/>
                <w:highlight w:val="none"/>
              </w:rPr>
              <w:t>与同步更新的招标文件不一致时以</w:t>
            </w:r>
            <w:r>
              <w:rPr>
                <w:rFonts w:hint="eastAsia" w:ascii="宋体" w:hAnsi="宋体" w:eastAsia="宋体" w:cs="Times New Roman"/>
                <w:color w:val="auto"/>
                <w:szCs w:val="21"/>
                <w:highlight w:val="none"/>
              </w:rPr>
              <w:t>更正公告（澄清公告）</w:t>
            </w:r>
            <w:r>
              <w:rPr>
                <w:rFonts w:ascii="宋体" w:hAnsi="宋体" w:eastAsia="宋体" w:cs="Times New Roman"/>
                <w:color w:val="auto"/>
                <w:szCs w:val="21"/>
                <w:highlight w:val="none"/>
              </w:rPr>
              <w:t>为准。按本款前述规定仍不能形成结论的，由</w:t>
            </w:r>
            <w:r>
              <w:rPr>
                <w:rFonts w:hint="eastAsia" w:ascii="宋体" w:hAnsi="宋体" w:eastAsia="宋体" w:cs="Times New Roman"/>
                <w:color w:val="auto"/>
                <w:szCs w:val="21"/>
                <w:highlight w:val="none"/>
              </w:rPr>
              <w:t>招标人或者采购代理机构</w:t>
            </w:r>
            <w:r>
              <w:rPr>
                <w:rFonts w:ascii="宋体" w:hAnsi="宋体" w:eastAsia="宋体" w:cs="Times New Roman"/>
                <w:color w:val="auto"/>
                <w:szCs w:val="21"/>
                <w:highlight w:val="none"/>
              </w:rPr>
              <w:t>负责解释。</w:t>
            </w:r>
          </w:p>
        </w:tc>
      </w:tr>
      <w:tr w14:paraId="3F9803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26" w:type="pct"/>
            <w:tcBorders>
              <w:top w:val="single" w:color="auto" w:sz="4" w:space="0"/>
              <w:left w:val="single" w:color="auto" w:sz="4" w:space="0"/>
              <w:bottom w:val="single" w:color="auto" w:sz="4" w:space="0"/>
              <w:right w:val="single" w:color="auto" w:sz="4" w:space="0"/>
            </w:tcBorders>
            <w:vAlign w:val="center"/>
          </w:tcPr>
          <w:p w14:paraId="3DDABEE2">
            <w:pPr>
              <w:snapToGrid w:val="0"/>
              <w:spacing w:line="360" w:lineRule="auto"/>
              <w:jc w:val="center"/>
              <w:rPr>
                <w:rFonts w:ascii="宋体" w:hAnsi="宋体" w:eastAsia="宋体" w:cs="Times New Roman"/>
                <w:color w:val="auto"/>
                <w:szCs w:val="21"/>
                <w:highlight w:val="none"/>
              </w:rPr>
            </w:pPr>
            <w:r>
              <w:rPr>
                <w:rFonts w:ascii="宋体" w:hAnsi="宋体" w:eastAsia="宋体" w:cs="Times New Roman"/>
                <w:color w:val="auto"/>
                <w:szCs w:val="21"/>
                <w:highlight w:val="none"/>
              </w:rPr>
              <w:t>24</w:t>
            </w:r>
          </w:p>
        </w:tc>
        <w:tc>
          <w:tcPr>
            <w:tcW w:w="4573" w:type="pct"/>
            <w:tcBorders>
              <w:top w:val="single" w:color="auto" w:sz="4" w:space="0"/>
              <w:left w:val="single" w:color="auto" w:sz="4" w:space="0"/>
              <w:bottom w:val="single" w:color="auto" w:sz="4" w:space="0"/>
              <w:right w:val="single" w:color="auto" w:sz="4" w:space="0"/>
            </w:tcBorders>
            <w:vAlign w:val="center"/>
          </w:tcPr>
          <w:p w14:paraId="79FBFEE3">
            <w:pPr>
              <w:snapToGrid w:val="0"/>
              <w:spacing w:line="360" w:lineRule="auto"/>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236172E0">
            <w:pPr>
              <w:snapToGrid w:val="0"/>
              <w:spacing w:line="360" w:lineRule="auto"/>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483BDA32">
            <w:pPr>
              <w:snapToGrid w:val="0"/>
              <w:spacing w:line="360" w:lineRule="auto"/>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3.本招标文件中描述投标人的“签字”是指投标人的法定代表人或者委托代理人亲自在文件规定签字处亲笔写上个人的名字的行为，私章、签字章、印鉴、影印等其他形式均不能代替亲笔签字。</w:t>
            </w:r>
          </w:p>
          <w:p w14:paraId="06DABEF4">
            <w:pPr>
              <w:snapToGrid w:val="0"/>
              <w:spacing w:line="360" w:lineRule="auto"/>
              <w:rPr>
                <w:rFonts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4.自然人投标的，招标文件规定盖公章处由自然人摁手指指印。</w:t>
            </w:r>
          </w:p>
          <w:p w14:paraId="708D99CD">
            <w:pPr>
              <w:spacing w:line="360" w:lineRule="auto"/>
              <w:jc w:val="left"/>
              <w:rPr>
                <w:rFonts w:ascii="宋体" w:hAnsi="宋体" w:eastAsia="宋体" w:cs="Times New Roman"/>
                <w:color w:val="auto"/>
                <w:szCs w:val="21"/>
                <w:highlight w:val="none"/>
              </w:rPr>
            </w:pPr>
            <w:r>
              <w:rPr>
                <w:rFonts w:hint="eastAsia" w:ascii="宋体" w:hAnsi="宋体" w:eastAsia="宋体" w:cs="宋体"/>
                <w:bCs/>
                <w:color w:val="auto"/>
                <w:szCs w:val="21"/>
                <w:highlight w:val="none"/>
              </w:rPr>
              <w:t>5.本招标文件所称的“以上”“以下”“以内”“届满”，包括本数；所称的“不满”“超过”“以外”，不包括本数。</w:t>
            </w:r>
          </w:p>
        </w:tc>
      </w:tr>
    </w:tbl>
    <w:p w14:paraId="1D649FC4">
      <w:pPr>
        <w:snapToGrid w:val="0"/>
        <w:rPr>
          <w:rFonts w:ascii="宋体" w:hAnsi="宋体" w:eastAsia="宋体" w:cs="Times New Roman"/>
          <w:color w:val="auto"/>
          <w:sz w:val="24"/>
          <w:szCs w:val="20"/>
          <w:highlight w:val="none"/>
        </w:rPr>
      </w:pPr>
    </w:p>
    <w:p w14:paraId="160837D9">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r>
        <w:rPr>
          <w:rFonts w:ascii="Times New Roman" w:hAnsi="Times New Roman" w:eastAsia="宋体" w:cs="Times New Roman"/>
          <w:b/>
          <w:bCs/>
          <w:color w:val="auto"/>
          <w:kern w:val="0"/>
          <w:sz w:val="32"/>
          <w:szCs w:val="32"/>
          <w:highlight w:val="none"/>
          <w:lang w:val="zh-CN"/>
        </w:rPr>
        <w:br w:type="page"/>
      </w:r>
      <w:r>
        <w:rPr>
          <w:rFonts w:hint="eastAsia" w:ascii="Times New Roman" w:hAnsi="Times New Roman" w:eastAsia="宋体" w:cs="Times New Roman"/>
          <w:b/>
          <w:bCs/>
          <w:color w:val="auto"/>
          <w:kern w:val="0"/>
          <w:sz w:val="32"/>
          <w:szCs w:val="32"/>
          <w:highlight w:val="none"/>
          <w:lang w:val="zh-CN"/>
        </w:rPr>
        <w:t>投标人须知正文</w:t>
      </w:r>
    </w:p>
    <w:p w14:paraId="0E971FF1">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r>
        <w:rPr>
          <w:rFonts w:hint="eastAsia" w:ascii="Times New Roman" w:hAnsi="Times New Roman" w:eastAsia="宋体" w:cs="Times New Roman"/>
          <w:b/>
          <w:bCs/>
          <w:color w:val="auto"/>
          <w:kern w:val="0"/>
          <w:sz w:val="32"/>
          <w:szCs w:val="32"/>
          <w:highlight w:val="none"/>
          <w:lang w:val="zh-CN"/>
        </w:rPr>
        <w:t>一、总  则</w:t>
      </w:r>
    </w:p>
    <w:p w14:paraId="48A953CF">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76" w:name="_Toc254970668"/>
      <w:bookmarkStart w:id="77" w:name="_Toc254970527"/>
      <w:r>
        <w:rPr>
          <w:rFonts w:hint="eastAsia" w:ascii="黑体" w:hAnsi="黑体" w:eastAsia="黑体" w:cs="Times New Roman"/>
          <w:b/>
          <w:color w:val="auto"/>
          <w:sz w:val="24"/>
          <w:szCs w:val="24"/>
          <w:highlight w:val="none"/>
          <w:lang w:val="zh-CN"/>
        </w:rPr>
        <w:t>1.适用范围</w:t>
      </w:r>
      <w:bookmarkEnd w:id="76"/>
      <w:bookmarkEnd w:id="77"/>
    </w:p>
    <w:p w14:paraId="0BAB1812">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1.1适用法律：本项目招标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26A321B6">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1.2本招标文件</w:t>
      </w:r>
      <w:r>
        <w:rPr>
          <w:rFonts w:hint="eastAsia" w:ascii="宋体" w:hAnsi="宋体" w:eastAsia="宋体" w:cs="宋体"/>
          <w:color w:val="auto"/>
          <w:spacing w:val="-6"/>
          <w:szCs w:val="21"/>
          <w:highlight w:val="none"/>
        </w:rPr>
        <w:t>适用于本项目的所有采购程序和环节（法律、法规另有规定的，从其规定）。</w:t>
      </w:r>
    </w:p>
    <w:p w14:paraId="431628CA">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78" w:name="_Toc254970528"/>
      <w:bookmarkStart w:id="79" w:name="_Toc254970669"/>
      <w:r>
        <w:rPr>
          <w:rFonts w:hint="eastAsia" w:ascii="黑体" w:hAnsi="黑体" w:eastAsia="黑体" w:cs="Times New Roman"/>
          <w:b/>
          <w:color w:val="auto"/>
          <w:sz w:val="24"/>
          <w:szCs w:val="24"/>
          <w:highlight w:val="none"/>
          <w:lang w:val="zh-CN"/>
        </w:rPr>
        <w:t>2.定义</w:t>
      </w:r>
      <w:bookmarkEnd w:id="78"/>
      <w:bookmarkEnd w:id="79"/>
    </w:p>
    <w:p w14:paraId="27E095A2">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2.1“招标人”是指依法进行政府采购的国家机关、事业单位、团体组织。</w:t>
      </w:r>
    </w:p>
    <w:p w14:paraId="05797E8A">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2.2“采购代理机构”是指政府采购集中采购机构和集中采购机构以外的采购代理机构。</w:t>
      </w:r>
    </w:p>
    <w:p w14:paraId="40EAF1BF">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2.3“供应商”是指向招标人提供货物、工程或者服务的法人、其他组织或者自然人。</w:t>
      </w:r>
    </w:p>
    <w:p w14:paraId="0FE6F3E4">
      <w:pPr>
        <w:spacing w:line="360" w:lineRule="auto"/>
        <w:ind w:firstLine="42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2.4“投标人”是指响应招标、参加投标竞争的法人、非法人组织或者自然人。</w:t>
      </w:r>
    </w:p>
    <w:p w14:paraId="289E4293">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2.5“服务”是指除货物和工程以外的其他政府采购对象。</w:t>
      </w:r>
    </w:p>
    <w:p w14:paraId="28CCB6CC">
      <w:pPr>
        <w:numPr>
          <w:ilvl w:val="4"/>
          <w:numId w:val="0"/>
        </w:numPr>
        <w:spacing w:line="360" w:lineRule="auto"/>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    2.</w:t>
      </w:r>
      <w:r>
        <w:rPr>
          <w:rFonts w:ascii="宋体" w:hAnsi="宋体" w:eastAsia="宋体" w:cs="Times New Roman"/>
          <w:color w:val="auto"/>
          <w:szCs w:val="21"/>
          <w:highlight w:val="none"/>
          <w:lang w:val="zh-CN"/>
        </w:rPr>
        <w:t>6</w:t>
      </w:r>
      <w:r>
        <w:rPr>
          <w:rFonts w:hint="eastAsia" w:ascii="宋体" w:hAnsi="宋体" w:eastAsia="宋体" w:cs="Times New Roman"/>
          <w:color w:val="auto"/>
          <w:szCs w:val="21"/>
          <w:highlight w:val="none"/>
          <w:lang w:val="zh-CN"/>
        </w:rPr>
        <w:t>“书面形式”是指合同书、信件和数据电文（包括电报、电传、传真、电子数据交换和电子邮件）等可以有形地表现所载内容的形式。</w:t>
      </w:r>
    </w:p>
    <w:p w14:paraId="18D3E260">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2.</w:t>
      </w:r>
      <w:r>
        <w:rPr>
          <w:rFonts w:ascii="宋体" w:hAnsi="宋体" w:eastAsia="宋体" w:cs="Times New Roman"/>
          <w:color w:val="auto"/>
          <w:szCs w:val="21"/>
          <w:highlight w:val="none"/>
          <w:lang w:val="zh-CN"/>
        </w:rPr>
        <w:t>7</w:t>
      </w:r>
      <w:r>
        <w:rPr>
          <w:rFonts w:hint="eastAsia" w:ascii="宋体" w:hAnsi="宋体" w:eastAsia="宋体" w:cs="Times New Roman"/>
          <w:color w:val="auto"/>
          <w:szCs w:val="21"/>
          <w:highlight w:val="none"/>
          <w:lang w:val="zh-CN"/>
        </w:rPr>
        <w:t>“实质性要求”是指招标文件中已经指明不满足则投标无效的条款，或者不能负偏离的条款，或者采购需求中带“</w:t>
      </w:r>
      <w:r>
        <w:rPr>
          <w:rFonts w:hint="eastAsia" w:ascii="Times New Roman" w:hAnsi="Times New Roman" w:eastAsia="宋体" w:cs="Times New Roman"/>
          <w:b/>
          <w:color w:val="auto"/>
          <w:sz w:val="28"/>
          <w:szCs w:val="24"/>
          <w:highlight w:val="none"/>
          <w:lang w:val="zh-CN"/>
        </w:rPr>
        <w:t xml:space="preserve"> </w:t>
      </w:r>
      <w:r>
        <w:rPr>
          <w:rFonts w:hint="eastAsia" w:ascii="宋体" w:hAnsi="宋体" w:eastAsia="宋体" w:cs="Times New Roman"/>
          <w:color w:val="auto"/>
          <w:szCs w:val="21"/>
          <w:highlight w:val="none"/>
          <w:lang w:val="zh-CN"/>
        </w:rPr>
        <w:t>★或▲”的条款。</w:t>
      </w:r>
    </w:p>
    <w:p w14:paraId="6C25655C">
      <w:pPr>
        <w:snapToGrid w:val="0"/>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8</w:t>
      </w:r>
      <w:r>
        <w:rPr>
          <w:rFonts w:hint="eastAsia" w:ascii="宋体" w:hAnsi="宋体" w:eastAsia="宋体" w:cs="宋体"/>
          <w:color w:val="auto"/>
          <w:szCs w:val="21"/>
          <w:highlight w:val="none"/>
        </w:rPr>
        <w:t>“正偏离”，是指投标文件对招标文件“采购需求”中有关条款作出的响应优于条款要求并有利于招标人的情形。</w:t>
      </w:r>
    </w:p>
    <w:p w14:paraId="7C4DDC34">
      <w:pPr>
        <w:snapToGrid w:val="0"/>
        <w:spacing w:line="360" w:lineRule="auto"/>
        <w:ind w:firstLine="420" w:firstLineChars="200"/>
        <w:jc w:val="left"/>
        <w:rPr>
          <w:rFonts w:ascii="宋体" w:hAnsi="宋体" w:eastAsia="宋体" w:cs="宋体"/>
          <w:color w:val="auto"/>
          <w:szCs w:val="21"/>
          <w:highlight w:val="none"/>
        </w:rPr>
      </w:pPr>
      <w:r>
        <w:rPr>
          <w:rFonts w:ascii="宋体" w:hAnsi="宋体" w:eastAsia="宋体" w:cs="宋体"/>
          <w:color w:val="auto"/>
          <w:szCs w:val="21"/>
          <w:highlight w:val="none"/>
        </w:rPr>
        <w:t>2.9</w:t>
      </w:r>
      <w:r>
        <w:rPr>
          <w:rFonts w:hint="eastAsia" w:ascii="宋体" w:hAnsi="宋体" w:eastAsia="宋体" w:cs="宋体"/>
          <w:color w:val="auto"/>
          <w:szCs w:val="21"/>
          <w:highlight w:val="none"/>
        </w:rPr>
        <w:t>“负偏离”，是指投标文件对招标文件“采购需求”中有关条款作出的响应不满足条款要求，导致招标人要求不能得到满足的情形。</w:t>
      </w:r>
    </w:p>
    <w:p w14:paraId="0C709104">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2.1</w:t>
      </w:r>
      <w:r>
        <w:rPr>
          <w:rFonts w:ascii="宋体" w:hAnsi="宋体" w:eastAsia="宋体" w:cs="Times New Roman"/>
          <w:color w:val="auto"/>
          <w:szCs w:val="21"/>
          <w:highlight w:val="none"/>
        </w:rPr>
        <w:t>0</w:t>
      </w:r>
      <w:r>
        <w:rPr>
          <w:rFonts w:hint="eastAsia" w:ascii="宋体" w:hAnsi="宋体" w:eastAsia="宋体" w:cs="宋体"/>
          <w:color w:val="auto"/>
          <w:szCs w:val="21"/>
          <w:highlight w:val="none"/>
        </w:rPr>
        <w:t>“允许负偏离的条款”是指采购需求中的不属于“实质性要求”的条款。</w:t>
      </w:r>
      <w:bookmarkStart w:id="80" w:name="_Toc254970529"/>
      <w:bookmarkStart w:id="81" w:name="_Toc254970670"/>
    </w:p>
    <w:p w14:paraId="6CCDA656">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3.</w:t>
      </w:r>
      <w:bookmarkEnd w:id="80"/>
      <w:bookmarkEnd w:id="81"/>
      <w:r>
        <w:rPr>
          <w:rFonts w:hint="eastAsia" w:ascii="黑体" w:hAnsi="黑体" w:eastAsia="黑体" w:cs="Times New Roman"/>
          <w:b/>
          <w:color w:val="auto"/>
          <w:sz w:val="24"/>
          <w:szCs w:val="24"/>
          <w:highlight w:val="none"/>
          <w:lang w:val="zh-CN"/>
        </w:rPr>
        <w:t>投标人的资格要求</w:t>
      </w:r>
    </w:p>
    <w:p w14:paraId="30BDE613">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投标人的资格要求详见“投标人须知前附表”。</w:t>
      </w:r>
    </w:p>
    <w:p w14:paraId="5ED33CAB">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82" w:name="_Toc254970530"/>
      <w:bookmarkStart w:id="83" w:name="_Toc254970671"/>
      <w:r>
        <w:rPr>
          <w:rFonts w:hint="eastAsia" w:ascii="黑体" w:hAnsi="黑体" w:eastAsia="黑体" w:cs="Times New Roman"/>
          <w:b/>
          <w:color w:val="auto"/>
          <w:sz w:val="24"/>
          <w:szCs w:val="24"/>
          <w:highlight w:val="none"/>
          <w:lang w:val="zh-CN"/>
        </w:rPr>
        <w:t>4.投标委托</w:t>
      </w:r>
      <w:bookmarkEnd w:id="82"/>
      <w:bookmarkEnd w:id="83"/>
    </w:p>
    <w:p w14:paraId="2A183BF3">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投标人代表参加投标活动过程中必须携带个人有效身份证件。如投标人代表不是法定代表人，须持有授权委托书（正本用原件，副本用复印件，按第六章要求格式填写）。</w:t>
      </w:r>
    </w:p>
    <w:p w14:paraId="621F4616">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84" w:name="_5.投标费用"/>
      <w:bookmarkEnd w:id="84"/>
      <w:bookmarkStart w:id="85" w:name="_Toc254970672"/>
      <w:bookmarkStart w:id="86" w:name="_Toc254970531"/>
      <w:r>
        <w:rPr>
          <w:rFonts w:hint="eastAsia" w:ascii="黑体" w:hAnsi="黑体" w:eastAsia="黑体" w:cs="Times New Roman"/>
          <w:b/>
          <w:color w:val="auto"/>
          <w:sz w:val="24"/>
          <w:szCs w:val="24"/>
          <w:highlight w:val="none"/>
          <w:lang w:val="zh-CN"/>
        </w:rPr>
        <w:t>5.投标费用</w:t>
      </w:r>
      <w:bookmarkEnd w:id="85"/>
      <w:bookmarkEnd w:id="86"/>
    </w:p>
    <w:p w14:paraId="44EBF8AD">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宋体"/>
          <w:color w:val="auto"/>
          <w:szCs w:val="21"/>
          <w:highlight w:val="none"/>
        </w:rPr>
        <w:t>投标费用：投标人应承担参与本次采购活动有关的所有费用，包括但不限于获取招标文件、勘查现场、编制和提交投标文件、参加澄清说明、签订合同等，不论投标结果如何，均应自行承担。</w:t>
      </w:r>
    </w:p>
    <w:p w14:paraId="05ED8C1B">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6.联合体投标</w:t>
      </w:r>
    </w:p>
    <w:p w14:paraId="326F9E89">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6.1本项目是否接受联合体投标，详见“投标人须知前附表”。</w:t>
      </w:r>
    </w:p>
    <w:p w14:paraId="0F888C12">
      <w:pPr>
        <w:snapToGrid w:val="0"/>
        <w:spacing w:line="360" w:lineRule="auto"/>
        <w:ind w:firstLine="420" w:firstLineChars="200"/>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6.2如接受联合体投标，联合体投标要求详见“投标人须知前附表”。</w:t>
      </w:r>
    </w:p>
    <w:p w14:paraId="34B5D390">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6.3</w:t>
      </w:r>
      <w:r>
        <w:rPr>
          <w:rFonts w:hint="eastAsia" w:ascii="宋体" w:hAnsi="宋体" w:eastAsia="宋体" w:cs="Times New Roman"/>
          <w:color w:val="auto"/>
          <w:szCs w:val="21"/>
          <w:highlight w:val="none"/>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招标人、采购代理机构应当对联合体或者大中型企业的报价给予2%-3%的扣除，用扣除后的价格参加评审。</w:t>
      </w:r>
    </w:p>
    <w:p w14:paraId="404B20C0">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 xml:space="preserve">7.转包与分包             </w:t>
      </w:r>
    </w:p>
    <w:p w14:paraId="1E969441">
      <w:pPr>
        <w:numPr>
          <w:ilvl w:val="4"/>
          <w:numId w:val="0"/>
        </w:numPr>
        <w:spacing w:line="360" w:lineRule="auto"/>
        <w:ind w:left="420" w:leftChars="200"/>
        <w:outlineLvl w:val="4"/>
        <w:rPr>
          <w:rFonts w:ascii="宋体" w:hAnsi="宋体" w:eastAsia="宋体" w:cs="Times New Roman"/>
          <w:color w:val="auto"/>
          <w:szCs w:val="21"/>
          <w:highlight w:val="none"/>
          <w:lang w:val="zh-CN"/>
        </w:rPr>
      </w:pPr>
      <w:bookmarkStart w:id="87" w:name="_Toc254970532"/>
      <w:bookmarkStart w:id="88" w:name="_Toc254970673"/>
      <w:r>
        <w:rPr>
          <w:rFonts w:hint="eastAsia" w:ascii="宋体" w:hAnsi="宋体" w:eastAsia="宋体" w:cs="Times New Roman"/>
          <w:color w:val="auto"/>
          <w:szCs w:val="21"/>
          <w:highlight w:val="none"/>
          <w:lang w:val="zh-CN"/>
        </w:rPr>
        <w:t>7.1本项目不允许转包。</w:t>
      </w:r>
    </w:p>
    <w:p w14:paraId="69D4C9E5">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22BF9850">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76FC39DF">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8.特别说明</w:t>
      </w:r>
      <w:bookmarkEnd w:id="87"/>
      <w:bookmarkEnd w:id="88"/>
    </w:p>
    <w:p w14:paraId="071685C5">
      <w:pPr>
        <w:numPr>
          <w:ilvl w:val="4"/>
          <w:numId w:val="0"/>
        </w:numPr>
        <w:spacing w:line="360" w:lineRule="auto"/>
        <w:ind w:firstLine="367" w:firstLineChars="175"/>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8.1如果本招标文件要求提供投标人或制造商的资格、信誉、荣誉、业绩与企业认证等材料的，资格、信誉、荣誉、业绩与企业认证等必须为投标人或者制造商所拥有或自身获得 。</w:t>
      </w:r>
    </w:p>
    <w:p w14:paraId="10C0A2FB">
      <w:pPr>
        <w:numPr>
          <w:ilvl w:val="4"/>
          <w:numId w:val="0"/>
        </w:numPr>
        <w:spacing w:line="360" w:lineRule="auto"/>
        <w:ind w:firstLine="367" w:firstLineChars="175"/>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8.2投标人应仔细阅读招标文件的所有内容，按照招标文件的要求提交投标文件，并对所提供的全部资料的真实性承担法律责任。</w:t>
      </w:r>
    </w:p>
    <w:p w14:paraId="33C7F2BB">
      <w:pPr>
        <w:numPr>
          <w:ilvl w:val="4"/>
          <w:numId w:val="0"/>
        </w:numPr>
        <w:spacing w:line="360" w:lineRule="auto"/>
        <w:ind w:firstLine="367" w:firstLineChars="175"/>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8.3投标人在投标活动中提供任何虚假材料，将报监管部门查处；中标后发现的，中标人须依照《中华人民共和国消费者权益保护法》规定赔偿招标人，且民事赔偿并不免除违法投标人的行政与刑事责任。</w:t>
      </w:r>
    </w:p>
    <w:p w14:paraId="5D382955">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ascii="黑体" w:hAnsi="黑体" w:eastAsia="黑体" w:cs="Times New Roman"/>
          <w:b/>
          <w:color w:val="auto"/>
          <w:sz w:val="24"/>
          <w:szCs w:val="24"/>
          <w:highlight w:val="none"/>
          <w:lang w:val="zh-CN"/>
        </w:rPr>
        <w:t>9.</w:t>
      </w:r>
      <w:r>
        <w:rPr>
          <w:rFonts w:hint="eastAsia" w:ascii="黑体" w:hAnsi="黑体" w:eastAsia="黑体" w:cs="Times New Roman"/>
          <w:b/>
          <w:color w:val="auto"/>
          <w:sz w:val="24"/>
          <w:szCs w:val="24"/>
          <w:highlight w:val="none"/>
          <w:lang w:val="zh-CN"/>
        </w:rPr>
        <w:t>回避与串通投标</w:t>
      </w:r>
    </w:p>
    <w:p w14:paraId="19E80C8E">
      <w:pPr>
        <w:numPr>
          <w:ilvl w:val="4"/>
          <w:numId w:val="0"/>
        </w:numPr>
        <w:spacing w:line="360" w:lineRule="auto"/>
        <w:ind w:firstLine="367" w:firstLineChars="175"/>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9</w:t>
      </w:r>
      <w:r>
        <w:rPr>
          <w:rFonts w:ascii="宋体" w:hAnsi="宋体" w:eastAsia="宋体" w:cs="Times New Roman"/>
          <w:color w:val="auto"/>
          <w:szCs w:val="21"/>
          <w:highlight w:val="none"/>
          <w:lang w:val="zh-CN"/>
        </w:rPr>
        <w:t>.1在政府采购活动中，招标人员及相关人员与</w:t>
      </w:r>
      <w:r>
        <w:rPr>
          <w:rFonts w:hint="eastAsia" w:ascii="宋体" w:hAnsi="宋体" w:eastAsia="宋体" w:cs="Times New Roman"/>
          <w:color w:val="auto"/>
          <w:szCs w:val="21"/>
          <w:highlight w:val="none"/>
          <w:lang w:val="zh-CN"/>
        </w:rPr>
        <w:t>供应商</w:t>
      </w:r>
      <w:r>
        <w:rPr>
          <w:rFonts w:ascii="宋体" w:hAnsi="宋体" w:eastAsia="宋体" w:cs="Times New Roman"/>
          <w:color w:val="auto"/>
          <w:szCs w:val="21"/>
          <w:highlight w:val="none"/>
          <w:lang w:val="zh-CN"/>
        </w:rPr>
        <w:t>有下列利害关系之一的，应当回避：</w:t>
      </w:r>
    </w:p>
    <w:p w14:paraId="4005DB73">
      <w:pPr>
        <w:snapToGrid w:val="0"/>
        <w:spacing w:line="360" w:lineRule="auto"/>
        <w:ind w:left="2" w:leftChars="1" w:firstLine="420" w:firstLineChars="200"/>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w:t>
      </w:r>
      <w:r>
        <w:rPr>
          <w:rFonts w:hint="eastAsia" w:ascii="宋体" w:hAnsi="宋体" w:eastAsia="宋体" w:cs="Times New Roman"/>
          <w:color w:val="auto"/>
          <w:szCs w:val="21"/>
          <w:highlight w:val="none"/>
          <w:lang w:val="zh-CN"/>
        </w:rPr>
        <w:t>1</w:t>
      </w:r>
      <w:r>
        <w:rPr>
          <w:rFonts w:ascii="宋体" w:hAnsi="宋体" w:eastAsia="宋体" w:cs="Times New Roman"/>
          <w:color w:val="auto"/>
          <w:szCs w:val="21"/>
          <w:highlight w:val="none"/>
          <w:lang w:val="zh-CN"/>
        </w:rPr>
        <w:t>）参加采购活动前3年内与</w:t>
      </w:r>
      <w:r>
        <w:rPr>
          <w:rFonts w:hint="eastAsia" w:ascii="宋体" w:hAnsi="宋体" w:eastAsia="宋体" w:cs="Times New Roman"/>
          <w:color w:val="auto"/>
          <w:szCs w:val="21"/>
          <w:highlight w:val="none"/>
          <w:lang w:val="zh-CN"/>
        </w:rPr>
        <w:t>供应商</w:t>
      </w:r>
      <w:r>
        <w:rPr>
          <w:rFonts w:ascii="宋体" w:hAnsi="宋体" w:eastAsia="宋体" w:cs="Times New Roman"/>
          <w:color w:val="auto"/>
          <w:szCs w:val="21"/>
          <w:highlight w:val="none"/>
          <w:lang w:val="zh-CN"/>
        </w:rPr>
        <w:t>存在劳动关系；</w:t>
      </w:r>
    </w:p>
    <w:p w14:paraId="0D6D0192">
      <w:pPr>
        <w:snapToGrid w:val="0"/>
        <w:spacing w:line="360" w:lineRule="auto"/>
        <w:ind w:left="2" w:leftChars="1" w:firstLine="420" w:firstLineChars="200"/>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w:t>
      </w:r>
      <w:r>
        <w:rPr>
          <w:rFonts w:hint="eastAsia" w:ascii="宋体" w:hAnsi="宋体" w:eastAsia="宋体" w:cs="Times New Roman"/>
          <w:color w:val="auto"/>
          <w:szCs w:val="21"/>
          <w:highlight w:val="none"/>
          <w:lang w:val="zh-CN"/>
        </w:rPr>
        <w:t>2</w:t>
      </w:r>
      <w:r>
        <w:rPr>
          <w:rFonts w:ascii="宋体" w:hAnsi="宋体" w:eastAsia="宋体" w:cs="Times New Roman"/>
          <w:color w:val="auto"/>
          <w:szCs w:val="21"/>
          <w:highlight w:val="none"/>
          <w:lang w:val="zh-CN"/>
        </w:rPr>
        <w:t>）参加采购活动前3年内担任</w:t>
      </w:r>
      <w:r>
        <w:rPr>
          <w:rFonts w:hint="eastAsia" w:ascii="宋体" w:hAnsi="宋体" w:eastAsia="宋体" w:cs="Times New Roman"/>
          <w:color w:val="auto"/>
          <w:szCs w:val="21"/>
          <w:highlight w:val="none"/>
          <w:lang w:val="zh-CN"/>
        </w:rPr>
        <w:t>供应商</w:t>
      </w:r>
      <w:r>
        <w:rPr>
          <w:rFonts w:ascii="宋体" w:hAnsi="宋体" w:eastAsia="宋体" w:cs="Times New Roman"/>
          <w:color w:val="auto"/>
          <w:szCs w:val="21"/>
          <w:highlight w:val="none"/>
          <w:lang w:val="zh-CN"/>
        </w:rPr>
        <w:t>的董事、监事；</w:t>
      </w:r>
    </w:p>
    <w:p w14:paraId="6D367078">
      <w:pPr>
        <w:snapToGrid w:val="0"/>
        <w:spacing w:line="360" w:lineRule="auto"/>
        <w:ind w:left="2" w:leftChars="1" w:firstLine="420" w:firstLineChars="200"/>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w:t>
      </w:r>
      <w:r>
        <w:rPr>
          <w:rFonts w:hint="eastAsia" w:ascii="宋体" w:hAnsi="宋体" w:eastAsia="宋体" w:cs="Times New Roman"/>
          <w:color w:val="auto"/>
          <w:szCs w:val="21"/>
          <w:highlight w:val="none"/>
          <w:lang w:val="zh-CN"/>
        </w:rPr>
        <w:t>3</w:t>
      </w:r>
      <w:r>
        <w:rPr>
          <w:rFonts w:ascii="宋体" w:hAnsi="宋体" w:eastAsia="宋体" w:cs="Times New Roman"/>
          <w:color w:val="auto"/>
          <w:szCs w:val="21"/>
          <w:highlight w:val="none"/>
          <w:lang w:val="zh-CN"/>
        </w:rPr>
        <w:t>）参加采购活动前3年内是</w:t>
      </w:r>
      <w:r>
        <w:rPr>
          <w:rFonts w:hint="eastAsia" w:ascii="宋体" w:hAnsi="宋体" w:eastAsia="宋体" w:cs="Times New Roman"/>
          <w:color w:val="auto"/>
          <w:szCs w:val="21"/>
          <w:highlight w:val="none"/>
          <w:lang w:val="zh-CN"/>
        </w:rPr>
        <w:t>供应商</w:t>
      </w:r>
      <w:r>
        <w:rPr>
          <w:rFonts w:ascii="宋体" w:hAnsi="宋体" w:eastAsia="宋体" w:cs="Times New Roman"/>
          <w:color w:val="auto"/>
          <w:szCs w:val="21"/>
          <w:highlight w:val="none"/>
          <w:lang w:val="zh-CN"/>
        </w:rPr>
        <w:t>的控股股东或者实际控制人；</w:t>
      </w:r>
    </w:p>
    <w:p w14:paraId="331765EA">
      <w:pPr>
        <w:snapToGrid w:val="0"/>
        <w:spacing w:line="360" w:lineRule="auto"/>
        <w:ind w:left="2" w:leftChars="1" w:firstLine="420" w:firstLineChars="200"/>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w:t>
      </w:r>
      <w:r>
        <w:rPr>
          <w:rFonts w:hint="eastAsia" w:ascii="宋体" w:hAnsi="宋体" w:eastAsia="宋体" w:cs="Times New Roman"/>
          <w:color w:val="auto"/>
          <w:szCs w:val="21"/>
          <w:highlight w:val="none"/>
          <w:lang w:val="zh-CN"/>
        </w:rPr>
        <w:t>4</w:t>
      </w:r>
      <w:r>
        <w:rPr>
          <w:rFonts w:ascii="宋体" w:hAnsi="宋体" w:eastAsia="宋体" w:cs="Times New Roman"/>
          <w:color w:val="auto"/>
          <w:szCs w:val="21"/>
          <w:highlight w:val="none"/>
          <w:lang w:val="zh-CN"/>
        </w:rPr>
        <w:t>）与</w:t>
      </w:r>
      <w:r>
        <w:rPr>
          <w:rFonts w:hint="eastAsia" w:ascii="宋体" w:hAnsi="宋体" w:eastAsia="宋体" w:cs="Times New Roman"/>
          <w:color w:val="auto"/>
          <w:szCs w:val="21"/>
          <w:highlight w:val="none"/>
          <w:lang w:val="zh-CN"/>
        </w:rPr>
        <w:t>供应商</w:t>
      </w:r>
      <w:r>
        <w:rPr>
          <w:rFonts w:ascii="宋体" w:hAnsi="宋体" w:eastAsia="宋体" w:cs="Times New Roman"/>
          <w:color w:val="auto"/>
          <w:szCs w:val="21"/>
          <w:highlight w:val="none"/>
          <w:lang w:val="zh-CN"/>
        </w:rPr>
        <w:t>的法定代表人或者负责人有夫妻、直系血亲、三代以内旁系血亲或者近姻亲关系；</w:t>
      </w:r>
    </w:p>
    <w:p w14:paraId="465938EA">
      <w:pPr>
        <w:snapToGrid w:val="0"/>
        <w:spacing w:line="360" w:lineRule="auto"/>
        <w:ind w:left="2" w:leftChars="1" w:firstLine="420" w:firstLineChars="200"/>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w:t>
      </w:r>
      <w:r>
        <w:rPr>
          <w:rFonts w:hint="eastAsia" w:ascii="宋体" w:hAnsi="宋体" w:eastAsia="宋体" w:cs="Times New Roman"/>
          <w:color w:val="auto"/>
          <w:szCs w:val="21"/>
          <w:highlight w:val="none"/>
          <w:lang w:val="zh-CN"/>
        </w:rPr>
        <w:t>5</w:t>
      </w:r>
      <w:r>
        <w:rPr>
          <w:rFonts w:ascii="宋体" w:hAnsi="宋体" w:eastAsia="宋体" w:cs="Times New Roman"/>
          <w:color w:val="auto"/>
          <w:szCs w:val="21"/>
          <w:highlight w:val="none"/>
          <w:lang w:val="zh-CN"/>
        </w:rPr>
        <w:t>）与</w:t>
      </w:r>
      <w:r>
        <w:rPr>
          <w:rFonts w:hint="eastAsia" w:ascii="宋体" w:hAnsi="宋体" w:eastAsia="宋体" w:cs="Times New Roman"/>
          <w:color w:val="auto"/>
          <w:szCs w:val="21"/>
          <w:highlight w:val="none"/>
          <w:lang w:val="zh-CN"/>
        </w:rPr>
        <w:t>供应商</w:t>
      </w:r>
      <w:r>
        <w:rPr>
          <w:rFonts w:ascii="宋体" w:hAnsi="宋体" w:eastAsia="宋体" w:cs="Times New Roman"/>
          <w:color w:val="auto"/>
          <w:szCs w:val="21"/>
          <w:highlight w:val="none"/>
          <w:lang w:val="zh-CN"/>
        </w:rPr>
        <w:t>有其他可能影响政府采购活动公平、公正进行的关系。</w:t>
      </w:r>
    </w:p>
    <w:p w14:paraId="06D33EF9">
      <w:pPr>
        <w:snapToGrid w:val="0"/>
        <w:spacing w:line="360" w:lineRule="auto"/>
        <w:ind w:left="2" w:leftChars="1" w:firstLine="420" w:firstLineChars="200"/>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供应商</w:t>
      </w:r>
      <w:r>
        <w:rPr>
          <w:rFonts w:ascii="宋体" w:hAnsi="宋体" w:eastAsia="宋体" w:cs="Times New Roman"/>
          <w:color w:val="auto"/>
          <w:szCs w:val="21"/>
          <w:highlight w:val="none"/>
          <w:lang w:val="zh-CN"/>
        </w:rPr>
        <w:t>认为招标人员及相关人员与其他</w:t>
      </w:r>
      <w:r>
        <w:rPr>
          <w:rFonts w:hint="eastAsia" w:ascii="宋体" w:hAnsi="宋体" w:eastAsia="宋体" w:cs="Times New Roman"/>
          <w:color w:val="auto"/>
          <w:szCs w:val="21"/>
          <w:highlight w:val="none"/>
          <w:lang w:val="zh-CN"/>
        </w:rPr>
        <w:t>供应商</w:t>
      </w:r>
      <w:r>
        <w:rPr>
          <w:rFonts w:ascii="宋体" w:hAnsi="宋体" w:eastAsia="宋体" w:cs="Times New Roman"/>
          <w:color w:val="auto"/>
          <w:szCs w:val="21"/>
          <w:highlight w:val="none"/>
          <w:lang w:val="zh-CN"/>
        </w:rPr>
        <w:t>有利害关系的，可以向招标人或者采购代理机构书面提出回避申请，并说明理由。招标人或者采购代理机构应当及时询问被申请回避人员，有利害关系的被申请回避人员应当回避。</w:t>
      </w:r>
    </w:p>
    <w:p w14:paraId="01B5C453">
      <w:pPr>
        <w:numPr>
          <w:ilvl w:val="4"/>
          <w:numId w:val="0"/>
        </w:numPr>
        <w:spacing w:line="360" w:lineRule="auto"/>
        <w:ind w:left="420" w:leftChars="200"/>
        <w:outlineLvl w:val="4"/>
        <w:rPr>
          <w:rFonts w:ascii="宋体" w:hAnsi="宋体" w:eastAsia="宋体" w:cs="Times New Roman"/>
          <w:b/>
          <w:color w:val="auto"/>
          <w:szCs w:val="21"/>
          <w:highlight w:val="none"/>
          <w:lang w:val="zh-CN"/>
        </w:rPr>
      </w:pPr>
      <w:r>
        <w:rPr>
          <w:rFonts w:ascii="宋体" w:hAnsi="宋体" w:eastAsia="宋体" w:cs="Times New Roman"/>
          <w:b/>
          <w:color w:val="auto"/>
          <w:szCs w:val="21"/>
          <w:highlight w:val="none"/>
          <w:lang w:val="zh-CN"/>
        </w:rPr>
        <w:t>9.2</w:t>
      </w:r>
      <w:r>
        <w:rPr>
          <w:rFonts w:hint="eastAsia" w:ascii="宋体" w:hAnsi="宋体" w:eastAsia="宋体" w:cs="Times New Roman"/>
          <w:b/>
          <w:color w:val="auto"/>
          <w:szCs w:val="21"/>
          <w:highlight w:val="none"/>
          <w:lang w:val="zh-CN"/>
        </w:rPr>
        <w:t>有下列情形之一的视为投标人相互串通投标，投标文件将被视为无效：</w:t>
      </w:r>
    </w:p>
    <w:p w14:paraId="62E6DCBE">
      <w:pPr>
        <w:snapToGrid w:val="0"/>
        <w:spacing w:line="360" w:lineRule="auto"/>
        <w:ind w:left="2" w:leftChars="1" w:firstLine="422" w:firstLineChars="200"/>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 xml:space="preserve">（1）不同投标人的投标文件由同一单位或者个人编制； </w:t>
      </w:r>
    </w:p>
    <w:p w14:paraId="789FF22F">
      <w:pPr>
        <w:snapToGrid w:val="0"/>
        <w:spacing w:line="360" w:lineRule="auto"/>
        <w:ind w:left="2" w:leftChars="1" w:firstLine="422" w:firstLineChars="200"/>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（2）不同投标人委托同一单位或者个人办理投标事宜；</w:t>
      </w:r>
    </w:p>
    <w:p w14:paraId="710AF540">
      <w:pPr>
        <w:snapToGrid w:val="0"/>
        <w:spacing w:line="360" w:lineRule="auto"/>
        <w:ind w:left="2" w:leftChars="1" w:firstLine="422" w:firstLineChars="200"/>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（3）不同的投标人的投标文件载明的项目管理员为同一个人；</w:t>
      </w:r>
    </w:p>
    <w:p w14:paraId="457253D1">
      <w:pPr>
        <w:snapToGrid w:val="0"/>
        <w:spacing w:line="360" w:lineRule="auto"/>
        <w:ind w:left="2" w:leftChars="1" w:firstLine="422" w:firstLineChars="200"/>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（4）不同投标人的投标文件异常一致或者投标报价呈规律性差异；</w:t>
      </w:r>
    </w:p>
    <w:p w14:paraId="38FFB04E">
      <w:pPr>
        <w:snapToGrid w:val="0"/>
        <w:spacing w:line="360" w:lineRule="auto"/>
        <w:ind w:left="2" w:leftChars="1" w:firstLine="422" w:firstLineChars="200"/>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（5）不同投标人的投标文件相互混装；</w:t>
      </w:r>
    </w:p>
    <w:p w14:paraId="18DFDFB9">
      <w:pPr>
        <w:snapToGrid w:val="0"/>
        <w:spacing w:line="360" w:lineRule="auto"/>
        <w:ind w:left="2" w:leftChars="1" w:firstLine="422" w:firstLineChars="200"/>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（6）不同投标人的投标保证金从同一单位或者个人账户转出。</w:t>
      </w:r>
    </w:p>
    <w:p w14:paraId="30B88149">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9.3</w:t>
      </w:r>
      <w:r>
        <w:rPr>
          <w:rFonts w:hint="eastAsia" w:ascii="宋体" w:hAnsi="宋体" w:eastAsia="宋体" w:cs="Times New Roman"/>
          <w:color w:val="auto"/>
          <w:szCs w:val="21"/>
          <w:highlight w:val="none"/>
          <w:lang w:val="zh-CN"/>
        </w:rPr>
        <w:t>供应商有下列情形之一的，属于恶意串通行为，将报同级监督管理部门：</w:t>
      </w:r>
    </w:p>
    <w:p w14:paraId="418FD9F0">
      <w:pPr>
        <w:snapToGrid w:val="0"/>
        <w:spacing w:line="360" w:lineRule="auto"/>
        <w:ind w:left="2" w:leftChars="1" w:firstLine="420" w:firstLineChars="200"/>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（1）供应商直接或者间接从招标人或者采购代理机构处获得其他供应商的相关信息并修改其投标文件或者投标文件；</w:t>
      </w:r>
    </w:p>
    <w:p w14:paraId="7FF0F900">
      <w:pPr>
        <w:snapToGrid w:val="0"/>
        <w:spacing w:line="360" w:lineRule="auto"/>
        <w:ind w:left="2" w:leftChars="1" w:firstLine="420" w:firstLineChars="200"/>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（2）供应商按照招标人或者采购代理机构的授意撤换、修改投标文件或者投标文件；</w:t>
      </w:r>
    </w:p>
    <w:p w14:paraId="2210E0CD">
      <w:pPr>
        <w:snapToGrid w:val="0"/>
        <w:spacing w:line="360" w:lineRule="auto"/>
        <w:ind w:left="2" w:leftChars="1" w:firstLine="420" w:firstLineChars="200"/>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（3）供应商之间协商报价、技术方案等投标文件或者投标文件的实质性内容；</w:t>
      </w:r>
    </w:p>
    <w:p w14:paraId="32D036D0">
      <w:pPr>
        <w:snapToGrid w:val="0"/>
        <w:spacing w:line="360" w:lineRule="auto"/>
        <w:ind w:left="2" w:leftChars="1" w:firstLine="420" w:firstLineChars="200"/>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（4）属于同一集团、协会、商会等组织成员的供应商按照该组织要求协同参加政府采购活动；</w:t>
      </w:r>
    </w:p>
    <w:p w14:paraId="5E14A7EF">
      <w:pPr>
        <w:snapToGrid w:val="0"/>
        <w:spacing w:line="360" w:lineRule="auto"/>
        <w:ind w:left="2" w:leftChars="1" w:firstLine="420" w:firstLineChars="200"/>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（5）供应商之间事先约定一致抬高或者压低投标报价，或者在招标项目中事先约定轮流以高价位或者低价位中标，或者事先约定由某一特定供应商中标，然后再参加投标；</w:t>
      </w:r>
    </w:p>
    <w:p w14:paraId="706BE103">
      <w:pPr>
        <w:snapToGrid w:val="0"/>
        <w:spacing w:line="360" w:lineRule="auto"/>
        <w:ind w:left="2" w:leftChars="1" w:firstLine="420" w:firstLineChars="200"/>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（6）供应商之间商定部分供应商放弃参加政府采购活动或者放弃中标；</w:t>
      </w:r>
    </w:p>
    <w:p w14:paraId="3FCD8C07">
      <w:pPr>
        <w:snapToGrid w:val="0"/>
        <w:spacing w:line="360" w:lineRule="auto"/>
        <w:ind w:left="2" w:leftChars="1" w:firstLine="420" w:firstLineChars="200"/>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（7）供应商与招标人或者采购代理机构之间、供应商相互之间，为谋求特定供应商中标或者排斥其他供应商的其他串通行为。</w:t>
      </w:r>
    </w:p>
    <w:p w14:paraId="0D2CC0FA">
      <w:pPr>
        <w:snapToGrid w:val="0"/>
        <w:spacing w:line="360" w:lineRule="auto"/>
        <w:ind w:left="2" w:leftChars="1" w:firstLine="422" w:firstLineChars="200"/>
        <w:rPr>
          <w:rFonts w:ascii="宋体" w:hAnsi="宋体" w:eastAsia="宋体" w:cs="Times New Roman"/>
          <w:b/>
          <w:color w:val="auto"/>
          <w:szCs w:val="21"/>
          <w:highlight w:val="none"/>
          <w:lang w:val="zh-CN"/>
        </w:rPr>
      </w:pPr>
    </w:p>
    <w:p w14:paraId="50908F89">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bookmarkStart w:id="89" w:name="_Toc254970534"/>
      <w:bookmarkStart w:id="90" w:name="_Toc254970675"/>
      <w:r>
        <w:rPr>
          <w:rFonts w:hint="eastAsia" w:ascii="Times New Roman" w:hAnsi="Times New Roman" w:eastAsia="宋体" w:cs="Times New Roman"/>
          <w:b/>
          <w:bCs/>
          <w:color w:val="auto"/>
          <w:kern w:val="0"/>
          <w:sz w:val="32"/>
          <w:szCs w:val="32"/>
          <w:highlight w:val="none"/>
          <w:lang w:val="zh-CN"/>
        </w:rPr>
        <w:t>二、招标文件</w:t>
      </w:r>
      <w:bookmarkEnd w:id="89"/>
      <w:bookmarkEnd w:id="90"/>
    </w:p>
    <w:p w14:paraId="1DAF5B7C">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10.招标文件的组成</w:t>
      </w:r>
    </w:p>
    <w:p w14:paraId="474B7DC9">
      <w:pPr>
        <w:snapToGrid w:val="0"/>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（1）招标公告；</w:t>
      </w:r>
    </w:p>
    <w:p w14:paraId="3E8CB701">
      <w:pPr>
        <w:snapToGrid w:val="0"/>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（2）采购需求； </w:t>
      </w:r>
    </w:p>
    <w:p w14:paraId="4A60D0E1">
      <w:pPr>
        <w:snapToGrid w:val="0"/>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（3）投标人须知；</w:t>
      </w:r>
    </w:p>
    <w:p w14:paraId="11E950FD">
      <w:pPr>
        <w:snapToGrid w:val="0"/>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（4）评标方法及评标标准；</w:t>
      </w:r>
    </w:p>
    <w:p w14:paraId="219341EF">
      <w:pPr>
        <w:snapToGrid w:val="0"/>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（5）拟签订的合同文本；</w:t>
      </w:r>
    </w:p>
    <w:p w14:paraId="5F4AEF68">
      <w:pPr>
        <w:snapToGrid w:val="0"/>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（6）投标文件格式。</w:t>
      </w:r>
    </w:p>
    <w:p w14:paraId="25FE5FBB">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11.招标文件的澄清、修改 、现场考察和答疑会</w:t>
      </w:r>
    </w:p>
    <w:p w14:paraId="55590AF4">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 11.1招标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5B3909DD">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澄清或者修改的内容可能影响投标文件编制的，招标人或者采购代理机构应当在投标截止时间至少15日前，以书面形式通知所有获取招标文件的潜在投标人；不足15日的，招标人或者采购代理机构应当顺延提交投标文件的截止时间。</w:t>
      </w:r>
      <w:r>
        <w:rPr>
          <w:rFonts w:ascii="宋体" w:hAnsi="宋体" w:eastAsia="宋体" w:cs="Times New Roman"/>
          <w:color w:val="auto"/>
          <w:kern w:val="0"/>
          <w:szCs w:val="21"/>
          <w:highlight w:val="none"/>
          <w:lang w:val="zh-CN"/>
        </w:rPr>
        <w:t>投标人</w:t>
      </w:r>
      <w:r>
        <w:rPr>
          <w:rFonts w:hint="eastAsia" w:ascii="宋体" w:hAnsi="宋体" w:eastAsia="宋体" w:cs="Times New Roman"/>
          <w:color w:val="auto"/>
          <w:kern w:val="0"/>
          <w:szCs w:val="21"/>
          <w:highlight w:val="none"/>
          <w:lang w:val="zh-CN"/>
        </w:rPr>
        <w:t>应当</w:t>
      </w:r>
      <w:r>
        <w:rPr>
          <w:rFonts w:ascii="宋体" w:hAnsi="宋体" w:eastAsia="宋体" w:cs="Times New Roman"/>
          <w:color w:val="auto"/>
          <w:kern w:val="0"/>
          <w:szCs w:val="21"/>
          <w:highlight w:val="none"/>
          <w:lang w:val="zh-CN"/>
        </w:rPr>
        <w:t>按照桂财采【2007】65号文件第二十九条规定，在澄清或者修改通知发出后</w:t>
      </w:r>
      <w:r>
        <w:rPr>
          <w:rFonts w:hint="eastAsia" w:ascii="宋体" w:hAnsi="宋体" w:eastAsia="宋体" w:cs="Times New Roman"/>
          <w:color w:val="auto"/>
          <w:kern w:val="0"/>
          <w:szCs w:val="21"/>
          <w:highlight w:val="none"/>
          <w:lang w:val="zh-CN"/>
        </w:rPr>
        <w:t>24</w:t>
      </w:r>
      <w:r>
        <w:rPr>
          <w:rFonts w:ascii="宋体" w:hAnsi="宋体" w:eastAsia="宋体" w:cs="Times New Roman"/>
          <w:color w:val="auto"/>
          <w:kern w:val="0"/>
          <w:szCs w:val="21"/>
          <w:highlight w:val="none"/>
          <w:lang w:val="zh-CN"/>
        </w:rPr>
        <w:t>小时内以书面形式进行确认</w:t>
      </w:r>
      <w:r>
        <w:rPr>
          <w:rFonts w:hint="eastAsia" w:ascii="宋体" w:hAnsi="宋体" w:eastAsia="宋体" w:cs="Times New Roman"/>
          <w:color w:val="auto"/>
          <w:kern w:val="0"/>
          <w:szCs w:val="21"/>
          <w:highlight w:val="none"/>
          <w:lang w:val="zh-CN"/>
        </w:rPr>
        <w:t>（采用网上下载招标文件形式的除外）</w:t>
      </w:r>
      <w:r>
        <w:rPr>
          <w:rFonts w:ascii="宋体" w:hAnsi="宋体" w:eastAsia="宋体" w:cs="Times New Roman"/>
          <w:color w:val="auto"/>
          <w:kern w:val="0"/>
          <w:szCs w:val="21"/>
          <w:highlight w:val="none"/>
          <w:lang w:val="zh-CN"/>
        </w:rPr>
        <w:t>，否则视为已经收到。</w:t>
      </w:r>
    </w:p>
    <w:p w14:paraId="02652094">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1</w:t>
      </w:r>
      <w:r>
        <w:rPr>
          <w:rFonts w:ascii="宋体" w:hAnsi="宋体" w:eastAsia="宋体" w:cs="Times New Roman"/>
          <w:color w:val="auto"/>
          <w:kern w:val="0"/>
          <w:szCs w:val="21"/>
          <w:highlight w:val="none"/>
          <w:lang w:val="zh-CN"/>
        </w:rPr>
        <w:t>1.2</w:t>
      </w:r>
      <w:bookmarkStart w:id="91" w:name="_Hlk53134511"/>
      <w:r>
        <w:rPr>
          <w:rFonts w:hint="eastAsia" w:ascii="宋体" w:hAnsi="宋体" w:eastAsia="宋体" w:cs="Times New Roman"/>
          <w:color w:val="auto"/>
          <w:kern w:val="0"/>
          <w:szCs w:val="21"/>
          <w:highlight w:val="none"/>
          <w:lang w:val="zh-CN"/>
        </w:rPr>
        <w:t>招标人或者采购代理机构可以在招标文件提供期限截止后，组织已获取招标文件的潜在投标人现场考察或者召开开标前答疑会，具体详见“投标人须知前附表”。</w:t>
      </w:r>
    </w:p>
    <w:bookmarkEnd w:id="91"/>
    <w:p w14:paraId="45092ABC">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bookmarkStart w:id="92" w:name="_Toc254970676"/>
      <w:bookmarkStart w:id="93" w:name="_Toc254970535"/>
      <w:r>
        <w:rPr>
          <w:rFonts w:hint="eastAsia" w:ascii="Times New Roman" w:hAnsi="Times New Roman" w:eastAsia="宋体" w:cs="Times New Roman"/>
          <w:b/>
          <w:bCs/>
          <w:color w:val="auto"/>
          <w:kern w:val="0"/>
          <w:sz w:val="32"/>
          <w:szCs w:val="32"/>
          <w:highlight w:val="none"/>
          <w:lang w:val="zh-CN"/>
        </w:rPr>
        <w:t>三、投标文件的编制</w:t>
      </w:r>
      <w:bookmarkEnd w:id="92"/>
      <w:bookmarkEnd w:id="93"/>
    </w:p>
    <w:p w14:paraId="362D3D4C">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94" w:name="_Toc254970677"/>
      <w:bookmarkStart w:id="95" w:name="_Toc254970536"/>
      <w:r>
        <w:rPr>
          <w:rFonts w:hint="eastAsia" w:ascii="黑体" w:hAnsi="黑体" w:eastAsia="黑体" w:cs="Times New Roman"/>
          <w:b/>
          <w:color w:val="auto"/>
          <w:sz w:val="24"/>
          <w:szCs w:val="24"/>
          <w:highlight w:val="none"/>
          <w:lang w:val="zh-CN"/>
        </w:rPr>
        <w:t>12.</w:t>
      </w:r>
      <w:r>
        <w:rPr>
          <w:rFonts w:hint="eastAsia" w:ascii="Times New Roman" w:hAnsi="Times New Roman" w:eastAsia="宋体" w:cs="Times New Roman"/>
          <w:b/>
          <w:color w:val="auto"/>
          <w:sz w:val="28"/>
          <w:szCs w:val="24"/>
          <w:highlight w:val="none"/>
          <w:lang w:val="zh-CN"/>
        </w:rPr>
        <w:t xml:space="preserve"> </w:t>
      </w:r>
      <w:r>
        <w:rPr>
          <w:rFonts w:hint="eastAsia" w:ascii="黑体" w:hAnsi="黑体" w:eastAsia="黑体" w:cs="Times New Roman"/>
          <w:b/>
          <w:color w:val="auto"/>
          <w:sz w:val="24"/>
          <w:szCs w:val="24"/>
          <w:highlight w:val="none"/>
          <w:lang w:val="zh-CN"/>
        </w:rPr>
        <w:t>投标前准备</w:t>
      </w:r>
    </w:p>
    <w:p w14:paraId="3BA455CC">
      <w:pPr>
        <w:snapToGrid w:val="0"/>
        <w:spacing w:line="360" w:lineRule="auto"/>
        <w:ind w:firstLine="420"/>
        <w:jc w:val="left"/>
        <w:rPr>
          <w:rFonts w:ascii="宋体" w:hAnsi="宋体" w:eastAsia="宋体" w:cs="Courier New"/>
          <w:color w:val="auto"/>
          <w:szCs w:val="21"/>
          <w:highlight w:val="none"/>
        </w:rPr>
      </w:pPr>
      <w:r>
        <w:rPr>
          <w:rFonts w:hint="eastAsia" w:ascii="宋体" w:hAnsi="宋体" w:eastAsia="宋体" w:cs="Times New Roman"/>
          <w:color w:val="auto"/>
          <w:szCs w:val="21"/>
          <w:highlight w:val="none"/>
        </w:rPr>
        <w:t>投标前准备：具体材料见“投标人须知前附表”。</w:t>
      </w:r>
    </w:p>
    <w:p w14:paraId="0C7DD037">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13.投标文件的组成</w:t>
      </w:r>
      <w:bookmarkEnd w:id="94"/>
      <w:bookmarkEnd w:id="95"/>
    </w:p>
    <w:p w14:paraId="44D342B1">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3.1</w:t>
      </w:r>
      <w:r>
        <w:rPr>
          <w:rFonts w:hint="eastAsia" w:ascii="宋体" w:hAnsi="宋体" w:eastAsia="宋体" w:cs="Times New Roman"/>
          <w:color w:val="auto"/>
          <w:szCs w:val="21"/>
          <w:highlight w:val="none"/>
        </w:rPr>
        <w:t>投标文件由报价文件、资格证明文件、商务文件、技术文件四部分组成。</w:t>
      </w:r>
    </w:p>
    <w:p w14:paraId="0CF5F898">
      <w:pPr>
        <w:numPr>
          <w:ilvl w:val="4"/>
          <w:numId w:val="0"/>
        </w:numPr>
        <w:spacing w:line="360" w:lineRule="auto"/>
        <w:ind w:left="420" w:leftChars="200"/>
        <w:outlineLvl w:val="4"/>
        <w:rPr>
          <w:rFonts w:ascii="宋体" w:hAnsi="宋体" w:eastAsia="宋体" w:cs="Times New Roman"/>
          <w:color w:val="auto"/>
          <w:szCs w:val="21"/>
          <w:highlight w:val="none"/>
          <w:lang w:val="zh-CN"/>
        </w:rPr>
      </w:pPr>
      <w:bookmarkStart w:id="96" w:name="_13.1报价文件:_具体材料见“投标人须知前附表”。"/>
      <w:bookmarkEnd w:id="96"/>
      <w:r>
        <w:rPr>
          <w:rFonts w:hint="eastAsia" w:ascii="宋体" w:hAnsi="宋体" w:eastAsia="宋体" w:cs="Times New Roman"/>
          <w:color w:val="auto"/>
          <w:szCs w:val="21"/>
          <w:highlight w:val="none"/>
          <w:lang w:val="zh-CN"/>
        </w:rPr>
        <w:t>（1）报价文件：</w:t>
      </w:r>
      <w:r>
        <w:rPr>
          <w:rFonts w:ascii="宋体" w:hAnsi="宋体" w:eastAsia="宋体" w:cs="Times New Roman"/>
          <w:color w:val="auto"/>
          <w:szCs w:val="21"/>
          <w:highlight w:val="none"/>
          <w:lang w:val="zh-CN"/>
        </w:rPr>
        <w:t xml:space="preserve"> 具体材料见“投标人须知前附表”</w:t>
      </w:r>
      <w:r>
        <w:rPr>
          <w:rFonts w:hint="eastAsia" w:ascii="宋体" w:hAnsi="宋体" w:eastAsia="宋体" w:cs="Times New Roman"/>
          <w:color w:val="auto"/>
          <w:szCs w:val="21"/>
          <w:highlight w:val="none"/>
          <w:lang w:val="zh-CN"/>
        </w:rPr>
        <w:t>。</w:t>
      </w:r>
    </w:p>
    <w:p w14:paraId="2E5F7C1E">
      <w:pPr>
        <w:numPr>
          <w:ilvl w:val="4"/>
          <w:numId w:val="0"/>
        </w:numPr>
        <w:spacing w:line="360" w:lineRule="auto"/>
        <w:ind w:left="420" w:leftChars="200"/>
        <w:outlineLvl w:val="4"/>
        <w:rPr>
          <w:rFonts w:ascii="宋体" w:hAnsi="宋体" w:eastAsia="宋体" w:cs="Times New Roman"/>
          <w:color w:val="auto"/>
          <w:szCs w:val="21"/>
          <w:highlight w:val="none"/>
          <w:lang w:val="zh-CN"/>
        </w:rPr>
      </w:pPr>
      <w:bookmarkStart w:id="97" w:name="_13.2资格证明文件：具体材料见“投标人须知前附表”。"/>
      <w:bookmarkEnd w:id="97"/>
      <w:r>
        <w:rPr>
          <w:rFonts w:hint="eastAsia" w:ascii="宋体" w:hAnsi="宋体" w:eastAsia="宋体" w:cs="Times New Roman"/>
          <w:color w:val="auto"/>
          <w:szCs w:val="21"/>
          <w:highlight w:val="none"/>
          <w:lang w:val="zh-CN"/>
        </w:rPr>
        <w:t>（</w:t>
      </w:r>
      <w:r>
        <w:rPr>
          <w:rFonts w:ascii="宋体" w:hAnsi="宋体" w:eastAsia="宋体" w:cs="Times New Roman"/>
          <w:color w:val="auto"/>
          <w:szCs w:val="21"/>
          <w:highlight w:val="none"/>
          <w:lang w:val="zh-CN"/>
        </w:rPr>
        <w:t>2</w:t>
      </w:r>
      <w:r>
        <w:rPr>
          <w:rFonts w:hint="eastAsia" w:ascii="宋体" w:hAnsi="宋体" w:eastAsia="宋体" w:cs="Times New Roman"/>
          <w:color w:val="auto"/>
          <w:szCs w:val="21"/>
          <w:highlight w:val="none"/>
          <w:lang w:val="zh-CN"/>
        </w:rPr>
        <w:t>）资格证明文件：</w:t>
      </w:r>
      <w:r>
        <w:rPr>
          <w:rFonts w:ascii="宋体" w:hAnsi="宋体" w:eastAsia="宋体" w:cs="Times New Roman"/>
          <w:color w:val="auto"/>
          <w:szCs w:val="21"/>
          <w:highlight w:val="none"/>
          <w:lang w:val="zh-CN"/>
        </w:rPr>
        <w:t>具体材料见“投标人须知前附表”</w:t>
      </w:r>
      <w:r>
        <w:rPr>
          <w:rFonts w:hint="eastAsia" w:ascii="宋体" w:hAnsi="宋体" w:eastAsia="宋体" w:cs="Times New Roman"/>
          <w:color w:val="auto"/>
          <w:szCs w:val="21"/>
          <w:highlight w:val="none"/>
          <w:lang w:val="zh-CN"/>
        </w:rPr>
        <w:t>。</w:t>
      </w:r>
    </w:p>
    <w:p w14:paraId="0076BB2D">
      <w:pPr>
        <w:numPr>
          <w:ilvl w:val="4"/>
          <w:numId w:val="0"/>
        </w:numPr>
        <w:spacing w:line="360" w:lineRule="auto"/>
        <w:ind w:left="420" w:leftChars="200"/>
        <w:outlineLvl w:val="4"/>
        <w:rPr>
          <w:rFonts w:ascii="宋体" w:hAnsi="宋体" w:eastAsia="宋体" w:cs="Times New Roman"/>
          <w:color w:val="auto"/>
          <w:szCs w:val="21"/>
          <w:highlight w:val="none"/>
          <w:lang w:val="zh-CN"/>
        </w:rPr>
      </w:pPr>
      <w:bookmarkStart w:id="98" w:name="_13.3商务文件:_具体材料见“投标人须知前附表”。"/>
      <w:bookmarkEnd w:id="98"/>
      <w:r>
        <w:rPr>
          <w:rFonts w:hint="eastAsia" w:ascii="宋体" w:hAnsi="宋体" w:eastAsia="宋体" w:cs="Times New Roman"/>
          <w:color w:val="auto"/>
          <w:szCs w:val="21"/>
          <w:highlight w:val="none"/>
          <w:lang w:val="zh-CN"/>
        </w:rPr>
        <w:t>（</w:t>
      </w:r>
      <w:r>
        <w:rPr>
          <w:rFonts w:ascii="宋体" w:hAnsi="宋体" w:eastAsia="宋体" w:cs="Times New Roman"/>
          <w:color w:val="auto"/>
          <w:szCs w:val="21"/>
          <w:highlight w:val="none"/>
          <w:lang w:val="zh-CN"/>
        </w:rPr>
        <w:t>3</w:t>
      </w:r>
      <w:r>
        <w:rPr>
          <w:rFonts w:hint="eastAsia" w:ascii="宋体" w:hAnsi="宋体" w:eastAsia="宋体" w:cs="Times New Roman"/>
          <w:color w:val="auto"/>
          <w:szCs w:val="21"/>
          <w:highlight w:val="none"/>
          <w:lang w:val="zh-CN"/>
        </w:rPr>
        <w:t>）商务文件：</w:t>
      </w:r>
      <w:r>
        <w:rPr>
          <w:rFonts w:ascii="宋体" w:hAnsi="宋体" w:eastAsia="宋体" w:cs="Times New Roman"/>
          <w:color w:val="auto"/>
          <w:szCs w:val="21"/>
          <w:highlight w:val="none"/>
          <w:lang w:val="zh-CN"/>
        </w:rPr>
        <w:t>具体材料见“投标人须知前附表”</w:t>
      </w:r>
      <w:r>
        <w:rPr>
          <w:rFonts w:hint="eastAsia" w:ascii="宋体" w:hAnsi="宋体" w:eastAsia="宋体" w:cs="Times New Roman"/>
          <w:color w:val="auto"/>
          <w:szCs w:val="21"/>
          <w:highlight w:val="none"/>
          <w:lang w:val="zh-CN"/>
        </w:rPr>
        <w:t>。</w:t>
      </w:r>
    </w:p>
    <w:p w14:paraId="5CA248AB">
      <w:pPr>
        <w:numPr>
          <w:ilvl w:val="4"/>
          <w:numId w:val="0"/>
        </w:numPr>
        <w:spacing w:line="360" w:lineRule="auto"/>
        <w:ind w:left="420" w:leftChars="200"/>
        <w:outlineLvl w:val="4"/>
        <w:rPr>
          <w:rFonts w:ascii="宋体" w:hAnsi="宋体" w:eastAsia="宋体" w:cs="Times New Roman"/>
          <w:color w:val="auto"/>
          <w:szCs w:val="21"/>
          <w:highlight w:val="none"/>
          <w:lang w:val="zh-CN"/>
        </w:rPr>
      </w:pPr>
      <w:bookmarkStart w:id="99" w:name="_13.4技术文件：具体材料见“投标人须知前附表”。"/>
      <w:bookmarkEnd w:id="99"/>
      <w:r>
        <w:rPr>
          <w:rFonts w:hint="eastAsia" w:ascii="宋体" w:hAnsi="宋体" w:eastAsia="宋体" w:cs="Times New Roman"/>
          <w:color w:val="auto"/>
          <w:szCs w:val="21"/>
          <w:highlight w:val="none"/>
          <w:lang w:val="zh-CN"/>
        </w:rPr>
        <w:t>（</w:t>
      </w:r>
      <w:r>
        <w:rPr>
          <w:rFonts w:ascii="宋体" w:hAnsi="宋体" w:eastAsia="宋体" w:cs="Times New Roman"/>
          <w:color w:val="auto"/>
          <w:szCs w:val="21"/>
          <w:highlight w:val="none"/>
          <w:lang w:val="zh-CN"/>
        </w:rPr>
        <w:t>4</w:t>
      </w:r>
      <w:r>
        <w:rPr>
          <w:rFonts w:hint="eastAsia" w:ascii="宋体" w:hAnsi="宋体" w:eastAsia="宋体" w:cs="Times New Roman"/>
          <w:color w:val="auto"/>
          <w:szCs w:val="21"/>
          <w:highlight w:val="none"/>
          <w:lang w:val="zh-CN"/>
        </w:rPr>
        <w:t>）技术文件：</w:t>
      </w:r>
      <w:r>
        <w:rPr>
          <w:rFonts w:ascii="宋体" w:hAnsi="宋体" w:eastAsia="宋体" w:cs="Times New Roman"/>
          <w:color w:val="auto"/>
          <w:szCs w:val="21"/>
          <w:highlight w:val="none"/>
          <w:lang w:val="zh-CN"/>
        </w:rPr>
        <w:t>具体材料见“投标人须知前附表”</w:t>
      </w:r>
      <w:r>
        <w:rPr>
          <w:rFonts w:hint="eastAsia" w:ascii="宋体" w:hAnsi="宋体" w:eastAsia="宋体" w:cs="Times New Roman"/>
          <w:color w:val="auto"/>
          <w:szCs w:val="21"/>
          <w:highlight w:val="none"/>
          <w:lang w:val="zh-CN"/>
        </w:rPr>
        <w:t>。</w:t>
      </w:r>
    </w:p>
    <w:p w14:paraId="259C031B">
      <w:pPr>
        <w:numPr>
          <w:ilvl w:val="4"/>
          <w:numId w:val="0"/>
        </w:numPr>
        <w:spacing w:line="360" w:lineRule="auto"/>
        <w:ind w:left="420" w:leftChars="200"/>
        <w:outlineLvl w:val="4"/>
        <w:rPr>
          <w:rFonts w:ascii="宋体" w:hAnsi="宋体" w:eastAsia="宋体" w:cs="Times New Roman"/>
          <w:color w:val="auto"/>
          <w:szCs w:val="21"/>
          <w:highlight w:val="none"/>
          <w:lang w:val="zh-CN"/>
        </w:rPr>
      </w:pPr>
      <w:bookmarkStart w:id="100" w:name="_13.5投标文件电子版：具体材料见“投标人须知前附表”。"/>
      <w:bookmarkEnd w:id="100"/>
      <w:r>
        <w:rPr>
          <w:rFonts w:hint="eastAsia" w:ascii="宋体" w:hAnsi="宋体" w:eastAsia="宋体" w:cs="Times New Roman"/>
          <w:color w:val="auto"/>
          <w:szCs w:val="21"/>
          <w:highlight w:val="none"/>
          <w:lang w:val="zh-CN"/>
        </w:rPr>
        <w:t>13.</w:t>
      </w:r>
      <w:r>
        <w:rPr>
          <w:rFonts w:ascii="宋体" w:hAnsi="宋体" w:eastAsia="宋体" w:cs="Times New Roman"/>
          <w:color w:val="auto"/>
          <w:szCs w:val="21"/>
          <w:highlight w:val="none"/>
          <w:lang w:val="zh-CN"/>
        </w:rPr>
        <w:t>2</w:t>
      </w:r>
      <w:r>
        <w:rPr>
          <w:rFonts w:hint="eastAsia" w:ascii="宋体" w:hAnsi="宋体" w:eastAsia="宋体" w:cs="Times New Roman"/>
          <w:color w:val="auto"/>
          <w:szCs w:val="21"/>
          <w:highlight w:val="none"/>
          <w:lang w:val="zh-CN"/>
        </w:rPr>
        <w:t>投标文件电子版：</w:t>
      </w:r>
      <w:r>
        <w:rPr>
          <w:rFonts w:ascii="宋体" w:hAnsi="宋体" w:eastAsia="宋体" w:cs="Times New Roman"/>
          <w:color w:val="auto"/>
          <w:szCs w:val="21"/>
          <w:highlight w:val="none"/>
          <w:lang w:val="zh-CN"/>
        </w:rPr>
        <w:t>具体</w:t>
      </w:r>
      <w:r>
        <w:rPr>
          <w:rFonts w:hint="eastAsia" w:ascii="宋体" w:hAnsi="宋体" w:eastAsia="宋体" w:cs="Times New Roman"/>
          <w:color w:val="auto"/>
          <w:szCs w:val="21"/>
          <w:highlight w:val="none"/>
          <w:lang w:val="zh-CN"/>
        </w:rPr>
        <w:t>要求</w:t>
      </w:r>
      <w:r>
        <w:rPr>
          <w:rFonts w:ascii="宋体" w:hAnsi="宋体" w:eastAsia="宋体" w:cs="Times New Roman"/>
          <w:color w:val="auto"/>
          <w:szCs w:val="21"/>
          <w:highlight w:val="none"/>
          <w:lang w:val="zh-CN"/>
        </w:rPr>
        <w:t>见“投标人须知前附表”</w:t>
      </w:r>
      <w:r>
        <w:rPr>
          <w:rFonts w:hint="eastAsia" w:ascii="宋体" w:hAnsi="宋体" w:eastAsia="宋体" w:cs="Times New Roman"/>
          <w:color w:val="auto"/>
          <w:szCs w:val="21"/>
          <w:highlight w:val="none"/>
          <w:lang w:val="zh-CN"/>
        </w:rPr>
        <w:t>。</w:t>
      </w:r>
    </w:p>
    <w:p w14:paraId="05AACB14">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101" w:name="_Toc254970678"/>
      <w:bookmarkStart w:id="102" w:name="_Toc254970537"/>
      <w:r>
        <w:rPr>
          <w:rFonts w:hint="eastAsia" w:ascii="黑体" w:hAnsi="黑体" w:eastAsia="黑体" w:cs="Times New Roman"/>
          <w:b/>
          <w:color w:val="auto"/>
          <w:sz w:val="24"/>
          <w:szCs w:val="24"/>
          <w:highlight w:val="none"/>
          <w:lang w:val="zh-CN"/>
        </w:rPr>
        <w:t>14.投标文件的语言及计量</w:t>
      </w:r>
      <w:bookmarkEnd w:id="101"/>
      <w:bookmarkEnd w:id="102"/>
    </w:p>
    <w:p w14:paraId="58FEE29C">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14.1语言文字</w:t>
      </w:r>
    </w:p>
    <w:p w14:paraId="51B264EB">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投标文件以及投标人与招标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672FDDC9">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14.2投标计量单位</w:t>
      </w:r>
    </w:p>
    <w:p w14:paraId="443161C5">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招标文件已有明确规定的，使用招标文件规定的计量单位；招标文件没有规定的，应采用中华人民共和国法定计量单位，货币种类为人民币，否则视同未响应。</w:t>
      </w:r>
    </w:p>
    <w:p w14:paraId="59E3D55D">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15.投标的风险</w:t>
      </w:r>
    </w:p>
    <w:p w14:paraId="5F6DC307">
      <w:pPr>
        <w:snapToGrid w:val="0"/>
        <w:spacing w:line="360" w:lineRule="auto"/>
        <w:ind w:firstLine="420" w:firstLineChars="200"/>
        <w:jc w:val="left"/>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投标人没有按照招标文件要求提供全部资料，或者投标人没有对招标文件作出实质性响应是投标人的风险，并可能导致其投标被拒绝。</w:t>
      </w:r>
    </w:p>
    <w:p w14:paraId="0B187057">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103" w:name="_Toc254970679"/>
      <w:bookmarkStart w:id="104" w:name="_Toc254970538"/>
      <w:r>
        <w:rPr>
          <w:rFonts w:hint="eastAsia" w:ascii="黑体" w:hAnsi="黑体" w:eastAsia="黑体" w:cs="Times New Roman"/>
          <w:b/>
          <w:color w:val="auto"/>
          <w:sz w:val="24"/>
          <w:szCs w:val="24"/>
          <w:highlight w:val="none"/>
          <w:lang w:val="zh-CN"/>
        </w:rPr>
        <w:t>16.投标报价</w:t>
      </w:r>
      <w:bookmarkEnd w:id="103"/>
      <w:bookmarkEnd w:id="104"/>
    </w:p>
    <w:p w14:paraId="50978367">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16.1投标报价应按“第六章　投标文件格式”中“开标一览表”格式填写。</w:t>
      </w:r>
    </w:p>
    <w:p w14:paraId="611AC775">
      <w:pPr>
        <w:numPr>
          <w:ilvl w:val="4"/>
          <w:numId w:val="0"/>
        </w:numPr>
        <w:spacing w:line="360" w:lineRule="auto"/>
        <w:ind w:left="420" w:leftChars="200"/>
        <w:outlineLvl w:val="4"/>
        <w:rPr>
          <w:rFonts w:ascii="宋体" w:hAnsi="宋体" w:eastAsia="宋体" w:cs="Times New Roman"/>
          <w:color w:val="auto"/>
          <w:szCs w:val="21"/>
          <w:highlight w:val="none"/>
          <w:lang w:val="zh-CN"/>
        </w:rPr>
      </w:pPr>
      <w:bookmarkStart w:id="105" w:name="_16.2投标报价具体定义见投标人须知前附表。"/>
      <w:bookmarkEnd w:id="105"/>
      <w:r>
        <w:rPr>
          <w:rFonts w:hint="eastAsia" w:ascii="宋体" w:hAnsi="宋体" w:eastAsia="宋体" w:cs="Times New Roman"/>
          <w:color w:val="auto"/>
          <w:szCs w:val="21"/>
          <w:highlight w:val="none"/>
          <w:lang w:val="zh-CN"/>
        </w:rPr>
        <w:t>16.2投标报价具体包括内容详见“投标人须知前附表”。</w:t>
      </w:r>
    </w:p>
    <w:p w14:paraId="43160EA3">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16.3投标人必须就第二章采购需求的全部内容作完整唯一总价报价，不得存在漏项报价。</w:t>
      </w:r>
    </w:p>
    <w:p w14:paraId="5EAD2BB4">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17.投标有效期</w:t>
      </w:r>
    </w:p>
    <w:p w14:paraId="6B89597E">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bookmarkStart w:id="106" w:name="_17.1投标有效期应按“投标人须知中的前附表”规定的期限。"/>
      <w:bookmarkEnd w:id="106"/>
      <w:r>
        <w:rPr>
          <w:rFonts w:hint="eastAsia" w:ascii="宋体" w:hAnsi="宋体" w:eastAsia="宋体" w:cs="Times New Roman"/>
          <w:color w:val="auto"/>
          <w:szCs w:val="21"/>
          <w:highlight w:val="none"/>
          <w:lang w:val="zh-CN"/>
        </w:rPr>
        <w:t>17.1投标有效期是指为保证招标人有足够的时间在开标后完成评标、定标、合同签订等工作而要求投标人提交的投标文件在一定时间内保持有效的期限。</w:t>
      </w:r>
    </w:p>
    <w:p w14:paraId="69F2E248">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17.2</w:t>
      </w:r>
      <w:bookmarkStart w:id="107" w:name="_Toc254970681"/>
      <w:bookmarkStart w:id="108" w:name="_Toc254970540"/>
      <w:r>
        <w:rPr>
          <w:rFonts w:hint="eastAsia" w:ascii="宋体" w:hAnsi="宋体" w:eastAsia="宋体" w:cs="Times New Roman"/>
          <w:color w:val="auto"/>
          <w:szCs w:val="21"/>
          <w:highlight w:val="none"/>
          <w:lang w:val="zh-CN"/>
        </w:rPr>
        <w:t xml:space="preserve"> 投标有效期应按规定的期限作出承诺，具体详见“投标人须知前附表”。</w:t>
      </w:r>
    </w:p>
    <w:p w14:paraId="73363C7B">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17.3投标人的投标文件在投标有效期内均保持有效。</w:t>
      </w:r>
      <w:bookmarkEnd w:id="107"/>
      <w:bookmarkEnd w:id="108"/>
    </w:p>
    <w:p w14:paraId="238F1F60">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109" w:name="_18.投标保证金"/>
      <w:bookmarkEnd w:id="109"/>
      <w:bookmarkStart w:id="110" w:name="_Toc254970682"/>
      <w:bookmarkStart w:id="111" w:name="_Toc254970541"/>
      <w:r>
        <w:rPr>
          <w:rFonts w:hint="eastAsia" w:ascii="黑体" w:hAnsi="黑体" w:eastAsia="黑体" w:cs="Times New Roman"/>
          <w:b/>
          <w:color w:val="auto"/>
          <w:sz w:val="24"/>
          <w:szCs w:val="24"/>
          <w:highlight w:val="none"/>
          <w:lang w:val="zh-CN"/>
        </w:rPr>
        <w:t>18.投标保证金</w:t>
      </w:r>
      <w:bookmarkEnd w:id="110"/>
      <w:bookmarkEnd w:id="111"/>
    </w:p>
    <w:p w14:paraId="113E10D7">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18.1投标人须按“投标人须知前附表”的规定提交投标保证金。</w:t>
      </w:r>
    </w:p>
    <w:p w14:paraId="4DA14090">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18.2投标保证金的退还</w:t>
      </w:r>
    </w:p>
    <w:p w14:paraId="63A14223">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未中标人的投标保证金自中标通知书发出之日起5个工作日内退还；中标人的投标保证金在政府采购合同签订后，递交至我中心公示后3个工作日内退还。 </w:t>
      </w:r>
    </w:p>
    <w:p w14:paraId="152E38DF">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18.3除逾期退还投标保证金和终止招标的情形以外，投标保证金不计息。</w:t>
      </w:r>
    </w:p>
    <w:p w14:paraId="495E7785">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18.4投标人有下列情形之一的，投标保证金将不予退还： </w:t>
      </w:r>
    </w:p>
    <w:p w14:paraId="73DBFF57">
      <w:pPr>
        <w:snapToGrid w:val="0"/>
        <w:spacing w:line="360" w:lineRule="auto"/>
        <w:ind w:firstLine="411" w:firstLineChars="196"/>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（1）投标人在投标有效期内撤销投标文件的；</w:t>
      </w:r>
    </w:p>
    <w:p w14:paraId="7706AEB7">
      <w:pPr>
        <w:snapToGrid w:val="0"/>
        <w:spacing w:line="360" w:lineRule="auto"/>
        <w:ind w:firstLine="411" w:firstLineChars="196"/>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（2）未按规定提交履约保证金的；</w:t>
      </w:r>
    </w:p>
    <w:p w14:paraId="769C1233">
      <w:pPr>
        <w:snapToGrid w:val="0"/>
        <w:spacing w:line="360" w:lineRule="auto"/>
        <w:ind w:firstLine="411" w:firstLineChars="196"/>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（3）投标人在投标过程中弄虚作假，提供虚假材料的；</w:t>
      </w:r>
    </w:p>
    <w:p w14:paraId="5C6D7BDF">
      <w:pPr>
        <w:snapToGrid w:val="0"/>
        <w:spacing w:line="360" w:lineRule="auto"/>
        <w:ind w:firstLine="411" w:firstLineChars="196"/>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（4）中标人无正当理由不与招标人签订合同的；</w:t>
      </w:r>
    </w:p>
    <w:p w14:paraId="3507457F">
      <w:pPr>
        <w:snapToGrid w:val="0"/>
        <w:spacing w:line="360" w:lineRule="auto"/>
        <w:ind w:firstLine="420" w:firstLineChars="200"/>
        <w:rPr>
          <w:rFonts w:ascii="宋体" w:hAnsi="宋体" w:eastAsia="宋体" w:cs="Times New Roman"/>
          <w:color w:val="auto"/>
          <w:szCs w:val="21"/>
          <w:highlight w:val="none"/>
        </w:rPr>
      </w:pPr>
      <w:bookmarkStart w:id="112" w:name="_Toc254970542"/>
      <w:bookmarkStart w:id="113" w:name="_Toc254970683"/>
      <w:r>
        <w:rPr>
          <w:rFonts w:hint="eastAsia" w:ascii="宋体" w:hAnsi="宋体" w:eastAsia="宋体" w:cs="Times New Roman"/>
          <w:color w:val="auto"/>
          <w:szCs w:val="21"/>
          <w:highlight w:val="none"/>
        </w:rPr>
        <w:t>（5）投标人出现本章第9.2、9.3情形的；</w:t>
      </w:r>
    </w:p>
    <w:p w14:paraId="4B983918">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w:t>
      </w:r>
      <w:r>
        <w:rPr>
          <w:rFonts w:hint="eastAsia" w:ascii="宋体" w:hAnsi="宋体" w:eastAsia="宋体" w:cs="宋体"/>
          <w:color w:val="auto"/>
          <w:szCs w:val="21"/>
          <w:highlight w:val="none"/>
        </w:rPr>
        <w:t>法律法规规定的其他情形</w:t>
      </w:r>
      <w:r>
        <w:rPr>
          <w:rFonts w:hint="eastAsia" w:ascii="宋体" w:hAnsi="宋体" w:eastAsia="宋体" w:cs="Times New Roman"/>
          <w:color w:val="auto"/>
          <w:szCs w:val="21"/>
          <w:highlight w:val="none"/>
        </w:rPr>
        <w:t>。</w:t>
      </w:r>
    </w:p>
    <w:p w14:paraId="620CCAB7">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19.投标文件的</w:t>
      </w:r>
      <w:bookmarkEnd w:id="112"/>
      <w:bookmarkEnd w:id="113"/>
      <w:r>
        <w:rPr>
          <w:rFonts w:hint="eastAsia" w:ascii="黑体" w:hAnsi="黑体" w:eastAsia="黑体" w:cs="Times New Roman"/>
          <w:b/>
          <w:color w:val="auto"/>
          <w:sz w:val="24"/>
          <w:szCs w:val="24"/>
          <w:highlight w:val="none"/>
          <w:lang w:val="zh-CN"/>
        </w:rPr>
        <w:t>编制</w:t>
      </w:r>
    </w:p>
    <w:p w14:paraId="5A11F42B">
      <w:pPr>
        <w:numPr>
          <w:ilvl w:val="4"/>
          <w:numId w:val="0"/>
        </w:numPr>
        <w:spacing w:line="360" w:lineRule="auto"/>
        <w:ind w:left="105" w:leftChars="50" w:firstLine="420" w:firstLineChars="200"/>
        <w:outlineLvl w:val="4"/>
        <w:rPr>
          <w:rFonts w:ascii="黑体" w:hAnsi="黑体" w:eastAsia="黑体" w:cs="Times New Roman"/>
          <w:b/>
          <w:color w:val="auto"/>
          <w:sz w:val="24"/>
          <w:szCs w:val="24"/>
          <w:highlight w:val="none"/>
          <w:lang w:val="zh-CN"/>
        </w:rPr>
      </w:pPr>
      <w:r>
        <w:rPr>
          <w:rFonts w:hint="eastAsia" w:ascii="宋体" w:hAnsi="宋体" w:eastAsia="宋体" w:cs="Times New Roman"/>
          <w:color w:val="auto"/>
          <w:szCs w:val="21"/>
          <w:highlight w:val="none"/>
          <w:lang w:val="zh-CN"/>
        </w:rPr>
        <w:t>19.1投标人应按本招标文件规定的格式和顺序编制、装订投标文件并标注页码，投标文件内容不完整、编排混乱导致投标文件被误读、漏读或者查找不到相关内容的，由此引发的后果由投标人承担。</w:t>
      </w:r>
      <w:bookmarkStart w:id="114" w:name="_19.2投标文件应按报价文件、资格证明文件、商务文件、技术文件分别编制"/>
      <w:bookmarkEnd w:id="114"/>
    </w:p>
    <w:p w14:paraId="30E5B20C">
      <w:pPr>
        <w:numPr>
          <w:ilvl w:val="4"/>
          <w:numId w:val="0"/>
        </w:numPr>
        <w:spacing w:line="360" w:lineRule="auto"/>
        <w:ind w:left="105" w:leftChars="50" w:firstLine="420" w:firstLineChars="200"/>
        <w:outlineLvl w:val="4"/>
        <w:rPr>
          <w:rFonts w:ascii="黑体" w:hAnsi="黑体" w:eastAsia="黑体" w:cs="Times New Roman"/>
          <w:b/>
          <w:color w:val="auto"/>
          <w:sz w:val="24"/>
          <w:szCs w:val="24"/>
          <w:highlight w:val="none"/>
          <w:lang w:val="zh-CN"/>
        </w:rPr>
      </w:pPr>
      <w:r>
        <w:rPr>
          <w:rFonts w:hint="eastAsia" w:ascii="宋体" w:hAnsi="宋体" w:eastAsia="宋体" w:cs="Times New Roman"/>
          <w:color w:val="auto"/>
          <w:szCs w:val="21"/>
          <w:highlight w:val="none"/>
          <w:lang w:val="zh-CN"/>
        </w:rPr>
        <w:t>19.2投标文件应按报价文件、资格证明文件、商务文件、技术文件分别编制。</w:t>
      </w:r>
    </w:p>
    <w:p w14:paraId="5D7418AE">
      <w:pPr>
        <w:numPr>
          <w:ilvl w:val="4"/>
          <w:numId w:val="0"/>
        </w:numPr>
        <w:spacing w:line="360" w:lineRule="auto"/>
        <w:ind w:left="105" w:leftChars="50" w:firstLine="420" w:firstLineChars="200"/>
        <w:outlineLvl w:val="4"/>
        <w:rPr>
          <w:rFonts w:ascii="黑体" w:hAnsi="黑体" w:eastAsia="黑体" w:cs="Times New Roman"/>
          <w:b/>
          <w:color w:val="auto"/>
          <w:sz w:val="24"/>
          <w:szCs w:val="24"/>
          <w:highlight w:val="none"/>
          <w:lang w:val="zh-CN"/>
        </w:rPr>
      </w:pPr>
      <w:r>
        <w:rPr>
          <w:rFonts w:hint="eastAsia" w:ascii="宋体" w:hAnsi="宋体" w:eastAsia="宋体" w:cs="Times New Roman"/>
          <w:color w:val="auto"/>
          <w:szCs w:val="21"/>
          <w:highlight w:val="none"/>
          <w:lang w:val="zh-CN"/>
        </w:rPr>
        <w:t>19.3投标文件须由投标人在规定位置盖公章并由法定代表人（负责人或自然人）或委托代理人签字，否则作无效投标处理。</w:t>
      </w:r>
    </w:p>
    <w:p w14:paraId="00764D91">
      <w:pPr>
        <w:numPr>
          <w:ilvl w:val="4"/>
          <w:numId w:val="0"/>
        </w:numPr>
        <w:spacing w:line="360" w:lineRule="auto"/>
        <w:ind w:left="105" w:leftChars="50" w:firstLine="420" w:firstLineChars="200"/>
        <w:outlineLvl w:val="4"/>
        <w:rPr>
          <w:rFonts w:ascii="黑体" w:hAnsi="黑体" w:eastAsia="黑体" w:cs="Times New Roman"/>
          <w:b/>
          <w:color w:val="auto"/>
          <w:sz w:val="24"/>
          <w:szCs w:val="24"/>
          <w:highlight w:val="none"/>
          <w:lang w:val="zh-CN"/>
        </w:rPr>
      </w:pPr>
      <w:r>
        <w:rPr>
          <w:rFonts w:hint="eastAsia" w:ascii="宋体" w:hAnsi="宋体" w:eastAsia="宋体" w:cs="Times New Roman"/>
          <w:color w:val="auto"/>
          <w:szCs w:val="21"/>
          <w:highlight w:val="none"/>
          <w:lang w:val="zh-CN"/>
        </w:rPr>
        <w:t>19.4投标文件中标注的投标人名称应与主体资格证明（如营业执照、事业单位法人证书、执业许可证、个体工商户营业执照、自然人身份证等）和公章一致，否则作无效投标处理。</w:t>
      </w:r>
    </w:p>
    <w:p w14:paraId="1CC507A5">
      <w:pPr>
        <w:numPr>
          <w:ilvl w:val="4"/>
          <w:numId w:val="0"/>
        </w:numPr>
        <w:spacing w:line="360" w:lineRule="auto"/>
        <w:ind w:left="105" w:leftChars="50" w:firstLine="420" w:firstLineChars="200"/>
        <w:outlineLvl w:val="4"/>
        <w:rPr>
          <w:rFonts w:ascii="黑体" w:hAnsi="黑体" w:eastAsia="黑体" w:cs="Times New Roman"/>
          <w:b/>
          <w:color w:val="auto"/>
          <w:sz w:val="24"/>
          <w:szCs w:val="24"/>
          <w:highlight w:val="none"/>
          <w:lang w:val="zh-CN"/>
        </w:rPr>
      </w:pPr>
      <w:r>
        <w:rPr>
          <w:rFonts w:hint="eastAsia" w:ascii="宋体" w:hAnsi="宋体" w:eastAsia="宋体" w:cs="Times New Roman"/>
          <w:color w:val="auto"/>
          <w:szCs w:val="21"/>
          <w:highlight w:val="none"/>
          <w:lang w:val="zh-CN"/>
        </w:rPr>
        <w:t>19.5投标文件应尽量避免涂改、行间插字或删除。如果出现上述情况，改动之处应由投标人的法定代表人（负责人或自然人）或其委托代理人签字或盖章。投标文件因字迹潦草或表达不清所引起的后果由投标人承担。</w:t>
      </w:r>
    </w:p>
    <w:p w14:paraId="15EB82B1">
      <w:pPr>
        <w:numPr>
          <w:ilvl w:val="4"/>
          <w:numId w:val="0"/>
        </w:numPr>
        <w:spacing w:line="360" w:lineRule="auto"/>
        <w:ind w:left="105" w:leftChars="50" w:firstLine="420" w:firstLineChars="200"/>
        <w:outlineLvl w:val="4"/>
        <w:rPr>
          <w:rFonts w:ascii="黑体" w:hAnsi="黑体" w:eastAsia="黑体" w:cs="Times New Roman"/>
          <w:b/>
          <w:color w:val="auto"/>
          <w:sz w:val="24"/>
          <w:szCs w:val="24"/>
          <w:highlight w:val="none"/>
          <w:lang w:val="zh-CN"/>
        </w:rPr>
      </w:pPr>
      <w:r>
        <w:rPr>
          <w:rFonts w:hint="eastAsia" w:ascii="宋体" w:hAnsi="宋体" w:eastAsia="宋体" w:cs="Times New Roman"/>
          <w:color w:val="auto"/>
          <w:szCs w:val="21"/>
          <w:highlight w:val="none"/>
          <w:lang w:val="zh-CN"/>
        </w:rPr>
        <w:t>19.6电子投标文件中须加盖供应商公章部分均采用CA签章，并根据“政府采购项目电子交易管理操作指南-供应商” 及本招标文件规定的格式和顺序编制电子投标文件并进行关联定位，以便评标委员会在评审时，点击评分项可直接定位到该评分项内容。如对招标文件的某项要求，供应商的电子投标文件未能关联定位提供相应的内容与其对应，则评标委员会在评审时如做出对供应商不利的评审由供应商自行承担。电子投标文件如内容不完整、编排混乱导致投标文件被误读、 漏读，或者在按采购文件规定的部位查找不到相关内容的，由供应商自行承担。</w:t>
      </w:r>
    </w:p>
    <w:p w14:paraId="4CC0CD2B">
      <w:pPr>
        <w:numPr>
          <w:ilvl w:val="4"/>
          <w:numId w:val="0"/>
        </w:numPr>
        <w:spacing w:line="360" w:lineRule="auto"/>
        <w:ind w:left="105" w:leftChars="50" w:firstLine="420" w:firstLineChars="200"/>
        <w:outlineLvl w:val="4"/>
        <w:rPr>
          <w:rFonts w:ascii="黑体" w:hAnsi="黑体" w:eastAsia="黑体" w:cs="Times New Roman"/>
          <w:b/>
          <w:color w:val="auto"/>
          <w:sz w:val="24"/>
          <w:szCs w:val="24"/>
          <w:highlight w:val="none"/>
          <w:lang w:val="zh-CN"/>
        </w:rPr>
      </w:pPr>
      <w:r>
        <w:rPr>
          <w:rFonts w:hint="eastAsia" w:ascii="宋体" w:hAnsi="宋体" w:eastAsia="宋体" w:cs="Times New Roman"/>
          <w:color w:val="auto"/>
          <w:szCs w:val="21"/>
          <w:highlight w:val="none"/>
          <w:lang w:val="zh-CN"/>
        </w:rPr>
        <w:t xml:space="preserve">19.7 </w:t>
      </w:r>
      <w:r>
        <w:rPr>
          <w:rFonts w:hint="eastAsia" w:ascii="黑体" w:hAnsi="黑体" w:eastAsia="黑体" w:cs="Times New Roman"/>
          <w:b/>
          <w:color w:val="auto"/>
          <w:sz w:val="24"/>
          <w:szCs w:val="24"/>
          <w:highlight w:val="none"/>
          <w:lang w:val="zh-CN"/>
        </w:rPr>
        <w:t>CA签章上目前没有法人（负责人）或授权代表签字信息，供应商在投标文件中涉及到签字的位置线下签好字然后扫描或者拍照做成PDF的格式亦可。投标文件中涉及到签字的位置未按要求签字的，提供的材料视为无效。</w:t>
      </w:r>
    </w:p>
    <w:p w14:paraId="51CDB80C">
      <w:pPr>
        <w:numPr>
          <w:ilvl w:val="4"/>
          <w:numId w:val="0"/>
        </w:numPr>
        <w:spacing w:line="360" w:lineRule="auto"/>
        <w:ind w:left="105" w:leftChars="50" w:firstLine="420" w:firstLineChars="200"/>
        <w:outlineLvl w:val="4"/>
        <w:rPr>
          <w:rFonts w:ascii="黑体" w:hAnsi="黑体" w:eastAsia="黑体" w:cs="Times New Roman"/>
          <w:b/>
          <w:color w:val="auto"/>
          <w:sz w:val="24"/>
          <w:szCs w:val="24"/>
          <w:highlight w:val="none"/>
          <w:lang w:val="zh-CN"/>
        </w:rPr>
      </w:pPr>
      <w:r>
        <w:rPr>
          <w:rFonts w:hint="eastAsia" w:ascii="宋体" w:hAnsi="宋体" w:eastAsia="宋体" w:cs="Times New Roman"/>
          <w:color w:val="auto"/>
          <w:szCs w:val="21"/>
          <w:highlight w:val="none"/>
          <w:lang w:val="zh-CN"/>
        </w:rPr>
        <w:t>19.8投标文件不得涂改，若有修改错漏处，须加盖单位公章或者法定代表人（负责人）或授权委托人签字或盖章。投标文件因字迹潦草或表达不清所引起的后果由供应商负责。</w:t>
      </w:r>
    </w:p>
    <w:p w14:paraId="7FEE0F0C">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20.投标文件的密封和标记</w:t>
      </w:r>
    </w:p>
    <w:p w14:paraId="0F5893FA">
      <w:pPr>
        <w:keepNext/>
        <w:keepLines/>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详见投标须知前附表</w:t>
      </w:r>
    </w:p>
    <w:p w14:paraId="47113799">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21.投标文件的提交</w:t>
      </w:r>
    </w:p>
    <w:p w14:paraId="016CAD07">
      <w:pPr>
        <w:spacing w:line="360" w:lineRule="auto"/>
        <w:ind w:firstLine="420"/>
        <w:jc w:val="left"/>
        <w:rPr>
          <w:rFonts w:ascii="宋体" w:hAnsi="宋体" w:eastAsia="宋体" w:cs="Times New Roman"/>
          <w:color w:val="auto"/>
          <w:szCs w:val="21"/>
          <w:highlight w:val="none"/>
        </w:rPr>
      </w:pPr>
      <w:bookmarkStart w:id="115" w:name="_21.1投标人必须在“投标人须知中的前附表”规定的投标文件接收时间和投"/>
      <w:bookmarkEnd w:id="115"/>
      <w:r>
        <w:rPr>
          <w:rFonts w:hint="eastAsia" w:ascii="宋体" w:hAnsi="宋体" w:eastAsia="宋体" w:cs="Times New Roman"/>
          <w:color w:val="auto"/>
          <w:szCs w:val="21"/>
          <w:highlight w:val="none"/>
        </w:rPr>
        <w:t>21.1所有投标文件应于招标文件中规定的时间上传递交至广西政府采购云平台。</w:t>
      </w:r>
    </w:p>
    <w:p w14:paraId="6C800479">
      <w:pPr>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21.2电子投标文件的相关说明</w:t>
      </w:r>
    </w:p>
    <w:p w14:paraId="7C5B370B">
      <w:pPr>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21.2.1供应商进行电子投标应安装客户端软件，并按照采购文件和电子交易平台的要求编制并加密投标文件。供应商未按规定加密的投标文件，电子交易平台将拒收。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76C4082B">
      <w:pPr>
        <w:spacing w:line="360" w:lineRule="auto"/>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21.2.2如有特殊情况，本项目延长截止时间和开标时间，采购代理机构和供应商的权利和义务将受到新的截止时间和开标时间的约束。</w:t>
      </w:r>
    </w:p>
    <w:p w14:paraId="22EF1D8E">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22. 投标文件的补充、修改、撤回与退回</w:t>
      </w:r>
    </w:p>
    <w:p w14:paraId="62B5EC51">
      <w:pPr>
        <w:snapToGrid w:val="0"/>
        <w:spacing w:line="360" w:lineRule="auto"/>
        <w:ind w:firstLine="420"/>
        <w:jc w:val="left"/>
        <w:rPr>
          <w:rFonts w:ascii="宋体" w:hAnsi="宋体" w:eastAsia="宋体" w:cs="Times New Roman"/>
          <w:color w:val="auto"/>
          <w:szCs w:val="21"/>
          <w:highlight w:val="none"/>
        </w:rPr>
      </w:pPr>
      <w:bookmarkStart w:id="116" w:name="_Toc254970684"/>
      <w:bookmarkStart w:id="117" w:name="_Toc254970543"/>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2.1</w:t>
      </w:r>
      <w:r>
        <w:rPr>
          <w:rFonts w:hint="eastAsia" w:ascii="宋体" w:hAnsi="宋体" w:eastAsia="宋体" w:cs="Times New Roman"/>
          <w:color w:val="auto"/>
          <w:szCs w:val="21"/>
          <w:highlight w:val="none"/>
        </w:rPr>
        <w:t>投标人在投标截止时间之前，可以对已提交的投标文件进行补充、修改或者撤回，并书面通知招标人或者采购代理机构。补充、修改的内容必须按照本须知前附表第</w:t>
      </w:r>
      <w:r>
        <w:rPr>
          <w:rFonts w:ascii="宋体" w:hAnsi="宋体" w:eastAsia="宋体" w:cs="Times New Roman"/>
          <w:color w:val="auto"/>
          <w:szCs w:val="21"/>
          <w:highlight w:val="none"/>
        </w:rPr>
        <w:t>24</w:t>
      </w:r>
      <w:r>
        <w:rPr>
          <w:rFonts w:hint="eastAsia" w:ascii="宋体" w:hAnsi="宋体" w:eastAsia="宋体" w:cs="Times New Roman"/>
          <w:color w:val="auto"/>
          <w:szCs w:val="21"/>
          <w:highlight w:val="none"/>
        </w:rPr>
        <w:t>条签字、盖章，并按照本须知正文第</w:t>
      </w:r>
      <w:r>
        <w:rPr>
          <w:rFonts w:ascii="宋体" w:hAnsi="宋体" w:eastAsia="宋体" w:cs="Times New Roman"/>
          <w:color w:val="auto"/>
          <w:szCs w:val="21"/>
          <w:highlight w:val="none"/>
        </w:rPr>
        <w:t>20</w:t>
      </w:r>
      <w:r>
        <w:rPr>
          <w:rFonts w:hint="eastAsia" w:ascii="宋体" w:hAnsi="宋体" w:eastAsia="宋体" w:cs="Times New Roman"/>
          <w:color w:val="auto"/>
          <w:szCs w:val="21"/>
          <w:highlight w:val="none"/>
        </w:rPr>
        <w:t>条密封后，作为投标文件的组成部分</w:t>
      </w:r>
      <w:r>
        <w:rPr>
          <w:rFonts w:hint="eastAsia" w:ascii="宋体" w:hAnsi="宋体" w:eastAsia="宋体" w:cs="Times New Roman"/>
          <w:b/>
          <w:color w:val="auto"/>
          <w:szCs w:val="21"/>
          <w:highlight w:val="none"/>
        </w:rPr>
        <w:t>。</w:t>
      </w:r>
    </w:p>
    <w:bookmarkEnd w:id="116"/>
    <w:bookmarkEnd w:id="117"/>
    <w:p w14:paraId="056293AE">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22.</w:t>
      </w:r>
      <w:r>
        <w:rPr>
          <w:rFonts w:ascii="宋体" w:hAnsi="宋体" w:eastAsia="宋体" w:cs="宋体"/>
          <w:color w:val="auto"/>
          <w:szCs w:val="21"/>
          <w:highlight w:val="none"/>
        </w:rPr>
        <w:t>2</w:t>
      </w:r>
      <w:r>
        <w:rPr>
          <w:rFonts w:hint="eastAsia" w:ascii="宋体" w:hAnsi="宋体" w:eastAsia="宋体" w:cs="宋体"/>
          <w:color w:val="auto"/>
          <w:szCs w:val="21"/>
          <w:highlight w:val="none"/>
        </w:rPr>
        <w:t>在投标截止时间止提交投标文件的投标人不足3家时</w:t>
      </w:r>
      <w:r>
        <w:rPr>
          <w:rFonts w:hint="eastAsia" w:ascii="宋体" w:hAnsi="宋体" w:eastAsia="宋体" w:cs="Times New Roman"/>
          <w:color w:val="auto"/>
          <w:szCs w:val="21"/>
          <w:highlight w:val="none"/>
        </w:rPr>
        <w:t>，</w:t>
      </w:r>
      <w:r>
        <w:rPr>
          <w:rFonts w:hint="eastAsia" w:ascii="宋体" w:hAnsi="宋体" w:eastAsia="宋体" w:cs="宋体"/>
          <w:color w:val="auto"/>
          <w:szCs w:val="21"/>
          <w:highlight w:val="none"/>
        </w:rPr>
        <w:t>不得开标</w:t>
      </w:r>
      <w:r>
        <w:rPr>
          <w:rFonts w:hint="eastAsia" w:ascii="宋体" w:hAnsi="宋体" w:eastAsia="宋体" w:cs="Times New Roman"/>
          <w:color w:val="auto"/>
          <w:szCs w:val="21"/>
          <w:highlight w:val="none"/>
        </w:rPr>
        <w:t>。</w:t>
      </w:r>
    </w:p>
    <w:p w14:paraId="0083B47D">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ascii="宋体" w:hAnsi="宋体" w:eastAsia="宋体" w:cs="宋体"/>
          <w:color w:val="auto"/>
          <w:szCs w:val="21"/>
          <w:highlight w:val="none"/>
        </w:rPr>
        <w:t>2.3</w:t>
      </w:r>
      <w:r>
        <w:rPr>
          <w:rFonts w:hint="eastAsia" w:ascii="宋体" w:hAnsi="宋体" w:eastAsia="宋体" w:cs="宋体"/>
          <w:color w:val="auto"/>
          <w:szCs w:val="21"/>
          <w:highlight w:val="none"/>
        </w:rPr>
        <w:t xml:space="preserve"> 投标人在投标截止时间后书面通知招标人、采购代理机构撤销投标文件的，将根据本须知正文1</w:t>
      </w:r>
      <w:r>
        <w:rPr>
          <w:rFonts w:ascii="宋体" w:hAnsi="宋体" w:eastAsia="宋体" w:cs="宋体"/>
          <w:color w:val="auto"/>
          <w:szCs w:val="21"/>
          <w:highlight w:val="none"/>
        </w:rPr>
        <w:t>8</w:t>
      </w:r>
      <w:r>
        <w:rPr>
          <w:rFonts w:hint="eastAsia" w:ascii="宋体" w:hAnsi="宋体" w:eastAsia="宋体" w:cs="宋体"/>
          <w:color w:val="auto"/>
          <w:szCs w:val="21"/>
          <w:highlight w:val="none"/>
        </w:rPr>
        <w:t>.4的规定不予退还其投标保证金。</w:t>
      </w:r>
    </w:p>
    <w:p w14:paraId="4B9024A1">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bookmarkStart w:id="118" w:name="_Toc254970685"/>
      <w:bookmarkStart w:id="119" w:name="_Toc254970544"/>
      <w:r>
        <w:rPr>
          <w:rFonts w:hint="eastAsia" w:ascii="Times New Roman" w:hAnsi="Times New Roman" w:eastAsia="宋体" w:cs="Times New Roman"/>
          <w:b/>
          <w:bCs/>
          <w:color w:val="auto"/>
          <w:kern w:val="0"/>
          <w:sz w:val="32"/>
          <w:szCs w:val="32"/>
          <w:highlight w:val="none"/>
          <w:lang w:val="zh-CN"/>
        </w:rPr>
        <w:t>四、开    标</w:t>
      </w:r>
      <w:bookmarkEnd w:id="118"/>
      <w:bookmarkEnd w:id="119"/>
    </w:p>
    <w:p w14:paraId="328234DF">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120" w:name="_23.开标时间和地点"/>
      <w:bookmarkEnd w:id="120"/>
      <w:r>
        <w:rPr>
          <w:rFonts w:hint="eastAsia" w:ascii="黑体" w:hAnsi="黑体" w:eastAsia="黑体" w:cs="Times New Roman"/>
          <w:b/>
          <w:color w:val="auto"/>
          <w:sz w:val="24"/>
          <w:szCs w:val="24"/>
          <w:highlight w:val="none"/>
          <w:lang w:val="zh-CN"/>
        </w:rPr>
        <w:t>23.开标时间和地点</w:t>
      </w:r>
    </w:p>
    <w:p w14:paraId="48DEC62D">
      <w:pPr>
        <w:snapToGrid w:val="0"/>
        <w:spacing w:line="360" w:lineRule="auto"/>
        <w:ind w:firstLine="420" w:firstLineChars="200"/>
        <w:rPr>
          <w:rFonts w:ascii="宋体" w:hAnsi="宋体" w:eastAsia="宋体" w:cs="Times New Roman"/>
          <w:bCs/>
          <w:color w:val="auto"/>
          <w:kern w:val="0"/>
          <w:szCs w:val="21"/>
          <w:highlight w:val="none"/>
          <w:lang w:val="zh-CN"/>
        </w:rPr>
      </w:pPr>
      <w:bookmarkStart w:id="121" w:name="_Hlk91151662"/>
      <w:r>
        <w:rPr>
          <w:rFonts w:hint="eastAsia" w:ascii="宋体" w:hAnsi="宋体" w:eastAsia="宋体" w:cs="Times New Roman"/>
          <w:bCs/>
          <w:color w:val="auto"/>
          <w:kern w:val="0"/>
          <w:szCs w:val="21"/>
          <w:highlight w:val="none"/>
          <w:lang w:val="zh-CN"/>
        </w:rPr>
        <w:t>采购代理机构</w:t>
      </w:r>
      <w:bookmarkEnd w:id="121"/>
      <w:r>
        <w:rPr>
          <w:rFonts w:hint="eastAsia" w:ascii="宋体" w:hAnsi="宋体" w:eastAsia="宋体" w:cs="Times New Roman"/>
          <w:bCs/>
          <w:color w:val="auto"/>
          <w:kern w:val="0"/>
          <w:szCs w:val="21"/>
          <w:highlight w:val="none"/>
          <w:lang w:val="zh-CN"/>
        </w:rPr>
        <w:t>将在“投标人须知前附表”规定的时间通过“政府采购云平台”组织开标、开启投标文件，所有供应商均应当准时在线参加。投标供应商如不参加开标会的，视同认可开标结果，事后不得对采购相关人员、开标过程和开标结果提出异议，同时供应商因未在线参加开标而导致投标文件无法按时解密等一切后果由供应商自己承担。本项目开标过程实行全程录音、录像监控。</w:t>
      </w:r>
    </w:p>
    <w:p w14:paraId="578B2A9C">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24.开标程序</w:t>
      </w:r>
    </w:p>
    <w:p w14:paraId="2F508059">
      <w:pPr>
        <w:adjustRightInd w:val="0"/>
        <w:snapToGrid w:val="0"/>
        <w:spacing w:line="400" w:lineRule="exact"/>
        <w:ind w:firstLine="420" w:firstLineChars="200"/>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1.电子开标会由采购代理机构主持</w:t>
      </w:r>
    </w:p>
    <w:p w14:paraId="40FBFF24">
      <w:pPr>
        <w:adjustRightInd w:val="0"/>
        <w:snapToGrid w:val="0"/>
        <w:spacing w:line="400" w:lineRule="exact"/>
        <w:ind w:firstLine="420" w:firstLineChars="200"/>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2. 采购代理机构工作人员向各投标供应商发出电子加密投标文件【开始解密】通知，由供应商按招标文件规定的时间内自行进行投标文件解密。投标供应商未在规定时间内完成解密的，系统默认自动放弃。</w:t>
      </w:r>
    </w:p>
    <w:p w14:paraId="2426A770">
      <w:pPr>
        <w:adjustRightInd w:val="0"/>
        <w:snapToGrid w:val="0"/>
        <w:spacing w:line="400" w:lineRule="exact"/>
        <w:ind w:firstLine="420" w:firstLineChars="200"/>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3.</w:t>
      </w:r>
      <w:r>
        <w:rPr>
          <w:rFonts w:ascii="宋体" w:hAnsi="宋体" w:eastAsia="宋体" w:cs="Times New Roman"/>
          <w:bCs/>
          <w:color w:val="auto"/>
          <w:kern w:val="0"/>
          <w:szCs w:val="21"/>
          <w:highlight w:val="none"/>
          <w:lang w:val="zh-CN"/>
        </w:rPr>
        <w:t>投标文件解密结束，开启</w:t>
      </w:r>
      <w:r>
        <w:rPr>
          <w:rFonts w:hint="eastAsia" w:ascii="宋体" w:hAnsi="宋体" w:eastAsia="宋体" w:cs="Times New Roman"/>
          <w:bCs/>
          <w:color w:val="auto"/>
          <w:kern w:val="0"/>
          <w:szCs w:val="21"/>
          <w:highlight w:val="none"/>
          <w:lang w:val="zh-CN"/>
        </w:rPr>
        <w:t>报价文件。投标供应商在线制作投标文件时填写的报价金额</w:t>
      </w:r>
      <w:r>
        <w:rPr>
          <w:rFonts w:ascii="宋体" w:hAnsi="宋体" w:eastAsia="宋体" w:cs="Times New Roman"/>
          <w:bCs/>
          <w:color w:val="auto"/>
          <w:kern w:val="0"/>
          <w:szCs w:val="21"/>
          <w:highlight w:val="none"/>
          <w:lang w:val="zh-CN"/>
        </w:rPr>
        <w:t>与解密后“电子加密投标文件”中《开标一览表》填写的金额不一致的，以解密后“电子加密投标文件”中《开标一览表》填写的金额为准，投标供应商拒绝接受此调整的，按无效投标处理。</w:t>
      </w:r>
    </w:p>
    <w:p w14:paraId="54E046C0">
      <w:pPr>
        <w:adjustRightInd w:val="0"/>
        <w:snapToGrid w:val="0"/>
        <w:spacing w:line="400" w:lineRule="exact"/>
        <w:ind w:firstLine="420" w:firstLineChars="200"/>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4.进入</w:t>
      </w:r>
      <w:r>
        <w:rPr>
          <w:rFonts w:ascii="宋体" w:hAnsi="宋体" w:eastAsia="宋体" w:cs="Times New Roman"/>
          <w:bCs/>
          <w:color w:val="auto"/>
          <w:kern w:val="0"/>
          <w:szCs w:val="21"/>
          <w:highlight w:val="none"/>
          <w:lang w:val="zh-CN"/>
        </w:rPr>
        <w:t>资格文件</w:t>
      </w:r>
      <w:r>
        <w:rPr>
          <w:rFonts w:hint="eastAsia" w:ascii="宋体" w:hAnsi="宋体" w:eastAsia="宋体" w:cs="Times New Roman"/>
          <w:bCs/>
          <w:color w:val="auto"/>
          <w:kern w:val="0"/>
          <w:szCs w:val="21"/>
          <w:highlight w:val="none"/>
          <w:lang w:val="zh-CN"/>
        </w:rPr>
        <w:t>审查环节</w:t>
      </w:r>
      <w:r>
        <w:rPr>
          <w:rFonts w:ascii="宋体" w:hAnsi="宋体" w:eastAsia="宋体" w:cs="Times New Roman"/>
          <w:bCs/>
          <w:color w:val="auto"/>
          <w:kern w:val="0"/>
          <w:szCs w:val="21"/>
          <w:highlight w:val="none"/>
          <w:lang w:val="zh-CN"/>
        </w:rPr>
        <w:t>，</w:t>
      </w:r>
      <w:r>
        <w:rPr>
          <w:rFonts w:hint="eastAsia" w:ascii="宋体" w:hAnsi="宋体" w:eastAsia="宋体" w:cs="Times New Roman"/>
          <w:bCs/>
          <w:color w:val="auto"/>
          <w:kern w:val="0"/>
          <w:szCs w:val="21"/>
          <w:highlight w:val="none"/>
          <w:lang w:val="zh-CN"/>
        </w:rPr>
        <w:t>采购代理机构或者招标采购单位</w:t>
      </w:r>
      <w:r>
        <w:rPr>
          <w:rFonts w:ascii="宋体" w:hAnsi="宋体" w:eastAsia="宋体" w:cs="Times New Roman"/>
          <w:bCs/>
          <w:color w:val="auto"/>
          <w:kern w:val="0"/>
          <w:szCs w:val="21"/>
          <w:highlight w:val="none"/>
          <w:lang w:val="zh-CN"/>
        </w:rPr>
        <w:t>依法对投标供应商的资格进行审查。</w:t>
      </w:r>
    </w:p>
    <w:p w14:paraId="09A1A096">
      <w:pPr>
        <w:adjustRightInd w:val="0"/>
        <w:snapToGrid w:val="0"/>
        <w:spacing w:line="400" w:lineRule="exact"/>
        <w:ind w:firstLine="420" w:firstLineChars="200"/>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5.</w:t>
      </w:r>
      <w:r>
        <w:rPr>
          <w:rFonts w:ascii="宋体" w:hAnsi="宋体" w:eastAsia="宋体" w:cs="Times New Roman"/>
          <w:bCs/>
          <w:color w:val="auto"/>
          <w:kern w:val="0"/>
          <w:szCs w:val="21"/>
          <w:highlight w:val="none"/>
          <w:lang w:val="zh-CN"/>
        </w:rPr>
        <w:t>开启资格审查通过的投标供应商的商务技术文件进入符合性审查及商务技术评审</w:t>
      </w:r>
      <w:r>
        <w:rPr>
          <w:rFonts w:hint="eastAsia" w:ascii="宋体" w:hAnsi="宋体" w:eastAsia="宋体" w:cs="Times New Roman"/>
          <w:bCs/>
          <w:color w:val="auto"/>
          <w:kern w:val="0"/>
          <w:szCs w:val="21"/>
          <w:highlight w:val="none"/>
          <w:lang w:val="zh-CN"/>
        </w:rPr>
        <w:t>。</w:t>
      </w:r>
    </w:p>
    <w:p w14:paraId="2E4FFDAB">
      <w:pPr>
        <w:adjustRightInd w:val="0"/>
        <w:snapToGrid w:val="0"/>
        <w:spacing w:line="400" w:lineRule="exact"/>
        <w:ind w:firstLine="420"/>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注：①当整个招标项目的投标人不足3家的不开标，采购代理机构将按政府采购管理的有关规定处理。</w:t>
      </w:r>
    </w:p>
    <w:p w14:paraId="2B1758C2">
      <w:pPr>
        <w:adjustRightInd w:val="0"/>
        <w:snapToGrid w:val="0"/>
        <w:spacing w:line="400" w:lineRule="exact"/>
        <w:ind w:firstLine="840" w:firstLineChars="400"/>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②开标后,投标人不足3家的，采购代理机构将按政府采购管理的有关规定处理。</w:t>
      </w:r>
    </w:p>
    <w:p w14:paraId="5264E9DD">
      <w:pPr>
        <w:spacing w:line="360" w:lineRule="auto"/>
        <w:ind w:firstLine="420"/>
        <w:jc w:val="left"/>
        <w:rPr>
          <w:rFonts w:ascii="宋体" w:hAnsi="宋体" w:eastAsia="宋体" w:cs="Times New Roman"/>
          <w:b/>
          <w:bCs/>
          <w:color w:val="auto"/>
          <w:kern w:val="0"/>
          <w:szCs w:val="21"/>
          <w:highlight w:val="none"/>
        </w:rPr>
      </w:pPr>
      <w:r>
        <w:rPr>
          <w:rFonts w:ascii="宋体" w:hAnsi="宋体" w:eastAsia="宋体" w:cs="Times New Roman"/>
          <w:b/>
          <w:bCs/>
          <w:color w:val="auto"/>
          <w:kern w:val="0"/>
          <w:szCs w:val="21"/>
          <w:highlight w:val="none"/>
        </w:rPr>
        <w:t>特别说明：如遇“</w:t>
      </w:r>
      <w:r>
        <w:rPr>
          <w:rFonts w:hint="eastAsia" w:ascii="宋体" w:hAnsi="宋体" w:eastAsia="宋体" w:cs="Times New Roman"/>
          <w:b/>
          <w:bCs/>
          <w:color w:val="auto"/>
          <w:kern w:val="0"/>
          <w:szCs w:val="21"/>
          <w:highlight w:val="none"/>
        </w:rPr>
        <w:t>广西政府采购云</w:t>
      </w:r>
      <w:r>
        <w:rPr>
          <w:rFonts w:ascii="宋体" w:hAnsi="宋体" w:eastAsia="宋体" w:cs="Times New Roman"/>
          <w:b/>
          <w:bCs/>
          <w:color w:val="auto"/>
          <w:kern w:val="0"/>
          <w:szCs w:val="21"/>
          <w:highlight w:val="none"/>
        </w:rPr>
        <w:t>平台”电子化开标或评审程序调整的，按调整后程序执行。</w:t>
      </w:r>
    </w:p>
    <w:p w14:paraId="4B274D27">
      <w:pPr>
        <w:snapToGrid w:val="0"/>
        <w:spacing w:line="360" w:lineRule="auto"/>
        <w:ind w:left="689" w:leftChars="228" w:hanging="210" w:hangingChars="100"/>
        <w:rPr>
          <w:rFonts w:ascii="宋体" w:hAnsi="宋体" w:eastAsia="宋体" w:cs="Times New Roman"/>
          <w:color w:val="auto"/>
          <w:kern w:val="0"/>
          <w:szCs w:val="21"/>
          <w:highlight w:val="none"/>
          <w:lang w:val="zh-CN"/>
        </w:rPr>
      </w:pPr>
    </w:p>
    <w:p w14:paraId="4C6CE116">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r>
        <w:rPr>
          <w:rFonts w:hint="eastAsia" w:ascii="Times New Roman" w:hAnsi="Times New Roman" w:eastAsia="宋体" w:cs="Times New Roman"/>
          <w:b/>
          <w:bCs/>
          <w:color w:val="auto"/>
          <w:kern w:val="0"/>
          <w:sz w:val="32"/>
          <w:szCs w:val="32"/>
          <w:highlight w:val="none"/>
          <w:lang w:val="zh-CN"/>
        </w:rPr>
        <w:t>五、资格审查</w:t>
      </w:r>
    </w:p>
    <w:p w14:paraId="5B86E4E7">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25.资格审查</w:t>
      </w:r>
    </w:p>
    <w:p w14:paraId="68513E01">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 25.1</w:t>
      </w:r>
      <w:r>
        <w:rPr>
          <w:rFonts w:ascii="宋体" w:hAnsi="宋体" w:eastAsia="宋体" w:cs="Times New Roman"/>
          <w:color w:val="auto"/>
          <w:szCs w:val="21"/>
          <w:highlight w:val="none"/>
          <w:lang w:val="zh-CN"/>
        </w:rPr>
        <w:t>开标结束后，</w:t>
      </w:r>
      <w:r>
        <w:rPr>
          <w:rFonts w:hint="eastAsia" w:ascii="宋体" w:hAnsi="宋体" w:eastAsia="宋体" w:cs="Times New Roman"/>
          <w:color w:val="auto"/>
          <w:szCs w:val="21"/>
          <w:highlight w:val="none"/>
          <w:lang w:val="zh-CN"/>
        </w:rPr>
        <w:t>招标人或者采购代理机构</w:t>
      </w:r>
      <w:r>
        <w:rPr>
          <w:rFonts w:ascii="宋体" w:hAnsi="宋体" w:eastAsia="宋体" w:cs="Times New Roman"/>
          <w:color w:val="auto"/>
          <w:szCs w:val="21"/>
          <w:highlight w:val="none"/>
          <w:lang w:val="zh-CN"/>
        </w:rPr>
        <w:t>依法对投标人的资格进行审查。</w:t>
      </w:r>
    </w:p>
    <w:p w14:paraId="14ABBEAA">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 25.2资格审查标准为本招标文件中载明对投标人资格要求的条件。本项目资格审查采用合格制，凡符合招标文件规定的投标人资格要求的投标人均通过资格审查。</w:t>
      </w:r>
    </w:p>
    <w:p w14:paraId="58BDBF6D">
      <w:pPr>
        <w:spacing w:line="360" w:lineRule="auto"/>
        <w:ind w:firstLine="422" w:firstLineChars="200"/>
        <w:outlineLvl w:val="4"/>
        <w:rPr>
          <w:rFonts w:ascii="宋体" w:hAnsi="宋体" w:eastAsia="宋体" w:cs="Times New Roman"/>
          <w:b/>
          <w:color w:val="auto"/>
          <w:szCs w:val="21"/>
          <w:highlight w:val="none"/>
          <w:lang w:val="zh-CN"/>
        </w:rPr>
      </w:pPr>
      <w:bookmarkStart w:id="122" w:name="_25.3_投标人有下列情形之一的，资格审查不通过而导致其投标无效："/>
      <w:bookmarkEnd w:id="122"/>
      <w:r>
        <w:rPr>
          <w:rFonts w:hint="eastAsia" w:ascii="宋体" w:hAnsi="宋体" w:eastAsia="宋体" w:cs="Times New Roman"/>
          <w:b/>
          <w:color w:val="auto"/>
          <w:szCs w:val="21"/>
          <w:highlight w:val="none"/>
          <w:lang w:val="zh-CN"/>
        </w:rPr>
        <w:t>25.3 投标人有下列情形之一的，资格审查不通过，作无效投标处理：</w:t>
      </w:r>
    </w:p>
    <w:p w14:paraId="79C6E168">
      <w:pPr>
        <w:snapToGrid w:val="0"/>
        <w:spacing w:line="360" w:lineRule="auto"/>
        <w:ind w:firstLine="422" w:firstLineChars="200"/>
        <w:rPr>
          <w:rFonts w:ascii="宋体" w:hAnsi="宋体" w:eastAsia="宋体" w:cs="Times New Roman"/>
          <w:b/>
          <w:color w:val="auto"/>
          <w:kern w:val="0"/>
          <w:szCs w:val="21"/>
          <w:highlight w:val="none"/>
          <w:lang w:val="zh-CN"/>
        </w:rPr>
      </w:pPr>
      <w:r>
        <w:rPr>
          <w:rFonts w:hint="eastAsia" w:ascii="宋体" w:hAnsi="宋体" w:eastAsia="宋体" w:cs="Times New Roman"/>
          <w:b/>
          <w:color w:val="auto"/>
          <w:kern w:val="0"/>
          <w:szCs w:val="21"/>
          <w:highlight w:val="none"/>
          <w:lang w:val="zh-CN"/>
        </w:rPr>
        <w:t>（1）未按招标文件规定的方式获取本招标文件的投标人；</w:t>
      </w:r>
    </w:p>
    <w:p w14:paraId="635CC226">
      <w:pPr>
        <w:snapToGrid w:val="0"/>
        <w:spacing w:line="360" w:lineRule="auto"/>
        <w:ind w:firstLine="422" w:firstLineChars="200"/>
        <w:rPr>
          <w:rFonts w:ascii="宋体" w:hAnsi="宋体" w:eastAsia="宋体" w:cs="Times New Roman"/>
          <w:b/>
          <w:color w:val="auto"/>
          <w:kern w:val="0"/>
          <w:szCs w:val="21"/>
          <w:highlight w:val="none"/>
          <w:lang w:val="zh-CN"/>
        </w:rPr>
      </w:pPr>
      <w:r>
        <w:rPr>
          <w:rFonts w:hint="eastAsia" w:ascii="宋体" w:hAnsi="宋体" w:eastAsia="宋体" w:cs="Times New Roman"/>
          <w:b/>
          <w:color w:val="auto"/>
          <w:kern w:val="0"/>
          <w:szCs w:val="21"/>
          <w:highlight w:val="none"/>
          <w:lang w:val="zh-CN"/>
        </w:rPr>
        <w:t>（2）不具备招标文件中规定的资格要求的；</w:t>
      </w:r>
    </w:p>
    <w:p w14:paraId="734C6869">
      <w:pPr>
        <w:snapToGrid w:val="0"/>
        <w:spacing w:line="360" w:lineRule="auto"/>
        <w:ind w:firstLine="422" w:firstLineChars="200"/>
        <w:rPr>
          <w:rFonts w:ascii="宋体" w:hAnsi="宋体" w:eastAsia="宋体" w:cs="Times New Roman"/>
          <w:b/>
          <w:color w:val="auto"/>
          <w:kern w:val="0"/>
          <w:szCs w:val="21"/>
          <w:highlight w:val="none"/>
          <w:lang w:val="zh-CN"/>
        </w:rPr>
      </w:pPr>
      <w:r>
        <w:rPr>
          <w:rFonts w:hint="eastAsia" w:ascii="宋体" w:hAnsi="宋体" w:eastAsia="宋体" w:cs="Times New Roman"/>
          <w:b/>
          <w:color w:val="auto"/>
          <w:kern w:val="0"/>
          <w:szCs w:val="21"/>
          <w:highlight w:val="none"/>
          <w:lang w:val="zh-CN"/>
        </w:rPr>
        <w:t>（3）在“信用中国”网站(www.creditchina.gov.cn) 、中国政府采购网(www.ccgp.gov.cn)被列入失信被执行人、重大税收违法案件当事人名单、政府采购严重违法失信行为记录名单及其他不符合《中华人民共和国政府采购法》第二十二条规定条件的；（注：其中信用查询规则见“投标人须知前附表”）</w:t>
      </w:r>
    </w:p>
    <w:p w14:paraId="5B61888C">
      <w:pPr>
        <w:snapToGrid w:val="0"/>
        <w:spacing w:line="360" w:lineRule="auto"/>
        <w:ind w:firstLine="422" w:firstLineChars="200"/>
        <w:rPr>
          <w:rFonts w:ascii="宋体" w:hAnsi="宋体" w:eastAsia="宋体" w:cs="Times New Roman"/>
          <w:b/>
          <w:color w:val="auto"/>
          <w:kern w:val="0"/>
          <w:szCs w:val="21"/>
          <w:highlight w:val="none"/>
          <w:lang w:val="zh-CN"/>
        </w:rPr>
      </w:pPr>
      <w:r>
        <w:rPr>
          <w:rFonts w:hint="eastAsia" w:ascii="宋体" w:hAnsi="宋体" w:eastAsia="宋体" w:cs="Times New Roman"/>
          <w:b/>
          <w:color w:val="auto"/>
          <w:kern w:val="0"/>
          <w:szCs w:val="21"/>
          <w:highlight w:val="none"/>
          <w:lang w:val="zh-CN"/>
        </w:rPr>
        <w:t>（4）同一合同项下的不同投标人，单位负责人为同一人或者存在直接控股、管理关系的；为本项目提供过整体设计、规范编制或者项目管理、监理、检测等服务的；</w:t>
      </w:r>
    </w:p>
    <w:p w14:paraId="7B5DD35C">
      <w:pPr>
        <w:snapToGrid w:val="0"/>
        <w:spacing w:line="360" w:lineRule="auto"/>
        <w:ind w:firstLine="422" w:firstLineChars="200"/>
        <w:rPr>
          <w:rFonts w:ascii="宋体" w:hAnsi="宋体" w:eastAsia="宋体" w:cs="Times New Roman"/>
          <w:b/>
          <w:color w:val="auto"/>
          <w:kern w:val="0"/>
          <w:szCs w:val="21"/>
          <w:highlight w:val="none"/>
          <w:lang w:val="zh-CN"/>
        </w:rPr>
      </w:pPr>
      <w:r>
        <w:rPr>
          <w:rFonts w:hint="eastAsia" w:ascii="宋体" w:hAnsi="宋体" w:eastAsia="宋体" w:cs="Times New Roman"/>
          <w:b/>
          <w:color w:val="auto"/>
          <w:kern w:val="0"/>
          <w:szCs w:val="21"/>
          <w:highlight w:val="none"/>
          <w:lang w:val="zh-CN"/>
        </w:rPr>
        <w:t>（</w:t>
      </w:r>
      <w:r>
        <w:rPr>
          <w:rFonts w:ascii="宋体" w:hAnsi="宋体" w:eastAsia="宋体" w:cs="Times New Roman"/>
          <w:b/>
          <w:color w:val="auto"/>
          <w:kern w:val="0"/>
          <w:szCs w:val="21"/>
          <w:highlight w:val="none"/>
          <w:lang w:val="zh-CN"/>
        </w:rPr>
        <w:t>5</w:t>
      </w:r>
      <w:r>
        <w:rPr>
          <w:rFonts w:hint="eastAsia" w:ascii="宋体" w:hAnsi="宋体" w:eastAsia="宋体" w:cs="Times New Roman"/>
          <w:b/>
          <w:color w:val="auto"/>
          <w:kern w:val="0"/>
          <w:szCs w:val="21"/>
          <w:highlight w:val="none"/>
          <w:lang w:val="zh-CN"/>
        </w:rPr>
        <w:t>）投标文件未提供任一项“投标人须知前附表”资格证明文件规定的“必须提供”的文件资料的；</w:t>
      </w:r>
    </w:p>
    <w:p w14:paraId="60EB3B62">
      <w:pPr>
        <w:snapToGrid w:val="0"/>
        <w:spacing w:line="360" w:lineRule="auto"/>
        <w:ind w:firstLine="422" w:firstLineChars="200"/>
        <w:rPr>
          <w:rFonts w:ascii="宋体" w:hAnsi="宋体" w:eastAsia="宋体" w:cs="Times New Roman"/>
          <w:b/>
          <w:color w:val="auto"/>
          <w:kern w:val="0"/>
          <w:szCs w:val="21"/>
          <w:highlight w:val="none"/>
          <w:lang w:val="zh-CN"/>
        </w:rPr>
      </w:pPr>
      <w:r>
        <w:rPr>
          <w:rFonts w:hint="eastAsia" w:ascii="宋体" w:hAnsi="宋体" w:eastAsia="宋体" w:cs="Times New Roman"/>
          <w:b/>
          <w:color w:val="auto"/>
          <w:kern w:val="0"/>
          <w:szCs w:val="21"/>
          <w:highlight w:val="none"/>
          <w:lang w:val="zh-CN"/>
        </w:rPr>
        <w:t>（</w:t>
      </w:r>
      <w:r>
        <w:rPr>
          <w:rFonts w:ascii="宋体" w:hAnsi="宋体" w:eastAsia="宋体" w:cs="Times New Roman"/>
          <w:b/>
          <w:color w:val="auto"/>
          <w:kern w:val="0"/>
          <w:szCs w:val="21"/>
          <w:highlight w:val="none"/>
          <w:lang w:val="zh-CN"/>
        </w:rPr>
        <w:t>6</w:t>
      </w:r>
      <w:r>
        <w:rPr>
          <w:rFonts w:hint="eastAsia" w:ascii="宋体" w:hAnsi="宋体" w:eastAsia="宋体" w:cs="Times New Roman"/>
          <w:b/>
          <w:color w:val="auto"/>
          <w:kern w:val="0"/>
          <w:szCs w:val="21"/>
          <w:highlight w:val="none"/>
          <w:lang w:val="zh-CN"/>
        </w:rPr>
        <w:t>）投标文件提供的资格证明文件出现任一项不符合“投标人须知前附表”资格证明文件规定的“必须提供”的文件资料要求或者无效的。</w:t>
      </w:r>
    </w:p>
    <w:p w14:paraId="7C1F8004">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b/>
          <w:color w:val="auto"/>
          <w:szCs w:val="21"/>
          <w:highlight w:val="none"/>
          <w:lang w:val="zh-CN"/>
        </w:rPr>
        <w:t>25.4资格审查的</w:t>
      </w:r>
      <w:r>
        <w:rPr>
          <w:rFonts w:ascii="宋体" w:hAnsi="宋体" w:eastAsia="宋体" w:cs="Times New Roman"/>
          <w:b/>
          <w:color w:val="auto"/>
          <w:szCs w:val="21"/>
          <w:highlight w:val="none"/>
          <w:lang w:val="zh-CN"/>
        </w:rPr>
        <w:t>合格投标人不足3家的，不得评标。</w:t>
      </w:r>
    </w:p>
    <w:p w14:paraId="6C8595DE">
      <w:pPr>
        <w:snapToGrid w:val="0"/>
        <w:spacing w:line="360" w:lineRule="auto"/>
        <w:ind w:left="689" w:leftChars="228" w:hanging="210" w:hangingChars="100"/>
        <w:rPr>
          <w:rFonts w:ascii="宋体" w:hAnsi="宋体" w:eastAsia="宋体" w:cs="Times New Roman"/>
          <w:color w:val="auto"/>
          <w:kern w:val="0"/>
          <w:szCs w:val="21"/>
          <w:highlight w:val="none"/>
          <w:lang w:val="zh-CN"/>
        </w:rPr>
      </w:pPr>
    </w:p>
    <w:p w14:paraId="7543DCBA">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r>
        <w:rPr>
          <w:rFonts w:hint="eastAsia" w:ascii="Times New Roman" w:hAnsi="Times New Roman" w:eastAsia="宋体" w:cs="Times New Roman"/>
          <w:b/>
          <w:bCs/>
          <w:color w:val="auto"/>
          <w:kern w:val="0"/>
          <w:sz w:val="32"/>
          <w:szCs w:val="32"/>
          <w:highlight w:val="none"/>
          <w:lang w:val="zh-CN"/>
        </w:rPr>
        <w:t>六、评   标</w:t>
      </w:r>
    </w:p>
    <w:p w14:paraId="635FFCD5">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123" w:name="_26.组建评标委员会"/>
      <w:bookmarkEnd w:id="123"/>
      <w:r>
        <w:rPr>
          <w:rFonts w:hint="eastAsia" w:ascii="黑体" w:hAnsi="黑体" w:eastAsia="黑体" w:cs="Times New Roman"/>
          <w:b/>
          <w:color w:val="auto"/>
          <w:sz w:val="24"/>
          <w:szCs w:val="24"/>
          <w:highlight w:val="none"/>
          <w:lang w:val="zh-CN"/>
        </w:rPr>
        <w:t>26.组建评标委员会</w:t>
      </w:r>
    </w:p>
    <w:p w14:paraId="4937727F">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评标委员会由招标人代表和评审专家组成，具体人数详见“投标人须知前附表”，其中评审专家不得少于成员总数的三分之二。</w:t>
      </w:r>
    </w:p>
    <w:p w14:paraId="2C6222E0">
      <w:pPr>
        <w:snapToGrid w:val="0"/>
        <w:spacing w:line="360" w:lineRule="auto"/>
        <w:ind w:left="2" w:leftChars="1"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参加过采购项目前期咨询论证的专家，不得参加该采购项目的评审活动。</w:t>
      </w:r>
    </w:p>
    <w:p w14:paraId="69F92B6F">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27.评标的依据</w:t>
      </w:r>
    </w:p>
    <w:p w14:paraId="2A84BD74">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评标委员会以招标文件为依据对投标文件进行评审，</w:t>
      </w:r>
      <w:r>
        <w:rPr>
          <w:rFonts w:hint="eastAsia" w:ascii="宋体" w:hAnsi="宋体" w:eastAsia="宋体" w:cs="宋体"/>
          <w:color w:val="auto"/>
          <w:kern w:val="0"/>
          <w:szCs w:val="21"/>
          <w:highlight w:val="none"/>
          <w:lang w:val="zh-CN"/>
        </w:rPr>
        <w:t>“第四章 评标方法和评标标准”</w:t>
      </w:r>
      <w:r>
        <w:rPr>
          <w:rFonts w:ascii="宋体" w:hAnsi="宋体" w:eastAsia="宋体" w:cs="Times New Roman"/>
          <w:color w:val="auto"/>
          <w:kern w:val="0"/>
          <w:szCs w:val="21"/>
          <w:highlight w:val="none"/>
          <w:lang w:val="zh-CN"/>
        </w:rPr>
        <w:t>没有规定的方法、评审因素和标准，不作为评标依据。</w:t>
      </w:r>
    </w:p>
    <w:p w14:paraId="5B939A78">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28.评标原则</w:t>
      </w:r>
    </w:p>
    <w:p w14:paraId="50DDF7B7">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7DAAC0CC">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28.2评委表决。评标委员会成员对需要共同认定的事项存在争议的，应当按照少数服从多数的原则作出结论。</w:t>
      </w:r>
    </w:p>
    <w:p w14:paraId="707C5877">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28.</w:t>
      </w:r>
      <w:r>
        <w:rPr>
          <w:rFonts w:ascii="宋体" w:hAnsi="宋体" w:eastAsia="宋体" w:cs="Times New Roman"/>
          <w:color w:val="auto"/>
          <w:kern w:val="0"/>
          <w:szCs w:val="21"/>
          <w:highlight w:val="none"/>
          <w:lang w:val="zh-CN"/>
        </w:rPr>
        <w:t>3</w:t>
      </w:r>
      <w:r>
        <w:rPr>
          <w:rFonts w:hint="eastAsia" w:ascii="宋体" w:hAnsi="宋体" w:eastAsia="宋体" w:cs="Times New Roman"/>
          <w:color w:val="auto"/>
          <w:kern w:val="0"/>
          <w:szCs w:val="21"/>
          <w:highlight w:val="none"/>
          <w:lang w:val="zh-CN"/>
        </w:rPr>
        <w:t>评标的保密。招标人、采购代理机构应当采取必要措施，保证评标在严格保密（封闭式评标）的情况下进行。除招标人代表、评标现场组织人员外，招标人的其他工作人员以及与评标工作无关的人员不得进入评标现场。有关人员对评标情况以及在评标过程中获悉的国家秘密、商业秘密负有保密责任。</w:t>
      </w:r>
    </w:p>
    <w:p w14:paraId="077D8917">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2</w:t>
      </w:r>
      <w:r>
        <w:rPr>
          <w:rFonts w:ascii="宋体" w:hAnsi="宋体" w:eastAsia="宋体" w:cs="Times New Roman"/>
          <w:color w:val="auto"/>
          <w:kern w:val="0"/>
          <w:szCs w:val="21"/>
          <w:highlight w:val="none"/>
          <w:lang w:val="zh-CN"/>
        </w:rPr>
        <w:t>8.4</w:t>
      </w:r>
      <w:r>
        <w:rPr>
          <w:rFonts w:hint="eastAsia" w:ascii="宋体" w:hAnsi="宋体" w:eastAsia="宋体" w:cs="Times New Roman"/>
          <w:color w:val="auto"/>
          <w:kern w:val="0"/>
          <w:szCs w:val="21"/>
          <w:highlight w:val="none"/>
          <w:lang w:val="zh-CN"/>
        </w:rPr>
        <w:t>评标过程的监控。本项目评标过程实行全程录音、录像监控，</w:t>
      </w:r>
      <w:r>
        <w:rPr>
          <w:rFonts w:hint="eastAsia" w:ascii="宋体" w:hAnsi="宋体" w:eastAsia="宋体" w:cs="Times New Roman"/>
          <w:b/>
          <w:color w:val="auto"/>
          <w:kern w:val="0"/>
          <w:szCs w:val="21"/>
          <w:highlight w:val="none"/>
          <w:lang w:val="zh-CN"/>
        </w:rPr>
        <w:t>投标人在评标过程中所进行的试图影响评标结果的不公正活动，可能导致其投标无效。</w:t>
      </w:r>
    </w:p>
    <w:p w14:paraId="71CC8491">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29.评标方法及评标标准</w:t>
      </w:r>
    </w:p>
    <w:p w14:paraId="1BBB7C76">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2</w:t>
      </w:r>
      <w:r>
        <w:rPr>
          <w:rFonts w:ascii="宋体" w:hAnsi="宋体" w:eastAsia="宋体" w:cs="Times New Roman"/>
          <w:color w:val="auto"/>
          <w:kern w:val="0"/>
          <w:szCs w:val="21"/>
          <w:highlight w:val="none"/>
          <w:lang w:val="zh-CN"/>
        </w:rPr>
        <w:t>9.1</w:t>
      </w:r>
      <w:r>
        <w:rPr>
          <w:rFonts w:hint="eastAsia" w:ascii="宋体" w:hAnsi="宋体" w:eastAsia="宋体" w:cs="Times New Roman"/>
          <w:color w:val="auto"/>
          <w:kern w:val="0"/>
          <w:szCs w:val="21"/>
          <w:highlight w:val="none"/>
          <w:lang w:val="zh-CN"/>
        </w:rPr>
        <w:t>本项目的评标方法详见“投标人须知前附表”。</w:t>
      </w:r>
    </w:p>
    <w:p w14:paraId="7D73AD4F">
      <w:pPr>
        <w:snapToGrid w:val="0"/>
        <w:spacing w:line="360" w:lineRule="auto"/>
        <w:ind w:firstLine="420" w:firstLineChars="200"/>
        <w:rPr>
          <w:rFonts w:ascii="宋体" w:hAnsi="宋体" w:eastAsia="宋体" w:cs="宋体"/>
          <w:color w:val="auto"/>
          <w:kern w:val="0"/>
          <w:szCs w:val="21"/>
          <w:highlight w:val="none"/>
          <w:lang w:val="zh-CN"/>
        </w:rPr>
      </w:pPr>
      <w:r>
        <w:rPr>
          <w:rFonts w:hint="eastAsia" w:ascii="宋体" w:hAnsi="宋体" w:eastAsia="宋体" w:cs="Times New Roman"/>
          <w:color w:val="auto"/>
          <w:kern w:val="0"/>
          <w:szCs w:val="21"/>
          <w:highlight w:val="none"/>
          <w:lang w:val="zh-CN"/>
        </w:rPr>
        <w:t>2</w:t>
      </w:r>
      <w:r>
        <w:rPr>
          <w:rFonts w:ascii="宋体" w:hAnsi="宋体" w:eastAsia="宋体" w:cs="Times New Roman"/>
          <w:color w:val="auto"/>
          <w:kern w:val="0"/>
          <w:szCs w:val="21"/>
          <w:highlight w:val="none"/>
          <w:lang w:val="zh-CN"/>
        </w:rPr>
        <w:t>9.2</w:t>
      </w:r>
      <w:r>
        <w:rPr>
          <w:rFonts w:ascii="宋体" w:hAnsi="宋体" w:eastAsia="宋体" w:cs="宋体"/>
          <w:color w:val="auto"/>
          <w:kern w:val="0"/>
          <w:szCs w:val="21"/>
          <w:highlight w:val="none"/>
          <w:lang w:val="zh-CN"/>
        </w:rPr>
        <w:t xml:space="preserve"> </w:t>
      </w:r>
      <w:r>
        <w:rPr>
          <w:rFonts w:ascii="宋体" w:hAnsi="宋体" w:eastAsia="宋体" w:cs="Times New Roman"/>
          <w:color w:val="auto"/>
          <w:kern w:val="0"/>
          <w:szCs w:val="21"/>
          <w:highlight w:val="none"/>
          <w:lang w:val="zh-CN"/>
        </w:rPr>
        <w:t>评标委员会按照</w:t>
      </w:r>
      <w:r>
        <w:rPr>
          <w:rFonts w:hint="eastAsia" w:ascii="宋体" w:hAnsi="宋体" w:eastAsia="宋体" w:cs="宋体"/>
          <w:color w:val="auto"/>
          <w:kern w:val="0"/>
          <w:szCs w:val="21"/>
          <w:highlight w:val="none"/>
          <w:lang w:val="zh-CN"/>
        </w:rPr>
        <w:t>“第四章 评标方法及评标标准”</w:t>
      </w:r>
      <w:r>
        <w:rPr>
          <w:rFonts w:ascii="宋体" w:hAnsi="宋体" w:eastAsia="宋体" w:cs="Times New Roman"/>
          <w:color w:val="auto"/>
          <w:kern w:val="0"/>
          <w:szCs w:val="21"/>
          <w:highlight w:val="none"/>
          <w:lang w:val="zh-CN"/>
        </w:rPr>
        <w:t>规定的</w:t>
      </w:r>
      <w:r>
        <w:rPr>
          <w:rFonts w:hint="eastAsia" w:ascii="宋体" w:hAnsi="宋体" w:eastAsia="宋体" w:cs="Times New Roman"/>
          <w:color w:val="auto"/>
          <w:kern w:val="0"/>
          <w:szCs w:val="21"/>
          <w:highlight w:val="none"/>
          <w:lang w:val="zh-CN"/>
        </w:rPr>
        <w:t>评标</w:t>
      </w:r>
      <w:r>
        <w:rPr>
          <w:rFonts w:ascii="宋体" w:hAnsi="宋体" w:eastAsia="宋体" w:cs="Times New Roman"/>
          <w:color w:val="auto"/>
          <w:kern w:val="0"/>
          <w:szCs w:val="21"/>
          <w:highlight w:val="none"/>
          <w:lang w:val="zh-CN"/>
        </w:rPr>
        <w:t>方法、</w:t>
      </w:r>
      <w:r>
        <w:rPr>
          <w:rFonts w:hint="eastAsia" w:ascii="宋体" w:hAnsi="宋体" w:eastAsia="宋体" w:cs="Times New Roman"/>
          <w:color w:val="auto"/>
          <w:kern w:val="0"/>
          <w:szCs w:val="21"/>
          <w:highlight w:val="none"/>
          <w:lang w:val="zh-CN"/>
        </w:rPr>
        <w:t>评标</w:t>
      </w:r>
      <w:r>
        <w:rPr>
          <w:rFonts w:ascii="宋体" w:hAnsi="宋体" w:eastAsia="宋体" w:cs="Times New Roman"/>
          <w:color w:val="auto"/>
          <w:kern w:val="0"/>
          <w:szCs w:val="21"/>
          <w:highlight w:val="none"/>
          <w:lang w:val="zh-CN"/>
        </w:rPr>
        <w:t>程序和</w:t>
      </w:r>
      <w:r>
        <w:rPr>
          <w:rFonts w:hint="eastAsia" w:ascii="宋体" w:hAnsi="宋体" w:eastAsia="宋体" w:cs="Times New Roman"/>
          <w:color w:val="auto"/>
          <w:kern w:val="0"/>
          <w:szCs w:val="21"/>
          <w:highlight w:val="none"/>
          <w:lang w:val="zh-CN"/>
        </w:rPr>
        <w:t>评标</w:t>
      </w:r>
      <w:r>
        <w:rPr>
          <w:rFonts w:ascii="宋体" w:hAnsi="宋体" w:eastAsia="宋体" w:cs="Times New Roman"/>
          <w:color w:val="auto"/>
          <w:kern w:val="0"/>
          <w:szCs w:val="21"/>
          <w:highlight w:val="none"/>
          <w:lang w:val="zh-CN"/>
        </w:rPr>
        <w:t>标准对投标文件进行评审。</w:t>
      </w:r>
    </w:p>
    <w:p w14:paraId="210A642F">
      <w:pPr>
        <w:snapToGrid w:val="0"/>
        <w:spacing w:line="360" w:lineRule="auto"/>
        <w:rPr>
          <w:rFonts w:ascii="宋体" w:hAnsi="宋体" w:eastAsia="宋体" w:cs="Times New Roman"/>
          <w:color w:val="auto"/>
          <w:kern w:val="0"/>
          <w:szCs w:val="21"/>
          <w:highlight w:val="none"/>
          <w:lang w:val="zh-CN"/>
        </w:rPr>
      </w:pPr>
    </w:p>
    <w:p w14:paraId="63DEAB30">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bookmarkStart w:id="124" w:name="_Toc254970546"/>
      <w:bookmarkStart w:id="125" w:name="_Toc254970687"/>
      <w:r>
        <w:rPr>
          <w:rFonts w:hint="eastAsia" w:ascii="Times New Roman" w:hAnsi="Times New Roman" w:eastAsia="宋体" w:cs="Times New Roman"/>
          <w:b/>
          <w:bCs/>
          <w:color w:val="auto"/>
          <w:kern w:val="0"/>
          <w:sz w:val="32"/>
          <w:szCs w:val="32"/>
          <w:highlight w:val="none"/>
          <w:lang w:val="zh-CN"/>
        </w:rPr>
        <w:t>七、</w:t>
      </w:r>
      <w:bookmarkEnd w:id="124"/>
      <w:bookmarkEnd w:id="125"/>
      <w:r>
        <w:rPr>
          <w:rFonts w:hint="eastAsia" w:ascii="Times New Roman" w:hAnsi="Times New Roman" w:eastAsia="宋体" w:cs="Times New Roman"/>
          <w:b/>
          <w:bCs/>
          <w:color w:val="auto"/>
          <w:kern w:val="0"/>
          <w:sz w:val="32"/>
          <w:szCs w:val="32"/>
          <w:highlight w:val="none"/>
          <w:lang w:val="zh-CN"/>
        </w:rPr>
        <w:t>中标和合同</w:t>
      </w:r>
    </w:p>
    <w:p w14:paraId="3E48A8ED">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30</w:t>
      </w:r>
      <w:r>
        <w:rPr>
          <w:rFonts w:ascii="黑体" w:hAnsi="黑体" w:eastAsia="黑体" w:cs="Times New Roman"/>
          <w:b/>
          <w:color w:val="auto"/>
          <w:sz w:val="24"/>
          <w:szCs w:val="24"/>
          <w:highlight w:val="none"/>
          <w:lang w:val="zh-CN"/>
        </w:rPr>
        <w:t xml:space="preserve"> </w:t>
      </w:r>
      <w:r>
        <w:rPr>
          <w:rFonts w:hint="eastAsia" w:ascii="黑体" w:hAnsi="黑体" w:eastAsia="黑体" w:cs="Times New Roman"/>
          <w:b/>
          <w:color w:val="auto"/>
          <w:sz w:val="24"/>
          <w:szCs w:val="24"/>
          <w:highlight w:val="none"/>
          <w:lang w:val="zh-CN"/>
        </w:rPr>
        <w:t>确定中标人</w:t>
      </w:r>
    </w:p>
    <w:p w14:paraId="76CA49F9">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30.1</w:t>
      </w:r>
      <w:r>
        <w:rPr>
          <w:rFonts w:hint="eastAsia" w:ascii="宋体" w:hAnsi="宋体" w:eastAsia="宋体" w:cs="Times New Roman"/>
          <w:color w:val="auto"/>
          <w:szCs w:val="21"/>
          <w:highlight w:val="none"/>
          <w:lang w:val="zh-CN"/>
        </w:rPr>
        <w:t>采购代理机构在评标结束之日起2个工作日内将评标报告送招标人，招标人在收到评标报告之日起5个工作日内，在评标报告确定的中标候选人名单中按顺序确定中标人。中标候选人并列的，按照“投标人须知前附表”规定的方式确定中标人。招标人也可以事先授权评标委员会直接确定中标人。</w:t>
      </w:r>
    </w:p>
    <w:p w14:paraId="0FDEAEF7">
      <w:pPr>
        <w:snapToGrid w:val="0"/>
        <w:spacing w:line="360" w:lineRule="auto"/>
        <w:ind w:firstLine="420" w:firstLineChars="200"/>
        <w:rPr>
          <w:rFonts w:ascii="宋体" w:hAnsi="宋体" w:eastAsia="宋体" w:cs="Courier New"/>
          <w:color w:val="auto"/>
          <w:szCs w:val="21"/>
          <w:highlight w:val="none"/>
        </w:rPr>
      </w:pPr>
      <w:r>
        <w:rPr>
          <w:rFonts w:ascii="宋体" w:hAnsi="宋体" w:eastAsia="宋体" w:cs="Courier New"/>
          <w:color w:val="auto"/>
          <w:szCs w:val="21"/>
          <w:highlight w:val="none"/>
        </w:rPr>
        <w:t>30.2</w:t>
      </w:r>
      <w:r>
        <w:rPr>
          <w:rFonts w:hint="eastAsia" w:ascii="宋体" w:hAnsi="宋体" w:eastAsia="宋体" w:cs="Courier New"/>
          <w:color w:val="auto"/>
          <w:szCs w:val="21"/>
          <w:highlight w:val="none"/>
        </w:rPr>
        <w:t>招标人在收到评标报告5个工作日内未按评标报告推荐的中标候选人顺序确定中标人，又不能说明合法理由的，视同按评标报告推荐的顺序确定排名第一的中标候选人为中标人。</w:t>
      </w:r>
    </w:p>
    <w:p w14:paraId="3B9C46E1">
      <w:pPr>
        <w:snapToGrid w:val="0"/>
        <w:spacing w:line="360" w:lineRule="auto"/>
        <w:ind w:firstLine="420" w:firstLineChars="200"/>
        <w:rPr>
          <w:rFonts w:ascii="宋体" w:hAnsi="宋体" w:eastAsia="宋体" w:cs="Courier New"/>
          <w:color w:val="auto"/>
          <w:szCs w:val="21"/>
          <w:highlight w:val="none"/>
        </w:rPr>
      </w:pPr>
      <w:r>
        <w:rPr>
          <w:rFonts w:ascii="宋体" w:hAnsi="宋体" w:eastAsia="宋体" w:cs="Courier New"/>
          <w:color w:val="auto"/>
          <w:szCs w:val="21"/>
          <w:highlight w:val="none"/>
        </w:rPr>
        <w:t>30.3</w:t>
      </w:r>
      <w:r>
        <w:rPr>
          <w:rFonts w:hint="eastAsia" w:ascii="宋体" w:hAnsi="宋体" w:eastAsia="宋体" w:cs="Courier New"/>
          <w:color w:val="auto"/>
          <w:szCs w:val="21"/>
          <w:highlight w:val="none"/>
        </w:rPr>
        <w:t>招标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2F63D955">
      <w:pPr>
        <w:snapToGrid w:val="0"/>
        <w:spacing w:line="360" w:lineRule="auto"/>
        <w:ind w:firstLine="420" w:firstLineChars="200"/>
        <w:rPr>
          <w:rFonts w:ascii="宋体" w:hAnsi="宋体" w:eastAsia="宋体" w:cs="Courier New"/>
          <w:color w:val="auto"/>
          <w:szCs w:val="21"/>
          <w:highlight w:val="none"/>
        </w:rPr>
      </w:pPr>
      <w:r>
        <w:rPr>
          <w:rFonts w:ascii="宋体" w:hAnsi="宋体" w:eastAsia="宋体" w:cs="Courier New"/>
          <w:color w:val="auto"/>
          <w:szCs w:val="21"/>
          <w:highlight w:val="none"/>
        </w:rPr>
        <w:t>30.4</w:t>
      </w:r>
      <w:r>
        <w:rPr>
          <w:rFonts w:hint="eastAsia" w:ascii="宋体" w:hAnsi="宋体" w:eastAsia="宋体" w:cs="Courier New"/>
          <w:color w:val="auto"/>
          <w:szCs w:val="21"/>
          <w:highlight w:val="none"/>
        </w:rPr>
        <w:t>中标人拒绝签订政府采购和或者放弃中标或者因不可抗力提出不能履行合同，招标人可以确定排名第二的中标候选人为中标人。排名第二的中标候选人因前款规定的同样原因不能签订合同的，招标人可以确定排名第三的中标候选人为中标人，以此类推。</w:t>
      </w:r>
    </w:p>
    <w:p w14:paraId="39EBB0EB">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31. 结果公告</w:t>
      </w:r>
    </w:p>
    <w:p w14:paraId="51BF9F61">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3</w:t>
      </w:r>
      <w:r>
        <w:rPr>
          <w:rFonts w:ascii="宋体" w:hAnsi="宋体" w:eastAsia="宋体" w:cs="Times New Roman"/>
          <w:color w:val="auto"/>
          <w:szCs w:val="21"/>
          <w:highlight w:val="none"/>
          <w:lang w:val="zh-CN"/>
        </w:rPr>
        <w:t>1.1</w:t>
      </w:r>
      <w:r>
        <w:rPr>
          <w:rFonts w:hint="eastAsia" w:ascii="宋体" w:hAnsi="宋体" w:eastAsia="宋体" w:cs="Times New Roman"/>
          <w:color w:val="auto"/>
          <w:szCs w:val="21"/>
          <w:highlight w:val="none"/>
          <w:lang w:val="zh-CN"/>
        </w:rPr>
        <w:t>中标人确定后，于中标人确定之日起2个工作日内，中标结果将在招标公告发布媒体上公告。招标人或者采购代理发出中标通知书前，应当对中标人信用进行查询，对列入失信被执行人、重大税收违法案件当事人名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招标人可以确定排名第三的中标候选人为中标人，以此类推。</w:t>
      </w:r>
    </w:p>
    <w:p w14:paraId="303BC2C6">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以上信息查询记录及相关证据与采购文件一并保存。</w:t>
      </w:r>
    </w:p>
    <w:p w14:paraId="3406E9A8">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31.2中标供应商享受《政府采购促进中小企业发展管理办法》（财库〔2020〕46号）规定的中小企业扶持政策的，招标人、采购代理机构应当随中标结果公开中标供应商的《中小企业声明函》。</w:t>
      </w:r>
    </w:p>
    <w:p w14:paraId="1DA1DAC8">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32.发出中标通知书</w:t>
      </w:r>
    </w:p>
    <w:p w14:paraId="0628A6DC">
      <w:pPr>
        <w:numPr>
          <w:ilvl w:val="4"/>
          <w:numId w:val="0"/>
        </w:num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在发布中标公告的同时，采购代理机构向中标人发出中标通知书。对未通过资格审查的投标人，应当告知其未通过的原因；采用综合评分办法评审的，还应当告知未中标人本人的评审得分与排序。</w:t>
      </w:r>
    </w:p>
    <w:p w14:paraId="5D2DD76B">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33. 无义务解释未中标原因</w:t>
      </w:r>
    </w:p>
    <w:p w14:paraId="6DFE8AFC">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采购代理机构无义务向未中标的投标人解释未中标原因和退还投标文件。</w:t>
      </w:r>
    </w:p>
    <w:p w14:paraId="3FC5E9BF">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34.合同授予标准</w:t>
      </w:r>
    </w:p>
    <w:p w14:paraId="31345364">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Courier New"/>
          <w:color w:val="auto"/>
          <w:szCs w:val="21"/>
          <w:highlight w:val="none"/>
        </w:rPr>
        <w:t>合同将授予被确定实质上响应招标文件要求，具备履行合同能力的中标人。</w:t>
      </w:r>
    </w:p>
    <w:p w14:paraId="13263EE8">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35.履约保证金</w:t>
      </w:r>
    </w:p>
    <w:p w14:paraId="48D046D4">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bookmarkStart w:id="126" w:name="_39.1中标人须于签订合同前按本须知前附表规定的金额转账或电汇到指定账"/>
      <w:bookmarkEnd w:id="126"/>
      <w:r>
        <w:rPr>
          <w:rFonts w:ascii="宋体" w:hAnsi="宋体" w:eastAsia="宋体" w:cs="Times New Roman"/>
          <w:color w:val="auto"/>
          <w:szCs w:val="21"/>
          <w:highlight w:val="none"/>
          <w:lang w:val="zh-CN"/>
        </w:rPr>
        <w:t xml:space="preserve"> </w:t>
      </w:r>
      <w:r>
        <w:rPr>
          <w:rFonts w:hint="eastAsia" w:ascii="宋体" w:hAnsi="宋体" w:eastAsia="宋体" w:cs="Times New Roman"/>
          <w:color w:val="auto"/>
          <w:szCs w:val="21"/>
          <w:highlight w:val="none"/>
          <w:lang w:val="zh-CN"/>
        </w:rPr>
        <w:t>3</w:t>
      </w:r>
      <w:r>
        <w:rPr>
          <w:rFonts w:ascii="宋体" w:hAnsi="宋体" w:eastAsia="宋体" w:cs="Times New Roman"/>
          <w:color w:val="auto"/>
          <w:szCs w:val="21"/>
          <w:highlight w:val="none"/>
          <w:lang w:val="zh-CN"/>
        </w:rPr>
        <w:t>5</w:t>
      </w:r>
      <w:r>
        <w:rPr>
          <w:rFonts w:hint="eastAsia" w:ascii="宋体" w:hAnsi="宋体" w:eastAsia="宋体" w:cs="Times New Roman"/>
          <w:color w:val="auto"/>
          <w:szCs w:val="21"/>
          <w:highlight w:val="none"/>
          <w:lang w:val="zh-CN"/>
        </w:rPr>
        <w:t>.1 履约保证金的金额、提交方式、退付的时间和条件详见 “投标人须知前附表”。中标人未按规定提交履约保证金的，视为拒绝与招标人签订合同，招标人可以按照评标报告推荐的中标候选人名单排序，确定下一候选人为中标人，也可以重新开展政府采购活动。</w:t>
      </w:r>
    </w:p>
    <w:p w14:paraId="78F373B8">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 xml:space="preserve"> </w:t>
      </w:r>
      <w:r>
        <w:rPr>
          <w:rFonts w:hint="eastAsia" w:ascii="宋体" w:hAnsi="宋体" w:eastAsia="宋体" w:cs="Times New Roman"/>
          <w:color w:val="auto"/>
          <w:szCs w:val="21"/>
          <w:highlight w:val="none"/>
          <w:lang w:val="zh-CN"/>
        </w:rPr>
        <w:t>3</w:t>
      </w:r>
      <w:r>
        <w:rPr>
          <w:rFonts w:ascii="宋体" w:hAnsi="宋体" w:eastAsia="宋体" w:cs="Times New Roman"/>
          <w:color w:val="auto"/>
          <w:szCs w:val="21"/>
          <w:highlight w:val="none"/>
          <w:lang w:val="zh-CN"/>
        </w:rPr>
        <w:t>5</w:t>
      </w:r>
      <w:r>
        <w:rPr>
          <w:rFonts w:hint="eastAsia" w:ascii="宋体" w:hAnsi="宋体" w:eastAsia="宋体" w:cs="Times New Roman"/>
          <w:color w:val="auto"/>
          <w:szCs w:val="21"/>
          <w:highlight w:val="none"/>
          <w:lang w:val="zh-CN"/>
        </w:rPr>
        <w:t>.2签订合同后，如中标人不按双方签订的合同规定履约，则没收其全部履约保证金，履约保证金不足以赔偿损失的，按实际损失赔偿。</w:t>
      </w:r>
    </w:p>
    <w:p w14:paraId="1E145BB0">
      <w:p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3</w:t>
      </w:r>
      <w:r>
        <w:rPr>
          <w:rFonts w:ascii="宋体" w:hAnsi="宋体" w:eastAsia="宋体" w:cs="Times New Roman"/>
          <w:color w:val="auto"/>
          <w:szCs w:val="21"/>
          <w:highlight w:val="none"/>
          <w:lang w:val="zh-CN"/>
        </w:rPr>
        <w:t>5</w:t>
      </w:r>
      <w:r>
        <w:rPr>
          <w:rFonts w:hint="eastAsia" w:ascii="宋体" w:hAnsi="宋体" w:eastAsia="宋体" w:cs="Times New Roman"/>
          <w:color w:val="auto"/>
          <w:szCs w:val="21"/>
          <w:highlight w:val="none"/>
          <w:lang w:val="zh-CN"/>
        </w:rPr>
        <w:t>.3在履约保证金退还日期前，若中标人的开户名称、开户银行、帐号有变动的，请以书面形式通知履约保证金收取单位，否则由此产生的后果由中标人自行承担。</w:t>
      </w:r>
    </w:p>
    <w:p w14:paraId="08A1CFCE">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36.签订合同</w:t>
      </w:r>
    </w:p>
    <w:p w14:paraId="474723C5">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bookmarkStart w:id="127" w:name="_40.1投标人接到中标通知书后，按须知前附表规定向采购人出示相关资格证"/>
      <w:bookmarkEnd w:id="127"/>
      <w:r>
        <w:rPr>
          <w:rFonts w:hint="eastAsia" w:ascii="宋体" w:hAnsi="宋体" w:eastAsia="宋体" w:cs="Times New Roman"/>
          <w:color w:val="auto"/>
          <w:szCs w:val="21"/>
          <w:highlight w:val="none"/>
          <w:lang w:val="zh-CN"/>
        </w:rPr>
        <w:t xml:space="preserve"> 36.1投标人领取中标通知书后，按“投标人须知前附表”规定向招标人出示相关证明材料，经招标人核验合格后方可签订合同。</w:t>
      </w:r>
    </w:p>
    <w:p w14:paraId="739A953B">
      <w:pPr>
        <w:spacing w:line="360" w:lineRule="auto"/>
        <w:ind w:firstLine="420" w:firstLineChars="20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36.2签订合同时间：按中标通知书规定的时间与招标人签订合同。</w:t>
      </w:r>
    </w:p>
    <w:p w14:paraId="0DCACBA9">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 36.</w:t>
      </w:r>
      <w:r>
        <w:rPr>
          <w:rFonts w:ascii="宋体" w:hAnsi="宋体" w:eastAsia="宋体" w:cs="Times New Roman"/>
          <w:color w:val="auto"/>
          <w:szCs w:val="21"/>
          <w:highlight w:val="none"/>
          <w:lang w:val="zh-CN"/>
        </w:rPr>
        <w:t>3</w:t>
      </w:r>
      <w:r>
        <w:rPr>
          <w:rFonts w:hint="eastAsia" w:ascii="宋体" w:hAnsi="宋体" w:eastAsia="宋体" w:cs="Times New Roman"/>
          <w:color w:val="auto"/>
          <w:szCs w:val="21"/>
          <w:highlight w:val="none"/>
          <w:lang w:val="zh-CN"/>
        </w:rPr>
        <w:t>中标人拒绝与招标人签订合同的，招标人可以按照评审报告推荐的中标候选人名单排序，确定下一候选人为中标人，也可以重新开展政府采购活动。</w:t>
      </w:r>
    </w:p>
    <w:p w14:paraId="4BCCC664">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128" w:name="_41.政府采购合同公告"/>
      <w:bookmarkEnd w:id="128"/>
      <w:r>
        <w:rPr>
          <w:rFonts w:hint="eastAsia" w:ascii="黑体" w:hAnsi="黑体" w:eastAsia="黑体" w:cs="Times New Roman"/>
          <w:b/>
          <w:color w:val="auto"/>
          <w:sz w:val="24"/>
          <w:szCs w:val="24"/>
          <w:highlight w:val="none"/>
          <w:lang w:val="zh-CN"/>
        </w:rPr>
        <w:t>37.政府采购合同公告</w:t>
      </w:r>
    </w:p>
    <w:p w14:paraId="3213139F">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招标人或者受托采购代理机构应当自政府采购合同签订之日起2个工作日内，将政府采购合同在省级以上人民政府财政部门指定的媒体上公告，</w:t>
      </w:r>
      <w:r>
        <w:rPr>
          <w:rFonts w:ascii="宋体" w:hAnsi="宋体" w:eastAsia="宋体" w:cs="Times New Roman"/>
          <w:color w:val="auto"/>
          <w:kern w:val="0"/>
          <w:szCs w:val="21"/>
          <w:highlight w:val="none"/>
          <w:lang w:val="zh-CN"/>
        </w:rPr>
        <w:t>但政府采购合同中涉及国家秘密、商业秘密的内容除外。</w:t>
      </w:r>
    </w:p>
    <w:p w14:paraId="339440F8">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hint="eastAsia" w:ascii="黑体" w:hAnsi="黑体" w:eastAsia="黑体" w:cs="Times New Roman"/>
          <w:b/>
          <w:color w:val="auto"/>
          <w:sz w:val="24"/>
          <w:szCs w:val="24"/>
          <w:highlight w:val="none"/>
          <w:lang w:val="zh-CN"/>
        </w:rPr>
        <w:t>3</w:t>
      </w:r>
      <w:r>
        <w:rPr>
          <w:rFonts w:ascii="黑体" w:hAnsi="黑体" w:eastAsia="黑体" w:cs="Times New Roman"/>
          <w:b/>
          <w:color w:val="auto"/>
          <w:sz w:val="24"/>
          <w:szCs w:val="24"/>
          <w:highlight w:val="none"/>
          <w:lang w:val="zh-CN"/>
        </w:rPr>
        <w:t>8.</w:t>
      </w:r>
      <w:r>
        <w:rPr>
          <w:rFonts w:hint="eastAsia" w:ascii="黑体" w:hAnsi="黑体" w:eastAsia="黑体" w:cs="Times New Roman"/>
          <w:b/>
          <w:color w:val="auto"/>
          <w:sz w:val="24"/>
          <w:szCs w:val="24"/>
          <w:highlight w:val="none"/>
          <w:lang w:val="zh-CN"/>
        </w:rPr>
        <w:t xml:space="preserve"> 询问、质疑和投诉</w:t>
      </w:r>
    </w:p>
    <w:p w14:paraId="59727D95">
      <w:pPr>
        <w:spacing w:line="360" w:lineRule="auto"/>
        <w:ind w:firstLine="420"/>
        <w:rPr>
          <w:rFonts w:ascii="宋体" w:hAnsi="宋体" w:eastAsia="宋体" w:cs="Times New Roman"/>
          <w:color w:val="auto"/>
          <w:szCs w:val="21"/>
          <w:highlight w:val="none"/>
        </w:rPr>
      </w:pPr>
      <w:r>
        <w:rPr>
          <w:rFonts w:ascii="宋体" w:hAnsi="宋体" w:eastAsia="宋体" w:cs="Times New Roman"/>
          <w:color w:val="auto"/>
          <w:szCs w:val="21"/>
          <w:highlight w:val="none"/>
        </w:rPr>
        <w:t>38.1</w:t>
      </w:r>
      <w:r>
        <w:rPr>
          <w:rFonts w:hint="eastAsia" w:ascii="宋体" w:hAnsi="宋体" w:eastAsia="宋体" w:cs="Times New Roman"/>
          <w:color w:val="auto"/>
          <w:szCs w:val="21"/>
          <w:highlight w:val="none"/>
        </w:rPr>
        <w:t>供应商对政府采购活动事项有疑问的，可以向招标人提出询问，招标人应当及时作出答复，但答复的内容不得涉及商业秘密。</w:t>
      </w:r>
    </w:p>
    <w:p w14:paraId="7662580C">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 xml:space="preserve"> </w:t>
      </w:r>
      <w:r>
        <w:rPr>
          <w:rFonts w:ascii="宋体" w:hAnsi="宋体" w:eastAsia="宋体" w:cs="Times New Roman"/>
          <w:color w:val="auto"/>
          <w:szCs w:val="21"/>
          <w:highlight w:val="none"/>
          <w:lang w:val="zh-CN"/>
        </w:rPr>
        <w:t>38</w:t>
      </w:r>
      <w:r>
        <w:rPr>
          <w:rFonts w:hint="eastAsia" w:ascii="宋体" w:hAnsi="宋体" w:eastAsia="宋体" w:cs="Times New Roman"/>
          <w:color w:val="auto"/>
          <w:szCs w:val="21"/>
          <w:highlight w:val="none"/>
          <w:lang w:val="zh-CN"/>
        </w:rPr>
        <w:t>.</w:t>
      </w:r>
      <w:r>
        <w:rPr>
          <w:rFonts w:ascii="宋体" w:hAnsi="宋体" w:eastAsia="宋体" w:cs="Times New Roman"/>
          <w:color w:val="auto"/>
          <w:szCs w:val="21"/>
          <w:highlight w:val="none"/>
          <w:lang w:val="zh-CN"/>
        </w:rPr>
        <w:t>2</w:t>
      </w:r>
      <w:r>
        <w:rPr>
          <w:rFonts w:hint="eastAsia" w:ascii="宋体" w:hAnsi="宋体" w:eastAsia="宋体" w:cs="Times New Roman"/>
          <w:color w:val="auto"/>
          <w:szCs w:val="21"/>
          <w:highlight w:val="none"/>
          <w:lang w:val="zh-CN"/>
        </w:rPr>
        <w:t xml:space="preserve">供应商认为招标文件、采购过程或者中标结果使自己的合法权益受到损害的，必须在知道或者应知其权益受到损害之日起7个工作日内，以书面形式向招标人、采购代理机构提出质疑。招标人、采购代理机构接收质疑函的方式、联系部门、联系电话和通讯地址等信息详见“投标人须知前附表”。具体质疑起算时间如下： </w:t>
      </w:r>
    </w:p>
    <w:p w14:paraId="513041A0">
      <w:pPr>
        <w:snapToGrid w:val="0"/>
        <w:spacing w:line="360" w:lineRule="auto"/>
        <w:ind w:firstLine="420" w:firstLineChars="200"/>
        <w:rPr>
          <w:rFonts w:ascii="宋体" w:hAnsi="宋体" w:eastAsia="宋体" w:cs="Times New Roman"/>
          <w:color w:val="auto"/>
          <w:kern w:val="0"/>
          <w:szCs w:val="21"/>
          <w:highlight w:val="none"/>
          <w:lang w:val="zh-CN"/>
        </w:rPr>
      </w:pPr>
      <w:r>
        <w:rPr>
          <w:rFonts w:ascii="宋体" w:hAnsi="宋体" w:eastAsia="宋体" w:cs="Times New Roman"/>
          <w:color w:val="auto"/>
          <w:kern w:val="0"/>
          <w:szCs w:val="21"/>
          <w:highlight w:val="none"/>
          <w:lang w:val="zh-CN"/>
        </w:rPr>
        <w:t>（</w:t>
      </w:r>
      <w:r>
        <w:rPr>
          <w:rFonts w:hint="eastAsia" w:ascii="宋体" w:hAnsi="宋体" w:eastAsia="宋体" w:cs="Times New Roman"/>
          <w:color w:val="auto"/>
          <w:kern w:val="0"/>
          <w:szCs w:val="21"/>
          <w:highlight w:val="none"/>
          <w:lang w:val="zh-CN"/>
        </w:rPr>
        <w:t>1</w:t>
      </w:r>
      <w:r>
        <w:rPr>
          <w:rFonts w:ascii="宋体" w:hAnsi="宋体" w:eastAsia="宋体" w:cs="Times New Roman"/>
          <w:color w:val="auto"/>
          <w:kern w:val="0"/>
          <w:szCs w:val="21"/>
          <w:highlight w:val="none"/>
          <w:lang w:val="zh-CN"/>
        </w:rPr>
        <w:t>）对可以质疑的</w:t>
      </w:r>
      <w:r>
        <w:rPr>
          <w:rFonts w:hint="eastAsia" w:ascii="宋体" w:hAnsi="宋体" w:eastAsia="宋体" w:cs="Times New Roman"/>
          <w:color w:val="auto"/>
          <w:kern w:val="0"/>
          <w:szCs w:val="21"/>
          <w:highlight w:val="none"/>
          <w:lang w:val="zh-CN"/>
        </w:rPr>
        <w:t>招标</w:t>
      </w:r>
      <w:r>
        <w:rPr>
          <w:rFonts w:ascii="宋体" w:hAnsi="宋体" w:eastAsia="宋体" w:cs="Times New Roman"/>
          <w:color w:val="auto"/>
          <w:kern w:val="0"/>
          <w:szCs w:val="21"/>
          <w:highlight w:val="none"/>
          <w:lang w:val="zh-CN"/>
        </w:rPr>
        <w:t>文件提出质疑的，为收到</w:t>
      </w:r>
      <w:r>
        <w:rPr>
          <w:rFonts w:hint="eastAsia" w:ascii="宋体" w:hAnsi="宋体" w:eastAsia="宋体" w:cs="Times New Roman"/>
          <w:color w:val="auto"/>
          <w:kern w:val="0"/>
          <w:szCs w:val="21"/>
          <w:highlight w:val="none"/>
          <w:lang w:val="zh-CN"/>
        </w:rPr>
        <w:t>招标</w:t>
      </w:r>
      <w:r>
        <w:rPr>
          <w:rFonts w:ascii="宋体" w:hAnsi="宋体" w:eastAsia="宋体" w:cs="Times New Roman"/>
          <w:color w:val="auto"/>
          <w:kern w:val="0"/>
          <w:szCs w:val="21"/>
          <w:highlight w:val="none"/>
          <w:lang w:val="zh-CN"/>
        </w:rPr>
        <w:t>文件之日</w:t>
      </w:r>
      <w:r>
        <w:rPr>
          <w:rFonts w:hint="eastAsia" w:ascii="宋体" w:hAnsi="宋体" w:eastAsia="宋体" w:cs="Times New Roman"/>
          <w:color w:val="auto"/>
          <w:kern w:val="0"/>
          <w:szCs w:val="21"/>
          <w:highlight w:val="none"/>
          <w:lang w:val="zh-CN"/>
        </w:rPr>
        <w:t>或者招标文件公告期限届满之日</w:t>
      </w:r>
      <w:r>
        <w:rPr>
          <w:rFonts w:ascii="宋体" w:hAnsi="宋体" w:eastAsia="宋体" w:cs="Times New Roman"/>
          <w:color w:val="auto"/>
          <w:kern w:val="0"/>
          <w:szCs w:val="21"/>
          <w:highlight w:val="none"/>
          <w:lang w:val="zh-CN"/>
        </w:rPr>
        <w:t>；</w:t>
      </w:r>
    </w:p>
    <w:p w14:paraId="3A86AB17">
      <w:pPr>
        <w:snapToGrid w:val="0"/>
        <w:spacing w:line="360" w:lineRule="auto"/>
        <w:ind w:firstLine="420" w:firstLineChars="200"/>
        <w:rPr>
          <w:rFonts w:ascii="宋体" w:hAnsi="宋体" w:eastAsia="宋体" w:cs="Times New Roman"/>
          <w:color w:val="auto"/>
          <w:kern w:val="0"/>
          <w:szCs w:val="21"/>
          <w:highlight w:val="none"/>
          <w:lang w:val="zh-CN"/>
        </w:rPr>
      </w:pPr>
      <w:r>
        <w:rPr>
          <w:rFonts w:ascii="宋体" w:hAnsi="宋体" w:eastAsia="宋体" w:cs="Times New Roman"/>
          <w:color w:val="auto"/>
          <w:kern w:val="0"/>
          <w:szCs w:val="21"/>
          <w:highlight w:val="none"/>
          <w:lang w:val="zh-CN"/>
        </w:rPr>
        <w:t>（</w:t>
      </w:r>
      <w:r>
        <w:rPr>
          <w:rFonts w:hint="eastAsia" w:ascii="宋体" w:hAnsi="宋体" w:eastAsia="宋体" w:cs="Times New Roman"/>
          <w:color w:val="auto"/>
          <w:kern w:val="0"/>
          <w:szCs w:val="21"/>
          <w:highlight w:val="none"/>
          <w:lang w:val="zh-CN"/>
        </w:rPr>
        <w:t>2</w:t>
      </w:r>
      <w:r>
        <w:rPr>
          <w:rFonts w:ascii="宋体" w:hAnsi="宋体" w:eastAsia="宋体" w:cs="Times New Roman"/>
          <w:color w:val="auto"/>
          <w:kern w:val="0"/>
          <w:szCs w:val="21"/>
          <w:highlight w:val="none"/>
          <w:lang w:val="zh-CN"/>
        </w:rPr>
        <w:t>）对</w:t>
      </w:r>
      <w:r>
        <w:rPr>
          <w:rFonts w:hint="eastAsia" w:ascii="宋体" w:hAnsi="宋体" w:eastAsia="宋体" w:cs="Times New Roman"/>
          <w:color w:val="auto"/>
          <w:kern w:val="0"/>
          <w:szCs w:val="21"/>
          <w:highlight w:val="none"/>
          <w:lang w:val="zh-CN"/>
        </w:rPr>
        <w:t>采购</w:t>
      </w:r>
      <w:r>
        <w:rPr>
          <w:rFonts w:ascii="宋体" w:hAnsi="宋体" w:eastAsia="宋体" w:cs="Times New Roman"/>
          <w:color w:val="auto"/>
          <w:kern w:val="0"/>
          <w:szCs w:val="21"/>
          <w:highlight w:val="none"/>
          <w:lang w:val="zh-CN"/>
        </w:rPr>
        <w:t>过程提出质疑的，为各采购程序环节结束之日；</w:t>
      </w:r>
    </w:p>
    <w:p w14:paraId="4C3754EF">
      <w:pPr>
        <w:snapToGrid w:val="0"/>
        <w:spacing w:line="360" w:lineRule="auto"/>
        <w:ind w:firstLine="420" w:firstLineChars="200"/>
        <w:rPr>
          <w:rFonts w:ascii="宋体" w:hAnsi="宋体" w:eastAsia="宋体" w:cs="Times New Roman"/>
          <w:bCs/>
          <w:color w:val="auto"/>
          <w:kern w:val="0"/>
          <w:szCs w:val="21"/>
          <w:highlight w:val="none"/>
          <w:lang w:val="zh-CN"/>
        </w:rPr>
      </w:pPr>
      <w:r>
        <w:rPr>
          <w:rFonts w:ascii="宋体" w:hAnsi="宋体" w:eastAsia="宋体" w:cs="Times New Roman"/>
          <w:color w:val="auto"/>
          <w:kern w:val="0"/>
          <w:szCs w:val="21"/>
          <w:highlight w:val="none"/>
          <w:lang w:val="zh-CN"/>
        </w:rPr>
        <w:t>（</w:t>
      </w:r>
      <w:r>
        <w:rPr>
          <w:rFonts w:hint="eastAsia" w:ascii="宋体" w:hAnsi="宋体" w:eastAsia="宋体" w:cs="Times New Roman"/>
          <w:color w:val="auto"/>
          <w:kern w:val="0"/>
          <w:szCs w:val="21"/>
          <w:highlight w:val="none"/>
          <w:lang w:val="zh-CN"/>
        </w:rPr>
        <w:t>3</w:t>
      </w:r>
      <w:r>
        <w:rPr>
          <w:rFonts w:ascii="宋体" w:hAnsi="宋体" w:eastAsia="宋体" w:cs="Times New Roman"/>
          <w:color w:val="auto"/>
          <w:kern w:val="0"/>
          <w:szCs w:val="21"/>
          <w:highlight w:val="none"/>
          <w:lang w:val="zh-CN"/>
        </w:rPr>
        <w:t>）对中标结果提出质疑的，为中标结果公告期限届满之日。</w:t>
      </w:r>
    </w:p>
    <w:p w14:paraId="36A79328">
      <w:pPr>
        <w:snapToGrid w:val="0"/>
        <w:spacing w:line="360" w:lineRule="auto"/>
        <w:ind w:firstLine="420" w:firstLineChars="200"/>
        <w:rPr>
          <w:rFonts w:ascii="宋体" w:hAnsi="宋体" w:eastAsia="宋体" w:cs="Times New Roman"/>
          <w:bCs/>
          <w:color w:val="auto"/>
          <w:kern w:val="0"/>
          <w:szCs w:val="21"/>
          <w:highlight w:val="none"/>
          <w:lang w:val="zh-CN"/>
        </w:rPr>
      </w:pPr>
      <w:r>
        <w:rPr>
          <w:rFonts w:hint="eastAsia" w:ascii="宋体" w:hAnsi="宋体" w:eastAsia="宋体" w:cs="Times New Roman"/>
          <w:color w:val="auto"/>
          <w:kern w:val="0"/>
          <w:szCs w:val="21"/>
          <w:highlight w:val="none"/>
          <w:lang w:val="zh-CN"/>
        </w:rPr>
        <w:t>供应商对招标人、采购代理机构的质疑答复不满意，或者招标人、采购代理机构未在规定时间内作出答复的，可以在答复期满后十五个工作日内向同级政府采购监管部门投诉。</w:t>
      </w:r>
    </w:p>
    <w:p w14:paraId="48A06C88">
      <w:pPr>
        <w:numPr>
          <w:ilvl w:val="4"/>
          <w:numId w:val="0"/>
        </w:numPr>
        <w:spacing w:line="360" w:lineRule="auto"/>
        <w:ind w:firstLine="315" w:firstLineChars="150"/>
        <w:outlineLvl w:val="4"/>
        <w:rPr>
          <w:rFonts w:ascii="宋体" w:hAnsi="宋体" w:eastAsia="宋体" w:cs="Times New Roman"/>
          <w:color w:val="auto"/>
          <w:szCs w:val="21"/>
          <w:highlight w:val="none"/>
          <w:lang w:val="zh-CN"/>
        </w:rPr>
      </w:pPr>
      <w:bookmarkStart w:id="129" w:name="_9.2质疑、投诉应当采用书面形式，质疑函、投诉书均应明确阐述招标文件、"/>
      <w:bookmarkEnd w:id="129"/>
      <w:r>
        <w:rPr>
          <w:rFonts w:hint="eastAsia" w:ascii="宋体" w:hAnsi="宋体" w:eastAsia="宋体" w:cs="Times New Roman"/>
          <w:color w:val="auto"/>
          <w:szCs w:val="21"/>
          <w:highlight w:val="none"/>
          <w:lang w:val="zh-CN"/>
        </w:rPr>
        <w:t xml:space="preserve"> </w:t>
      </w:r>
      <w:r>
        <w:rPr>
          <w:rFonts w:ascii="宋体" w:hAnsi="宋体" w:eastAsia="宋体" w:cs="Times New Roman"/>
          <w:color w:val="auto"/>
          <w:szCs w:val="21"/>
          <w:highlight w:val="none"/>
          <w:lang w:val="zh-CN"/>
        </w:rPr>
        <w:t>38</w:t>
      </w:r>
      <w:r>
        <w:rPr>
          <w:rFonts w:hint="eastAsia" w:ascii="宋体" w:hAnsi="宋体" w:eastAsia="宋体" w:cs="Times New Roman"/>
          <w:color w:val="auto"/>
          <w:szCs w:val="21"/>
          <w:highlight w:val="none"/>
          <w:lang w:val="zh-CN"/>
        </w:rPr>
        <w:t>.</w:t>
      </w:r>
      <w:r>
        <w:rPr>
          <w:rFonts w:ascii="宋体" w:hAnsi="宋体" w:eastAsia="宋体" w:cs="Times New Roman"/>
          <w:color w:val="auto"/>
          <w:szCs w:val="21"/>
          <w:highlight w:val="none"/>
          <w:lang w:val="zh-CN"/>
        </w:rPr>
        <w:t>3</w:t>
      </w:r>
      <w:r>
        <w:rPr>
          <w:rFonts w:hint="eastAsia" w:ascii="宋体" w:hAnsi="宋体" w:eastAsia="宋体" w:cs="Times New Roman"/>
          <w:color w:val="auto"/>
          <w:szCs w:val="21"/>
          <w:highlight w:val="none"/>
          <w:lang w:val="zh-CN"/>
        </w:rPr>
        <w:t xml:space="preserve"> </w:t>
      </w:r>
      <w:r>
        <w:rPr>
          <w:rFonts w:ascii="Times New Roman" w:hAnsi="宋体" w:eastAsia="宋体" w:cs="Times New Roman"/>
          <w:bCs/>
          <w:color w:val="auto"/>
          <w:szCs w:val="24"/>
          <w:highlight w:val="none"/>
          <w:lang w:val="zh-CN"/>
        </w:rPr>
        <w:t>供应商提出质疑应当提交质疑函和必要的证明材料</w:t>
      </w:r>
      <w:r>
        <w:rPr>
          <w:rFonts w:hint="eastAsia" w:ascii="Times New Roman" w:hAnsi="宋体" w:eastAsia="宋体" w:cs="Times New Roman"/>
          <w:bCs/>
          <w:color w:val="auto"/>
          <w:szCs w:val="24"/>
          <w:highlight w:val="none"/>
          <w:lang w:val="zh-CN"/>
        </w:rPr>
        <w:t>，</w:t>
      </w:r>
      <w:r>
        <w:rPr>
          <w:rFonts w:ascii="Times New Roman" w:hAnsi="宋体" w:eastAsia="宋体" w:cs="Times New Roman"/>
          <w:bCs/>
          <w:color w:val="auto"/>
          <w:szCs w:val="24"/>
          <w:highlight w:val="none"/>
          <w:lang w:val="zh-CN"/>
        </w:rPr>
        <w:t>针对同一采购程序环节的质疑</w:t>
      </w:r>
      <w:r>
        <w:rPr>
          <w:rFonts w:hint="eastAsia" w:ascii="Times New Roman" w:hAnsi="宋体" w:eastAsia="宋体" w:cs="Times New Roman"/>
          <w:bCs/>
          <w:color w:val="auto"/>
          <w:szCs w:val="24"/>
          <w:highlight w:val="none"/>
          <w:lang w:val="zh-CN"/>
        </w:rPr>
        <w:t>必须</w:t>
      </w:r>
      <w:r>
        <w:rPr>
          <w:rFonts w:ascii="Times New Roman" w:hAnsi="宋体" w:eastAsia="宋体" w:cs="Times New Roman"/>
          <w:bCs/>
          <w:color w:val="auto"/>
          <w:szCs w:val="24"/>
          <w:highlight w:val="none"/>
          <w:lang w:val="zh-CN"/>
        </w:rPr>
        <w:t>在法定质疑期内一次性提出。质疑函应当包括下列内容</w:t>
      </w:r>
      <w:r>
        <w:rPr>
          <w:rFonts w:hint="eastAsia" w:ascii="Times New Roman" w:hAnsi="宋体" w:eastAsia="宋体" w:cs="Times New Roman"/>
          <w:bCs/>
          <w:color w:val="auto"/>
          <w:szCs w:val="24"/>
          <w:highlight w:val="none"/>
          <w:lang w:val="zh-CN"/>
        </w:rPr>
        <w:t>（质疑函格式后附）</w:t>
      </w:r>
      <w:r>
        <w:rPr>
          <w:rFonts w:ascii="Times New Roman" w:hAnsi="宋体" w:eastAsia="宋体" w:cs="Times New Roman"/>
          <w:bCs/>
          <w:color w:val="auto"/>
          <w:szCs w:val="24"/>
          <w:highlight w:val="none"/>
          <w:lang w:val="zh-CN"/>
        </w:rPr>
        <w:t>：</w:t>
      </w:r>
    </w:p>
    <w:p w14:paraId="42459B2B">
      <w:pPr>
        <w:snapToGrid w:val="0"/>
        <w:spacing w:line="360" w:lineRule="auto"/>
        <w:ind w:firstLine="420" w:firstLineChars="200"/>
        <w:rPr>
          <w:rFonts w:ascii="宋体" w:hAnsi="宋体" w:eastAsia="宋体" w:cs="Times New Roman"/>
          <w:bCs/>
          <w:color w:val="auto"/>
          <w:kern w:val="0"/>
          <w:szCs w:val="21"/>
          <w:highlight w:val="none"/>
          <w:lang w:val="zh-CN"/>
        </w:rPr>
      </w:pPr>
      <w:r>
        <w:rPr>
          <w:rFonts w:ascii="宋体" w:hAnsi="宋体" w:eastAsia="宋体" w:cs="Times New Roman"/>
          <w:bCs/>
          <w:color w:val="auto"/>
          <w:kern w:val="0"/>
          <w:szCs w:val="21"/>
          <w:highlight w:val="none"/>
          <w:lang w:val="zh-CN"/>
        </w:rPr>
        <w:t>（</w:t>
      </w:r>
      <w:r>
        <w:rPr>
          <w:rFonts w:hint="eastAsia" w:ascii="宋体" w:hAnsi="宋体" w:eastAsia="宋体" w:cs="Times New Roman"/>
          <w:bCs/>
          <w:color w:val="auto"/>
          <w:kern w:val="0"/>
          <w:szCs w:val="21"/>
          <w:highlight w:val="none"/>
          <w:lang w:val="zh-CN"/>
        </w:rPr>
        <w:t>1</w:t>
      </w:r>
      <w:r>
        <w:rPr>
          <w:rFonts w:ascii="宋体" w:hAnsi="宋体" w:eastAsia="宋体" w:cs="Times New Roman"/>
          <w:bCs/>
          <w:color w:val="auto"/>
          <w:kern w:val="0"/>
          <w:szCs w:val="21"/>
          <w:highlight w:val="none"/>
          <w:lang w:val="zh-CN"/>
        </w:rPr>
        <w:t>）供应商的姓名或者名称、地址、邮编、联系人及联系电话；</w:t>
      </w:r>
    </w:p>
    <w:p w14:paraId="12BFED9D">
      <w:pPr>
        <w:snapToGrid w:val="0"/>
        <w:spacing w:line="360" w:lineRule="auto"/>
        <w:ind w:firstLine="420" w:firstLineChars="200"/>
        <w:rPr>
          <w:rFonts w:ascii="宋体" w:hAnsi="宋体" w:eastAsia="宋体" w:cs="Times New Roman"/>
          <w:bCs/>
          <w:color w:val="auto"/>
          <w:kern w:val="0"/>
          <w:szCs w:val="21"/>
          <w:highlight w:val="none"/>
          <w:lang w:val="zh-CN"/>
        </w:rPr>
      </w:pPr>
      <w:r>
        <w:rPr>
          <w:rFonts w:ascii="宋体" w:hAnsi="宋体" w:eastAsia="宋体" w:cs="Times New Roman"/>
          <w:bCs/>
          <w:color w:val="auto"/>
          <w:kern w:val="0"/>
          <w:szCs w:val="21"/>
          <w:highlight w:val="none"/>
          <w:lang w:val="zh-CN"/>
        </w:rPr>
        <w:t>（</w:t>
      </w:r>
      <w:r>
        <w:rPr>
          <w:rFonts w:hint="eastAsia" w:ascii="宋体" w:hAnsi="宋体" w:eastAsia="宋体" w:cs="Times New Roman"/>
          <w:bCs/>
          <w:color w:val="auto"/>
          <w:kern w:val="0"/>
          <w:szCs w:val="21"/>
          <w:highlight w:val="none"/>
          <w:lang w:val="zh-CN"/>
        </w:rPr>
        <w:t>2</w:t>
      </w:r>
      <w:r>
        <w:rPr>
          <w:rFonts w:ascii="宋体" w:hAnsi="宋体" w:eastAsia="宋体" w:cs="Times New Roman"/>
          <w:bCs/>
          <w:color w:val="auto"/>
          <w:kern w:val="0"/>
          <w:szCs w:val="21"/>
          <w:highlight w:val="none"/>
          <w:lang w:val="zh-CN"/>
        </w:rPr>
        <w:t>）质疑项目的名称、编号；</w:t>
      </w:r>
    </w:p>
    <w:p w14:paraId="6375E6F9">
      <w:pPr>
        <w:snapToGrid w:val="0"/>
        <w:spacing w:line="360" w:lineRule="auto"/>
        <w:ind w:firstLine="420" w:firstLineChars="200"/>
        <w:rPr>
          <w:rFonts w:ascii="宋体" w:hAnsi="宋体" w:eastAsia="宋体" w:cs="Times New Roman"/>
          <w:bCs/>
          <w:color w:val="auto"/>
          <w:kern w:val="0"/>
          <w:szCs w:val="21"/>
          <w:highlight w:val="none"/>
          <w:lang w:val="zh-CN"/>
        </w:rPr>
      </w:pPr>
      <w:r>
        <w:rPr>
          <w:rFonts w:ascii="宋体" w:hAnsi="宋体" w:eastAsia="宋体" w:cs="Times New Roman"/>
          <w:bCs/>
          <w:color w:val="auto"/>
          <w:kern w:val="0"/>
          <w:szCs w:val="21"/>
          <w:highlight w:val="none"/>
          <w:lang w:val="zh-CN"/>
        </w:rPr>
        <w:t>（</w:t>
      </w:r>
      <w:r>
        <w:rPr>
          <w:rFonts w:hint="eastAsia" w:ascii="宋体" w:hAnsi="宋体" w:eastAsia="宋体" w:cs="Times New Roman"/>
          <w:bCs/>
          <w:color w:val="auto"/>
          <w:kern w:val="0"/>
          <w:szCs w:val="21"/>
          <w:highlight w:val="none"/>
          <w:lang w:val="zh-CN"/>
        </w:rPr>
        <w:t>3</w:t>
      </w:r>
      <w:r>
        <w:rPr>
          <w:rFonts w:ascii="宋体" w:hAnsi="宋体" w:eastAsia="宋体" w:cs="Times New Roman"/>
          <w:bCs/>
          <w:color w:val="auto"/>
          <w:kern w:val="0"/>
          <w:szCs w:val="21"/>
          <w:highlight w:val="none"/>
          <w:lang w:val="zh-CN"/>
        </w:rPr>
        <w:t>）具体、明确的质疑事项和与质疑事项相关的请求；</w:t>
      </w:r>
    </w:p>
    <w:p w14:paraId="624251D7">
      <w:pPr>
        <w:snapToGrid w:val="0"/>
        <w:spacing w:line="360" w:lineRule="auto"/>
        <w:ind w:firstLine="420" w:firstLineChars="200"/>
        <w:rPr>
          <w:rFonts w:ascii="宋体" w:hAnsi="宋体" w:eastAsia="宋体" w:cs="Times New Roman"/>
          <w:bCs/>
          <w:color w:val="auto"/>
          <w:kern w:val="0"/>
          <w:szCs w:val="21"/>
          <w:highlight w:val="none"/>
          <w:lang w:val="zh-CN"/>
        </w:rPr>
      </w:pPr>
      <w:r>
        <w:rPr>
          <w:rFonts w:ascii="宋体" w:hAnsi="宋体" w:eastAsia="宋体" w:cs="Times New Roman"/>
          <w:bCs/>
          <w:color w:val="auto"/>
          <w:kern w:val="0"/>
          <w:szCs w:val="21"/>
          <w:highlight w:val="none"/>
          <w:lang w:val="zh-CN"/>
        </w:rPr>
        <w:t>（</w:t>
      </w:r>
      <w:r>
        <w:rPr>
          <w:rFonts w:hint="eastAsia" w:ascii="宋体" w:hAnsi="宋体" w:eastAsia="宋体" w:cs="Times New Roman"/>
          <w:bCs/>
          <w:color w:val="auto"/>
          <w:kern w:val="0"/>
          <w:szCs w:val="21"/>
          <w:highlight w:val="none"/>
          <w:lang w:val="zh-CN"/>
        </w:rPr>
        <w:t>4</w:t>
      </w:r>
      <w:r>
        <w:rPr>
          <w:rFonts w:ascii="宋体" w:hAnsi="宋体" w:eastAsia="宋体" w:cs="Times New Roman"/>
          <w:bCs/>
          <w:color w:val="auto"/>
          <w:kern w:val="0"/>
          <w:szCs w:val="21"/>
          <w:highlight w:val="none"/>
          <w:lang w:val="zh-CN"/>
        </w:rPr>
        <w:t>）事实依据；</w:t>
      </w:r>
    </w:p>
    <w:p w14:paraId="041AF42D">
      <w:pPr>
        <w:snapToGrid w:val="0"/>
        <w:spacing w:line="360" w:lineRule="auto"/>
        <w:ind w:firstLine="420" w:firstLineChars="200"/>
        <w:rPr>
          <w:rFonts w:ascii="宋体" w:hAnsi="宋体" w:eastAsia="宋体" w:cs="Times New Roman"/>
          <w:bCs/>
          <w:color w:val="auto"/>
          <w:kern w:val="0"/>
          <w:szCs w:val="21"/>
          <w:highlight w:val="none"/>
          <w:lang w:val="zh-CN"/>
        </w:rPr>
      </w:pPr>
      <w:r>
        <w:rPr>
          <w:rFonts w:ascii="宋体" w:hAnsi="宋体" w:eastAsia="宋体" w:cs="Times New Roman"/>
          <w:bCs/>
          <w:color w:val="auto"/>
          <w:kern w:val="0"/>
          <w:szCs w:val="21"/>
          <w:highlight w:val="none"/>
          <w:lang w:val="zh-CN"/>
        </w:rPr>
        <w:t>（</w:t>
      </w:r>
      <w:r>
        <w:rPr>
          <w:rFonts w:hint="eastAsia" w:ascii="宋体" w:hAnsi="宋体" w:eastAsia="宋体" w:cs="Times New Roman"/>
          <w:bCs/>
          <w:color w:val="auto"/>
          <w:kern w:val="0"/>
          <w:szCs w:val="21"/>
          <w:highlight w:val="none"/>
          <w:lang w:val="zh-CN"/>
        </w:rPr>
        <w:t>5</w:t>
      </w:r>
      <w:r>
        <w:rPr>
          <w:rFonts w:ascii="宋体" w:hAnsi="宋体" w:eastAsia="宋体" w:cs="Times New Roman"/>
          <w:bCs/>
          <w:color w:val="auto"/>
          <w:kern w:val="0"/>
          <w:szCs w:val="21"/>
          <w:highlight w:val="none"/>
          <w:lang w:val="zh-CN"/>
        </w:rPr>
        <w:t>）必要的法律依据；</w:t>
      </w:r>
    </w:p>
    <w:p w14:paraId="0925BD36">
      <w:pPr>
        <w:snapToGrid w:val="0"/>
        <w:spacing w:line="360" w:lineRule="auto"/>
        <w:ind w:firstLine="420" w:firstLineChars="200"/>
        <w:rPr>
          <w:rFonts w:ascii="宋体" w:hAnsi="宋体" w:eastAsia="宋体" w:cs="Times New Roman"/>
          <w:bCs/>
          <w:color w:val="auto"/>
          <w:kern w:val="0"/>
          <w:szCs w:val="21"/>
          <w:highlight w:val="none"/>
          <w:lang w:val="zh-CN"/>
        </w:rPr>
      </w:pPr>
      <w:r>
        <w:rPr>
          <w:rFonts w:ascii="宋体" w:hAnsi="宋体" w:eastAsia="宋体" w:cs="Times New Roman"/>
          <w:bCs/>
          <w:color w:val="auto"/>
          <w:kern w:val="0"/>
          <w:szCs w:val="21"/>
          <w:highlight w:val="none"/>
          <w:lang w:val="zh-CN"/>
        </w:rPr>
        <w:t>（</w:t>
      </w:r>
      <w:r>
        <w:rPr>
          <w:rFonts w:hint="eastAsia" w:ascii="宋体" w:hAnsi="宋体" w:eastAsia="宋体" w:cs="Times New Roman"/>
          <w:bCs/>
          <w:color w:val="auto"/>
          <w:kern w:val="0"/>
          <w:szCs w:val="21"/>
          <w:highlight w:val="none"/>
          <w:lang w:val="zh-CN"/>
        </w:rPr>
        <w:t>6</w:t>
      </w:r>
      <w:r>
        <w:rPr>
          <w:rFonts w:ascii="宋体" w:hAnsi="宋体" w:eastAsia="宋体" w:cs="Times New Roman"/>
          <w:bCs/>
          <w:color w:val="auto"/>
          <w:kern w:val="0"/>
          <w:szCs w:val="21"/>
          <w:highlight w:val="none"/>
          <w:lang w:val="zh-CN"/>
        </w:rPr>
        <w:t>）提出质疑的日期。</w:t>
      </w:r>
    </w:p>
    <w:p w14:paraId="3C915028">
      <w:pPr>
        <w:snapToGrid w:val="0"/>
        <w:spacing w:line="360" w:lineRule="auto"/>
        <w:ind w:firstLine="420" w:firstLineChars="200"/>
        <w:rPr>
          <w:rFonts w:ascii="宋体" w:hAnsi="宋体" w:eastAsia="宋体" w:cs="Times New Roman"/>
          <w:bCs/>
          <w:color w:val="auto"/>
          <w:kern w:val="0"/>
          <w:szCs w:val="21"/>
          <w:highlight w:val="none"/>
          <w:lang w:val="zh-CN"/>
        </w:rPr>
      </w:pPr>
      <w:r>
        <w:rPr>
          <w:rFonts w:ascii="宋体" w:hAnsi="宋体" w:eastAsia="宋体" w:cs="Times New Roman"/>
          <w:bCs/>
          <w:color w:val="auto"/>
          <w:kern w:val="0"/>
          <w:szCs w:val="21"/>
          <w:highlight w:val="none"/>
          <w:lang w:val="zh-CN"/>
        </w:rPr>
        <w:t>供应商为自然人的，应当由本人签字；供应商为法人或者其他组织的，应当由法定代表人、主要负责人，或者其委托代理人签字或者盖章，并加盖公章</w:t>
      </w:r>
      <w:r>
        <w:rPr>
          <w:rFonts w:hint="eastAsia" w:ascii="宋体" w:hAnsi="宋体" w:eastAsia="宋体" w:cs="Times New Roman"/>
          <w:bCs/>
          <w:color w:val="auto"/>
          <w:kern w:val="0"/>
          <w:szCs w:val="21"/>
          <w:highlight w:val="none"/>
          <w:lang w:val="zh-CN"/>
        </w:rPr>
        <w:t>。</w:t>
      </w:r>
    </w:p>
    <w:p w14:paraId="585181CF">
      <w:pPr>
        <w:numPr>
          <w:ilvl w:val="4"/>
          <w:numId w:val="0"/>
        </w:numPr>
        <w:snapToGrid w:val="0"/>
        <w:spacing w:line="360" w:lineRule="auto"/>
        <w:ind w:firstLine="420" w:firstLineChars="200"/>
        <w:outlineLvl w:val="4"/>
        <w:rPr>
          <w:rFonts w:ascii="宋体" w:hAnsi="宋体" w:eastAsia="宋体" w:cs="Times New Roman"/>
          <w:bCs/>
          <w:color w:val="auto"/>
          <w:szCs w:val="21"/>
          <w:highlight w:val="none"/>
          <w:lang w:val="zh-CN"/>
        </w:rPr>
      </w:pPr>
      <w:r>
        <w:rPr>
          <w:rFonts w:ascii="宋体" w:hAnsi="宋体" w:eastAsia="宋体" w:cs="Times New Roman"/>
          <w:color w:val="auto"/>
          <w:szCs w:val="21"/>
          <w:highlight w:val="none"/>
          <w:lang w:val="zh-CN"/>
        </w:rPr>
        <w:t>3</w:t>
      </w:r>
      <w:r>
        <w:rPr>
          <w:rFonts w:ascii="宋体" w:hAnsi="宋体" w:eastAsia="宋体" w:cs="Times New Roman"/>
          <w:bCs/>
          <w:color w:val="auto"/>
          <w:szCs w:val="21"/>
          <w:highlight w:val="none"/>
          <w:lang w:val="zh-CN"/>
        </w:rPr>
        <w:t>8.4</w:t>
      </w:r>
      <w:r>
        <w:rPr>
          <w:rFonts w:hint="eastAsia" w:ascii="宋体" w:hAnsi="宋体" w:eastAsia="宋体" w:cs="Times New Roman"/>
          <w:bCs/>
          <w:color w:val="auto"/>
          <w:szCs w:val="21"/>
          <w:highlight w:val="none"/>
          <w:lang w:val="zh-CN"/>
        </w:rPr>
        <w:t>招标人、采购代理机构认为供应商质疑不成立，或者成立但未对中标结果构成影响的，继续开展采购活动；认为供应商质疑成立且影响或者可能影响中标结果的，按照下列情况处理：</w:t>
      </w:r>
    </w:p>
    <w:p w14:paraId="2CD674D2">
      <w:pPr>
        <w:snapToGrid w:val="0"/>
        <w:spacing w:line="360" w:lineRule="auto"/>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　　（一）对招标文件提出的质疑，依法通过澄清或者修改可以继续开展采购活动的，澄清或者修改招标文件后继续开展采购活动；否则应当修改招标文件后重新开展采购活动。</w:t>
      </w:r>
    </w:p>
    <w:p w14:paraId="4C6A13E4">
      <w:pPr>
        <w:snapToGrid w:val="0"/>
        <w:spacing w:line="360" w:lineRule="auto"/>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　　（二）对采购过程、中标结果提出的质疑，合格供应商符合法定数量时，可以从合格的中标候选人中另行确定中标供应商的，应当依法另行确定中标供应商；否则应当重新开展采购活动。</w:t>
      </w:r>
    </w:p>
    <w:p w14:paraId="473A9604">
      <w:pPr>
        <w:snapToGrid w:val="0"/>
        <w:spacing w:line="360" w:lineRule="auto"/>
        <w:ind w:firstLine="420"/>
        <w:rPr>
          <w:rFonts w:ascii="宋体" w:hAnsi="宋体" w:eastAsia="宋体" w:cs="Times New Roman"/>
          <w:bCs/>
          <w:color w:val="auto"/>
          <w:kern w:val="0"/>
          <w:szCs w:val="21"/>
          <w:highlight w:val="none"/>
          <w:lang w:val="zh-CN"/>
        </w:rPr>
      </w:pPr>
      <w:r>
        <w:rPr>
          <w:rFonts w:hint="eastAsia" w:ascii="宋体" w:hAnsi="宋体" w:eastAsia="宋体" w:cs="Times New Roman"/>
          <w:bCs/>
          <w:color w:val="auto"/>
          <w:kern w:val="0"/>
          <w:szCs w:val="21"/>
          <w:highlight w:val="none"/>
          <w:lang w:val="zh-CN"/>
        </w:rPr>
        <w:t>质疑答复导致中标结果改变的，招标人或者采购代理机构应当将有关情况书面报告本级财政部门。</w:t>
      </w:r>
    </w:p>
    <w:p w14:paraId="340E62CC">
      <w:pPr>
        <w:snapToGrid w:val="0"/>
        <w:spacing w:line="360" w:lineRule="auto"/>
        <w:ind w:firstLine="420" w:firstLineChars="200"/>
        <w:rPr>
          <w:rFonts w:ascii="宋体" w:hAnsi="宋体" w:eastAsia="宋体" w:cs="Times New Roman"/>
          <w:color w:val="auto"/>
          <w:kern w:val="0"/>
          <w:szCs w:val="21"/>
          <w:highlight w:val="none"/>
          <w:lang w:val="zh-CN"/>
        </w:rPr>
      </w:pPr>
      <w:r>
        <w:rPr>
          <w:rFonts w:ascii="宋体" w:hAnsi="宋体" w:eastAsia="宋体" w:cs="Times New Roman"/>
          <w:color w:val="auto"/>
          <w:kern w:val="0"/>
          <w:szCs w:val="21"/>
          <w:highlight w:val="none"/>
          <w:lang w:val="zh-CN"/>
        </w:rPr>
        <w:t>38</w:t>
      </w:r>
      <w:r>
        <w:rPr>
          <w:rFonts w:hint="eastAsia" w:ascii="宋体" w:hAnsi="宋体" w:eastAsia="宋体" w:cs="Times New Roman"/>
          <w:color w:val="auto"/>
          <w:kern w:val="0"/>
          <w:szCs w:val="21"/>
          <w:highlight w:val="none"/>
          <w:lang w:val="zh-CN"/>
        </w:rPr>
        <w:t>.</w:t>
      </w:r>
      <w:r>
        <w:rPr>
          <w:rFonts w:ascii="宋体" w:hAnsi="宋体" w:eastAsia="宋体" w:cs="Times New Roman"/>
          <w:color w:val="auto"/>
          <w:kern w:val="0"/>
          <w:szCs w:val="21"/>
          <w:highlight w:val="none"/>
          <w:lang w:val="zh-CN"/>
        </w:rPr>
        <w:t>5</w:t>
      </w:r>
      <w:r>
        <w:rPr>
          <w:rFonts w:hint="eastAsia" w:ascii="宋体" w:hAnsi="宋体" w:eastAsia="宋体" w:cs="Times New Roman"/>
          <w:color w:val="auto"/>
          <w:kern w:val="0"/>
          <w:szCs w:val="21"/>
          <w:highlight w:val="none"/>
          <w:lang w:val="zh-CN"/>
        </w:rPr>
        <w:t>投诉的权利。质疑供应商对招标人、采购代理机构的答复不满意，或者招标人、采购代理机构未在规定时间内作出答复的，可以在答复期满后15个工作日内向《政府采购质疑和投诉办法》（财政部令第94号）第六条规定的财政部门提起投诉（投诉书格式后附）。</w:t>
      </w:r>
    </w:p>
    <w:p w14:paraId="38E9E9E0">
      <w:pPr>
        <w:spacing w:before="240" w:after="240" w:line="415" w:lineRule="auto"/>
        <w:jc w:val="center"/>
        <w:outlineLvl w:val="2"/>
        <w:rPr>
          <w:rFonts w:ascii="Times New Roman" w:hAnsi="Times New Roman" w:eastAsia="宋体" w:cs="Times New Roman"/>
          <w:b/>
          <w:bCs/>
          <w:color w:val="auto"/>
          <w:kern w:val="0"/>
          <w:sz w:val="32"/>
          <w:szCs w:val="32"/>
          <w:highlight w:val="none"/>
          <w:lang w:val="zh-CN"/>
        </w:rPr>
      </w:pPr>
      <w:bookmarkStart w:id="130" w:name="_八、其他事项"/>
      <w:bookmarkEnd w:id="130"/>
      <w:r>
        <w:rPr>
          <w:rFonts w:hint="eastAsia" w:ascii="Times New Roman" w:hAnsi="Times New Roman" w:eastAsia="宋体" w:cs="Times New Roman"/>
          <w:b/>
          <w:bCs/>
          <w:color w:val="auto"/>
          <w:kern w:val="0"/>
          <w:sz w:val="32"/>
          <w:szCs w:val="32"/>
          <w:highlight w:val="none"/>
          <w:lang w:val="zh-CN"/>
        </w:rPr>
        <w:t>八、其他事项</w:t>
      </w:r>
    </w:p>
    <w:p w14:paraId="49389D1A">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bookmarkStart w:id="131" w:name="_42.代理服务费"/>
      <w:bookmarkEnd w:id="131"/>
      <w:r>
        <w:rPr>
          <w:rFonts w:hint="eastAsia" w:ascii="黑体" w:hAnsi="黑体" w:eastAsia="黑体" w:cs="Times New Roman"/>
          <w:b/>
          <w:color w:val="auto"/>
          <w:sz w:val="24"/>
          <w:szCs w:val="24"/>
          <w:highlight w:val="none"/>
          <w:lang w:val="zh-CN"/>
        </w:rPr>
        <w:t>3</w:t>
      </w:r>
      <w:r>
        <w:rPr>
          <w:rFonts w:ascii="黑体" w:hAnsi="黑体" w:eastAsia="黑体" w:cs="Times New Roman"/>
          <w:b/>
          <w:color w:val="auto"/>
          <w:sz w:val="24"/>
          <w:szCs w:val="24"/>
          <w:highlight w:val="none"/>
          <w:lang w:val="zh-CN"/>
        </w:rPr>
        <w:t>9</w:t>
      </w:r>
      <w:r>
        <w:rPr>
          <w:rFonts w:hint="eastAsia" w:ascii="黑体" w:hAnsi="黑体" w:eastAsia="黑体" w:cs="Times New Roman"/>
          <w:b/>
          <w:color w:val="auto"/>
          <w:sz w:val="24"/>
          <w:szCs w:val="24"/>
          <w:highlight w:val="none"/>
          <w:lang w:val="zh-CN"/>
        </w:rPr>
        <w:t>.代理服务费</w:t>
      </w:r>
    </w:p>
    <w:p w14:paraId="15AC0DAA">
      <w:pPr>
        <w:pStyle w:val="21"/>
        <w:snapToGrid w:val="0"/>
        <w:spacing w:line="360" w:lineRule="auto"/>
        <w:ind w:firstLine="420" w:firstLineChars="200"/>
        <w:rPr>
          <w:rFonts w:hAnsi="宋体" w:cs="宋体"/>
          <w:color w:val="auto"/>
          <w:sz w:val="21"/>
          <w:highlight w:val="none"/>
        </w:rPr>
      </w:pPr>
      <w:r>
        <w:rPr>
          <w:rFonts w:hint="eastAsia" w:hAnsi="宋体" w:cs="宋体"/>
          <w:color w:val="auto"/>
          <w:sz w:val="21"/>
          <w:highlight w:val="none"/>
        </w:rPr>
        <w:sym w:font="Wingdings" w:char="F0FE"/>
      </w:r>
      <w:r>
        <w:rPr>
          <w:rFonts w:hint="eastAsia" w:hAnsi="宋体" w:cs="宋体"/>
          <w:color w:val="auto"/>
          <w:sz w:val="21"/>
          <w:highlight w:val="none"/>
        </w:rPr>
        <w:t>本项目代理服务费由</w:t>
      </w:r>
      <w:r>
        <w:rPr>
          <w:rFonts w:hint="eastAsia" w:hAnsi="宋体" w:cs="宋体"/>
          <w:color w:val="auto"/>
          <w:sz w:val="21"/>
          <w:highlight w:val="none"/>
          <w:u w:val="single"/>
        </w:rPr>
        <w:t>中标人</w:t>
      </w:r>
      <w:r>
        <w:rPr>
          <w:rFonts w:hint="eastAsia" w:hAnsi="宋体" w:cs="宋体"/>
          <w:color w:val="auto"/>
          <w:sz w:val="21"/>
          <w:highlight w:val="none"/>
        </w:rPr>
        <w:t>在领取中标通知书前，一次性向采购代理机构支付。</w:t>
      </w:r>
    </w:p>
    <w:p w14:paraId="58B82DCB">
      <w:pPr>
        <w:pStyle w:val="21"/>
        <w:snapToGrid w:val="0"/>
        <w:spacing w:line="360" w:lineRule="auto"/>
        <w:ind w:firstLine="420" w:firstLineChars="200"/>
        <w:rPr>
          <w:rFonts w:hAnsi="宋体" w:cs="宋体"/>
          <w:color w:val="auto"/>
          <w:sz w:val="21"/>
          <w:highlight w:val="none"/>
        </w:rPr>
      </w:pPr>
      <w:r>
        <w:rPr>
          <w:rFonts w:hint="eastAsia" w:hAnsi="宋体" w:cs="宋体"/>
          <w:color w:val="auto"/>
          <w:sz w:val="21"/>
          <w:highlight w:val="none"/>
        </w:rPr>
        <w:t>□招标人支付。</w:t>
      </w:r>
    </w:p>
    <w:p w14:paraId="0EE7E6A8">
      <w:pPr>
        <w:pStyle w:val="21"/>
        <w:snapToGrid w:val="0"/>
        <w:spacing w:line="360" w:lineRule="auto"/>
        <w:ind w:firstLine="420" w:firstLineChars="200"/>
        <w:rPr>
          <w:rFonts w:hAnsi="宋体" w:cs="宋体"/>
          <w:color w:val="auto"/>
          <w:sz w:val="21"/>
          <w:highlight w:val="none"/>
        </w:rPr>
      </w:pPr>
      <w:r>
        <w:rPr>
          <w:rFonts w:hAnsi="宋体" w:cs="宋体"/>
          <w:color w:val="auto"/>
          <w:sz w:val="21"/>
          <w:highlight w:val="none"/>
        </w:rPr>
        <w:t>39.1</w:t>
      </w:r>
      <w:r>
        <w:rPr>
          <w:rFonts w:hint="eastAsia" w:hAnsi="宋体" w:cs="宋体"/>
          <w:color w:val="auto"/>
          <w:sz w:val="21"/>
          <w:highlight w:val="none"/>
        </w:rPr>
        <w:t>.采购代理费收取标准：</w:t>
      </w:r>
    </w:p>
    <w:p w14:paraId="41BD4635">
      <w:pPr>
        <w:pStyle w:val="21"/>
        <w:snapToGrid w:val="0"/>
        <w:spacing w:line="360" w:lineRule="auto"/>
        <w:ind w:left="420" w:leftChars="200"/>
        <w:rPr>
          <w:rFonts w:hAnsi="宋体" w:cs="宋体"/>
          <w:color w:val="auto"/>
          <w:sz w:val="21"/>
          <w:highlight w:val="none"/>
        </w:rPr>
      </w:pPr>
      <w:r>
        <w:rPr>
          <w:rFonts w:hint="eastAsia" w:hAnsi="宋体" w:cs="宋体"/>
          <w:color w:val="auto"/>
          <w:sz w:val="21"/>
          <w:highlight w:val="none"/>
          <w:lang w:eastAsia="zh-CN"/>
        </w:rPr>
        <w:t>□</w:t>
      </w:r>
      <w:r>
        <w:rPr>
          <w:rFonts w:hint="eastAsia" w:hAnsi="宋体" w:cs="宋体"/>
          <w:color w:val="auto"/>
          <w:sz w:val="21"/>
          <w:highlight w:val="none"/>
        </w:rPr>
        <w:t>以（☑中标金额/□采购预算/□暂定中标金额/□其他</w:t>
      </w:r>
      <w:r>
        <w:rPr>
          <w:rFonts w:hint="eastAsia" w:hAnsi="宋体" w:cs="宋体"/>
          <w:color w:val="auto"/>
          <w:sz w:val="21"/>
          <w:highlight w:val="none"/>
          <w:u w:val="single"/>
        </w:rPr>
        <w:t xml:space="preserve"> </w:t>
      </w:r>
      <w:r>
        <w:rPr>
          <w:rFonts w:hAnsi="宋体" w:cs="宋体"/>
          <w:color w:val="auto"/>
          <w:sz w:val="21"/>
          <w:highlight w:val="none"/>
          <w:u w:val="single"/>
        </w:rPr>
        <w:t xml:space="preserve">  </w:t>
      </w:r>
      <w:r>
        <w:rPr>
          <w:rFonts w:hint="eastAsia" w:hAnsi="宋体" w:cs="宋体"/>
          <w:color w:val="auto"/>
          <w:sz w:val="21"/>
          <w:highlight w:val="none"/>
        </w:rPr>
        <w:t>）为计费额，按本须知正文第</w:t>
      </w:r>
      <w:r>
        <w:rPr>
          <w:rFonts w:hAnsi="宋体" w:cs="宋体"/>
          <w:color w:val="auto"/>
          <w:sz w:val="21"/>
          <w:highlight w:val="none"/>
        </w:rPr>
        <w:t>39</w:t>
      </w:r>
      <w:r>
        <w:rPr>
          <w:rFonts w:hint="eastAsia" w:hAnsi="宋体" w:cs="宋体"/>
          <w:color w:val="auto"/>
          <w:sz w:val="21"/>
          <w:highlight w:val="none"/>
        </w:rPr>
        <w:t>.</w:t>
      </w:r>
      <w:r>
        <w:rPr>
          <w:rFonts w:hAnsi="宋体" w:cs="宋体"/>
          <w:color w:val="auto"/>
          <w:sz w:val="21"/>
          <w:highlight w:val="none"/>
        </w:rPr>
        <w:t>2</w:t>
      </w:r>
      <w:r>
        <w:rPr>
          <w:rFonts w:hint="eastAsia" w:hAnsi="宋体" w:cs="宋体"/>
          <w:color w:val="auto"/>
          <w:sz w:val="21"/>
          <w:highlight w:val="none"/>
        </w:rPr>
        <w:t>条规定的收费计算标准（☑货物招标/□服务招标/□工程招标）采用差额定率累进法计算出收费基准价格，采购代理收费以（☑收费基准价格/□收费基准价格下浮</w:t>
      </w:r>
      <w:r>
        <w:rPr>
          <w:rFonts w:hint="eastAsia" w:hAnsi="宋体" w:cs="宋体"/>
          <w:color w:val="auto"/>
          <w:sz w:val="21"/>
          <w:highlight w:val="none"/>
          <w:u w:val="single"/>
        </w:rPr>
        <w:t xml:space="preserve"> </w:t>
      </w:r>
      <w:r>
        <w:rPr>
          <w:rFonts w:hAnsi="宋体" w:cs="宋体"/>
          <w:color w:val="auto"/>
          <w:sz w:val="21"/>
          <w:highlight w:val="none"/>
          <w:u w:val="single"/>
        </w:rPr>
        <w:t xml:space="preserve"> </w:t>
      </w:r>
      <w:r>
        <w:rPr>
          <w:rFonts w:hint="eastAsia" w:hAnsi="宋体" w:cs="宋体"/>
          <w:color w:val="auto"/>
          <w:sz w:val="21"/>
          <w:highlight w:val="none"/>
          <w:u w:val="single"/>
        </w:rPr>
        <w:t>%</w:t>
      </w:r>
      <w:r>
        <w:rPr>
          <w:rFonts w:hAnsi="宋体" w:cs="宋体"/>
          <w:color w:val="auto"/>
          <w:sz w:val="21"/>
          <w:highlight w:val="none"/>
        </w:rPr>
        <w:t>/</w:t>
      </w:r>
      <w:r>
        <w:rPr>
          <w:rFonts w:hint="eastAsia" w:hAnsi="宋体" w:cs="宋体"/>
          <w:color w:val="auto"/>
          <w:sz w:val="21"/>
          <w:highlight w:val="none"/>
        </w:rPr>
        <w:t>□收费基准价格上浮</w:t>
      </w:r>
      <w:r>
        <w:rPr>
          <w:rFonts w:hint="eastAsia" w:hAnsi="宋体" w:cs="宋体"/>
          <w:color w:val="auto"/>
          <w:sz w:val="21"/>
          <w:highlight w:val="none"/>
          <w:u w:val="single"/>
        </w:rPr>
        <w:t xml:space="preserve"> </w:t>
      </w:r>
      <w:r>
        <w:rPr>
          <w:rFonts w:hAnsi="宋体" w:cs="宋体"/>
          <w:color w:val="auto"/>
          <w:sz w:val="21"/>
          <w:highlight w:val="none"/>
          <w:u w:val="single"/>
        </w:rPr>
        <w:t xml:space="preserve">  </w:t>
      </w:r>
      <w:r>
        <w:rPr>
          <w:rFonts w:hint="eastAsia" w:hAnsi="宋体" w:cs="宋体"/>
          <w:color w:val="auto"/>
          <w:sz w:val="21"/>
          <w:highlight w:val="none"/>
          <w:u w:val="single"/>
        </w:rPr>
        <w:t>%</w:t>
      </w:r>
      <w:r>
        <w:rPr>
          <w:rFonts w:hint="eastAsia" w:hAnsi="宋体" w:cs="宋体"/>
          <w:color w:val="auto"/>
          <w:sz w:val="21"/>
          <w:highlight w:val="none"/>
        </w:rPr>
        <w:t>）收取。</w:t>
      </w:r>
    </w:p>
    <w:p w14:paraId="5AE17382">
      <w:pPr>
        <w:pStyle w:val="21"/>
        <w:snapToGrid w:val="0"/>
        <w:spacing w:line="360" w:lineRule="auto"/>
        <w:ind w:firstLine="420" w:firstLineChars="200"/>
        <w:rPr>
          <w:rFonts w:hAnsi="宋体" w:cs="宋体"/>
          <w:color w:val="auto"/>
          <w:sz w:val="21"/>
          <w:highlight w:val="none"/>
          <w:u w:val="single"/>
        </w:rPr>
      </w:pPr>
      <w:r>
        <w:rPr>
          <w:rFonts w:hint="eastAsia" w:hAnsi="宋体" w:cs="宋体"/>
          <w:color w:val="auto"/>
          <w:sz w:val="21"/>
          <w:highlight w:val="none"/>
        </w:rPr>
        <w:sym w:font="Wingdings" w:char="00A8"/>
      </w:r>
      <w:r>
        <w:rPr>
          <w:rFonts w:hint="eastAsia" w:hAnsi="宋体" w:cs="宋体"/>
          <w:color w:val="auto"/>
          <w:sz w:val="21"/>
          <w:highlight w:val="none"/>
        </w:rPr>
        <w:t>固定采购代理收费</w:t>
      </w:r>
    </w:p>
    <w:p w14:paraId="0F159721">
      <w:pPr>
        <w:numPr>
          <w:ilvl w:val="4"/>
          <w:numId w:val="0"/>
        </w:numPr>
        <w:spacing w:line="360" w:lineRule="auto"/>
        <w:ind w:left="420" w:leftChars="200"/>
        <w:outlineLvl w:val="4"/>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39.2</w:t>
      </w:r>
      <w:r>
        <w:rPr>
          <w:rFonts w:hint="eastAsia" w:ascii="宋体" w:hAnsi="宋体" w:eastAsia="宋体" w:cs="宋体"/>
          <w:color w:val="auto"/>
          <w:kern w:val="0"/>
          <w:szCs w:val="21"/>
          <w:highlight w:val="none"/>
        </w:rPr>
        <w:t>采购代理费收取银行账户信息以中标事项告知书为准。</w:t>
      </w:r>
    </w:p>
    <w:p w14:paraId="3A426C7B">
      <w:pPr>
        <w:numPr>
          <w:ilvl w:val="4"/>
          <w:numId w:val="0"/>
        </w:numPr>
        <w:spacing w:line="360" w:lineRule="auto"/>
        <w:ind w:left="420" w:leftChars="200"/>
        <w:outlineLvl w:val="4"/>
        <w:rPr>
          <w:rFonts w:ascii="黑体" w:hAnsi="黑体" w:eastAsia="黑体" w:cs="Times New Roman"/>
          <w:b/>
          <w:color w:val="auto"/>
          <w:sz w:val="24"/>
          <w:szCs w:val="24"/>
          <w:highlight w:val="none"/>
          <w:lang w:val="zh-CN"/>
        </w:rPr>
      </w:pPr>
      <w:r>
        <w:rPr>
          <w:rFonts w:ascii="黑体" w:hAnsi="黑体" w:eastAsia="黑体" w:cs="Times New Roman"/>
          <w:b/>
          <w:color w:val="auto"/>
          <w:sz w:val="24"/>
          <w:szCs w:val="24"/>
          <w:highlight w:val="none"/>
          <w:lang w:val="zh-CN"/>
        </w:rPr>
        <w:t>40. 需要补充的其他内容</w:t>
      </w:r>
    </w:p>
    <w:p w14:paraId="0D0AC82F">
      <w:pPr>
        <w:spacing w:line="360" w:lineRule="auto"/>
        <w:ind w:firstLine="420" w:firstLineChars="200"/>
        <w:rPr>
          <w:rFonts w:ascii="宋体" w:hAnsi="宋体" w:eastAsia="宋体" w:cs="Times New Roman"/>
          <w:color w:val="auto"/>
          <w:kern w:val="0"/>
          <w:szCs w:val="21"/>
          <w:highlight w:val="none"/>
          <w:lang w:val="zh-CN"/>
        </w:rPr>
      </w:pPr>
      <w:r>
        <w:rPr>
          <w:rFonts w:ascii="宋体" w:hAnsi="宋体" w:eastAsia="宋体" w:cs="Times New Roman"/>
          <w:color w:val="auto"/>
          <w:kern w:val="0"/>
          <w:szCs w:val="21"/>
          <w:highlight w:val="none"/>
          <w:lang w:val="zh-CN"/>
        </w:rPr>
        <w:t>40.1</w:t>
      </w:r>
      <w:r>
        <w:rPr>
          <w:rFonts w:hint="eastAsia" w:ascii="宋体" w:hAnsi="宋体" w:eastAsia="宋体" w:cs="宋体"/>
          <w:color w:val="auto"/>
          <w:kern w:val="0"/>
          <w:szCs w:val="21"/>
          <w:highlight w:val="none"/>
          <w:lang w:val="zh-CN"/>
        </w:rPr>
        <w:t>本招标文件解释规则详见</w:t>
      </w:r>
      <w:r>
        <w:rPr>
          <w:rFonts w:hint="eastAsia" w:ascii="宋体" w:hAnsi="宋体" w:eastAsia="宋体" w:cs="Times New Roman"/>
          <w:color w:val="auto"/>
          <w:kern w:val="0"/>
          <w:szCs w:val="21"/>
          <w:highlight w:val="none"/>
          <w:lang w:val="zh-CN"/>
        </w:rPr>
        <w:t>“投标人须知前附表”。</w:t>
      </w:r>
    </w:p>
    <w:p w14:paraId="18E994FB">
      <w:pPr>
        <w:spacing w:line="360" w:lineRule="auto"/>
        <w:ind w:firstLine="420" w:firstLineChars="200"/>
        <w:rPr>
          <w:rFonts w:ascii="宋体" w:hAnsi="宋体" w:eastAsia="宋体" w:cs="Times New Roman"/>
          <w:color w:val="auto"/>
          <w:kern w:val="0"/>
          <w:szCs w:val="21"/>
          <w:highlight w:val="none"/>
          <w:lang w:val="zh-CN"/>
        </w:rPr>
      </w:pPr>
      <w:r>
        <w:rPr>
          <w:rFonts w:ascii="宋体" w:hAnsi="宋体" w:eastAsia="宋体" w:cs="宋体"/>
          <w:color w:val="auto"/>
          <w:kern w:val="0"/>
          <w:szCs w:val="21"/>
          <w:highlight w:val="none"/>
          <w:lang w:val="zh-CN"/>
        </w:rPr>
        <w:t>40.2</w:t>
      </w:r>
      <w:r>
        <w:rPr>
          <w:rFonts w:hint="eastAsia" w:ascii="宋体" w:hAnsi="宋体" w:eastAsia="宋体" w:cs="宋体"/>
          <w:color w:val="auto"/>
          <w:kern w:val="0"/>
          <w:szCs w:val="21"/>
          <w:highlight w:val="none"/>
          <w:lang w:val="zh-CN"/>
        </w:rPr>
        <w:t xml:space="preserve"> </w:t>
      </w:r>
      <w:r>
        <w:rPr>
          <w:rFonts w:hint="eastAsia" w:ascii="宋体" w:hAnsi="宋体" w:eastAsia="宋体" w:cs="Times New Roman"/>
          <w:color w:val="auto"/>
          <w:kern w:val="0"/>
          <w:szCs w:val="21"/>
          <w:highlight w:val="none"/>
          <w:lang w:val="zh-CN"/>
        </w:rPr>
        <w:t>其他事项详见“投标人须知前附表”。</w:t>
      </w:r>
    </w:p>
    <w:p w14:paraId="4397BF11">
      <w:pPr>
        <w:spacing w:line="360" w:lineRule="auto"/>
        <w:ind w:firstLine="420" w:firstLineChars="200"/>
        <w:rPr>
          <w:rFonts w:ascii="宋体" w:hAnsi="宋体" w:eastAsia="宋体" w:cs="Times New Roman"/>
          <w:color w:val="auto"/>
          <w:kern w:val="0"/>
          <w:szCs w:val="21"/>
          <w:highlight w:val="none"/>
          <w:lang w:val="zh-CN"/>
        </w:rPr>
      </w:pPr>
      <w:r>
        <w:rPr>
          <w:rFonts w:ascii="宋体" w:hAnsi="宋体" w:eastAsia="宋体" w:cs="Times New Roman"/>
          <w:color w:val="auto"/>
          <w:kern w:val="0"/>
          <w:szCs w:val="21"/>
          <w:highlight w:val="none"/>
          <w:lang w:val="zh-CN"/>
        </w:rPr>
        <w:t>40.3</w:t>
      </w:r>
      <w:r>
        <w:rPr>
          <w:rFonts w:hint="eastAsia" w:ascii="宋体" w:hAnsi="宋体" w:eastAsia="宋体" w:cs="Times New Roman"/>
          <w:color w:val="auto"/>
          <w:kern w:val="0"/>
          <w:szCs w:val="21"/>
          <w:highlight w:val="none"/>
          <w:lang w:val="zh-CN"/>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文件规定的中小企业扶持政策：</w:t>
      </w:r>
    </w:p>
    <w:p w14:paraId="46EBAB36">
      <w:pPr>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（1）在货物采购项目中，货物由中小企业制造，即货物由中小企业生产且使用该中小企业商号或者注册商标，不对其中涉及的工程承建商和服务的承接商作出要求；</w:t>
      </w:r>
    </w:p>
    <w:p w14:paraId="46C3FF63">
      <w:pPr>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（2）在工程采购项目中，工程由中小企业承建，即工程施工单位为中小企业，</w:t>
      </w:r>
      <w:r>
        <w:rPr>
          <w:rFonts w:hint="eastAsia" w:ascii="宋体" w:hAnsi="Courier New" w:eastAsia="宋体" w:cs="Times New Roman"/>
          <w:color w:val="auto"/>
          <w:kern w:val="0"/>
          <w:sz w:val="20"/>
          <w:szCs w:val="21"/>
          <w:highlight w:val="none"/>
          <w:lang w:val="zh-CN"/>
        </w:rPr>
        <w:t>不对其中涉及的货物的制造商和服务的承接商作出要求</w:t>
      </w:r>
      <w:r>
        <w:rPr>
          <w:rFonts w:hint="eastAsia" w:ascii="宋体" w:hAnsi="宋体" w:eastAsia="宋体" w:cs="Times New Roman"/>
          <w:color w:val="auto"/>
          <w:kern w:val="0"/>
          <w:szCs w:val="21"/>
          <w:highlight w:val="none"/>
          <w:lang w:val="zh-CN"/>
        </w:rPr>
        <w:t>；</w:t>
      </w:r>
    </w:p>
    <w:p w14:paraId="2AA37321">
      <w:pPr>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（3）在服务采购项目中，服务由中小企业承接，即提供服务的人员为中小企业依照《中华人民共和国劳动合同法》订立劳动合同的从业人员，</w:t>
      </w:r>
      <w:r>
        <w:rPr>
          <w:rFonts w:hint="eastAsia" w:ascii="宋体" w:hAnsi="Courier New" w:eastAsia="宋体" w:cs="Times New Roman"/>
          <w:color w:val="auto"/>
          <w:kern w:val="0"/>
          <w:sz w:val="20"/>
          <w:szCs w:val="21"/>
          <w:highlight w:val="none"/>
          <w:lang w:val="zh-CN"/>
        </w:rPr>
        <w:t>不对其中涉及的货物的制造商和工程承建商作出要求</w:t>
      </w:r>
      <w:r>
        <w:rPr>
          <w:rFonts w:hint="eastAsia" w:ascii="宋体" w:hAnsi="宋体" w:eastAsia="宋体" w:cs="Times New Roman"/>
          <w:color w:val="auto"/>
          <w:kern w:val="0"/>
          <w:szCs w:val="21"/>
          <w:highlight w:val="none"/>
          <w:lang w:val="zh-CN"/>
        </w:rPr>
        <w:t>。</w:t>
      </w:r>
    </w:p>
    <w:p w14:paraId="4A008D35">
      <w:pPr>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7BE9621A">
      <w:pPr>
        <w:jc w:val="left"/>
        <w:rPr>
          <w:rFonts w:ascii="Times New Roman" w:hAnsi="宋体" w:eastAsia="宋体" w:cs="Times New Roman"/>
          <w:color w:val="auto"/>
          <w:szCs w:val="24"/>
          <w:highlight w:val="none"/>
        </w:rPr>
      </w:pPr>
      <w:r>
        <w:rPr>
          <w:rFonts w:hint="eastAsia" w:ascii="Times New Roman" w:hAnsi="宋体" w:eastAsia="宋体" w:cs="Times New Roman"/>
          <w:color w:val="auto"/>
          <w:szCs w:val="24"/>
          <w:highlight w:val="none"/>
        </w:rPr>
        <w:t>依据本文件规定享受扶持政策获得政府采购合同的，小微企业不得将合同分包给大中型企业，中型企业不得将合同分包给大型企业。</w:t>
      </w:r>
      <w:r>
        <w:rPr>
          <w:rFonts w:ascii="Times New Roman" w:hAnsi="宋体" w:eastAsia="宋体" w:cs="Times New Roman"/>
          <w:color w:val="auto"/>
          <w:szCs w:val="24"/>
          <w:highlight w:val="none"/>
        </w:rPr>
        <w:br w:type="page"/>
      </w:r>
      <w:r>
        <w:rPr>
          <w:rFonts w:hint="eastAsia" w:ascii="黑体" w:hAnsi="黑体" w:eastAsia="黑体" w:cs="黑体"/>
          <w:color w:val="auto"/>
          <w:szCs w:val="24"/>
          <w:highlight w:val="none"/>
        </w:rPr>
        <w:t>附件1：</w:t>
      </w:r>
    </w:p>
    <w:p w14:paraId="684FF7F5">
      <w:pPr>
        <w:jc w:val="center"/>
        <w:rPr>
          <w:rFonts w:ascii="黑体" w:hAnsi="黑体" w:eastAsia="黑体" w:cs="Times New Roman"/>
          <w:color w:val="auto"/>
          <w:sz w:val="32"/>
          <w:szCs w:val="32"/>
          <w:highlight w:val="none"/>
        </w:rPr>
      </w:pPr>
      <w:r>
        <w:rPr>
          <w:rFonts w:hint="eastAsia" w:ascii="黑体" w:hAnsi="黑体" w:eastAsia="黑体" w:cs="Times New Roman"/>
          <w:color w:val="auto"/>
          <w:sz w:val="32"/>
          <w:szCs w:val="32"/>
          <w:highlight w:val="none"/>
        </w:rPr>
        <w:t>政府采购项目履约保证金退付意见书（参考）</w:t>
      </w:r>
    </w:p>
    <w:p w14:paraId="3911FE1F">
      <w:pPr>
        <w:jc w:val="center"/>
        <w:rPr>
          <w:rFonts w:ascii="黑体" w:hAnsi="黑体" w:eastAsia="黑体" w:cs="Times New Roman"/>
          <w:color w:val="auto"/>
          <w:sz w:val="36"/>
          <w:szCs w:val="36"/>
          <w:highlight w:val="none"/>
        </w:rPr>
      </w:pPr>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7"/>
        <w:gridCol w:w="7790"/>
      </w:tblGrid>
      <w:tr w14:paraId="34BB4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532" w:type="pct"/>
            <w:vMerge w:val="restart"/>
            <w:vAlign w:val="center"/>
          </w:tcPr>
          <w:p w14:paraId="55644F16">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供</w:t>
            </w:r>
          </w:p>
          <w:p w14:paraId="79889DD3">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应</w:t>
            </w:r>
          </w:p>
          <w:p w14:paraId="16579293">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商</w:t>
            </w:r>
          </w:p>
          <w:p w14:paraId="4B139F8F">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申</w:t>
            </w:r>
          </w:p>
          <w:p w14:paraId="050EB02D">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请</w:t>
            </w:r>
          </w:p>
        </w:tc>
        <w:tc>
          <w:tcPr>
            <w:tcW w:w="4467" w:type="pct"/>
            <w:vAlign w:val="center"/>
          </w:tcPr>
          <w:p w14:paraId="3FEC4D47">
            <w:pP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项目编号：</w:t>
            </w:r>
          </w:p>
        </w:tc>
      </w:tr>
      <w:tr w14:paraId="7925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532" w:type="pct"/>
            <w:vMerge w:val="continue"/>
            <w:vAlign w:val="center"/>
          </w:tcPr>
          <w:p w14:paraId="6DD7A396">
            <w:pPr>
              <w:rPr>
                <w:rFonts w:ascii="Times New Roman" w:hAnsi="Times New Roman" w:eastAsia="宋体" w:cs="Times New Roman"/>
                <w:color w:val="auto"/>
                <w:sz w:val="24"/>
                <w:szCs w:val="24"/>
                <w:highlight w:val="none"/>
              </w:rPr>
            </w:pPr>
          </w:p>
        </w:tc>
        <w:tc>
          <w:tcPr>
            <w:tcW w:w="4467" w:type="pct"/>
            <w:vAlign w:val="center"/>
          </w:tcPr>
          <w:p w14:paraId="080A1B9A">
            <w:pP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项目名称：</w:t>
            </w:r>
          </w:p>
        </w:tc>
      </w:tr>
      <w:tr w14:paraId="086D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2" w:type="pct"/>
            <w:vMerge w:val="continue"/>
          </w:tcPr>
          <w:p w14:paraId="5D5139D1">
            <w:pPr>
              <w:rPr>
                <w:rFonts w:ascii="Times New Roman" w:hAnsi="Times New Roman" w:eastAsia="宋体" w:cs="Times New Roman"/>
                <w:color w:val="auto"/>
                <w:sz w:val="24"/>
                <w:szCs w:val="24"/>
                <w:highlight w:val="none"/>
              </w:rPr>
            </w:pPr>
          </w:p>
        </w:tc>
        <w:tc>
          <w:tcPr>
            <w:tcW w:w="4467" w:type="pct"/>
          </w:tcPr>
          <w:p w14:paraId="48CF9FA6">
            <w:pP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w:t>
            </w:r>
          </w:p>
          <w:p w14:paraId="3BF5B6FC">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该项目已于</w:t>
            </w:r>
            <w:r>
              <w:rPr>
                <w:rFonts w:hint="eastAsia"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rPr>
              <w:t>日验收并交付使用。根据合同规定，该项目的履约保证金期限于</w:t>
            </w:r>
            <w:r>
              <w:rPr>
                <w:rFonts w:hint="eastAsia"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rPr>
              <w:t>日已满，请将履约保证金</w:t>
            </w:r>
          </w:p>
          <w:p w14:paraId="61E4CD39">
            <w:pPr>
              <w:spacing w:line="400" w:lineRule="exact"/>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rPr>
              <w:t>（大写）￥</w:t>
            </w:r>
            <w:r>
              <w:rPr>
                <w:rFonts w:hint="eastAsia"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rPr>
              <w:t>（小写）退付到达以下帐户。</w:t>
            </w:r>
          </w:p>
          <w:p w14:paraId="27002D21">
            <w:pPr>
              <w:spacing w:line="400" w:lineRule="exact"/>
              <w:ind w:firstLine="705"/>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单位名称：</w:t>
            </w:r>
          </w:p>
          <w:p w14:paraId="425130C9">
            <w:pPr>
              <w:spacing w:line="400" w:lineRule="exact"/>
              <w:ind w:firstLine="705"/>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开户银行：</w:t>
            </w:r>
          </w:p>
          <w:p w14:paraId="6FCB0EA0">
            <w:pPr>
              <w:spacing w:line="400" w:lineRule="exact"/>
              <w:ind w:firstLine="705"/>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帐   号：</w:t>
            </w:r>
          </w:p>
          <w:p w14:paraId="553DCFE5">
            <w:pPr>
              <w:spacing w:line="400" w:lineRule="exact"/>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联系人及电话：</w:t>
            </w:r>
          </w:p>
          <w:p w14:paraId="4B9085D3">
            <w:pPr>
              <w:spacing w:line="400" w:lineRule="exact"/>
              <w:rPr>
                <w:rFonts w:ascii="Times New Roman" w:hAnsi="Times New Roman" w:eastAsia="宋体" w:cs="Times New Roman"/>
                <w:color w:val="auto"/>
                <w:sz w:val="24"/>
                <w:szCs w:val="24"/>
                <w:highlight w:val="none"/>
              </w:rPr>
            </w:pPr>
          </w:p>
          <w:p w14:paraId="68786C38">
            <w:pPr>
              <w:spacing w:line="520" w:lineRule="exact"/>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投标人签章：</w:t>
            </w:r>
          </w:p>
          <w:p w14:paraId="04FA86AD">
            <w:pPr>
              <w:spacing w:line="520" w:lineRule="exact"/>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年    月     日</w:t>
            </w:r>
          </w:p>
        </w:tc>
      </w:tr>
      <w:tr w14:paraId="6516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532" w:type="pct"/>
            <w:vAlign w:val="center"/>
          </w:tcPr>
          <w:p w14:paraId="4C937E12">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采</w:t>
            </w:r>
          </w:p>
          <w:p w14:paraId="77473356">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购</w:t>
            </w:r>
          </w:p>
          <w:p w14:paraId="17E740E8">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人</w:t>
            </w:r>
          </w:p>
          <w:p w14:paraId="264004FE">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意</w:t>
            </w:r>
          </w:p>
          <w:p w14:paraId="3FC0C79E">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见</w:t>
            </w:r>
          </w:p>
        </w:tc>
        <w:tc>
          <w:tcPr>
            <w:tcW w:w="4467" w:type="pct"/>
          </w:tcPr>
          <w:p w14:paraId="36C1EF3A">
            <w:pPr>
              <w:rPr>
                <w:rFonts w:ascii="Times New Roman" w:hAnsi="Times New Roman" w:eastAsia="宋体" w:cs="Times New Roman"/>
                <w:color w:val="auto"/>
                <w:sz w:val="24"/>
                <w:szCs w:val="24"/>
                <w:highlight w:val="none"/>
              </w:rPr>
            </w:pPr>
          </w:p>
          <w:p w14:paraId="5355643D">
            <w:pP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退付意见：（是否同意退付履约保证金及退付金额）</w:t>
            </w:r>
          </w:p>
          <w:p w14:paraId="5D35F530">
            <w:pPr>
              <w:rPr>
                <w:rFonts w:ascii="Times New Roman" w:hAnsi="Times New Roman" w:eastAsia="宋体" w:cs="Times New Roman"/>
                <w:color w:val="auto"/>
                <w:sz w:val="24"/>
                <w:szCs w:val="24"/>
                <w:highlight w:val="none"/>
              </w:rPr>
            </w:pPr>
          </w:p>
          <w:p w14:paraId="605B9319">
            <w:pPr>
              <w:rPr>
                <w:rFonts w:ascii="Times New Roman" w:hAnsi="Times New Roman" w:eastAsia="宋体" w:cs="Times New Roman"/>
                <w:color w:val="auto"/>
                <w:sz w:val="24"/>
                <w:szCs w:val="24"/>
                <w:highlight w:val="none"/>
              </w:rPr>
            </w:pPr>
          </w:p>
          <w:p w14:paraId="645D8C1E">
            <w:pPr>
              <w:rPr>
                <w:rFonts w:ascii="Times New Roman" w:hAnsi="Times New Roman" w:eastAsia="宋体" w:cs="Times New Roman"/>
                <w:color w:val="auto"/>
                <w:sz w:val="24"/>
                <w:szCs w:val="24"/>
                <w:highlight w:val="none"/>
              </w:rPr>
            </w:pPr>
          </w:p>
          <w:p w14:paraId="32A4B322">
            <w:pPr>
              <w:rPr>
                <w:rFonts w:ascii="Times New Roman" w:hAnsi="Times New Roman" w:eastAsia="宋体" w:cs="Times New Roman"/>
                <w:color w:val="auto"/>
                <w:sz w:val="24"/>
                <w:szCs w:val="24"/>
                <w:highlight w:val="none"/>
              </w:rPr>
            </w:pPr>
          </w:p>
          <w:p w14:paraId="4C80B290">
            <w:pPr>
              <w:spacing w:line="520" w:lineRule="exact"/>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联系人及电话：                         招标人签章</w:t>
            </w:r>
          </w:p>
          <w:p w14:paraId="0BBD0B41">
            <w:pPr>
              <w:spacing w:line="520" w:lineRule="exact"/>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年    月     日</w:t>
            </w:r>
          </w:p>
        </w:tc>
      </w:tr>
      <w:tr w14:paraId="3D01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532" w:type="pct"/>
            <w:vAlign w:val="center"/>
          </w:tcPr>
          <w:p w14:paraId="5BA4C61C">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备注</w:t>
            </w:r>
          </w:p>
        </w:tc>
        <w:tc>
          <w:tcPr>
            <w:tcW w:w="4467" w:type="pct"/>
          </w:tcPr>
          <w:p w14:paraId="6C0105BC">
            <w:pPr>
              <w:rPr>
                <w:rFonts w:ascii="Times New Roman" w:hAnsi="Times New Roman" w:eastAsia="宋体" w:cs="Times New Roman"/>
                <w:color w:val="auto"/>
                <w:sz w:val="24"/>
                <w:szCs w:val="24"/>
                <w:highlight w:val="none"/>
              </w:rPr>
            </w:pPr>
          </w:p>
        </w:tc>
      </w:tr>
    </w:tbl>
    <w:p w14:paraId="121CDD96">
      <w:pPr>
        <w:spacing w:line="380" w:lineRule="exact"/>
        <w:ind w:left="420" w:leftChars="114" w:hanging="181" w:hangingChars="100"/>
        <w:rPr>
          <w:rFonts w:ascii="宋体" w:hAnsi="Times New Roman" w:eastAsia="宋体" w:cs="Times New Roman"/>
          <w:b/>
          <w:bCs/>
          <w:color w:val="auto"/>
          <w:kern w:val="0"/>
          <w:sz w:val="18"/>
          <w:szCs w:val="24"/>
          <w:highlight w:val="none"/>
          <w:lang w:val="zh-CN"/>
        </w:rPr>
      </w:pPr>
      <w:r>
        <w:rPr>
          <w:rFonts w:hint="eastAsia" w:ascii="宋体" w:hAnsi="Times New Roman" w:eastAsia="宋体" w:cs="Times New Roman"/>
          <w:b/>
          <w:bCs/>
          <w:color w:val="auto"/>
          <w:kern w:val="0"/>
          <w:sz w:val="18"/>
          <w:szCs w:val="24"/>
          <w:highlight w:val="none"/>
          <w:lang w:val="zh-CN"/>
        </w:rPr>
        <w:t>注：投标人凭经招标人审批的退付意见书到保证金收取单位办理履约保证金退付事宜。</w:t>
      </w:r>
    </w:p>
    <w:p w14:paraId="2CC23142">
      <w:pPr>
        <w:snapToGrid w:val="0"/>
        <w:spacing w:before="120" w:after="120"/>
        <w:rPr>
          <w:rFonts w:ascii="宋体" w:hAnsi="宋体" w:eastAsia="宋体" w:cs="Times New Roman"/>
          <w:color w:val="auto"/>
          <w:kern w:val="0"/>
          <w:sz w:val="20"/>
          <w:szCs w:val="21"/>
          <w:highlight w:val="none"/>
          <w:lang w:val="zh-CN"/>
        </w:rPr>
      </w:pPr>
    </w:p>
    <w:p w14:paraId="73E554F1">
      <w:pPr>
        <w:snapToGrid w:val="0"/>
        <w:spacing w:before="120" w:after="120"/>
        <w:rPr>
          <w:rFonts w:ascii="宋体" w:hAnsi="宋体" w:eastAsia="宋体" w:cs="Times New Roman"/>
          <w:color w:val="auto"/>
          <w:kern w:val="0"/>
          <w:sz w:val="20"/>
          <w:szCs w:val="21"/>
          <w:highlight w:val="none"/>
          <w:lang w:val="zh-CN"/>
        </w:rPr>
      </w:pPr>
      <w:r>
        <w:rPr>
          <w:rFonts w:ascii="宋体" w:hAnsi="宋体" w:eastAsia="宋体" w:cs="Times New Roman"/>
          <w:color w:val="auto"/>
          <w:kern w:val="0"/>
          <w:sz w:val="20"/>
          <w:szCs w:val="21"/>
          <w:highlight w:val="none"/>
          <w:lang w:val="zh-CN"/>
        </w:rPr>
        <w:br w:type="page"/>
      </w:r>
    </w:p>
    <w:p w14:paraId="5351C33B">
      <w:pPr>
        <w:snapToGrid w:val="0"/>
        <w:spacing w:before="120" w:after="120"/>
        <w:rPr>
          <w:rFonts w:ascii="宋体" w:hAnsi="宋体" w:eastAsia="宋体" w:cs="Times New Roman"/>
          <w:color w:val="auto"/>
          <w:kern w:val="0"/>
          <w:sz w:val="20"/>
          <w:szCs w:val="21"/>
          <w:highlight w:val="none"/>
          <w:lang w:val="zh-CN"/>
        </w:rPr>
      </w:pPr>
    </w:p>
    <w:p w14:paraId="385D04B9">
      <w:pPr>
        <w:snapToGrid w:val="0"/>
        <w:spacing w:before="120" w:after="120"/>
        <w:rPr>
          <w:rFonts w:ascii="宋体" w:hAnsi="宋体" w:eastAsia="宋体" w:cs="Times New Roman"/>
          <w:color w:val="auto"/>
          <w:kern w:val="0"/>
          <w:sz w:val="20"/>
          <w:szCs w:val="21"/>
          <w:highlight w:val="none"/>
          <w:lang w:val="zh-CN"/>
        </w:rPr>
      </w:pPr>
    </w:p>
    <w:p w14:paraId="1615196E">
      <w:pPr>
        <w:snapToGrid w:val="0"/>
        <w:spacing w:before="120" w:after="120"/>
        <w:rPr>
          <w:rFonts w:ascii="宋体" w:hAnsi="宋体" w:eastAsia="宋体" w:cs="Times New Roman"/>
          <w:color w:val="auto"/>
          <w:kern w:val="0"/>
          <w:sz w:val="20"/>
          <w:szCs w:val="21"/>
          <w:highlight w:val="none"/>
          <w:lang w:val="zh-CN"/>
        </w:rPr>
      </w:pPr>
    </w:p>
    <w:p w14:paraId="4099621B">
      <w:pPr>
        <w:keepNext/>
        <w:keepLines/>
        <w:spacing w:before="340" w:after="330" w:line="578" w:lineRule="auto"/>
        <w:jc w:val="center"/>
        <w:outlineLvl w:val="0"/>
        <w:rPr>
          <w:rFonts w:ascii="Times New Roman" w:hAnsi="Times New Roman" w:eastAsia="宋体" w:cs="Times New Roman"/>
          <w:b/>
          <w:bCs/>
          <w:color w:val="auto"/>
          <w:kern w:val="44"/>
          <w:sz w:val="44"/>
          <w:szCs w:val="44"/>
          <w:highlight w:val="none"/>
          <w:lang w:val="zh-CN"/>
        </w:rPr>
      </w:pPr>
      <w:bookmarkStart w:id="132" w:name="_Toc254970689"/>
      <w:bookmarkStart w:id="133" w:name="_Toc74323514"/>
      <w:bookmarkStart w:id="134" w:name="_Toc254970548"/>
      <w:bookmarkStart w:id="135" w:name="_Toc330456896"/>
      <w:r>
        <w:rPr>
          <w:rFonts w:hint="eastAsia" w:ascii="Times New Roman" w:hAnsi="Times New Roman" w:eastAsia="宋体" w:cs="Times New Roman"/>
          <w:b/>
          <w:bCs/>
          <w:color w:val="auto"/>
          <w:kern w:val="44"/>
          <w:sz w:val="44"/>
          <w:szCs w:val="44"/>
          <w:highlight w:val="none"/>
          <w:lang w:val="zh-CN"/>
        </w:rPr>
        <w:t>第四章  评标方法及评标标准</w:t>
      </w:r>
      <w:bookmarkEnd w:id="132"/>
      <w:bookmarkEnd w:id="133"/>
      <w:bookmarkEnd w:id="134"/>
      <w:bookmarkEnd w:id="135"/>
    </w:p>
    <w:p w14:paraId="234DF62C">
      <w:pPr>
        <w:rPr>
          <w:rFonts w:ascii="Times New Roman" w:hAnsi="Times New Roman" w:eastAsia="宋体" w:cs="Times New Roman"/>
          <w:color w:val="auto"/>
          <w:szCs w:val="24"/>
          <w:highlight w:val="none"/>
        </w:rPr>
      </w:pPr>
      <w:bookmarkStart w:id="136" w:name="_Toc254970690"/>
      <w:bookmarkStart w:id="137" w:name="_Toc254970549"/>
    </w:p>
    <w:bookmarkEnd w:id="136"/>
    <w:bookmarkEnd w:id="137"/>
    <w:p w14:paraId="7413C399">
      <w:pPr>
        <w:rPr>
          <w:rFonts w:ascii="Times New Roman" w:hAnsi="Times New Roman" w:eastAsia="宋体" w:cs="Times New Roman"/>
          <w:color w:val="auto"/>
          <w:szCs w:val="24"/>
          <w:highlight w:val="none"/>
        </w:rPr>
      </w:pPr>
    </w:p>
    <w:p w14:paraId="7C019799">
      <w:pPr>
        <w:rPr>
          <w:rFonts w:ascii="Times New Roman" w:hAnsi="Times New Roman" w:eastAsia="宋体" w:cs="Times New Roman"/>
          <w:color w:val="auto"/>
          <w:szCs w:val="24"/>
          <w:highlight w:val="none"/>
        </w:rPr>
      </w:pPr>
    </w:p>
    <w:p w14:paraId="1AEEE10C">
      <w:pPr>
        <w:rPr>
          <w:rFonts w:ascii="Times New Roman" w:hAnsi="Times New Roman" w:eastAsia="宋体" w:cs="Times New Roman"/>
          <w:color w:val="auto"/>
          <w:szCs w:val="24"/>
          <w:highlight w:val="none"/>
        </w:rPr>
      </w:pPr>
    </w:p>
    <w:p w14:paraId="1ABB0AA4">
      <w:pPr>
        <w:rPr>
          <w:rFonts w:ascii="Times New Roman" w:hAnsi="Times New Roman" w:eastAsia="宋体" w:cs="Times New Roman"/>
          <w:color w:val="auto"/>
          <w:szCs w:val="24"/>
          <w:highlight w:val="none"/>
        </w:rPr>
      </w:pPr>
    </w:p>
    <w:p w14:paraId="4F72A7D5">
      <w:pPr>
        <w:rPr>
          <w:rFonts w:ascii="Times New Roman" w:hAnsi="Times New Roman" w:eastAsia="宋体" w:cs="Times New Roman"/>
          <w:color w:val="auto"/>
          <w:szCs w:val="24"/>
          <w:highlight w:val="none"/>
        </w:rPr>
      </w:pPr>
    </w:p>
    <w:p w14:paraId="650345F7">
      <w:pPr>
        <w:rPr>
          <w:rFonts w:ascii="Times New Roman" w:hAnsi="Times New Roman" w:eastAsia="宋体" w:cs="Times New Roman"/>
          <w:color w:val="auto"/>
          <w:szCs w:val="24"/>
          <w:highlight w:val="none"/>
        </w:rPr>
      </w:pPr>
    </w:p>
    <w:p w14:paraId="19FD1FDD">
      <w:pPr>
        <w:rPr>
          <w:rFonts w:ascii="Times New Roman" w:hAnsi="Times New Roman" w:eastAsia="宋体" w:cs="Times New Roman"/>
          <w:color w:val="auto"/>
          <w:szCs w:val="24"/>
          <w:highlight w:val="none"/>
        </w:rPr>
      </w:pPr>
    </w:p>
    <w:p w14:paraId="0AD26E28">
      <w:pPr>
        <w:rPr>
          <w:rFonts w:ascii="Times New Roman" w:hAnsi="Times New Roman" w:eastAsia="宋体" w:cs="Times New Roman"/>
          <w:color w:val="auto"/>
          <w:szCs w:val="24"/>
          <w:highlight w:val="none"/>
        </w:rPr>
      </w:pPr>
    </w:p>
    <w:p w14:paraId="0AE68573">
      <w:pPr>
        <w:spacing w:before="120" w:beforeLines="50" w:after="120" w:afterLines="50" w:line="400" w:lineRule="exact"/>
        <w:rPr>
          <w:rFonts w:ascii="宋体" w:hAnsi="宋体" w:eastAsia="宋体" w:cs="Times New Roman"/>
          <w:b/>
          <w:color w:val="auto"/>
          <w:sz w:val="24"/>
          <w:szCs w:val="24"/>
          <w:highlight w:val="none"/>
        </w:rPr>
      </w:pPr>
    </w:p>
    <w:p w14:paraId="23A0D472">
      <w:pPr>
        <w:spacing w:before="120" w:beforeLines="50" w:after="120" w:afterLines="50" w:line="400" w:lineRule="exact"/>
        <w:rPr>
          <w:rFonts w:ascii="宋体" w:hAnsi="宋体" w:eastAsia="宋体" w:cs="Times New Roman"/>
          <w:b/>
          <w:color w:val="auto"/>
          <w:sz w:val="24"/>
          <w:szCs w:val="24"/>
          <w:highlight w:val="none"/>
        </w:rPr>
      </w:pPr>
    </w:p>
    <w:p w14:paraId="52E05384">
      <w:pPr>
        <w:spacing w:line="360" w:lineRule="exact"/>
        <w:rPr>
          <w:rFonts w:ascii="宋体" w:hAnsi="宋体" w:eastAsia="宋体" w:cs="Times New Roman"/>
          <w:b/>
          <w:color w:val="auto"/>
          <w:kern w:val="0"/>
          <w:sz w:val="24"/>
          <w:szCs w:val="21"/>
          <w:highlight w:val="none"/>
          <w:lang w:val="zh-CN"/>
        </w:rPr>
      </w:pPr>
    </w:p>
    <w:p w14:paraId="181E226F">
      <w:pPr>
        <w:spacing w:line="360" w:lineRule="exact"/>
        <w:rPr>
          <w:rFonts w:ascii="宋体" w:hAnsi="宋体" w:eastAsia="宋体" w:cs="Times New Roman"/>
          <w:b/>
          <w:color w:val="auto"/>
          <w:kern w:val="0"/>
          <w:sz w:val="24"/>
          <w:szCs w:val="21"/>
          <w:highlight w:val="none"/>
          <w:lang w:val="zh-CN"/>
        </w:rPr>
      </w:pPr>
    </w:p>
    <w:p w14:paraId="23774376">
      <w:pPr>
        <w:spacing w:line="360" w:lineRule="exact"/>
        <w:rPr>
          <w:rFonts w:ascii="宋体" w:hAnsi="宋体" w:eastAsia="宋体" w:cs="Times New Roman"/>
          <w:b/>
          <w:color w:val="auto"/>
          <w:kern w:val="0"/>
          <w:sz w:val="24"/>
          <w:szCs w:val="21"/>
          <w:highlight w:val="none"/>
          <w:lang w:val="zh-CN"/>
        </w:rPr>
      </w:pPr>
    </w:p>
    <w:p w14:paraId="4CF6C32D">
      <w:pPr>
        <w:spacing w:line="360" w:lineRule="exact"/>
        <w:rPr>
          <w:rFonts w:ascii="宋体" w:hAnsi="宋体" w:eastAsia="宋体" w:cs="Times New Roman"/>
          <w:b/>
          <w:color w:val="auto"/>
          <w:kern w:val="0"/>
          <w:sz w:val="24"/>
          <w:szCs w:val="21"/>
          <w:highlight w:val="none"/>
          <w:lang w:val="zh-CN"/>
        </w:rPr>
      </w:pPr>
    </w:p>
    <w:p w14:paraId="7EC7106E">
      <w:pPr>
        <w:spacing w:line="360" w:lineRule="exact"/>
        <w:rPr>
          <w:rFonts w:ascii="宋体" w:hAnsi="宋体" w:eastAsia="宋体" w:cs="Times New Roman"/>
          <w:b/>
          <w:color w:val="auto"/>
          <w:kern w:val="0"/>
          <w:sz w:val="24"/>
          <w:szCs w:val="21"/>
          <w:highlight w:val="none"/>
          <w:lang w:val="zh-CN"/>
        </w:rPr>
      </w:pPr>
    </w:p>
    <w:p w14:paraId="58D556C7">
      <w:pPr>
        <w:spacing w:line="360" w:lineRule="exact"/>
        <w:rPr>
          <w:rFonts w:ascii="宋体" w:hAnsi="宋体" w:eastAsia="宋体" w:cs="Times New Roman"/>
          <w:b/>
          <w:color w:val="auto"/>
          <w:kern w:val="0"/>
          <w:sz w:val="24"/>
          <w:szCs w:val="21"/>
          <w:highlight w:val="none"/>
          <w:lang w:val="zh-CN"/>
        </w:rPr>
      </w:pPr>
    </w:p>
    <w:p w14:paraId="3CBF0163">
      <w:pPr>
        <w:spacing w:line="360" w:lineRule="exact"/>
        <w:rPr>
          <w:rFonts w:ascii="宋体" w:hAnsi="宋体" w:eastAsia="宋体" w:cs="Times New Roman"/>
          <w:bCs/>
          <w:color w:val="auto"/>
          <w:kern w:val="0"/>
          <w:sz w:val="20"/>
          <w:szCs w:val="21"/>
          <w:highlight w:val="none"/>
          <w:lang w:val="zh-CN"/>
        </w:rPr>
      </w:pPr>
      <w:r>
        <w:rPr>
          <w:rFonts w:ascii="宋体" w:hAnsi="宋体" w:eastAsia="宋体" w:cs="Times New Roman"/>
          <w:bCs/>
          <w:color w:val="auto"/>
          <w:kern w:val="0"/>
          <w:sz w:val="20"/>
          <w:szCs w:val="21"/>
          <w:highlight w:val="none"/>
          <w:lang w:val="zh-CN"/>
        </w:rPr>
        <w:t xml:space="preserve"> </w:t>
      </w:r>
    </w:p>
    <w:p w14:paraId="113D7400">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r>
        <w:rPr>
          <w:rFonts w:ascii="Times New Roman" w:hAnsi="Times New Roman" w:eastAsia="宋体" w:cs="Times New Roman"/>
          <w:b/>
          <w:bCs/>
          <w:color w:val="auto"/>
          <w:kern w:val="0"/>
          <w:sz w:val="32"/>
          <w:szCs w:val="32"/>
          <w:highlight w:val="none"/>
          <w:lang w:val="zh-CN"/>
        </w:rPr>
        <w:br w:type="page"/>
      </w:r>
      <w:r>
        <w:rPr>
          <w:rFonts w:hint="eastAsia" w:ascii="Times New Roman" w:hAnsi="Times New Roman" w:eastAsia="宋体" w:cs="Times New Roman"/>
          <w:b/>
          <w:bCs/>
          <w:color w:val="auto"/>
          <w:kern w:val="0"/>
          <w:sz w:val="32"/>
          <w:szCs w:val="32"/>
          <w:highlight w:val="none"/>
          <w:lang w:val="zh-CN"/>
        </w:rPr>
        <w:t>一、评标方法</w:t>
      </w:r>
    </w:p>
    <w:p w14:paraId="2B9A8658">
      <w:pPr>
        <w:spacing w:line="360" w:lineRule="auto"/>
        <w:ind w:firstLine="42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综合评分法，是指投标文件满足招标文件全部实质性要求，且按照评审因素的量化指标评审得分最高的投标人为中标候选人的评标方法。</w:t>
      </w:r>
    </w:p>
    <w:p w14:paraId="69006A4E">
      <w:pPr>
        <w:spacing w:line="360" w:lineRule="auto"/>
        <w:ind w:firstLine="42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最低评标报价法，是指投标文件满足招标文件全部实质性要求，且投标报价最低的投标人为中标候选人的评标方法。</w:t>
      </w:r>
    </w:p>
    <w:p w14:paraId="3E9C66B1">
      <w:pPr>
        <w:spacing w:before="260" w:after="260" w:line="416" w:lineRule="auto"/>
        <w:jc w:val="center"/>
        <w:outlineLvl w:val="2"/>
        <w:rPr>
          <w:rFonts w:ascii="Times New Roman" w:hAnsi="Times New Roman" w:eastAsia="宋体" w:cs="Times New Roman"/>
          <w:b/>
          <w:bCs/>
          <w:color w:val="auto"/>
          <w:kern w:val="0"/>
          <w:sz w:val="32"/>
          <w:szCs w:val="32"/>
          <w:highlight w:val="none"/>
          <w:lang w:val="zh-CN"/>
        </w:rPr>
      </w:pPr>
      <w:r>
        <w:rPr>
          <w:rFonts w:hint="eastAsia" w:ascii="Times New Roman" w:hAnsi="Times New Roman" w:eastAsia="宋体" w:cs="Times New Roman"/>
          <w:b/>
          <w:bCs/>
          <w:color w:val="auto"/>
          <w:kern w:val="0"/>
          <w:sz w:val="32"/>
          <w:szCs w:val="32"/>
          <w:highlight w:val="none"/>
          <w:lang w:val="zh-CN"/>
        </w:rPr>
        <w:t>二、评标程序</w:t>
      </w:r>
    </w:p>
    <w:p w14:paraId="57C4E7AF">
      <w:pPr>
        <w:numPr>
          <w:ilvl w:val="4"/>
          <w:numId w:val="0"/>
        </w:numPr>
        <w:spacing w:line="360" w:lineRule="auto"/>
        <w:ind w:left="420" w:leftChars="200"/>
        <w:outlineLvl w:val="4"/>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1.符合性审查</w:t>
      </w:r>
    </w:p>
    <w:p w14:paraId="3C05EBDA">
      <w:pPr>
        <w:snapToGrid w:val="0"/>
        <w:spacing w:line="360" w:lineRule="auto"/>
        <w:ind w:left="1" w:firstLine="420"/>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评标委员会应当对符合资格的投标人的投标文件进行投标报价、商务、技术等实质性内容符合性审查，以确定其是否满足招标文件的实质性要求。</w:t>
      </w:r>
    </w:p>
    <w:p w14:paraId="1F4922C6">
      <w:pPr>
        <w:numPr>
          <w:ilvl w:val="4"/>
          <w:numId w:val="0"/>
        </w:numPr>
        <w:spacing w:line="360" w:lineRule="auto"/>
        <w:ind w:left="420" w:leftChars="200"/>
        <w:outlineLvl w:val="4"/>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2</w:t>
      </w:r>
      <w:r>
        <w:rPr>
          <w:rFonts w:ascii="宋体" w:hAnsi="宋体" w:eastAsia="宋体" w:cs="Times New Roman"/>
          <w:b/>
          <w:color w:val="auto"/>
          <w:szCs w:val="21"/>
          <w:highlight w:val="none"/>
          <w:lang w:val="zh-CN"/>
        </w:rPr>
        <w:t>.</w:t>
      </w:r>
      <w:r>
        <w:rPr>
          <w:rFonts w:hint="eastAsia" w:ascii="宋体" w:hAnsi="宋体" w:eastAsia="宋体" w:cs="Times New Roman"/>
          <w:b/>
          <w:color w:val="auto"/>
          <w:szCs w:val="21"/>
          <w:highlight w:val="none"/>
          <w:lang w:val="zh-CN"/>
        </w:rPr>
        <w:t>符合性审查不通过而导致投标无效的情形</w:t>
      </w:r>
    </w:p>
    <w:p w14:paraId="68F00981">
      <w:p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投标人的投标文件中存在对招标文件的任何实质性要求和条件的负偏离，将被视为投标无效。</w:t>
      </w:r>
    </w:p>
    <w:p w14:paraId="763320A2">
      <w:pPr>
        <w:numPr>
          <w:ilvl w:val="4"/>
          <w:numId w:val="0"/>
        </w:numPr>
        <w:spacing w:line="360" w:lineRule="auto"/>
        <w:ind w:left="420" w:leftChars="200"/>
        <w:outlineLvl w:val="4"/>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2.1在报价评审时，如发现下列情形之一的，将被视为投标无效：</w:t>
      </w:r>
    </w:p>
    <w:p w14:paraId="77D086AD">
      <w:pPr>
        <w:numPr>
          <w:ilvl w:val="0"/>
          <w:numId w:val="7"/>
        </w:numPr>
        <w:spacing w:line="360" w:lineRule="auto"/>
        <w:ind w:firstLine="398" w:firstLineChars="200"/>
        <w:rPr>
          <w:rFonts w:ascii="宋体" w:hAnsi="宋体" w:eastAsia="宋体" w:cs="Times New Roman"/>
          <w:b/>
          <w:color w:val="auto"/>
          <w:spacing w:val="-6"/>
          <w:szCs w:val="21"/>
          <w:highlight w:val="none"/>
        </w:rPr>
      </w:pPr>
      <w:r>
        <w:rPr>
          <w:rFonts w:hint="eastAsia" w:ascii="宋体" w:hAnsi="宋体" w:eastAsia="宋体" w:cs="Times New Roman"/>
          <w:b/>
          <w:color w:val="auto"/>
          <w:spacing w:val="-6"/>
          <w:szCs w:val="21"/>
          <w:highlight w:val="none"/>
        </w:rPr>
        <w:t>投标文件未提供“投标人须知前附表”第</w:t>
      </w:r>
      <w:r>
        <w:rPr>
          <w:rFonts w:ascii="宋体" w:hAnsi="宋体" w:eastAsia="宋体" w:cs="Times New Roman"/>
          <w:b/>
          <w:color w:val="auto"/>
          <w:spacing w:val="-6"/>
          <w:szCs w:val="21"/>
          <w:highlight w:val="none"/>
        </w:rPr>
        <w:t>8</w:t>
      </w:r>
      <w:r>
        <w:rPr>
          <w:rFonts w:hint="eastAsia" w:ascii="宋体" w:hAnsi="宋体" w:eastAsia="宋体" w:cs="Times New Roman"/>
          <w:b/>
          <w:color w:val="auto"/>
          <w:spacing w:val="-6"/>
          <w:szCs w:val="21"/>
          <w:highlight w:val="none"/>
        </w:rPr>
        <w:t>条规定中“必须提供”的文件资料的;</w:t>
      </w:r>
    </w:p>
    <w:p w14:paraId="0A99896A">
      <w:pPr>
        <w:numPr>
          <w:ilvl w:val="0"/>
          <w:numId w:val="7"/>
        </w:numPr>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未采用人民币报价或者未按照招标文件标明的币种报价的；</w:t>
      </w:r>
    </w:p>
    <w:p w14:paraId="5BBDA223">
      <w:pPr>
        <w:numPr>
          <w:ilvl w:val="0"/>
          <w:numId w:val="7"/>
        </w:numPr>
        <w:spacing w:line="360" w:lineRule="auto"/>
        <w:ind w:left="-2" w:firstLine="422"/>
        <w:rPr>
          <w:rFonts w:ascii="宋体" w:hAnsi="宋体" w:eastAsia="宋体" w:cs="Times New Roman"/>
          <w:b/>
          <w:color w:val="auto"/>
          <w:spacing w:val="-6"/>
          <w:szCs w:val="21"/>
          <w:highlight w:val="none"/>
        </w:rPr>
      </w:pPr>
      <w:r>
        <w:rPr>
          <w:rFonts w:hint="eastAsia" w:ascii="宋体" w:hAnsi="宋体" w:eastAsia="宋体" w:cs="Times New Roman"/>
          <w:b/>
          <w:color w:val="auto"/>
          <w:spacing w:val="-6"/>
          <w:szCs w:val="21"/>
          <w:highlight w:val="none"/>
        </w:rPr>
        <w:t>报价超出招标文件相应规定最高限价，或者超出相应采购预算金额的；</w:t>
      </w:r>
    </w:p>
    <w:p w14:paraId="695F48D6">
      <w:pPr>
        <w:numPr>
          <w:ilvl w:val="0"/>
          <w:numId w:val="7"/>
        </w:numPr>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投标人未就所投</w:t>
      </w:r>
      <w:r>
        <w:rPr>
          <w:rFonts w:hint="eastAsia" w:ascii="宋体" w:hAnsi="宋体" w:eastAsia="宋体" w:cs="Times New Roman"/>
          <w:b/>
          <w:color w:val="auto"/>
          <w:szCs w:val="21"/>
          <w:highlight w:val="none"/>
          <w:lang w:val="en-US" w:eastAsia="zh-CN"/>
        </w:rPr>
        <w:t>内容</w:t>
      </w:r>
      <w:r>
        <w:rPr>
          <w:rFonts w:hint="eastAsia" w:ascii="宋体" w:hAnsi="宋体" w:eastAsia="宋体" w:cs="Times New Roman"/>
          <w:b/>
          <w:color w:val="auto"/>
          <w:szCs w:val="21"/>
          <w:highlight w:val="none"/>
        </w:rPr>
        <w:t>进行报价或者存在漏项报价；投标人未就所投的单项内容作唯一报价；投标人未就所投全部内容作唯一总价报价；存在有选择、有条件报价的（招标文件允许有备选方案或者其他约定的除外）；</w:t>
      </w:r>
    </w:p>
    <w:p w14:paraId="793AEE98">
      <w:pPr>
        <w:numPr>
          <w:ilvl w:val="0"/>
          <w:numId w:val="7"/>
        </w:numPr>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修正后的报价，投标人不确认的；</w:t>
      </w:r>
    </w:p>
    <w:p w14:paraId="1FAA976C">
      <w:pPr>
        <w:numPr>
          <w:ilvl w:val="0"/>
          <w:numId w:val="7"/>
        </w:numPr>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投标人属于本章第</w:t>
      </w:r>
      <w:r>
        <w:rPr>
          <w:rFonts w:ascii="宋体" w:hAnsi="宋体" w:eastAsia="宋体" w:cs="Times New Roman"/>
          <w:b/>
          <w:color w:val="auto"/>
          <w:szCs w:val="21"/>
          <w:highlight w:val="none"/>
        </w:rPr>
        <w:t>5</w:t>
      </w:r>
      <w:r>
        <w:rPr>
          <w:rFonts w:hint="eastAsia" w:ascii="宋体" w:hAnsi="宋体" w:eastAsia="宋体" w:cs="Times New Roman"/>
          <w:b/>
          <w:color w:val="auto"/>
          <w:szCs w:val="21"/>
          <w:highlight w:val="none"/>
        </w:rPr>
        <w:t>条第（2）项情形的。</w:t>
      </w:r>
    </w:p>
    <w:p w14:paraId="1570DC91">
      <w:pPr>
        <w:numPr>
          <w:ilvl w:val="0"/>
          <w:numId w:val="7"/>
        </w:numPr>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投标文件响应的标的数量及单位与招标文件要求实质性不一致的。</w:t>
      </w:r>
    </w:p>
    <w:p w14:paraId="0F1C4AFB">
      <w:pPr>
        <w:numPr>
          <w:ilvl w:val="4"/>
          <w:numId w:val="0"/>
        </w:numPr>
        <w:spacing w:line="360" w:lineRule="auto"/>
        <w:ind w:left="420" w:leftChars="200"/>
        <w:outlineLvl w:val="4"/>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2.2在商务评审时，如发现下列情形之一的，将被视为投标无效：</w:t>
      </w:r>
    </w:p>
    <w:p w14:paraId="639880BB">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投标文件未按招标文件要求签署、盖章的；</w:t>
      </w:r>
    </w:p>
    <w:p w14:paraId="19842102">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 xml:space="preserve">委托代理人未能出具有效身份证明或者出具的身份证明与授权委托书中的信息不符的； </w:t>
      </w:r>
    </w:p>
    <w:p w14:paraId="4BF940EE">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为无效投标保证金的或者未按照招标文件的规定提交投标保证金的；</w:t>
      </w:r>
    </w:p>
    <w:p w14:paraId="493F6575">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投标文件未提供“投标人须知前附表”第</w:t>
      </w:r>
      <w:r>
        <w:rPr>
          <w:rFonts w:ascii="宋体" w:hAnsi="宋体" w:eastAsia="宋体" w:cs="Times New Roman"/>
          <w:b/>
          <w:color w:val="auto"/>
          <w:szCs w:val="21"/>
          <w:highlight w:val="none"/>
        </w:rPr>
        <w:t>8</w:t>
      </w:r>
      <w:r>
        <w:rPr>
          <w:rFonts w:hint="eastAsia" w:ascii="宋体" w:hAnsi="宋体" w:eastAsia="宋体" w:cs="Times New Roman"/>
          <w:b/>
          <w:color w:val="auto"/>
          <w:szCs w:val="21"/>
          <w:highlight w:val="none"/>
        </w:rPr>
        <w:t>条规定中“必须提供”或者“委托时必须提供”的文件资料的;</w:t>
      </w:r>
    </w:p>
    <w:p w14:paraId="2C5C2624">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商务条款评审允许负偏离的条款数超过“投标人须知前附表”规定项数的。</w:t>
      </w:r>
    </w:p>
    <w:p w14:paraId="561C5EAB">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投标文件的实质性内容未使用中文表述、使用计量单位不符合招标文件要求的；</w:t>
      </w:r>
    </w:p>
    <w:p w14:paraId="1E96D218">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投标文件中的文件资料因填写不齐全或者内容虚假或者出现其他情形而导致被评标委员会认定无效的；</w:t>
      </w:r>
    </w:p>
    <w:p w14:paraId="353BA4E7">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投标文件含有招标人不能接受的附加条件的；</w:t>
      </w:r>
    </w:p>
    <w:p w14:paraId="6CA3B8E8">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属于投标人须知正文第</w:t>
      </w:r>
      <w:r>
        <w:rPr>
          <w:rFonts w:ascii="宋体" w:hAnsi="宋体" w:eastAsia="宋体" w:cs="Times New Roman"/>
          <w:b/>
          <w:color w:val="auto"/>
          <w:szCs w:val="21"/>
          <w:highlight w:val="none"/>
        </w:rPr>
        <w:t>9.2</w:t>
      </w:r>
      <w:r>
        <w:rPr>
          <w:rFonts w:hint="eastAsia" w:ascii="宋体" w:hAnsi="宋体" w:eastAsia="宋体" w:cs="Times New Roman"/>
          <w:b/>
          <w:color w:val="auto"/>
          <w:szCs w:val="21"/>
          <w:highlight w:val="none"/>
        </w:rPr>
        <w:t>条情形的；</w:t>
      </w:r>
    </w:p>
    <w:p w14:paraId="1998E88F">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投标文件标注的项目名称或者项目编号与招标文件标注的项目名称或者项目编号不一致的；</w:t>
      </w:r>
    </w:p>
    <w:p w14:paraId="4FEF6372">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未响应招标文件实质性要求的；</w:t>
      </w:r>
    </w:p>
    <w:p w14:paraId="3733C035">
      <w:pPr>
        <w:numPr>
          <w:ilvl w:val="0"/>
          <w:numId w:val="8"/>
        </w:numPr>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法律、法规和招标文件规定的其他无效情形。</w:t>
      </w:r>
    </w:p>
    <w:p w14:paraId="35C3328A">
      <w:pPr>
        <w:numPr>
          <w:ilvl w:val="4"/>
          <w:numId w:val="0"/>
        </w:numPr>
        <w:spacing w:line="360" w:lineRule="auto"/>
        <w:ind w:left="420" w:leftChars="200"/>
        <w:outlineLvl w:val="4"/>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2.3在技术评审时，如发现下列情形之一的，将被视为投标无效：</w:t>
      </w:r>
    </w:p>
    <w:p w14:paraId="76F1FB0C">
      <w:pPr>
        <w:snapToGrid w:val="0"/>
        <w:spacing w:line="360" w:lineRule="auto"/>
        <w:ind w:firstLine="413" w:firstLineChars="196"/>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（1）明显不满足招标文件要求的服务内容、技术要求、安全、质量标准；</w:t>
      </w:r>
    </w:p>
    <w:p w14:paraId="39A5E804">
      <w:pPr>
        <w:snapToGrid w:val="0"/>
        <w:spacing w:line="360" w:lineRule="auto"/>
        <w:ind w:firstLine="413" w:firstLineChars="196"/>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（2）服务需求评审允许负偏离的条款数超过“投标人须知前附表”规定项数的；</w:t>
      </w:r>
    </w:p>
    <w:p w14:paraId="2E318D48">
      <w:pPr>
        <w:snapToGrid w:val="0"/>
        <w:spacing w:line="360" w:lineRule="auto"/>
        <w:ind w:firstLine="413" w:firstLineChars="196"/>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（3）投标文件未提供“投标人须知前附表”第</w:t>
      </w:r>
      <w:r>
        <w:rPr>
          <w:rFonts w:ascii="宋体" w:hAnsi="宋体" w:eastAsia="宋体" w:cs="Times New Roman"/>
          <w:b/>
          <w:color w:val="auto"/>
          <w:szCs w:val="21"/>
          <w:highlight w:val="none"/>
          <w:lang w:val="zh-CN"/>
        </w:rPr>
        <w:t>8</w:t>
      </w:r>
      <w:r>
        <w:rPr>
          <w:rFonts w:hint="eastAsia" w:ascii="宋体" w:hAnsi="宋体" w:eastAsia="宋体" w:cs="Times New Roman"/>
          <w:b/>
          <w:color w:val="auto"/>
          <w:szCs w:val="21"/>
          <w:highlight w:val="none"/>
          <w:lang w:val="zh-CN"/>
        </w:rPr>
        <w:t>条规定中“必须提供”的文件资料的;</w:t>
      </w:r>
    </w:p>
    <w:p w14:paraId="6BF53E4A">
      <w:pPr>
        <w:snapToGrid w:val="0"/>
        <w:spacing w:line="360" w:lineRule="auto"/>
        <w:ind w:firstLine="413" w:firstLineChars="196"/>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（4）虚假投标，或者出现其他情形而导致被评标委员会认定无效的；</w:t>
      </w:r>
    </w:p>
    <w:p w14:paraId="75CC0E6A">
      <w:pPr>
        <w:snapToGrid w:val="0"/>
        <w:spacing w:line="360" w:lineRule="auto"/>
        <w:ind w:firstLine="413" w:firstLineChars="196"/>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（5）</w:t>
      </w:r>
      <w:bookmarkStart w:id="138" w:name="_Hlk71706244"/>
      <w:r>
        <w:rPr>
          <w:rFonts w:hint="eastAsia" w:ascii="宋体" w:hAnsi="宋体" w:eastAsia="宋体" w:cs="Times New Roman"/>
          <w:b/>
          <w:color w:val="auto"/>
          <w:szCs w:val="21"/>
          <w:highlight w:val="none"/>
          <w:lang w:val="zh-CN"/>
        </w:rPr>
        <w:t>招标文件未载明允许提供备选（替代）投标方案或明确不允许提供备选（替代）投标方案时，投标人提供了备选（替代）投标方案的；</w:t>
      </w:r>
      <w:bookmarkEnd w:id="138"/>
    </w:p>
    <w:p w14:paraId="53168C6B">
      <w:pPr>
        <w:snapToGrid w:val="0"/>
        <w:spacing w:line="360" w:lineRule="auto"/>
        <w:ind w:firstLine="413" w:firstLineChars="196"/>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（6）未响应招标文件实质性要求的。</w:t>
      </w:r>
    </w:p>
    <w:p w14:paraId="593DCB45">
      <w:pPr>
        <w:numPr>
          <w:ilvl w:val="4"/>
          <w:numId w:val="0"/>
        </w:numPr>
        <w:spacing w:line="360" w:lineRule="auto"/>
        <w:ind w:left="420" w:leftChars="200"/>
        <w:outlineLvl w:val="4"/>
        <w:rPr>
          <w:rFonts w:ascii="宋体" w:hAnsi="宋体" w:eastAsia="宋体" w:cs="Times New Roman"/>
          <w:b/>
          <w:color w:val="auto"/>
          <w:szCs w:val="21"/>
          <w:highlight w:val="none"/>
          <w:lang w:val="zh-CN"/>
        </w:rPr>
      </w:pPr>
      <w:r>
        <w:rPr>
          <w:rFonts w:hint="eastAsia" w:ascii="宋体" w:hAnsi="宋体" w:eastAsia="宋体" w:cs="Times New Roman"/>
          <w:b/>
          <w:color w:val="auto"/>
          <w:szCs w:val="21"/>
          <w:highlight w:val="none"/>
          <w:lang w:val="zh-CN"/>
        </w:rPr>
        <w:t>3</w:t>
      </w:r>
      <w:r>
        <w:rPr>
          <w:rFonts w:ascii="宋体" w:hAnsi="宋体" w:eastAsia="宋体" w:cs="Times New Roman"/>
          <w:b/>
          <w:color w:val="auto"/>
          <w:szCs w:val="21"/>
          <w:highlight w:val="none"/>
          <w:lang w:val="zh-CN"/>
        </w:rPr>
        <w:t>.</w:t>
      </w:r>
      <w:r>
        <w:rPr>
          <w:rFonts w:hint="eastAsia" w:ascii="宋体" w:hAnsi="宋体" w:eastAsia="宋体" w:cs="Times New Roman"/>
          <w:b/>
          <w:color w:val="auto"/>
          <w:szCs w:val="21"/>
          <w:highlight w:val="none"/>
          <w:lang w:val="zh-CN"/>
        </w:rPr>
        <w:t>澄清补正</w:t>
      </w:r>
    </w:p>
    <w:p w14:paraId="2930E1F2">
      <w:pPr>
        <w:snapToGrid w:val="0"/>
        <w:spacing w:line="360" w:lineRule="auto"/>
        <w:ind w:firstLine="420" w:firstLineChars="200"/>
        <w:rPr>
          <w:rFonts w:ascii="宋体" w:hAnsi="宋体" w:eastAsia="宋体" w:cs="Courier New"/>
          <w:color w:val="auto"/>
          <w:szCs w:val="21"/>
          <w:highlight w:val="none"/>
        </w:rPr>
      </w:pPr>
      <w:r>
        <w:rPr>
          <w:rFonts w:hint="eastAsia" w:ascii="宋体" w:hAnsi="宋体" w:eastAsia="宋体" w:cs="Courier New"/>
          <w:color w:val="auto"/>
          <w:szCs w:val="21"/>
          <w:highlight w:val="none"/>
        </w:rPr>
        <w:t>对投标文件中含义不明确、同类问题表述不一致或者有明显文字和计算错误的内容，评标委员会以书面形式要求投标人在规定时间内作出必要的澄清、说明或者纠正。投标人的澄清、说明或者补正必须采用书面形式，并加盖公章，或者由法定代表人或者其授权的代表签字。投标人的澄清、说明或者补正不得超出投标文件的范围或者改变投标文件的实质性内容。</w:t>
      </w:r>
    </w:p>
    <w:p w14:paraId="2C153BCC">
      <w:pPr>
        <w:numPr>
          <w:ilvl w:val="4"/>
          <w:numId w:val="0"/>
        </w:numPr>
        <w:spacing w:line="360" w:lineRule="auto"/>
        <w:ind w:left="420" w:leftChars="200"/>
        <w:outlineLvl w:val="4"/>
        <w:rPr>
          <w:rFonts w:ascii="宋体" w:hAnsi="宋体" w:eastAsia="宋体" w:cs="Times New Roman"/>
          <w:b/>
          <w:color w:val="auto"/>
          <w:szCs w:val="21"/>
          <w:highlight w:val="none"/>
          <w:lang w:val="zh-CN"/>
        </w:rPr>
      </w:pPr>
      <w:r>
        <w:rPr>
          <w:rFonts w:ascii="宋体" w:hAnsi="宋体" w:eastAsia="宋体" w:cs="Times New Roman"/>
          <w:b/>
          <w:color w:val="auto"/>
          <w:szCs w:val="21"/>
          <w:highlight w:val="none"/>
          <w:lang w:val="zh-CN"/>
        </w:rPr>
        <w:t>4.</w:t>
      </w:r>
      <w:r>
        <w:rPr>
          <w:rFonts w:hint="eastAsia" w:ascii="宋体" w:hAnsi="宋体" w:eastAsia="宋体" w:cs="Times New Roman"/>
          <w:b/>
          <w:color w:val="auto"/>
          <w:szCs w:val="21"/>
          <w:highlight w:val="none"/>
          <w:lang w:val="zh-CN"/>
        </w:rPr>
        <w:t>投标文件修正</w:t>
      </w:r>
    </w:p>
    <w:p w14:paraId="0955D866">
      <w:pPr>
        <w:numPr>
          <w:ilvl w:val="4"/>
          <w:numId w:val="0"/>
        </w:numPr>
        <w:spacing w:line="360" w:lineRule="auto"/>
        <w:ind w:left="420" w:leftChars="200"/>
        <w:outlineLvl w:val="4"/>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4</w:t>
      </w:r>
      <w:r>
        <w:rPr>
          <w:rFonts w:hint="eastAsia" w:ascii="宋体" w:hAnsi="宋体" w:eastAsia="宋体" w:cs="Times New Roman"/>
          <w:color w:val="auto"/>
          <w:szCs w:val="21"/>
          <w:highlight w:val="none"/>
          <w:lang w:val="zh-CN"/>
        </w:rPr>
        <w:t xml:space="preserve">.1投标文件报价出现前后不一致的，按照下列规定修正： </w:t>
      </w:r>
    </w:p>
    <w:p w14:paraId="2F36F82B">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（1）投标文件中开标一览表（报价表）内容与投标文件中相应内容不一致的，以开标一览表（报价表）为准；</w:t>
      </w:r>
    </w:p>
    <w:p w14:paraId="7B5242D9">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（2）大写金额和小写金额不一致的，以大写金额为准；</w:t>
      </w:r>
    </w:p>
    <w:p w14:paraId="0BDFC5C2">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（3）单价金额小数点或者百分比有明显错位的，以开标一览表的总价为准，并修改单价；</w:t>
      </w:r>
    </w:p>
    <w:p w14:paraId="57CF2A56">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（4）总价金额与按单价汇总金额不一致的，以单价金额计算结果为准。</w:t>
      </w:r>
    </w:p>
    <w:p w14:paraId="6F73717D">
      <w:pPr>
        <w:snapToGrid w:val="0"/>
        <w:spacing w:line="360" w:lineRule="auto"/>
        <w:ind w:firstLine="420" w:firstLineChars="200"/>
        <w:rPr>
          <w:rFonts w:ascii="宋体" w:hAnsi="宋体" w:eastAsia="宋体" w:cs="Times New Roman"/>
          <w:color w:val="auto"/>
          <w:kern w:val="0"/>
          <w:szCs w:val="21"/>
          <w:highlight w:val="none"/>
          <w:lang w:val="zh-CN"/>
        </w:rPr>
      </w:pPr>
      <w:r>
        <w:rPr>
          <w:rFonts w:hint="eastAsia" w:ascii="宋体" w:hAnsi="宋体" w:eastAsia="宋体" w:cs="Times New Roman"/>
          <w:color w:val="auto"/>
          <w:kern w:val="0"/>
          <w:szCs w:val="21"/>
          <w:highlight w:val="none"/>
          <w:lang w:val="zh-CN"/>
        </w:rPr>
        <w:t>同时出现两种以上不一致的，按照以上（1）-（4）规定的顺序修正。修正后的报价经投标人确认后产生约束力，投标人不确认的，</w:t>
      </w:r>
      <w:r>
        <w:rPr>
          <w:rFonts w:hint="eastAsia" w:ascii="宋体" w:hAnsi="宋体" w:eastAsia="宋体" w:cs="Times New Roman"/>
          <w:b/>
          <w:color w:val="auto"/>
          <w:szCs w:val="21"/>
          <w:highlight w:val="none"/>
          <w:lang w:val="zh-CN"/>
        </w:rPr>
        <w:t>其投标无效</w:t>
      </w:r>
      <w:r>
        <w:rPr>
          <w:rFonts w:hint="eastAsia" w:ascii="宋体" w:hAnsi="宋体" w:eastAsia="宋体" w:cs="Times New Roman"/>
          <w:color w:val="auto"/>
          <w:kern w:val="0"/>
          <w:szCs w:val="21"/>
          <w:highlight w:val="none"/>
          <w:lang w:val="zh-CN"/>
        </w:rPr>
        <w:t>。</w:t>
      </w:r>
    </w:p>
    <w:p w14:paraId="4D176D3F">
      <w:pPr>
        <w:numPr>
          <w:ilvl w:val="4"/>
          <w:numId w:val="0"/>
        </w:numPr>
        <w:spacing w:line="360" w:lineRule="auto"/>
        <w:outlineLvl w:val="4"/>
        <w:rPr>
          <w:rFonts w:ascii="宋体" w:hAnsi="宋体" w:eastAsia="宋体" w:cs="Times New Roman"/>
          <w:color w:val="auto"/>
          <w:szCs w:val="21"/>
          <w:highlight w:val="none"/>
          <w:lang w:val="zh-CN"/>
        </w:rPr>
      </w:pPr>
      <w:r>
        <w:rPr>
          <w:rFonts w:ascii="宋体" w:hAnsi="宋体" w:eastAsia="宋体" w:cs="Times New Roman"/>
          <w:color w:val="auto"/>
          <w:szCs w:val="21"/>
          <w:highlight w:val="none"/>
          <w:lang w:val="zh-CN"/>
        </w:rPr>
        <w:t xml:space="preserve">    4</w:t>
      </w:r>
      <w:r>
        <w:rPr>
          <w:rFonts w:hint="eastAsia" w:ascii="宋体" w:hAnsi="宋体" w:eastAsia="宋体" w:cs="Times New Roman"/>
          <w:color w:val="auto"/>
          <w:szCs w:val="21"/>
          <w:highlight w:val="none"/>
          <w:lang w:val="zh-CN"/>
        </w:rPr>
        <w:t>.2经投标人确认修正后的报价若超过采购预算金额或者最高限价，</w:t>
      </w:r>
      <w:r>
        <w:rPr>
          <w:rFonts w:hint="eastAsia" w:ascii="Times New Roman" w:hAnsi="宋体" w:eastAsia="宋体" w:cs="Times New Roman"/>
          <w:b/>
          <w:color w:val="auto"/>
          <w:szCs w:val="24"/>
          <w:highlight w:val="none"/>
          <w:lang w:val="zh-CN"/>
        </w:rPr>
        <w:t>其投标无效</w:t>
      </w:r>
      <w:r>
        <w:rPr>
          <w:rFonts w:hint="eastAsia" w:ascii="宋体" w:hAnsi="宋体" w:eastAsia="宋体" w:cs="Times New Roman"/>
          <w:color w:val="auto"/>
          <w:szCs w:val="21"/>
          <w:highlight w:val="none"/>
          <w:lang w:val="zh-CN"/>
        </w:rPr>
        <w:t>。</w:t>
      </w:r>
    </w:p>
    <w:p w14:paraId="2A8529D8">
      <w:pPr>
        <w:snapToGrid w:val="0"/>
        <w:spacing w:line="360" w:lineRule="auto"/>
        <w:ind w:firstLine="420" w:firstLineChars="200"/>
        <w:rPr>
          <w:rFonts w:ascii="宋体" w:hAnsi="宋体" w:eastAsia="宋体" w:cs="Times New Roman"/>
          <w:color w:val="auto"/>
          <w:szCs w:val="21"/>
          <w:highlight w:val="none"/>
        </w:rPr>
      </w:pPr>
      <w:r>
        <w:rPr>
          <w:rFonts w:ascii="宋体" w:hAnsi="宋体" w:eastAsia="宋体" w:cs="Times New Roman"/>
          <w:color w:val="auto"/>
          <w:szCs w:val="21"/>
          <w:highlight w:val="none"/>
        </w:rPr>
        <w:t>4</w:t>
      </w:r>
      <w:r>
        <w:rPr>
          <w:rFonts w:hint="eastAsia" w:ascii="宋体" w:hAnsi="宋体" w:eastAsia="宋体" w:cs="Times New Roman"/>
          <w:color w:val="auto"/>
          <w:szCs w:val="21"/>
          <w:highlight w:val="none"/>
        </w:rPr>
        <w:t>.3经投标人确认修正后的报价作为签订合同的依据，并以此报价计算价格分。</w:t>
      </w:r>
    </w:p>
    <w:p w14:paraId="17B95E67">
      <w:pPr>
        <w:numPr>
          <w:ilvl w:val="4"/>
          <w:numId w:val="0"/>
        </w:numPr>
        <w:spacing w:line="360" w:lineRule="auto"/>
        <w:ind w:left="420" w:leftChars="200"/>
        <w:outlineLvl w:val="4"/>
        <w:rPr>
          <w:rFonts w:ascii="宋体" w:hAnsi="宋体" w:eastAsia="宋体" w:cs="Times New Roman"/>
          <w:b/>
          <w:color w:val="auto"/>
          <w:szCs w:val="21"/>
          <w:highlight w:val="none"/>
          <w:lang w:val="zh-CN"/>
        </w:rPr>
      </w:pPr>
      <w:r>
        <w:rPr>
          <w:rFonts w:ascii="宋体" w:hAnsi="宋体" w:eastAsia="宋体" w:cs="Times New Roman"/>
          <w:b/>
          <w:color w:val="auto"/>
          <w:szCs w:val="21"/>
          <w:highlight w:val="none"/>
          <w:lang w:val="zh-CN"/>
        </w:rPr>
        <w:t>5.</w:t>
      </w:r>
      <w:r>
        <w:rPr>
          <w:rFonts w:hint="eastAsia" w:ascii="宋体" w:hAnsi="宋体" w:eastAsia="宋体" w:cs="Times New Roman"/>
          <w:b/>
          <w:color w:val="auto"/>
          <w:szCs w:val="21"/>
          <w:highlight w:val="none"/>
          <w:lang w:val="zh-CN"/>
        </w:rPr>
        <w:t>比较与评价</w:t>
      </w:r>
    </w:p>
    <w:p w14:paraId="0728F5C6">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5.1采用综合评分法的</w:t>
      </w:r>
    </w:p>
    <w:p w14:paraId="4CF7FE21">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（1）评标委员会按照招标文件中规定的评标方法及评标标准，对符合性审查合格的投标文件进行商务和技术评估，综合比较与评价。</w:t>
      </w:r>
    </w:p>
    <w:p w14:paraId="6D0353DB">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（2）评标委员会独立对每个投标人的投标文件进行评价，并汇总每个投标人的得分。</w:t>
      </w:r>
    </w:p>
    <w:p w14:paraId="04F1324D">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380A552F">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（3）评标委员会按照招标文件中规定的评标方法和标准计算各投标人的报价得分。在计算过程中，不得去掉最高报价或者最低报价。</w:t>
      </w:r>
    </w:p>
    <w:p w14:paraId="5C32C220">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（4）各投标人的得分为所有评委的有效评分的算术平均数。</w:t>
      </w:r>
    </w:p>
    <w:p w14:paraId="3C0AAD1F">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（5）评标委员会按照招标文件中的规定推荐中标候选人。</w:t>
      </w:r>
    </w:p>
    <w:p w14:paraId="39E90247">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213AE795">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5.2采用</w:t>
      </w:r>
      <w:r>
        <w:rPr>
          <w:rFonts w:hint="eastAsia" w:ascii="Times New Roman" w:hAnsi="宋体" w:eastAsia="宋体" w:cs="Times New Roman"/>
          <w:color w:val="auto"/>
          <w:szCs w:val="24"/>
          <w:highlight w:val="none"/>
        </w:rPr>
        <w:t>最低评标报价法</w:t>
      </w:r>
      <w:r>
        <w:rPr>
          <w:rFonts w:hint="eastAsia" w:ascii="宋体" w:hAnsi="宋体" w:eastAsia="宋体" w:cs="Times New Roman"/>
          <w:color w:val="auto"/>
          <w:szCs w:val="21"/>
          <w:highlight w:val="none"/>
        </w:rPr>
        <w:t>的</w:t>
      </w:r>
    </w:p>
    <w:p w14:paraId="6249A77C">
      <w:pPr>
        <w:snapToGrid w:val="0"/>
        <w:spacing w:line="360" w:lineRule="auto"/>
        <w:ind w:firstLine="424" w:firstLineChars="202"/>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（1）评标委员会按照招标文件中规定的评标方法及评标标准，对符合性审查合格的投标文件报价进行比较。</w:t>
      </w:r>
    </w:p>
    <w:p w14:paraId="370F1E3F">
      <w:pPr>
        <w:snapToGrid w:val="0"/>
        <w:spacing w:line="360" w:lineRule="auto"/>
        <w:ind w:firstLine="424" w:firstLineChars="202"/>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72ABF832">
      <w:pPr>
        <w:snapToGrid w:val="0"/>
        <w:spacing w:line="360" w:lineRule="auto"/>
        <w:ind w:firstLine="424" w:firstLineChars="202"/>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（3）评标委员会按照招标文件中的规定推荐中标候选人。</w:t>
      </w:r>
    </w:p>
    <w:p w14:paraId="0C3568D7">
      <w:pPr>
        <w:snapToGrid w:val="0"/>
        <w:spacing w:line="360" w:lineRule="exact"/>
        <w:ind w:firstLine="424" w:firstLineChars="202"/>
        <w:jc w:val="center"/>
        <w:rPr>
          <w:rFonts w:ascii="Times New Roman" w:hAnsi="Times New Roman" w:eastAsia="宋体" w:cs="Times New Roman"/>
          <w:b/>
          <w:bCs/>
          <w:color w:val="auto"/>
          <w:sz w:val="32"/>
          <w:szCs w:val="32"/>
          <w:highlight w:val="none"/>
        </w:rPr>
      </w:pPr>
      <w:r>
        <w:rPr>
          <w:rFonts w:hint="eastAsia" w:ascii="宋体" w:hAnsi="宋体" w:eastAsia="宋体" w:cs="Times New Roman"/>
          <w:color w:val="auto"/>
          <w:szCs w:val="21"/>
          <w:highlight w:val="none"/>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r>
        <w:rPr>
          <w:rFonts w:ascii="Times New Roman" w:hAnsi="宋体" w:eastAsia="宋体" w:cs="Times New Roman"/>
          <w:color w:val="auto"/>
          <w:szCs w:val="24"/>
          <w:highlight w:val="none"/>
        </w:rPr>
        <w:br w:type="page"/>
      </w:r>
      <w:bookmarkStart w:id="139" w:name="_Hlk71707917"/>
      <w:r>
        <w:rPr>
          <w:rFonts w:hint="eastAsia" w:ascii="Times New Roman" w:hAnsi="Times New Roman" w:eastAsia="宋体" w:cs="Times New Roman"/>
          <w:b/>
          <w:bCs/>
          <w:color w:val="auto"/>
          <w:sz w:val="32"/>
          <w:szCs w:val="32"/>
          <w:highlight w:val="none"/>
        </w:rPr>
        <w:t>三、评标标准</w:t>
      </w:r>
    </w:p>
    <w:p w14:paraId="1CE1E4AD">
      <w:pPr>
        <w:spacing w:line="360" w:lineRule="exact"/>
        <w:ind w:firstLine="422" w:firstLineChars="200"/>
        <w:rPr>
          <w:rFonts w:ascii="宋体" w:hAnsi="宋体" w:eastAsia="宋体"/>
          <w:b/>
          <w:color w:val="auto"/>
          <w:szCs w:val="21"/>
          <w:highlight w:val="none"/>
        </w:rPr>
      </w:pPr>
      <w:bookmarkStart w:id="140" w:name="_Toc1552"/>
      <w:bookmarkStart w:id="141" w:name="_Toc433187409"/>
      <w:r>
        <w:rPr>
          <w:rFonts w:ascii="宋体" w:hAnsi="宋体" w:eastAsia="宋体"/>
          <w:b/>
          <w:color w:val="auto"/>
          <w:szCs w:val="21"/>
          <w:highlight w:val="none"/>
        </w:rPr>
        <w:t>一、评标原则</w:t>
      </w:r>
      <w:bookmarkEnd w:id="140"/>
      <w:bookmarkEnd w:id="141"/>
    </w:p>
    <w:p w14:paraId="7DFE67F4">
      <w:pPr>
        <w:pStyle w:val="21"/>
        <w:spacing w:line="360" w:lineRule="exact"/>
        <w:ind w:firstLine="420" w:firstLineChars="200"/>
        <w:rPr>
          <w:rFonts w:hAnsi="宋体"/>
          <w:bCs/>
          <w:color w:val="auto"/>
          <w:sz w:val="21"/>
          <w:highlight w:val="none"/>
        </w:rPr>
      </w:pPr>
      <w:r>
        <w:rPr>
          <w:rFonts w:hint="eastAsia" w:hAnsi="宋体"/>
          <w:bCs/>
          <w:color w:val="auto"/>
          <w:sz w:val="21"/>
          <w:highlight w:val="none"/>
        </w:rPr>
        <w:t>（</w:t>
      </w:r>
      <w:r>
        <w:rPr>
          <w:rFonts w:hAnsi="宋体"/>
          <w:bCs/>
          <w:color w:val="auto"/>
          <w:sz w:val="21"/>
          <w:highlight w:val="none"/>
        </w:rPr>
        <w:t>一</w:t>
      </w:r>
      <w:r>
        <w:rPr>
          <w:rFonts w:hint="eastAsia" w:hAnsi="宋体"/>
          <w:bCs/>
          <w:color w:val="auto"/>
          <w:sz w:val="21"/>
          <w:highlight w:val="none"/>
        </w:rPr>
        <w:t>）</w:t>
      </w:r>
      <w:r>
        <w:rPr>
          <w:rFonts w:hAnsi="宋体"/>
          <w:bCs/>
          <w:color w:val="auto"/>
          <w:sz w:val="21"/>
          <w:highlight w:val="none"/>
        </w:rPr>
        <w:t>评标依据：评委将以招标文件、投标文件为评标依据。</w:t>
      </w:r>
    </w:p>
    <w:p w14:paraId="4DFB0C51">
      <w:pPr>
        <w:pStyle w:val="21"/>
        <w:spacing w:line="360" w:lineRule="exact"/>
        <w:ind w:firstLine="420" w:firstLineChars="200"/>
        <w:rPr>
          <w:rFonts w:hAnsi="宋体"/>
          <w:bCs/>
          <w:color w:val="auto"/>
          <w:sz w:val="21"/>
          <w:highlight w:val="none"/>
        </w:rPr>
      </w:pPr>
      <w:r>
        <w:rPr>
          <w:rFonts w:hint="eastAsia" w:hAnsi="宋体"/>
          <w:bCs/>
          <w:color w:val="auto"/>
          <w:sz w:val="21"/>
          <w:highlight w:val="none"/>
        </w:rPr>
        <w:t>（二）</w:t>
      </w:r>
      <w:r>
        <w:rPr>
          <w:rFonts w:hAnsi="宋体"/>
          <w:bCs/>
          <w:color w:val="auto"/>
          <w:sz w:val="21"/>
          <w:highlight w:val="none"/>
        </w:rPr>
        <w:t>评标委员会构成：</w:t>
      </w:r>
      <w:r>
        <w:rPr>
          <w:rFonts w:hint="eastAsia" w:hAnsi="宋体"/>
          <w:bCs/>
          <w:color w:val="auto"/>
          <w:sz w:val="21"/>
          <w:highlight w:val="none"/>
        </w:rPr>
        <w:t>本招标采购项目的评标委员会由招标人代表和有关技术、经济等方面的专家组成，</w:t>
      </w:r>
      <w:r>
        <w:rPr>
          <w:rFonts w:hAnsi="宋体"/>
          <w:bCs/>
          <w:color w:val="auto"/>
          <w:sz w:val="21"/>
          <w:highlight w:val="none"/>
        </w:rPr>
        <w:t>技术、经济等方面的专家不少于成员总数的三分之二。</w:t>
      </w:r>
    </w:p>
    <w:p w14:paraId="2D9EDF2F">
      <w:pPr>
        <w:pStyle w:val="21"/>
        <w:spacing w:line="360" w:lineRule="exact"/>
        <w:ind w:firstLine="420" w:firstLineChars="20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三</w:t>
      </w:r>
      <w:r>
        <w:rPr>
          <w:rFonts w:hAnsi="宋体"/>
          <w:bCs/>
          <w:color w:val="auto"/>
          <w:sz w:val="21"/>
          <w:highlight w:val="none"/>
        </w:rPr>
        <w:t>）评标方式：以</w:t>
      </w:r>
      <w:r>
        <w:rPr>
          <w:rFonts w:hint="eastAsia" w:hAnsi="宋体"/>
          <w:bCs/>
          <w:color w:val="auto"/>
          <w:sz w:val="21"/>
          <w:highlight w:val="none"/>
        </w:rPr>
        <w:t>不公开</w:t>
      </w:r>
      <w:r>
        <w:rPr>
          <w:rFonts w:hAnsi="宋体"/>
          <w:bCs/>
          <w:color w:val="auto"/>
          <w:sz w:val="21"/>
          <w:highlight w:val="none"/>
        </w:rPr>
        <w:t>方式进行。</w:t>
      </w:r>
    </w:p>
    <w:p w14:paraId="159D8AFF">
      <w:pPr>
        <w:spacing w:line="360" w:lineRule="exact"/>
        <w:ind w:firstLine="420" w:firstLineChars="200"/>
        <w:rPr>
          <w:rFonts w:ascii="宋体" w:hAnsi="宋体" w:eastAsia="宋体"/>
          <w:color w:val="auto"/>
          <w:szCs w:val="21"/>
          <w:highlight w:val="none"/>
        </w:rPr>
      </w:pPr>
      <w:r>
        <w:rPr>
          <w:rStyle w:val="141"/>
          <w:rFonts w:hint="default"/>
          <w:color w:val="auto"/>
          <w:sz w:val="21"/>
          <w:szCs w:val="21"/>
          <w:highlight w:val="none"/>
        </w:rPr>
        <w:t>二、评定方法：</w:t>
      </w:r>
    </w:p>
    <w:p w14:paraId="2159DCEF">
      <w:pPr>
        <w:pStyle w:val="21"/>
        <w:spacing w:line="360" w:lineRule="exact"/>
        <w:ind w:firstLine="420" w:firstLineChars="200"/>
        <w:rPr>
          <w:rFonts w:hAnsi="宋体"/>
          <w:bCs/>
          <w:color w:val="auto"/>
          <w:sz w:val="21"/>
          <w:highlight w:val="none"/>
        </w:rPr>
      </w:pPr>
      <w:r>
        <w:rPr>
          <w:rFonts w:hAnsi="宋体"/>
          <w:bCs/>
          <w:color w:val="auto"/>
          <w:sz w:val="21"/>
          <w:highlight w:val="none"/>
        </w:rPr>
        <w:t>（一）对进入详评的，采用百分制综合评分法：是指完全满足招标文件实质性要求前提下，按照招标文件</w:t>
      </w:r>
    </w:p>
    <w:p w14:paraId="296D5677">
      <w:pPr>
        <w:pStyle w:val="21"/>
        <w:spacing w:line="360" w:lineRule="exact"/>
        <w:ind w:firstLine="420" w:firstLineChars="200"/>
        <w:rPr>
          <w:rFonts w:hAnsi="宋体"/>
          <w:bCs/>
          <w:color w:val="auto"/>
          <w:sz w:val="21"/>
          <w:highlight w:val="none"/>
        </w:rPr>
      </w:pPr>
      <w:r>
        <w:rPr>
          <w:rFonts w:hAnsi="宋体"/>
          <w:bCs/>
          <w:color w:val="auto"/>
          <w:sz w:val="21"/>
          <w:highlight w:val="none"/>
        </w:rPr>
        <w:t>规定的各项因素进行综合评审后，以评标总得分最高的投标人作为中标候选人或中标供应商的评标方法。</w:t>
      </w:r>
    </w:p>
    <w:p w14:paraId="5C96A2CD">
      <w:pPr>
        <w:pStyle w:val="21"/>
        <w:spacing w:line="360" w:lineRule="exact"/>
        <w:ind w:firstLine="420" w:firstLineChars="200"/>
        <w:rPr>
          <w:rFonts w:hAnsi="宋体"/>
          <w:bCs/>
          <w:color w:val="auto"/>
          <w:sz w:val="21"/>
          <w:highlight w:val="none"/>
        </w:rPr>
      </w:pPr>
      <w:r>
        <w:rPr>
          <w:rFonts w:hAnsi="宋体"/>
          <w:bCs/>
          <w:color w:val="auto"/>
          <w:sz w:val="21"/>
          <w:highlight w:val="none"/>
        </w:rPr>
        <w:t>（二）计分办法（按四舍五入取至百分位） ：</w:t>
      </w:r>
    </w:p>
    <w:p w14:paraId="57ACFF95">
      <w:pPr>
        <w:pStyle w:val="21"/>
        <w:spacing w:line="360" w:lineRule="exact"/>
        <w:ind w:firstLine="394" w:firstLineChars="196"/>
        <w:outlineLvl w:val="0"/>
        <w:rPr>
          <w:rFonts w:hAnsi="宋体"/>
          <w:b/>
          <w:color w:val="auto"/>
          <w:highlight w:val="none"/>
        </w:rPr>
      </w:pPr>
      <w:r>
        <w:rPr>
          <w:rFonts w:hint="eastAsia" w:hAnsi="宋体"/>
          <w:b/>
          <w:color w:val="auto"/>
          <w:highlight w:val="none"/>
        </w:rPr>
        <w:t>一、评标方法</w:t>
      </w:r>
    </w:p>
    <w:p w14:paraId="0826FBFB">
      <w:pPr>
        <w:pStyle w:val="21"/>
        <w:spacing w:line="360" w:lineRule="exact"/>
        <w:ind w:firstLine="392" w:firstLineChars="196"/>
        <w:outlineLvl w:val="0"/>
        <w:rPr>
          <w:rFonts w:hAnsi="宋体"/>
          <w:bCs/>
          <w:color w:val="auto"/>
          <w:highlight w:val="none"/>
        </w:rPr>
      </w:pPr>
      <w:r>
        <w:rPr>
          <w:rFonts w:hint="eastAsia" w:hAnsi="宋体"/>
          <w:bCs/>
          <w:color w:val="auto"/>
          <w:highlight w:val="none"/>
        </w:rPr>
        <w:t>（一）综合评分法，是指投标文件满足招标文件全部实质性要求，且按照评审因素的量化指标评审得分最高的投标人为中标候选人的评标方法。</w:t>
      </w:r>
    </w:p>
    <w:p w14:paraId="78201D32">
      <w:pPr>
        <w:pStyle w:val="21"/>
        <w:spacing w:line="360" w:lineRule="exact"/>
        <w:ind w:firstLine="392" w:firstLineChars="196"/>
        <w:outlineLvl w:val="0"/>
        <w:rPr>
          <w:rFonts w:hAnsi="宋体"/>
          <w:bCs/>
          <w:color w:val="auto"/>
          <w:highlight w:val="none"/>
        </w:rPr>
      </w:pPr>
      <w:r>
        <w:rPr>
          <w:rFonts w:hint="eastAsia" w:hAnsi="宋体"/>
          <w:bCs/>
          <w:color w:val="auto"/>
          <w:highlight w:val="none"/>
        </w:rPr>
        <w:t>（二）组建评标委员会</w:t>
      </w:r>
    </w:p>
    <w:p w14:paraId="68721B90">
      <w:pPr>
        <w:pStyle w:val="21"/>
        <w:spacing w:line="360" w:lineRule="exact"/>
        <w:ind w:firstLine="392" w:firstLineChars="196"/>
        <w:outlineLvl w:val="0"/>
        <w:rPr>
          <w:rFonts w:hAnsi="宋体"/>
          <w:bCs/>
          <w:color w:val="auto"/>
          <w:highlight w:val="none"/>
        </w:rPr>
      </w:pPr>
      <w:r>
        <w:rPr>
          <w:rFonts w:hint="eastAsia" w:hAnsi="宋体"/>
          <w:bCs/>
          <w:color w:val="auto"/>
          <w:highlight w:val="none"/>
        </w:rPr>
        <w:t>评标委员会由招标人代表和评审专家组成，成员人数见“投标人须知前附表”，其中评审专家不得少于成员总数的三分之二。参加过采购项目前期咨询论证的专家，不得参加该采购项目的评审活动。</w:t>
      </w:r>
    </w:p>
    <w:p w14:paraId="22B5A50A">
      <w:pPr>
        <w:pStyle w:val="21"/>
        <w:spacing w:line="360" w:lineRule="exact"/>
        <w:ind w:firstLine="394" w:firstLineChars="196"/>
        <w:outlineLvl w:val="0"/>
        <w:rPr>
          <w:rFonts w:hAnsi="宋体"/>
          <w:bCs/>
          <w:color w:val="auto"/>
          <w:highlight w:val="none"/>
        </w:rPr>
      </w:pPr>
      <w:r>
        <w:rPr>
          <w:rFonts w:hint="eastAsia" w:hAnsi="宋体"/>
          <w:b/>
          <w:color w:val="auto"/>
          <w:highlight w:val="none"/>
        </w:rPr>
        <w:t>（三）评标程序</w:t>
      </w:r>
    </w:p>
    <w:p w14:paraId="7C1A5020">
      <w:pPr>
        <w:pStyle w:val="21"/>
        <w:spacing w:line="360" w:lineRule="exact"/>
        <w:ind w:firstLine="394" w:firstLineChars="196"/>
        <w:outlineLvl w:val="0"/>
        <w:rPr>
          <w:rFonts w:hAnsi="宋体"/>
          <w:b/>
          <w:color w:val="auto"/>
          <w:highlight w:val="none"/>
        </w:rPr>
      </w:pPr>
      <w:r>
        <w:rPr>
          <w:rFonts w:hint="eastAsia" w:hAnsi="宋体"/>
          <w:b/>
          <w:color w:val="auto"/>
          <w:highlight w:val="none"/>
        </w:rPr>
        <w:t>1 符合性审查</w:t>
      </w:r>
    </w:p>
    <w:p w14:paraId="238E47B0">
      <w:pPr>
        <w:pStyle w:val="21"/>
        <w:spacing w:line="360" w:lineRule="exact"/>
        <w:ind w:firstLine="394" w:firstLineChars="196"/>
        <w:outlineLvl w:val="0"/>
        <w:rPr>
          <w:rFonts w:hAnsi="宋体"/>
          <w:b/>
          <w:color w:val="auto"/>
          <w:highlight w:val="none"/>
        </w:rPr>
      </w:pPr>
      <w:r>
        <w:rPr>
          <w:rFonts w:hint="eastAsia" w:hAnsi="宋体"/>
          <w:b/>
          <w:color w:val="auto"/>
          <w:highlight w:val="none"/>
        </w:rPr>
        <w:t>评标委员会应当对符合资格的投标人的投标文件进行投标报价、商务、技术等实质性要求符合性审查，以确定其是否满足招标文件的实质性要求。</w:t>
      </w:r>
    </w:p>
    <w:p w14:paraId="2A82B4D8">
      <w:pPr>
        <w:pStyle w:val="21"/>
        <w:spacing w:line="360" w:lineRule="exact"/>
        <w:ind w:firstLine="394" w:firstLineChars="196"/>
        <w:outlineLvl w:val="0"/>
        <w:rPr>
          <w:rFonts w:hAnsi="宋体"/>
          <w:b/>
          <w:color w:val="auto"/>
          <w:highlight w:val="none"/>
        </w:rPr>
      </w:pPr>
      <w:r>
        <w:rPr>
          <w:rFonts w:hint="eastAsia" w:hAnsi="宋体"/>
          <w:b/>
          <w:color w:val="auto"/>
          <w:highlight w:val="none"/>
        </w:rPr>
        <w:t>2 符合性审查不通过而导致投标无效的情形</w:t>
      </w:r>
    </w:p>
    <w:p w14:paraId="71E626F3">
      <w:pPr>
        <w:pStyle w:val="21"/>
        <w:spacing w:line="360" w:lineRule="exact"/>
        <w:ind w:firstLine="394" w:firstLineChars="196"/>
        <w:outlineLvl w:val="0"/>
        <w:rPr>
          <w:rFonts w:hAnsi="宋体"/>
          <w:b/>
          <w:color w:val="auto"/>
          <w:highlight w:val="none"/>
        </w:rPr>
      </w:pPr>
      <w:r>
        <w:rPr>
          <w:rFonts w:hint="eastAsia" w:hAnsi="宋体"/>
          <w:b/>
          <w:color w:val="auto"/>
          <w:highlight w:val="none"/>
        </w:rPr>
        <w:t>投标人的投标文件中存在对招标文件的任何实质性要求和条件的负偏离，其投标将被视为投标无效。</w:t>
      </w:r>
    </w:p>
    <w:p w14:paraId="5F34A260">
      <w:pPr>
        <w:pStyle w:val="21"/>
        <w:spacing w:line="360" w:lineRule="exact"/>
        <w:ind w:firstLine="394" w:firstLineChars="196"/>
        <w:outlineLvl w:val="0"/>
        <w:rPr>
          <w:rFonts w:hAnsi="宋体"/>
          <w:b/>
          <w:color w:val="auto"/>
          <w:highlight w:val="none"/>
        </w:rPr>
      </w:pPr>
      <w:r>
        <w:rPr>
          <w:rFonts w:hint="eastAsia" w:hAnsi="宋体"/>
          <w:b/>
          <w:color w:val="auto"/>
          <w:highlight w:val="none"/>
        </w:rPr>
        <w:t>2.1 在报价评审时，如发现下列情形之一的，将被视为投标无效：</w:t>
      </w:r>
    </w:p>
    <w:p w14:paraId="4127EFDB">
      <w:pPr>
        <w:pStyle w:val="21"/>
        <w:spacing w:line="360" w:lineRule="exact"/>
        <w:ind w:firstLine="394" w:firstLineChars="196"/>
        <w:outlineLvl w:val="0"/>
        <w:rPr>
          <w:rFonts w:hAnsi="宋体"/>
          <w:b/>
          <w:color w:val="auto"/>
          <w:highlight w:val="none"/>
        </w:rPr>
      </w:pPr>
      <w:r>
        <w:rPr>
          <w:rFonts w:hint="eastAsia" w:hAnsi="宋体"/>
          <w:b/>
          <w:color w:val="auto"/>
          <w:highlight w:val="none"/>
        </w:rPr>
        <w:t>（1）投标文件未提供“投标人须知前附表”第</w:t>
      </w:r>
      <w:r>
        <w:rPr>
          <w:rFonts w:hAnsi="宋体"/>
          <w:b/>
          <w:color w:val="auto"/>
          <w:highlight w:val="none"/>
        </w:rPr>
        <w:t>8</w:t>
      </w:r>
      <w:r>
        <w:rPr>
          <w:rFonts w:hint="eastAsia" w:hAnsi="宋体"/>
          <w:b/>
          <w:color w:val="auto"/>
          <w:highlight w:val="none"/>
        </w:rPr>
        <w:t>条规定中“必须提供”的文件资料的;</w:t>
      </w:r>
    </w:p>
    <w:p w14:paraId="786E8BD9">
      <w:pPr>
        <w:pStyle w:val="21"/>
        <w:spacing w:line="360" w:lineRule="exact"/>
        <w:ind w:firstLine="394" w:firstLineChars="196"/>
        <w:outlineLvl w:val="0"/>
        <w:rPr>
          <w:rFonts w:hAnsi="宋体"/>
          <w:b/>
          <w:color w:val="auto"/>
          <w:highlight w:val="none"/>
        </w:rPr>
      </w:pPr>
      <w:r>
        <w:rPr>
          <w:rFonts w:hint="eastAsia" w:hAnsi="宋体"/>
          <w:b/>
          <w:color w:val="auto"/>
          <w:highlight w:val="none"/>
        </w:rPr>
        <w:t>（2）未采用人民币报价或者未按照招标文件标明的币种报价的；</w:t>
      </w:r>
    </w:p>
    <w:p w14:paraId="6E56F6D3">
      <w:pPr>
        <w:pStyle w:val="21"/>
        <w:spacing w:line="360" w:lineRule="exact"/>
        <w:ind w:firstLine="394" w:firstLineChars="196"/>
        <w:outlineLvl w:val="0"/>
        <w:rPr>
          <w:rFonts w:hAnsi="宋体"/>
          <w:b/>
          <w:color w:val="auto"/>
          <w:highlight w:val="none"/>
        </w:rPr>
      </w:pPr>
      <w:r>
        <w:rPr>
          <w:rFonts w:hint="eastAsia" w:hAnsi="宋体"/>
          <w:b/>
          <w:color w:val="auto"/>
          <w:highlight w:val="none"/>
        </w:rPr>
        <w:t>（3）报价超出招标文件规定最高限价，或者超出采购预算金额的；</w:t>
      </w:r>
    </w:p>
    <w:p w14:paraId="2C201D9C">
      <w:pPr>
        <w:pStyle w:val="21"/>
        <w:spacing w:line="360" w:lineRule="exact"/>
        <w:ind w:firstLine="394" w:firstLineChars="196"/>
        <w:outlineLvl w:val="0"/>
        <w:rPr>
          <w:rFonts w:hAnsi="宋体"/>
          <w:b/>
          <w:color w:val="auto"/>
          <w:highlight w:val="none"/>
        </w:rPr>
      </w:pPr>
      <w:r>
        <w:rPr>
          <w:rFonts w:hint="eastAsia" w:hAnsi="宋体"/>
          <w:b/>
          <w:color w:val="auto"/>
          <w:highlight w:val="none"/>
        </w:rPr>
        <w:t>（4）投标人未就所</w:t>
      </w:r>
      <w:r>
        <w:rPr>
          <w:rFonts w:hint="eastAsia" w:hAnsi="宋体"/>
          <w:b/>
          <w:color w:val="auto"/>
          <w:highlight w:val="none"/>
          <w:lang w:val="en-US" w:eastAsia="zh-CN"/>
        </w:rPr>
        <w:t>内容</w:t>
      </w:r>
      <w:r>
        <w:rPr>
          <w:rFonts w:hint="eastAsia" w:hAnsi="宋体"/>
          <w:b/>
          <w:color w:val="auto"/>
          <w:highlight w:val="none"/>
        </w:rPr>
        <w:t>投进行报价或存在漏项报价；投标人未就所投的单项内容作唯一报</w:t>
      </w:r>
    </w:p>
    <w:p w14:paraId="4511A924">
      <w:pPr>
        <w:pStyle w:val="21"/>
        <w:spacing w:line="360" w:lineRule="exact"/>
        <w:ind w:firstLine="394" w:firstLineChars="196"/>
        <w:outlineLvl w:val="0"/>
        <w:rPr>
          <w:rFonts w:hAnsi="宋体"/>
          <w:b/>
          <w:color w:val="auto"/>
          <w:highlight w:val="none"/>
        </w:rPr>
      </w:pPr>
      <w:r>
        <w:rPr>
          <w:rFonts w:hint="eastAsia" w:hAnsi="宋体"/>
          <w:b/>
          <w:color w:val="auto"/>
          <w:highlight w:val="none"/>
        </w:rPr>
        <w:t>价；投标人未就所投的全部内容作唯一总价报价；存在有选择、有条件报价的（招标文件允许有备选方案或其他约定的除外）；</w:t>
      </w:r>
    </w:p>
    <w:p w14:paraId="0EC2B763">
      <w:pPr>
        <w:pStyle w:val="21"/>
        <w:spacing w:line="360" w:lineRule="exact"/>
        <w:ind w:firstLine="394" w:firstLineChars="196"/>
        <w:outlineLvl w:val="0"/>
        <w:rPr>
          <w:rFonts w:hAnsi="宋体"/>
          <w:b/>
          <w:color w:val="auto"/>
          <w:highlight w:val="none"/>
        </w:rPr>
      </w:pPr>
      <w:r>
        <w:rPr>
          <w:rFonts w:hint="eastAsia" w:hAnsi="宋体"/>
          <w:b/>
          <w:color w:val="auto"/>
          <w:highlight w:val="none"/>
        </w:rPr>
        <w:t>（5）修正后的报价，投标人不确认的；</w:t>
      </w:r>
    </w:p>
    <w:p w14:paraId="48227DEA">
      <w:pPr>
        <w:pStyle w:val="21"/>
        <w:spacing w:line="360" w:lineRule="exact"/>
        <w:ind w:firstLine="394" w:firstLineChars="196"/>
        <w:outlineLvl w:val="0"/>
        <w:rPr>
          <w:rFonts w:hAnsi="宋体"/>
          <w:b/>
          <w:color w:val="auto"/>
          <w:highlight w:val="none"/>
        </w:rPr>
      </w:pPr>
      <w:r>
        <w:rPr>
          <w:rFonts w:hint="eastAsia" w:hAnsi="宋体"/>
          <w:b/>
          <w:color w:val="auto"/>
          <w:highlight w:val="none"/>
        </w:rPr>
        <w:t>2.2 在商务评审时，如发现下列情形之一的，将被视为投标无效：</w:t>
      </w:r>
    </w:p>
    <w:p w14:paraId="552D1484">
      <w:pPr>
        <w:pStyle w:val="21"/>
        <w:spacing w:line="360" w:lineRule="exact"/>
        <w:ind w:firstLine="394" w:firstLineChars="196"/>
        <w:outlineLvl w:val="0"/>
        <w:rPr>
          <w:rFonts w:hAnsi="宋体"/>
          <w:b/>
          <w:color w:val="auto"/>
          <w:highlight w:val="none"/>
        </w:rPr>
      </w:pPr>
      <w:r>
        <w:rPr>
          <w:rFonts w:hint="eastAsia" w:hAnsi="宋体"/>
          <w:b/>
          <w:color w:val="auto"/>
          <w:highlight w:val="none"/>
        </w:rPr>
        <w:t>（1）投标文件未按招标文件要求签署、盖章的；</w:t>
      </w:r>
    </w:p>
    <w:p w14:paraId="41D0651B">
      <w:pPr>
        <w:pStyle w:val="21"/>
        <w:spacing w:line="360" w:lineRule="exact"/>
        <w:ind w:firstLine="394" w:firstLineChars="196"/>
        <w:outlineLvl w:val="0"/>
        <w:rPr>
          <w:rFonts w:hAnsi="宋体"/>
          <w:b/>
          <w:color w:val="auto"/>
          <w:highlight w:val="none"/>
        </w:rPr>
      </w:pPr>
      <w:r>
        <w:rPr>
          <w:rFonts w:hint="eastAsia" w:hAnsi="宋体"/>
          <w:b/>
          <w:color w:val="auto"/>
          <w:highlight w:val="none"/>
        </w:rPr>
        <w:t>（2）委托代理人未能出具有效身份证明或出具的身份证明与授权委托书中的信息不符的；</w:t>
      </w:r>
    </w:p>
    <w:p w14:paraId="4723E0FD">
      <w:pPr>
        <w:pStyle w:val="21"/>
        <w:spacing w:line="360" w:lineRule="exact"/>
        <w:ind w:firstLine="394" w:firstLineChars="196"/>
        <w:outlineLvl w:val="0"/>
        <w:rPr>
          <w:rFonts w:hAnsi="宋体"/>
          <w:b/>
          <w:color w:val="auto"/>
          <w:highlight w:val="none"/>
        </w:rPr>
      </w:pPr>
      <w:r>
        <w:rPr>
          <w:rFonts w:hint="eastAsia" w:hAnsi="宋体"/>
          <w:b/>
          <w:color w:val="auto"/>
          <w:highlight w:val="none"/>
        </w:rPr>
        <w:t>（3）为无效投标保证金的或未按照招标文件的规定提交投标保证金的；</w:t>
      </w:r>
    </w:p>
    <w:p w14:paraId="3BC1524A">
      <w:pPr>
        <w:pStyle w:val="21"/>
        <w:spacing w:line="360" w:lineRule="exact"/>
        <w:ind w:firstLine="394" w:firstLineChars="196"/>
        <w:outlineLvl w:val="0"/>
        <w:rPr>
          <w:rFonts w:hAnsi="宋体"/>
          <w:b/>
          <w:color w:val="auto"/>
          <w:highlight w:val="none"/>
        </w:rPr>
      </w:pPr>
      <w:r>
        <w:rPr>
          <w:rFonts w:hint="eastAsia" w:hAnsi="宋体"/>
          <w:b/>
          <w:color w:val="auto"/>
          <w:highlight w:val="none"/>
        </w:rPr>
        <w:t xml:space="preserve">（4）投标文件未提供“投标人须知前附表”第 </w:t>
      </w:r>
      <w:r>
        <w:rPr>
          <w:rFonts w:hAnsi="宋体"/>
          <w:b/>
          <w:color w:val="auto"/>
          <w:highlight w:val="none"/>
        </w:rPr>
        <w:t>8</w:t>
      </w:r>
      <w:r>
        <w:rPr>
          <w:rFonts w:hint="eastAsia" w:hAnsi="宋体"/>
          <w:b/>
          <w:color w:val="auto"/>
          <w:highlight w:val="none"/>
        </w:rPr>
        <w:t xml:space="preserve"> 条规定中“必须提供”或者“委托时必须提供”的文件资料的;</w:t>
      </w:r>
    </w:p>
    <w:p w14:paraId="0ADF9833">
      <w:pPr>
        <w:pStyle w:val="21"/>
        <w:spacing w:line="360" w:lineRule="exact"/>
        <w:ind w:firstLine="394" w:firstLineChars="196"/>
        <w:outlineLvl w:val="0"/>
        <w:rPr>
          <w:rFonts w:hAnsi="宋体"/>
          <w:b/>
          <w:color w:val="auto"/>
          <w:highlight w:val="none"/>
        </w:rPr>
      </w:pPr>
      <w:r>
        <w:rPr>
          <w:rFonts w:hint="eastAsia" w:hAnsi="宋体"/>
          <w:b/>
          <w:color w:val="auto"/>
          <w:highlight w:val="none"/>
        </w:rPr>
        <w:t>（5）投标有效期、项目完成时间（交货时间、服务完成时间或服务期等）、质保期、售后服务等招标文件中标“▲”的商务条款发生负偏离的；</w:t>
      </w:r>
    </w:p>
    <w:p w14:paraId="606CD7EC">
      <w:pPr>
        <w:pStyle w:val="21"/>
        <w:spacing w:line="360" w:lineRule="exact"/>
        <w:ind w:firstLine="394" w:firstLineChars="196"/>
        <w:outlineLvl w:val="0"/>
        <w:rPr>
          <w:rFonts w:hAnsi="宋体"/>
          <w:b/>
          <w:color w:val="auto"/>
          <w:highlight w:val="none"/>
        </w:rPr>
      </w:pPr>
      <w:r>
        <w:rPr>
          <w:rFonts w:hint="eastAsia" w:hAnsi="宋体"/>
          <w:b/>
          <w:color w:val="auto"/>
          <w:highlight w:val="none"/>
        </w:rPr>
        <w:t>（6）商务评审允许负偏离的项目数超过“投标人须知前附表”规定项数的（如有）。</w:t>
      </w:r>
    </w:p>
    <w:p w14:paraId="0645070E">
      <w:pPr>
        <w:pStyle w:val="21"/>
        <w:spacing w:line="360" w:lineRule="exact"/>
        <w:ind w:firstLine="394" w:firstLineChars="196"/>
        <w:outlineLvl w:val="0"/>
        <w:rPr>
          <w:rFonts w:hAnsi="宋体"/>
          <w:b/>
          <w:color w:val="auto"/>
          <w:highlight w:val="none"/>
        </w:rPr>
      </w:pPr>
      <w:r>
        <w:rPr>
          <w:rFonts w:hint="eastAsia" w:hAnsi="宋体"/>
          <w:b/>
          <w:color w:val="auto"/>
          <w:highlight w:val="none"/>
        </w:rPr>
        <w:t>（7）投标文件的实质性内容未使用中文表述、使用计量单位不符合招标文件要求的；</w:t>
      </w:r>
    </w:p>
    <w:p w14:paraId="538C38DA">
      <w:pPr>
        <w:pStyle w:val="21"/>
        <w:spacing w:line="360" w:lineRule="exact"/>
        <w:ind w:firstLine="394" w:firstLineChars="196"/>
        <w:outlineLvl w:val="0"/>
        <w:rPr>
          <w:rFonts w:hAnsi="宋体"/>
          <w:b/>
          <w:color w:val="auto"/>
          <w:highlight w:val="none"/>
        </w:rPr>
      </w:pPr>
      <w:r>
        <w:rPr>
          <w:rFonts w:hint="eastAsia" w:hAnsi="宋体"/>
          <w:b/>
          <w:color w:val="auto"/>
          <w:highlight w:val="none"/>
        </w:rPr>
        <w:t>（8）投标文件中的文件资料因填写不齐全或者内容虚假或者出现其他情形而导致被评标委员会认定无效的；</w:t>
      </w:r>
    </w:p>
    <w:p w14:paraId="42EB9E9A">
      <w:pPr>
        <w:pStyle w:val="21"/>
        <w:spacing w:line="360" w:lineRule="exact"/>
        <w:ind w:firstLine="394" w:firstLineChars="196"/>
        <w:outlineLvl w:val="0"/>
        <w:rPr>
          <w:rFonts w:hAnsi="宋体"/>
          <w:b/>
          <w:color w:val="auto"/>
          <w:highlight w:val="none"/>
        </w:rPr>
      </w:pPr>
      <w:r>
        <w:rPr>
          <w:rFonts w:hint="eastAsia" w:hAnsi="宋体"/>
          <w:b/>
          <w:color w:val="auto"/>
          <w:highlight w:val="none"/>
        </w:rPr>
        <w:t>（9）投标文件含有招标人不能接受的附加条件的；</w:t>
      </w:r>
    </w:p>
    <w:p w14:paraId="63F1075B">
      <w:pPr>
        <w:pStyle w:val="21"/>
        <w:spacing w:line="360" w:lineRule="exact"/>
        <w:ind w:firstLine="394" w:firstLineChars="196"/>
        <w:outlineLvl w:val="0"/>
        <w:rPr>
          <w:rFonts w:hAnsi="宋体"/>
          <w:b/>
          <w:color w:val="auto"/>
          <w:highlight w:val="none"/>
        </w:rPr>
      </w:pPr>
      <w:r>
        <w:rPr>
          <w:rFonts w:hint="eastAsia" w:hAnsi="宋体"/>
          <w:b/>
          <w:color w:val="auto"/>
          <w:highlight w:val="none"/>
        </w:rPr>
        <w:t>（10）未响应招标文件实质性要求的；</w:t>
      </w:r>
    </w:p>
    <w:p w14:paraId="36A9F4D0">
      <w:pPr>
        <w:pStyle w:val="21"/>
        <w:spacing w:line="360" w:lineRule="exact"/>
        <w:ind w:firstLine="394" w:firstLineChars="196"/>
        <w:outlineLvl w:val="0"/>
        <w:rPr>
          <w:rFonts w:hAnsi="宋体"/>
          <w:b/>
          <w:color w:val="auto"/>
          <w:highlight w:val="none"/>
        </w:rPr>
      </w:pPr>
      <w:r>
        <w:rPr>
          <w:rFonts w:hint="eastAsia" w:hAnsi="宋体"/>
          <w:b/>
          <w:color w:val="auto"/>
          <w:highlight w:val="none"/>
        </w:rPr>
        <w:t>（1</w:t>
      </w:r>
      <w:r>
        <w:rPr>
          <w:rFonts w:hint="eastAsia" w:hAnsi="宋体"/>
          <w:b/>
          <w:color w:val="auto"/>
          <w:highlight w:val="none"/>
          <w:lang w:val="en-US"/>
        </w:rPr>
        <w:t>1</w:t>
      </w:r>
      <w:r>
        <w:rPr>
          <w:rFonts w:hint="eastAsia" w:hAnsi="宋体"/>
          <w:b/>
          <w:color w:val="auto"/>
          <w:highlight w:val="none"/>
        </w:rPr>
        <w:t>）法律、法规和招标文件规定的其他无效情形。</w:t>
      </w:r>
    </w:p>
    <w:p w14:paraId="24EA2A9B">
      <w:pPr>
        <w:pStyle w:val="21"/>
        <w:spacing w:line="360" w:lineRule="exact"/>
        <w:ind w:firstLine="394" w:firstLineChars="196"/>
        <w:outlineLvl w:val="0"/>
        <w:rPr>
          <w:rFonts w:hAnsi="宋体"/>
          <w:b/>
          <w:color w:val="auto"/>
          <w:highlight w:val="none"/>
        </w:rPr>
      </w:pPr>
      <w:r>
        <w:rPr>
          <w:rFonts w:hint="eastAsia" w:hAnsi="宋体"/>
          <w:b/>
          <w:color w:val="auto"/>
          <w:highlight w:val="none"/>
        </w:rPr>
        <w:t>2.3 在技术评审时，如发现下列情形之一的，将被视为投标无效：</w:t>
      </w:r>
    </w:p>
    <w:p w14:paraId="0E4AA1E6">
      <w:pPr>
        <w:pStyle w:val="21"/>
        <w:spacing w:line="360" w:lineRule="exact"/>
        <w:ind w:firstLine="394" w:firstLineChars="196"/>
        <w:outlineLvl w:val="0"/>
        <w:rPr>
          <w:rFonts w:hAnsi="宋体"/>
          <w:b/>
          <w:color w:val="auto"/>
          <w:highlight w:val="none"/>
        </w:rPr>
      </w:pPr>
      <w:r>
        <w:rPr>
          <w:rFonts w:hint="eastAsia" w:hAnsi="宋体"/>
          <w:b/>
          <w:color w:val="auto"/>
          <w:highlight w:val="none"/>
        </w:rPr>
        <w:t>（1）明显不满足招标文件要求的技术规格、安全、质量标准，或者与招标文件中标“▲”的技术指标、主要功能发生负偏离的；</w:t>
      </w:r>
    </w:p>
    <w:p w14:paraId="08D0B9F3">
      <w:pPr>
        <w:pStyle w:val="21"/>
        <w:spacing w:line="360" w:lineRule="exact"/>
        <w:ind w:firstLine="394" w:firstLineChars="196"/>
        <w:outlineLvl w:val="0"/>
        <w:rPr>
          <w:rFonts w:hAnsi="宋体"/>
          <w:b/>
          <w:color w:val="auto"/>
          <w:highlight w:val="none"/>
        </w:rPr>
      </w:pPr>
      <w:r>
        <w:rPr>
          <w:rFonts w:hint="eastAsia" w:hAnsi="宋体"/>
          <w:b/>
          <w:color w:val="auto"/>
          <w:highlight w:val="none"/>
        </w:rPr>
        <w:t>（2）技术评审允许负偏离的项目数超过“投标人须知前附表”规定项数的；</w:t>
      </w:r>
    </w:p>
    <w:p w14:paraId="60CD8CBA">
      <w:pPr>
        <w:pStyle w:val="21"/>
        <w:spacing w:line="360" w:lineRule="exact"/>
        <w:ind w:firstLine="394" w:firstLineChars="196"/>
        <w:outlineLvl w:val="0"/>
        <w:rPr>
          <w:rFonts w:hAnsi="宋体"/>
          <w:b/>
          <w:color w:val="auto"/>
          <w:highlight w:val="none"/>
        </w:rPr>
      </w:pPr>
      <w:r>
        <w:rPr>
          <w:rFonts w:hint="eastAsia" w:hAnsi="宋体"/>
          <w:b/>
          <w:color w:val="auto"/>
          <w:highlight w:val="none"/>
        </w:rPr>
        <w:t xml:space="preserve">（3）投标文件未提供“投标人须知前附表”第 </w:t>
      </w:r>
      <w:r>
        <w:rPr>
          <w:rFonts w:hAnsi="宋体"/>
          <w:b/>
          <w:color w:val="auto"/>
          <w:highlight w:val="none"/>
        </w:rPr>
        <w:t>8</w:t>
      </w:r>
      <w:r>
        <w:rPr>
          <w:rFonts w:hint="eastAsia" w:hAnsi="宋体"/>
          <w:b/>
          <w:color w:val="auto"/>
          <w:highlight w:val="none"/>
        </w:rPr>
        <w:t>条规定中“必须提供”的文件资料的;</w:t>
      </w:r>
    </w:p>
    <w:p w14:paraId="304E2E32">
      <w:pPr>
        <w:pStyle w:val="21"/>
        <w:spacing w:line="360" w:lineRule="exact"/>
        <w:ind w:firstLine="394" w:firstLineChars="196"/>
        <w:outlineLvl w:val="0"/>
        <w:rPr>
          <w:rFonts w:hAnsi="宋体"/>
          <w:b/>
          <w:color w:val="auto"/>
          <w:highlight w:val="none"/>
        </w:rPr>
      </w:pPr>
      <w:r>
        <w:rPr>
          <w:rFonts w:hint="eastAsia" w:hAnsi="宋体"/>
          <w:b/>
          <w:color w:val="auto"/>
          <w:highlight w:val="none"/>
        </w:rPr>
        <w:t>（4）虚假投标，或者出现其他情形而导致被评标委员会认定无效的；</w:t>
      </w:r>
    </w:p>
    <w:p w14:paraId="148BBFC1">
      <w:pPr>
        <w:pStyle w:val="21"/>
        <w:spacing w:line="360" w:lineRule="exact"/>
        <w:ind w:firstLine="394" w:firstLineChars="196"/>
        <w:outlineLvl w:val="0"/>
        <w:rPr>
          <w:rFonts w:hAnsi="宋体"/>
          <w:b/>
          <w:color w:val="auto"/>
          <w:highlight w:val="none"/>
        </w:rPr>
      </w:pPr>
      <w:r>
        <w:rPr>
          <w:rFonts w:hint="eastAsia" w:hAnsi="宋体"/>
          <w:b/>
          <w:color w:val="auto"/>
          <w:highlight w:val="none"/>
        </w:rPr>
        <w:t>（5）投标技术方案不明确，招标文件未允许但存在一个或一个以上备选（替代）投标方案的。</w:t>
      </w:r>
    </w:p>
    <w:p w14:paraId="199DD082">
      <w:pPr>
        <w:pStyle w:val="21"/>
        <w:spacing w:line="360" w:lineRule="exact"/>
        <w:ind w:firstLine="392" w:firstLineChars="196"/>
        <w:outlineLvl w:val="0"/>
        <w:rPr>
          <w:rFonts w:hAnsi="宋体"/>
          <w:bCs/>
          <w:color w:val="auto"/>
          <w:highlight w:val="none"/>
        </w:rPr>
      </w:pPr>
      <w:r>
        <w:rPr>
          <w:rFonts w:hint="eastAsia" w:hAnsi="宋体"/>
          <w:bCs/>
          <w:color w:val="auto"/>
          <w:highlight w:val="none"/>
        </w:rPr>
        <w:t>3 澄清补正</w:t>
      </w:r>
    </w:p>
    <w:p w14:paraId="43AF7710">
      <w:pPr>
        <w:pStyle w:val="21"/>
        <w:spacing w:line="360" w:lineRule="exact"/>
        <w:ind w:firstLine="392" w:firstLineChars="196"/>
        <w:outlineLvl w:val="0"/>
        <w:rPr>
          <w:rFonts w:hAnsi="宋体"/>
          <w:bCs/>
          <w:color w:val="auto"/>
          <w:highlight w:val="none"/>
        </w:rPr>
      </w:pPr>
      <w:r>
        <w:rPr>
          <w:rFonts w:hint="eastAsia" w:hAnsi="宋体"/>
          <w:bCs/>
          <w:color w:val="auto"/>
          <w:highlight w:val="none"/>
        </w:rPr>
        <w:t>对投标文件中含义不明确、同类问题表述不一致或者有明显文字和计算错误的内容，评标委员会应当以书面形式要求投标人在规定时间内作出必要的澄清、说明或者纠正。投标人的澄清、说明或者补正应当采用书面形式，并加盖公章，或者由法定代表人（经营者或自然人）或其授权的代表签字。投标人的澄清、说明或者补正不得超出投标文件的范围或者改变投标文件的实质性内容。</w:t>
      </w:r>
    </w:p>
    <w:p w14:paraId="379B8D43">
      <w:pPr>
        <w:pStyle w:val="21"/>
        <w:spacing w:line="360" w:lineRule="exact"/>
        <w:ind w:firstLine="392" w:firstLineChars="196"/>
        <w:outlineLvl w:val="0"/>
        <w:rPr>
          <w:rFonts w:hAnsi="宋体"/>
          <w:bCs/>
          <w:color w:val="auto"/>
          <w:highlight w:val="none"/>
        </w:rPr>
      </w:pPr>
      <w:r>
        <w:rPr>
          <w:rFonts w:hint="eastAsia" w:hAnsi="宋体"/>
          <w:bCs/>
          <w:color w:val="auto"/>
          <w:highlight w:val="none"/>
        </w:rPr>
        <w:t>4 比较与评价</w:t>
      </w:r>
    </w:p>
    <w:p w14:paraId="452206C6">
      <w:pPr>
        <w:pStyle w:val="21"/>
        <w:spacing w:line="360" w:lineRule="exact"/>
        <w:ind w:firstLine="392" w:firstLineChars="196"/>
        <w:outlineLvl w:val="0"/>
        <w:rPr>
          <w:rFonts w:hAnsi="宋体"/>
          <w:bCs/>
          <w:color w:val="auto"/>
          <w:highlight w:val="none"/>
        </w:rPr>
      </w:pPr>
      <w:r>
        <w:rPr>
          <w:rFonts w:hint="eastAsia" w:hAnsi="宋体"/>
          <w:bCs/>
          <w:color w:val="auto"/>
          <w:highlight w:val="none"/>
        </w:rPr>
        <w:t>（1）评标委员会按照招标文件中规定的评标方法和评标标准，对符合性审查合格的投标文件进行商务和技术评估，综合比较与评价。</w:t>
      </w:r>
    </w:p>
    <w:p w14:paraId="116A261E">
      <w:pPr>
        <w:pStyle w:val="21"/>
        <w:spacing w:line="360" w:lineRule="exact"/>
        <w:ind w:firstLine="392" w:firstLineChars="196"/>
        <w:outlineLvl w:val="0"/>
        <w:rPr>
          <w:rFonts w:hAnsi="宋体"/>
          <w:bCs/>
          <w:color w:val="auto"/>
          <w:highlight w:val="none"/>
        </w:rPr>
      </w:pPr>
      <w:r>
        <w:rPr>
          <w:rFonts w:hint="eastAsia" w:hAnsi="宋体"/>
          <w:bCs/>
          <w:color w:val="auto"/>
          <w:highlight w:val="none"/>
        </w:rPr>
        <w:t>（2）评标委员会应当独立对每个投标人的投标文件进行评价，并汇总每个投标人的得分。</w:t>
      </w:r>
    </w:p>
    <w:p w14:paraId="63DDD188">
      <w:pPr>
        <w:pStyle w:val="21"/>
        <w:spacing w:line="360" w:lineRule="exact"/>
        <w:ind w:firstLine="392" w:firstLineChars="196"/>
        <w:outlineLvl w:val="0"/>
        <w:rPr>
          <w:rFonts w:hAnsi="宋体"/>
          <w:bCs/>
          <w:color w:val="auto"/>
          <w:highlight w:val="none"/>
        </w:rPr>
      </w:pPr>
      <w:r>
        <w:rPr>
          <w:rFonts w:hint="eastAsia" w:hAnsi="宋体"/>
          <w:bCs/>
          <w:color w:val="auto"/>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8E9D8C5">
      <w:pPr>
        <w:pStyle w:val="21"/>
        <w:spacing w:line="360" w:lineRule="exact"/>
        <w:ind w:firstLine="392" w:firstLineChars="196"/>
        <w:outlineLvl w:val="0"/>
        <w:rPr>
          <w:rFonts w:hAnsi="宋体"/>
          <w:bCs/>
          <w:color w:val="auto"/>
          <w:highlight w:val="none"/>
        </w:rPr>
      </w:pPr>
      <w:r>
        <w:rPr>
          <w:rFonts w:hint="eastAsia" w:hAnsi="宋体"/>
          <w:bCs/>
          <w:color w:val="auto"/>
          <w:highlight w:val="none"/>
        </w:rPr>
        <w:t>（3）评标委员会按照招标文件中规定的评标方法和标准计算各投标人的报价得分。在计算过程中，不得去掉最高报价或最低报价。</w:t>
      </w:r>
    </w:p>
    <w:p w14:paraId="109BBC93">
      <w:pPr>
        <w:pStyle w:val="21"/>
        <w:spacing w:line="360" w:lineRule="exact"/>
        <w:ind w:firstLine="392" w:firstLineChars="196"/>
        <w:outlineLvl w:val="0"/>
        <w:rPr>
          <w:rFonts w:hAnsi="宋体"/>
          <w:bCs/>
          <w:color w:val="auto"/>
          <w:highlight w:val="none"/>
        </w:rPr>
      </w:pPr>
      <w:r>
        <w:rPr>
          <w:rFonts w:hint="eastAsia" w:hAnsi="宋体"/>
          <w:bCs/>
          <w:color w:val="auto"/>
          <w:highlight w:val="none"/>
        </w:rPr>
        <w:t>（4）各投标人的得分为所有评委的有效评分的算术平均数。</w:t>
      </w:r>
    </w:p>
    <w:p w14:paraId="0835AAC3">
      <w:pPr>
        <w:pStyle w:val="21"/>
        <w:spacing w:line="360" w:lineRule="exact"/>
        <w:ind w:firstLine="392" w:firstLineChars="196"/>
        <w:outlineLvl w:val="0"/>
        <w:rPr>
          <w:rFonts w:hAnsi="宋体"/>
          <w:bCs/>
          <w:color w:val="auto"/>
          <w:highlight w:val="none"/>
        </w:rPr>
      </w:pPr>
      <w:r>
        <w:rPr>
          <w:rFonts w:hint="eastAsia" w:hAnsi="宋体"/>
          <w:bCs/>
          <w:color w:val="auto"/>
          <w:highlight w:val="none"/>
        </w:rPr>
        <w:t>（5）评标委员会按照招标文件中的规定推荐中标候选人。</w:t>
      </w:r>
    </w:p>
    <w:p w14:paraId="3AB705D5">
      <w:pPr>
        <w:pStyle w:val="21"/>
        <w:spacing w:line="360" w:lineRule="exact"/>
        <w:ind w:firstLine="392" w:firstLineChars="196"/>
        <w:outlineLvl w:val="0"/>
        <w:rPr>
          <w:rFonts w:hAnsi="宋体"/>
          <w:bCs/>
          <w:color w:val="auto"/>
          <w:highlight w:val="none"/>
        </w:rPr>
      </w:pPr>
      <w:r>
        <w:rPr>
          <w:rFonts w:hint="eastAsia" w:hAnsi="宋体"/>
          <w:bCs/>
          <w:color w:val="auto"/>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5614376A">
      <w:pPr>
        <w:pStyle w:val="21"/>
        <w:spacing w:line="360" w:lineRule="exact"/>
        <w:ind w:firstLine="392" w:firstLineChars="196"/>
        <w:outlineLvl w:val="0"/>
        <w:rPr>
          <w:rFonts w:hAnsi="宋体"/>
          <w:bCs/>
          <w:color w:val="auto"/>
          <w:highlight w:val="none"/>
        </w:rPr>
      </w:pPr>
      <w:r>
        <w:rPr>
          <w:rFonts w:hint="eastAsia" w:hAnsi="宋体"/>
          <w:bCs/>
          <w:color w:val="auto"/>
          <w:highlight w:val="none"/>
        </w:rPr>
        <w:t>5 投标文件修正</w:t>
      </w:r>
    </w:p>
    <w:p w14:paraId="20815DA2">
      <w:pPr>
        <w:pStyle w:val="21"/>
        <w:spacing w:line="360" w:lineRule="exact"/>
        <w:ind w:firstLine="392" w:firstLineChars="196"/>
        <w:outlineLvl w:val="0"/>
        <w:rPr>
          <w:rFonts w:hAnsi="宋体"/>
          <w:bCs/>
          <w:color w:val="auto"/>
          <w:highlight w:val="none"/>
        </w:rPr>
      </w:pPr>
      <w:r>
        <w:rPr>
          <w:rFonts w:hint="eastAsia" w:hAnsi="宋体"/>
          <w:bCs/>
          <w:color w:val="auto"/>
          <w:highlight w:val="none"/>
        </w:rPr>
        <w:t>5.1 投标文件报价出现前后不一致的，按照下列规定修正：</w:t>
      </w:r>
    </w:p>
    <w:p w14:paraId="275F6982">
      <w:pPr>
        <w:pStyle w:val="21"/>
        <w:spacing w:line="360" w:lineRule="exact"/>
        <w:ind w:firstLine="392" w:firstLineChars="196"/>
        <w:outlineLvl w:val="0"/>
        <w:rPr>
          <w:rFonts w:hAnsi="宋体"/>
          <w:bCs/>
          <w:color w:val="auto"/>
          <w:highlight w:val="none"/>
        </w:rPr>
      </w:pPr>
      <w:r>
        <w:rPr>
          <w:rFonts w:hint="eastAsia" w:hAnsi="宋体"/>
          <w:bCs/>
          <w:color w:val="auto"/>
          <w:highlight w:val="none"/>
        </w:rPr>
        <w:t>（1）投标文件中开标一览表（报价表）内容与投标文件中相应内容不一致的，以开标一览表（报</w:t>
      </w:r>
    </w:p>
    <w:p w14:paraId="2BF11E8F">
      <w:pPr>
        <w:pStyle w:val="21"/>
        <w:spacing w:line="360" w:lineRule="exact"/>
        <w:outlineLvl w:val="0"/>
        <w:rPr>
          <w:rFonts w:hAnsi="宋体"/>
          <w:bCs/>
          <w:color w:val="auto"/>
          <w:highlight w:val="none"/>
        </w:rPr>
      </w:pPr>
      <w:r>
        <w:rPr>
          <w:rFonts w:hint="eastAsia" w:hAnsi="宋体"/>
          <w:bCs/>
          <w:color w:val="auto"/>
          <w:highlight w:val="none"/>
        </w:rPr>
        <w:t>价表）为准；</w:t>
      </w:r>
    </w:p>
    <w:p w14:paraId="5795EE26">
      <w:pPr>
        <w:pStyle w:val="21"/>
        <w:spacing w:line="360" w:lineRule="exact"/>
        <w:ind w:firstLine="392" w:firstLineChars="196"/>
        <w:outlineLvl w:val="0"/>
        <w:rPr>
          <w:rFonts w:hAnsi="宋体"/>
          <w:bCs/>
          <w:color w:val="auto"/>
          <w:highlight w:val="none"/>
        </w:rPr>
      </w:pPr>
      <w:r>
        <w:rPr>
          <w:rFonts w:hint="eastAsia" w:hAnsi="宋体"/>
          <w:bCs/>
          <w:color w:val="auto"/>
          <w:highlight w:val="none"/>
        </w:rPr>
        <w:t>（2）大写金额和小写金额不一致的，以大写金额为准；</w:t>
      </w:r>
    </w:p>
    <w:p w14:paraId="14BCBD18">
      <w:pPr>
        <w:pStyle w:val="21"/>
        <w:spacing w:line="360" w:lineRule="exact"/>
        <w:ind w:firstLine="392" w:firstLineChars="196"/>
        <w:outlineLvl w:val="0"/>
        <w:rPr>
          <w:rFonts w:hAnsi="宋体"/>
          <w:bCs/>
          <w:color w:val="auto"/>
          <w:highlight w:val="none"/>
        </w:rPr>
      </w:pPr>
      <w:r>
        <w:rPr>
          <w:rFonts w:hint="eastAsia" w:hAnsi="宋体"/>
          <w:bCs/>
          <w:color w:val="auto"/>
          <w:highlight w:val="none"/>
        </w:rPr>
        <w:t>（3）单价金额小数点或者百分比有明显错位的，以开标一览表的总价为准，并修改单价；</w:t>
      </w:r>
    </w:p>
    <w:p w14:paraId="5F67E34D">
      <w:pPr>
        <w:pStyle w:val="21"/>
        <w:spacing w:line="360" w:lineRule="exact"/>
        <w:ind w:firstLine="392" w:firstLineChars="196"/>
        <w:outlineLvl w:val="0"/>
        <w:rPr>
          <w:rFonts w:hAnsi="宋体"/>
          <w:bCs/>
          <w:color w:val="auto"/>
          <w:highlight w:val="none"/>
        </w:rPr>
      </w:pPr>
      <w:r>
        <w:rPr>
          <w:rFonts w:hint="eastAsia" w:hAnsi="宋体"/>
          <w:bCs/>
          <w:color w:val="auto"/>
          <w:highlight w:val="none"/>
        </w:rPr>
        <w:t>（4）总价金额与按单价汇总金额不一致的，以单价金额计算结果为准。</w:t>
      </w:r>
    </w:p>
    <w:p w14:paraId="4AA87C1C">
      <w:pPr>
        <w:pStyle w:val="21"/>
        <w:spacing w:line="360" w:lineRule="exact"/>
        <w:ind w:firstLine="392" w:firstLineChars="196"/>
        <w:outlineLvl w:val="0"/>
        <w:rPr>
          <w:rFonts w:hAnsi="宋体"/>
          <w:bCs/>
          <w:color w:val="auto"/>
          <w:highlight w:val="none"/>
        </w:rPr>
      </w:pPr>
      <w:r>
        <w:rPr>
          <w:rFonts w:hint="eastAsia" w:hAnsi="宋体"/>
          <w:bCs/>
          <w:color w:val="auto"/>
          <w:highlight w:val="none"/>
        </w:rPr>
        <w:t>同时出现两种以上不一致的，按照以上（1）-（4）规定的顺序修正。修正后的报价经投标人确认后产生约束力，投标人不确认的，其投标无效。</w:t>
      </w:r>
    </w:p>
    <w:p w14:paraId="1AA5FD18">
      <w:pPr>
        <w:pStyle w:val="21"/>
        <w:spacing w:line="360" w:lineRule="exact"/>
        <w:ind w:firstLine="392" w:firstLineChars="196"/>
        <w:outlineLvl w:val="0"/>
        <w:rPr>
          <w:rFonts w:hAnsi="宋体"/>
          <w:bCs/>
          <w:color w:val="auto"/>
          <w:highlight w:val="none"/>
        </w:rPr>
      </w:pPr>
      <w:r>
        <w:rPr>
          <w:rFonts w:hint="eastAsia" w:hAnsi="宋体"/>
          <w:bCs/>
          <w:color w:val="auto"/>
          <w:highlight w:val="none"/>
        </w:rPr>
        <w:t>5.2 经投标人确认修正后的报价若超过采购预算金额，投标人的投标文件作无效投标处理。</w:t>
      </w:r>
    </w:p>
    <w:p w14:paraId="52D15030">
      <w:pPr>
        <w:pStyle w:val="21"/>
        <w:spacing w:line="360" w:lineRule="exact"/>
        <w:ind w:firstLine="392" w:firstLineChars="196"/>
        <w:outlineLvl w:val="0"/>
        <w:rPr>
          <w:rFonts w:hAnsi="宋体"/>
          <w:bCs/>
          <w:color w:val="auto"/>
          <w:highlight w:val="none"/>
        </w:rPr>
      </w:pPr>
      <w:r>
        <w:rPr>
          <w:rFonts w:hint="eastAsia" w:hAnsi="宋体"/>
          <w:bCs/>
          <w:color w:val="auto"/>
          <w:highlight w:val="none"/>
        </w:rPr>
        <w:t>5.3 经投标人确认修正后的报价作为签订合同的一个依据，并以此报价计算价格分。</w:t>
      </w:r>
    </w:p>
    <w:p w14:paraId="04157A9E">
      <w:pPr>
        <w:pStyle w:val="21"/>
        <w:spacing w:line="360" w:lineRule="exact"/>
        <w:ind w:firstLine="392" w:firstLineChars="196"/>
        <w:outlineLvl w:val="0"/>
        <w:rPr>
          <w:rFonts w:hAnsi="宋体"/>
          <w:bCs/>
          <w:color w:val="auto"/>
          <w:highlight w:val="none"/>
        </w:rPr>
      </w:pPr>
      <w:r>
        <w:rPr>
          <w:rFonts w:hint="eastAsia" w:hAnsi="宋体"/>
          <w:bCs/>
          <w:color w:val="auto"/>
          <w:highlight w:val="none"/>
        </w:rPr>
        <w:t>6.评标过程的监控</w:t>
      </w:r>
    </w:p>
    <w:p w14:paraId="69009401">
      <w:pPr>
        <w:pStyle w:val="21"/>
        <w:spacing w:line="360" w:lineRule="exact"/>
        <w:ind w:firstLine="394" w:firstLineChars="196"/>
        <w:outlineLvl w:val="0"/>
        <w:rPr>
          <w:rFonts w:hint="eastAsia" w:hAnsi="宋体"/>
          <w:b/>
          <w:color w:val="auto"/>
          <w:highlight w:val="none"/>
        </w:rPr>
      </w:pPr>
      <w:r>
        <w:rPr>
          <w:rFonts w:hint="eastAsia" w:hAnsi="宋体"/>
          <w:b/>
          <w:color w:val="auto"/>
          <w:highlight w:val="none"/>
        </w:rPr>
        <w:t>本项目评标过程实行全程录音、录像监控，投标人在评标过程中所进行的试图影响评标结果的不公正活动，可能导致其投标按无效处理。</w:t>
      </w:r>
    </w:p>
    <w:p w14:paraId="2C1D6038">
      <w:pPr>
        <w:pStyle w:val="21"/>
        <w:spacing w:line="360" w:lineRule="exact"/>
        <w:ind w:firstLine="394" w:firstLineChars="196"/>
        <w:outlineLvl w:val="0"/>
        <w:rPr>
          <w:rFonts w:hint="eastAsia" w:hAnsi="宋体"/>
          <w:b/>
          <w:color w:val="auto"/>
          <w:highlight w:val="none"/>
          <w:lang w:val="en-US" w:eastAsia="zh-CN"/>
        </w:rPr>
      </w:pPr>
      <w:r>
        <w:rPr>
          <w:rFonts w:hint="eastAsia" w:hAnsi="宋体"/>
          <w:b/>
          <w:color w:val="auto"/>
          <w:highlight w:val="none"/>
          <w:lang w:val="en-US" w:eastAsia="zh-CN"/>
        </w:rPr>
        <w:t>（四）政府采购评审中出现下列情形之一的，评审委员会应当启动异常低价投标（响应）审查程序：</w:t>
      </w:r>
    </w:p>
    <w:p w14:paraId="07EFEF3A">
      <w:pPr>
        <w:pStyle w:val="21"/>
        <w:spacing w:line="360" w:lineRule="exact"/>
        <w:ind w:firstLine="392" w:firstLineChars="196"/>
        <w:outlineLvl w:val="0"/>
        <w:rPr>
          <w:rFonts w:hint="eastAsia" w:ascii="宋体" w:hAnsi="宋体" w:eastAsia="宋体" w:cs="Times New Roman"/>
          <w:bCs/>
          <w:color w:val="auto"/>
          <w:highlight w:val="none"/>
          <w:lang w:val="en-US" w:eastAsia="zh-CN"/>
        </w:rPr>
      </w:pPr>
      <w:r>
        <w:rPr>
          <w:rFonts w:hint="eastAsia" w:ascii="宋体" w:hAnsi="宋体" w:eastAsia="宋体" w:cs="Times New Roman"/>
          <w:bCs/>
          <w:color w:val="auto"/>
          <w:highlight w:val="none"/>
          <w:lang w:val="en-US" w:eastAsia="zh-CN"/>
        </w:rPr>
        <w:t>1.投标（响应）报价低于全部通过符合性审查供应商投标（响应）报价平均值50%的，即投标（应）报价&lt;全部通过符合性审查供应商投标（响应）报价平均值×50%；</w:t>
      </w:r>
    </w:p>
    <w:p w14:paraId="01FEAEFB">
      <w:pPr>
        <w:pStyle w:val="21"/>
        <w:spacing w:line="360" w:lineRule="exact"/>
        <w:ind w:firstLine="392" w:firstLineChars="196"/>
        <w:outlineLvl w:val="0"/>
        <w:rPr>
          <w:rFonts w:hint="eastAsia" w:ascii="宋体" w:hAnsi="宋体" w:eastAsia="宋体" w:cs="Times New Roman"/>
          <w:bCs/>
          <w:color w:val="auto"/>
          <w:highlight w:val="none"/>
          <w:lang w:val="en-US" w:eastAsia="zh-CN"/>
        </w:rPr>
      </w:pPr>
      <w:r>
        <w:rPr>
          <w:rFonts w:hint="eastAsia" w:ascii="宋体" w:hAnsi="宋体" w:eastAsia="宋体" w:cs="Times New Roman"/>
          <w:bCs/>
          <w:color w:val="auto"/>
          <w:highlight w:val="none"/>
          <w:lang w:val="en-US" w:eastAsia="zh-CN"/>
        </w:rPr>
        <w:t>2.投标（响应）报价低于通过符合性审查的次低报价供应商投标（响应）报价50%的，即投标（响应）报价&lt;通过符合性审查的次低报价供应商投标（响应）报价×50%；</w:t>
      </w:r>
    </w:p>
    <w:p w14:paraId="4D2CDB6B">
      <w:pPr>
        <w:pStyle w:val="21"/>
        <w:spacing w:line="360" w:lineRule="exact"/>
        <w:ind w:firstLine="392" w:firstLineChars="196"/>
        <w:outlineLvl w:val="0"/>
        <w:rPr>
          <w:rFonts w:hint="eastAsia" w:ascii="宋体" w:hAnsi="宋体" w:eastAsia="宋体" w:cs="Times New Roman"/>
          <w:bCs/>
          <w:color w:val="auto"/>
          <w:highlight w:val="none"/>
          <w:lang w:val="en-US" w:eastAsia="zh-CN"/>
        </w:rPr>
      </w:pPr>
      <w:r>
        <w:rPr>
          <w:rFonts w:hint="eastAsia" w:ascii="宋体" w:hAnsi="宋体" w:eastAsia="宋体" w:cs="Times New Roman"/>
          <w:bCs/>
          <w:color w:val="auto"/>
          <w:highlight w:val="none"/>
          <w:lang w:val="en-US" w:eastAsia="zh-CN"/>
        </w:rPr>
        <w:t>3.投标（响应）报价低于采购项目最高限价45%的，即投标（响应）报价&lt;采购项目最高限价×45%；</w:t>
      </w:r>
    </w:p>
    <w:p w14:paraId="7F734545">
      <w:pPr>
        <w:pStyle w:val="21"/>
        <w:spacing w:line="360" w:lineRule="exact"/>
        <w:ind w:firstLine="392" w:firstLineChars="196"/>
        <w:outlineLvl w:val="0"/>
        <w:rPr>
          <w:rFonts w:hint="eastAsia" w:ascii="宋体" w:hAnsi="宋体" w:eastAsia="宋体" w:cs="Times New Roman"/>
          <w:bCs/>
          <w:color w:val="auto"/>
          <w:highlight w:val="none"/>
          <w:lang w:val="en-US" w:eastAsia="zh-CN"/>
        </w:rPr>
      </w:pPr>
      <w:r>
        <w:rPr>
          <w:rFonts w:hint="eastAsia" w:ascii="宋体" w:hAnsi="宋体" w:eastAsia="宋体" w:cs="Times New Roman"/>
          <w:bCs/>
          <w:color w:val="auto"/>
          <w:highlight w:val="none"/>
          <w:lang w:val="en-US" w:eastAsia="zh-CN"/>
        </w:rPr>
        <w:t>4.评审委员会基于专业判断，认为供应商报价过低，有可能影响产品质量或者不能诚信履约的其他情形。</w:t>
      </w:r>
    </w:p>
    <w:p w14:paraId="43BA7689">
      <w:pPr>
        <w:pStyle w:val="21"/>
        <w:spacing w:line="360" w:lineRule="exact"/>
        <w:ind w:firstLine="392" w:firstLineChars="196"/>
        <w:outlineLvl w:val="0"/>
        <w:rPr>
          <w:rFonts w:hint="eastAsia" w:ascii="宋体" w:hAnsi="宋体" w:eastAsia="宋体" w:cs="Times New Roman"/>
          <w:bCs/>
          <w:color w:val="auto"/>
          <w:highlight w:val="none"/>
          <w:lang w:val="en-US" w:eastAsia="zh-CN"/>
        </w:rPr>
      </w:pPr>
      <w:r>
        <w:rPr>
          <w:rFonts w:hint="eastAsia" w:ascii="宋体" w:hAnsi="宋体" w:eastAsia="宋体" w:cs="Times New Roman"/>
          <w:bCs/>
          <w:color w:val="auto"/>
          <w:highlight w:val="none"/>
          <w:lang w:val="en-US" w:eastAsia="zh-CN"/>
        </w:rPr>
        <w:t>采购人可以结合具体项目实际情况，提高上述第1项至第3项中启动异常低价投标（响应）审查的数值标准，但是最高不得超过65%。</w:t>
      </w:r>
    </w:p>
    <w:p w14:paraId="5D46051B">
      <w:pPr>
        <w:pStyle w:val="21"/>
        <w:spacing w:line="360" w:lineRule="exact"/>
        <w:ind w:firstLine="392" w:firstLineChars="196"/>
        <w:outlineLvl w:val="0"/>
        <w:rPr>
          <w:rFonts w:hint="eastAsia" w:ascii="宋体" w:hAnsi="宋体" w:eastAsia="宋体" w:cs="Times New Roman"/>
          <w:bCs/>
          <w:color w:val="auto"/>
          <w:highlight w:val="none"/>
          <w:lang w:val="en-US" w:eastAsia="zh-CN"/>
        </w:rPr>
      </w:pPr>
      <w:r>
        <w:rPr>
          <w:rFonts w:hint="eastAsia" w:ascii="宋体" w:hAnsi="宋体" w:eastAsia="宋体" w:cs="Times New Roman"/>
          <w:bCs/>
          <w:color w:val="auto"/>
          <w:highlight w:val="none"/>
          <w:lang w:val="en-US" w:eastAsia="zh-CN"/>
        </w:rPr>
        <w:t>相关法律法规对供应商报价有规定的，从其规定。</w:t>
      </w:r>
    </w:p>
    <w:p w14:paraId="48A136C7">
      <w:pPr>
        <w:pStyle w:val="21"/>
        <w:spacing w:line="360" w:lineRule="exact"/>
        <w:ind w:firstLine="392" w:firstLineChars="196"/>
        <w:outlineLvl w:val="0"/>
        <w:rPr>
          <w:rFonts w:hint="eastAsia" w:ascii="宋体" w:hAnsi="宋体" w:eastAsia="宋体" w:cs="Times New Roman"/>
          <w:bCs/>
          <w:color w:val="auto"/>
          <w:highlight w:val="none"/>
          <w:lang w:val="en-US" w:eastAsia="zh-CN"/>
        </w:rPr>
      </w:pPr>
      <w:r>
        <w:rPr>
          <w:rFonts w:hint="eastAsia" w:ascii="宋体" w:hAnsi="宋体" w:eastAsia="宋体" w:cs="Times New Roman"/>
          <w:bCs/>
          <w:color w:val="auto"/>
          <w:highlight w:val="none"/>
          <w:lang w:val="en-US" w:eastAsia="zh-CN"/>
        </w:rPr>
        <w:t>（五）评审委员会启动异常低价投标（响应）审查后，属于前述第1项至第4项情形的，应当要求相关供应商在评审现场30分钟内对投标（响应）价格作出解释，提供项目具体成本测算等与报价合理性相关的书面说明及必要的证明材料，包括但不限于原材料成本、人工成本、制造费用等</w:t>
      </w:r>
      <w:r>
        <w:rPr>
          <w:rFonts w:hint="eastAsia" w:hAnsi="宋体" w:cs="Times New Roman"/>
          <w:bCs/>
          <w:color w:val="auto"/>
          <w:highlight w:val="none"/>
          <w:lang w:val="en-US" w:eastAsia="zh-CN"/>
        </w:rPr>
        <w:t>，同时提供（包含但不限于）以下支撑证明材料：①行政机构税务部门开具的拟投入本项目人员的《依法缴纳个人所得税或依法免缴个人所得税的凭证（与本次谈判拟投入项目人员所提供社保同月份）》；②近两年经第三方具备审计资质的机构出具的审计报告[包括其固定资产成本及折旧、管理成本、人工费成本（如人员工资、奖金、福利及差旅等费用）、技术成本、税收等所有成本及利润）]复印件（原件现场核查）；③提供至少3个类似业绩的费用成本组成明细（并同时提供该业绩中标通知书和合同复印件</w:t>
      </w:r>
      <w:r>
        <w:rPr>
          <w:rFonts w:hint="eastAsia" w:ascii="宋体" w:hAnsi="宋体" w:eastAsia="宋体" w:cs="Times New Roman"/>
          <w:bCs/>
          <w:color w:val="auto"/>
          <w:highlight w:val="none"/>
          <w:lang w:val="en-US" w:eastAsia="zh-CN"/>
        </w:rPr>
        <w:t>。其中，属于第3项情形，供应商已随投标（响应）文件一并提交相关书面说明及必要的证明材料的，在评审现场可不再重复提交。</w:t>
      </w:r>
    </w:p>
    <w:p w14:paraId="6B263005">
      <w:pPr>
        <w:pStyle w:val="21"/>
        <w:spacing w:line="360" w:lineRule="exact"/>
        <w:ind w:firstLine="392" w:firstLineChars="196"/>
        <w:outlineLvl w:val="0"/>
        <w:rPr>
          <w:rFonts w:hint="default" w:ascii="宋体" w:hAnsi="宋体" w:eastAsia="宋体" w:cs="Times New Roman"/>
          <w:bCs/>
          <w:color w:val="auto"/>
          <w:highlight w:val="none"/>
          <w:lang w:val="en-US" w:eastAsia="zh-CN"/>
        </w:rPr>
      </w:pPr>
      <w:r>
        <w:rPr>
          <w:rFonts w:hint="eastAsia" w:ascii="宋体" w:hAnsi="宋体" w:eastAsia="宋体" w:cs="Times New Roman"/>
          <w:bCs/>
          <w:color w:val="auto"/>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81ECB79">
      <w:pPr>
        <w:pStyle w:val="21"/>
        <w:spacing w:line="360" w:lineRule="exact"/>
        <w:ind w:firstLine="394" w:firstLineChars="196"/>
        <w:outlineLvl w:val="0"/>
        <w:rPr>
          <w:rFonts w:hint="eastAsia" w:hAnsi="宋体"/>
          <w:b/>
          <w:color w:val="auto"/>
          <w:highlight w:val="none"/>
          <w:lang w:eastAsia="zh-CN"/>
        </w:rPr>
      </w:pPr>
      <w:r>
        <w:rPr>
          <w:rFonts w:hint="eastAsia" w:hAnsi="宋体"/>
          <w:b/>
          <w:color w:val="auto"/>
          <w:highlight w:val="none"/>
          <w:lang w:eastAsia="zh-CN"/>
        </w:rPr>
        <w:t>（</w:t>
      </w:r>
      <w:r>
        <w:rPr>
          <w:rFonts w:hint="eastAsia" w:hAnsi="宋体"/>
          <w:b/>
          <w:color w:val="auto"/>
          <w:highlight w:val="none"/>
          <w:lang w:val="en-US" w:eastAsia="zh-CN"/>
        </w:rPr>
        <w:t>六</w:t>
      </w:r>
      <w:r>
        <w:rPr>
          <w:rFonts w:hint="eastAsia" w:hAnsi="宋体"/>
          <w:b/>
          <w:color w:val="auto"/>
          <w:highlight w:val="none"/>
          <w:lang w:eastAsia="zh-CN"/>
        </w:rPr>
        <w:t>）对本国产品的支持政策</w:t>
      </w:r>
    </w:p>
    <w:p w14:paraId="5BA7CBAD">
      <w:pPr>
        <w:pStyle w:val="21"/>
        <w:spacing w:line="360" w:lineRule="exact"/>
        <w:ind w:firstLine="392" w:firstLineChars="196"/>
        <w:outlineLvl w:val="0"/>
        <w:rPr>
          <w:rFonts w:hint="eastAsia" w:ascii="宋体" w:hAnsi="宋体" w:eastAsia="宋体" w:cs="Times New Roman"/>
          <w:bCs/>
          <w:color w:val="auto"/>
          <w:highlight w:val="none"/>
          <w:lang w:val="en-US" w:eastAsia="zh-CN"/>
        </w:rPr>
      </w:pPr>
      <w:r>
        <w:rPr>
          <w:rFonts w:hint="eastAsia" w:ascii="宋体" w:hAnsi="宋体" w:eastAsia="宋体" w:cs="Times New Roman"/>
          <w:bCs/>
          <w:color w:val="auto"/>
          <w:highlight w:val="none"/>
          <w:lang w:val="en-US" w:eastAsia="zh-CN"/>
        </w:rPr>
        <w:t>政府采购活动中既有本国产品又有非本国产品参与竞争的，依法对本国产品给予价格评审优惠，对本国产品的报价给予20%的价格扣除，用扣除后的价格参与评审。</w:t>
      </w:r>
    </w:p>
    <w:p w14:paraId="30973D2E">
      <w:pPr>
        <w:pStyle w:val="21"/>
        <w:spacing w:line="360" w:lineRule="exact"/>
        <w:ind w:firstLine="392" w:firstLineChars="196"/>
        <w:outlineLvl w:val="0"/>
        <w:rPr>
          <w:rFonts w:hint="eastAsia" w:hAnsi="宋体"/>
          <w:b/>
          <w:color w:val="auto"/>
          <w:highlight w:val="none"/>
        </w:rPr>
      </w:pPr>
      <w:r>
        <w:rPr>
          <w:rFonts w:hint="eastAsia" w:ascii="宋体" w:hAnsi="宋体" w:eastAsia="宋体" w:cs="Times New Roman"/>
          <w:bCs/>
          <w:color w:val="auto"/>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0452DE5">
      <w:pPr>
        <w:pStyle w:val="21"/>
        <w:spacing w:line="360" w:lineRule="exact"/>
        <w:ind w:firstLine="394" w:firstLineChars="196"/>
        <w:outlineLvl w:val="0"/>
        <w:rPr>
          <w:rFonts w:hAnsi="宋体"/>
          <w:b/>
          <w:color w:val="auto"/>
          <w:highlight w:val="none"/>
        </w:rPr>
      </w:pPr>
      <w:r>
        <w:rPr>
          <w:rFonts w:hint="eastAsia" w:hAnsi="宋体"/>
          <w:b/>
          <w:color w:val="auto"/>
          <w:highlight w:val="none"/>
        </w:rPr>
        <w:t>二、评定方法</w:t>
      </w:r>
    </w:p>
    <w:p w14:paraId="68D15BFF">
      <w:pPr>
        <w:widowControl/>
        <w:spacing w:line="360" w:lineRule="exact"/>
        <w:ind w:firstLine="420" w:firstLineChars="200"/>
        <w:jc w:val="left"/>
        <w:outlineLvl w:val="0"/>
        <w:rPr>
          <w:rFonts w:ascii="宋体" w:hAnsi="宋体" w:cs="Courier New"/>
          <w:bCs/>
          <w:color w:val="auto"/>
          <w:szCs w:val="21"/>
          <w:highlight w:val="none"/>
        </w:rPr>
      </w:pPr>
      <w:r>
        <w:rPr>
          <w:rFonts w:hint="eastAsia" w:ascii="宋体" w:hAnsi="宋体" w:cs="Courier New"/>
          <w:bCs/>
          <w:color w:val="auto"/>
          <w:szCs w:val="21"/>
          <w:highlight w:val="none"/>
        </w:rPr>
        <w:t>（一）对进入详评的，采用百分制综合评分法。</w:t>
      </w:r>
    </w:p>
    <w:p w14:paraId="26403EA4">
      <w:pPr>
        <w:pStyle w:val="21"/>
        <w:spacing w:line="360" w:lineRule="exact"/>
        <w:ind w:firstLine="392" w:firstLineChars="196"/>
        <w:outlineLvl w:val="0"/>
        <w:rPr>
          <w:rFonts w:hAnsi="宋体"/>
          <w:bCs/>
          <w:color w:val="auto"/>
          <w:highlight w:val="none"/>
        </w:rPr>
      </w:pPr>
      <w:r>
        <w:rPr>
          <w:rFonts w:hint="eastAsia" w:hAnsi="宋体"/>
          <w:bCs/>
          <w:color w:val="auto"/>
          <w:highlight w:val="none"/>
        </w:rPr>
        <w:t>（二）计分办法（按四舍五入取至百分位）。</w:t>
      </w:r>
    </w:p>
    <w:p w14:paraId="7CFE54F8">
      <w:pPr>
        <w:pStyle w:val="148"/>
        <w:spacing w:line="360" w:lineRule="exact"/>
        <w:ind w:firstLine="420" w:firstLineChars="200"/>
        <w:rPr>
          <w:b/>
          <w:bCs/>
          <w:color w:val="auto"/>
          <w:highlight w:val="none"/>
        </w:rPr>
      </w:pPr>
      <w:r>
        <w:rPr>
          <w:rFonts w:hint="eastAsia"/>
          <w:b/>
          <w:bCs/>
          <w:color w:val="auto"/>
          <w:highlight w:val="none"/>
        </w:rPr>
        <w:t>1.价格分…………………………………………………………………………………………30分</w:t>
      </w:r>
    </w:p>
    <w:p w14:paraId="53949391">
      <w:pPr>
        <w:pStyle w:val="149"/>
        <w:adjustRightInd w:val="0"/>
        <w:snapToGrid w:val="0"/>
        <w:spacing w:line="360" w:lineRule="exact"/>
        <w:ind w:firstLine="378" w:firstLineChars="180"/>
        <w:rPr>
          <w:color w:val="auto"/>
          <w:highlight w:val="none"/>
        </w:rPr>
      </w:pPr>
      <w:r>
        <w:rPr>
          <w:rFonts w:hint="eastAsia"/>
          <w:color w:val="auto"/>
          <w:highlight w:val="none"/>
        </w:rPr>
        <w:t>（1）</w:t>
      </w:r>
      <w:r>
        <w:rPr>
          <w:rFonts w:hint="eastAsia" w:ascii="Times New Roman" w:hAnsi="Times New Roman"/>
          <w:bCs/>
          <w:color w:val="auto"/>
          <w:highlight w:val="none"/>
        </w:rPr>
        <w:t>符合《政府采购促进中小企业发展管理办法》（财库[2020]46号）规定条件且按该办法中规定的格式提供了《中小企业声明函》的小型和微型企业参与投标，对其最后报价给予10</w:t>
      </w:r>
      <w:r>
        <w:rPr>
          <w:rFonts w:ascii="Times New Roman" w:hAnsi="Times New Roman"/>
          <w:bCs/>
          <w:color w:val="auto"/>
          <w:highlight w:val="none"/>
        </w:rPr>
        <w:t>%</w:t>
      </w:r>
      <w:r>
        <w:rPr>
          <w:rFonts w:hint="eastAsia" w:ascii="Times New Roman" w:hAnsi="Times New Roman"/>
          <w:bCs/>
          <w:color w:val="auto"/>
          <w:highlight w:val="none"/>
        </w:rPr>
        <w:t>的扣除，</w:t>
      </w:r>
      <w:r>
        <w:rPr>
          <w:rFonts w:hint="eastAsia"/>
          <w:color w:val="auto"/>
          <w:highlight w:val="none"/>
        </w:rPr>
        <w:t>扣除后的价格为评标价，即评标价=投标价×（1-10%）；除上述情况外，评标价=投标价。</w:t>
      </w:r>
    </w:p>
    <w:p w14:paraId="35B1E258">
      <w:pPr>
        <w:pStyle w:val="149"/>
        <w:adjustRightInd w:val="0"/>
        <w:snapToGrid w:val="0"/>
        <w:spacing w:line="360" w:lineRule="exact"/>
        <w:ind w:firstLine="378" w:firstLineChars="180"/>
        <w:rPr>
          <w:color w:val="auto"/>
          <w:highlight w:val="none"/>
        </w:rPr>
      </w:pPr>
      <w:r>
        <w:rPr>
          <w:color w:val="auto"/>
          <w:highlight w:val="none"/>
        </w:rPr>
        <w:t>投标产品生产企业或服务提供企业按《关于政府采购支持监狱企业发展有关问题的通知》</w:t>
      </w:r>
      <w:r>
        <w:rPr>
          <w:rFonts w:hint="eastAsia"/>
          <w:color w:val="auto"/>
          <w:highlight w:val="none"/>
        </w:rPr>
        <w:t>（</w:t>
      </w:r>
      <w:r>
        <w:rPr>
          <w:color w:val="auto"/>
          <w:highlight w:val="none"/>
        </w:rPr>
        <w:t>财库[2014]68号</w:t>
      </w:r>
      <w:r>
        <w:rPr>
          <w:rFonts w:hint="eastAsia"/>
          <w:color w:val="auto"/>
          <w:highlight w:val="none"/>
        </w:rPr>
        <w:t>）</w:t>
      </w:r>
      <w:r>
        <w:rPr>
          <w:color w:val="auto"/>
          <w:highlight w:val="none"/>
        </w:rPr>
        <w:t>认定为监狱企业的，在政府采购活动中，监狱企业视同小型、微型企业。投标人应当提供由省级以上监狱管理局、戒毒管理局</w:t>
      </w:r>
      <w:r>
        <w:rPr>
          <w:rFonts w:hint="eastAsia"/>
          <w:color w:val="auto"/>
          <w:highlight w:val="none"/>
        </w:rPr>
        <w:t>（</w:t>
      </w:r>
      <w:r>
        <w:rPr>
          <w:color w:val="auto"/>
          <w:highlight w:val="none"/>
        </w:rPr>
        <w:t>含新疆生产建设兵团</w:t>
      </w:r>
      <w:r>
        <w:rPr>
          <w:rFonts w:hint="eastAsia"/>
          <w:color w:val="auto"/>
          <w:highlight w:val="none"/>
        </w:rPr>
        <w:t>）</w:t>
      </w:r>
      <w:r>
        <w:rPr>
          <w:color w:val="auto"/>
          <w:highlight w:val="none"/>
        </w:rPr>
        <w:t>出具的投标产品生产企业或服务提供企业属于监狱企业的证明文件，不再提供《中小企业声明函》；</w:t>
      </w:r>
    </w:p>
    <w:p w14:paraId="2B595936">
      <w:pPr>
        <w:pStyle w:val="149"/>
        <w:adjustRightInd w:val="0"/>
        <w:snapToGrid w:val="0"/>
        <w:spacing w:line="360" w:lineRule="exact"/>
        <w:ind w:firstLine="378" w:firstLineChars="180"/>
        <w:rPr>
          <w:color w:val="auto"/>
          <w:highlight w:val="none"/>
        </w:rPr>
      </w:pPr>
      <w:r>
        <w:rPr>
          <w:color w:val="auto"/>
          <w:highlight w:val="none"/>
        </w:rPr>
        <w:t>投标产品生产</w:t>
      </w:r>
      <w:r>
        <w:rPr>
          <w:rFonts w:hint="eastAsia"/>
          <w:color w:val="auto"/>
          <w:highlight w:val="none"/>
        </w:rPr>
        <w:t>单位</w:t>
      </w:r>
      <w:r>
        <w:rPr>
          <w:color w:val="auto"/>
          <w:highlight w:val="none"/>
        </w:rPr>
        <w:t>或服务提供</w:t>
      </w:r>
      <w:r>
        <w:rPr>
          <w:rFonts w:hint="eastAsia"/>
          <w:color w:val="auto"/>
          <w:highlight w:val="none"/>
        </w:rPr>
        <w:t>单位按《关于促进残疾人就业政府采购政策的通知》（财库〔2017〕141号）认定为残疾人福利性单位的，在政府采购活动中，残疾人福利性单位视同小型、微型企业。</w:t>
      </w:r>
      <w:r>
        <w:rPr>
          <w:color w:val="auto"/>
          <w:highlight w:val="none"/>
        </w:rPr>
        <w:t>投标人应当提供</w:t>
      </w:r>
      <w:r>
        <w:rPr>
          <w:rFonts w:hint="eastAsia"/>
          <w:color w:val="auto"/>
          <w:highlight w:val="none"/>
        </w:rPr>
        <w:t>该通知规定的</w:t>
      </w:r>
      <w:r>
        <w:rPr>
          <w:color w:val="auto"/>
          <w:highlight w:val="none"/>
        </w:rPr>
        <w:t>投标产品生产</w:t>
      </w:r>
      <w:r>
        <w:rPr>
          <w:rFonts w:hint="eastAsia"/>
          <w:color w:val="auto"/>
          <w:highlight w:val="none"/>
        </w:rPr>
        <w:t>单位</w:t>
      </w:r>
      <w:r>
        <w:rPr>
          <w:color w:val="auto"/>
          <w:highlight w:val="none"/>
        </w:rPr>
        <w:t>或服务提供</w:t>
      </w:r>
      <w:r>
        <w:rPr>
          <w:rFonts w:hint="eastAsia"/>
          <w:color w:val="auto"/>
          <w:highlight w:val="none"/>
        </w:rPr>
        <w:t>单位属于残疾人福利性单位的《残疾人福利性单位声明函》，</w:t>
      </w:r>
      <w:r>
        <w:rPr>
          <w:color w:val="auto"/>
          <w:highlight w:val="none"/>
        </w:rPr>
        <w:t>不再提供《中小企业声明函》</w:t>
      </w:r>
      <w:r>
        <w:rPr>
          <w:rFonts w:hint="eastAsia"/>
          <w:color w:val="auto"/>
          <w:highlight w:val="none"/>
        </w:rPr>
        <w:t>。</w:t>
      </w:r>
    </w:p>
    <w:p w14:paraId="6690A216">
      <w:pPr>
        <w:pStyle w:val="149"/>
        <w:adjustRightInd w:val="0"/>
        <w:snapToGrid w:val="0"/>
        <w:spacing w:line="360" w:lineRule="exact"/>
        <w:ind w:firstLine="378" w:firstLineChars="180"/>
        <w:rPr>
          <w:color w:val="auto"/>
          <w:highlight w:val="none"/>
        </w:rPr>
      </w:pPr>
      <w:r>
        <w:rPr>
          <w:rFonts w:hint="eastAsia"/>
          <w:color w:val="auto"/>
          <w:highlight w:val="none"/>
        </w:rPr>
        <w:t>本项目为专门面向中小企业，故不享受价格扣除。</w:t>
      </w:r>
    </w:p>
    <w:p w14:paraId="7F5A6D59">
      <w:pPr>
        <w:pStyle w:val="149"/>
        <w:adjustRightInd w:val="0"/>
        <w:snapToGrid w:val="0"/>
        <w:spacing w:line="360" w:lineRule="exact"/>
        <w:ind w:firstLine="378" w:firstLineChars="180"/>
        <w:rPr>
          <w:color w:val="auto"/>
          <w:highlight w:val="none"/>
        </w:rPr>
      </w:pPr>
      <w:r>
        <w:rPr>
          <w:rFonts w:hint="eastAsia"/>
          <w:color w:val="auto"/>
          <w:highlight w:val="none"/>
        </w:rPr>
        <w:t>（2）以满足采购文件要求的最低评标价为30分。</w:t>
      </w:r>
    </w:p>
    <w:p w14:paraId="2A1EA1E6">
      <w:pPr>
        <w:pStyle w:val="149"/>
        <w:adjustRightInd w:val="0"/>
        <w:snapToGrid w:val="0"/>
        <w:spacing w:line="360" w:lineRule="exact"/>
        <w:ind w:firstLine="378" w:firstLineChars="180"/>
        <w:rPr>
          <w:color w:val="auto"/>
          <w:highlight w:val="none"/>
        </w:rPr>
      </w:pPr>
      <w:r>
        <w:rPr>
          <w:rFonts w:hint="eastAsia"/>
          <w:color w:val="auto"/>
          <w:highlight w:val="none"/>
        </w:rPr>
        <w:t>（</w:t>
      </w:r>
      <w:r>
        <w:rPr>
          <w:color w:val="auto"/>
          <w:highlight w:val="none"/>
        </w:rPr>
        <w:t>3</w:t>
      </w:r>
      <w:r>
        <w:rPr>
          <w:rFonts w:hint="eastAsia"/>
          <w:color w:val="auto"/>
          <w:highlight w:val="none"/>
        </w:rPr>
        <w:t>）某投标人价格分</w:t>
      </w:r>
      <w:r>
        <w:rPr>
          <w:color w:val="auto"/>
          <w:highlight w:val="none"/>
        </w:rPr>
        <w:t xml:space="preserve"> = </w:t>
      </w:r>
      <w:r>
        <w:rPr>
          <w:rFonts w:hint="eastAsia"/>
          <w:color w:val="auto"/>
          <w:highlight w:val="none"/>
        </w:rPr>
        <w:t>投标人最低评标价（金额）</w:t>
      </w:r>
      <w:r>
        <w:rPr>
          <w:color w:val="auto"/>
          <w:highlight w:val="none"/>
        </w:rPr>
        <w:t>/</w:t>
      </w:r>
      <w:r>
        <w:rPr>
          <w:rFonts w:hint="eastAsia"/>
          <w:color w:val="auto"/>
          <w:highlight w:val="none"/>
        </w:rPr>
        <w:t>某投标人评标价（金额）×30分。</w:t>
      </w:r>
    </w:p>
    <w:p w14:paraId="507CBDF8">
      <w:pPr>
        <w:pStyle w:val="148"/>
        <w:spacing w:line="360" w:lineRule="exact"/>
        <w:ind w:firstLine="420" w:firstLineChars="200"/>
        <w:rPr>
          <w:rFonts w:hAnsi="宋体"/>
          <w:b/>
          <w:color w:val="auto"/>
          <w:highlight w:val="none"/>
        </w:rPr>
      </w:pPr>
      <w:r>
        <w:rPr>
          <w:rFonts w:hint="eastAsia"/>
          <w:b/>
          <w:bCs/>
          <w:color w:val="auto"/>
          <w:highlight w:val="none"/>
        </w:rPr>
        <w:t>2.技术分…………………………………………………………………………………………56分</w:t>
      </w:r>
    </w:p>
    <w:p w14:paraId="7406C970">
      <w:pPr>
        <w:pStyle w:val="149"/>
        <w:adjustRightInd w:val="0"/>
        <w:snapToGrid w:val="0"/>
        <w:spacing w:line="360" w:lineRule="exact"/>
        <w:ind w:firstLine="378" w:firstLineChars="180"/>
        <w:rPr>
          <w:color w:val="auto"/>
          <w:highlight w:val="none"/>
        </w:rPr>
      </w:pPr>
      <w:r>
        <w:rPr>
          <w:rFonts w:hint="eastAsia"/>
          <w:color w:val="auto"/>
          <w:highlight w:val="none"/>
        </w:rPr>
        <w:t>（1）一般技术参数要求响应得分（满分40分）</w:t>
      </w:r>
    </w:p>
    <w:p w14:paraId="5E1102EA">
      <w:pPr>
        <w:pStyle w:val="149"/>
        <w:adjustRightInd w:val="0"/>
        <w:snapToGrid w:val="0"/>
        <w:spacing w:line="360" w:lineRule="exact"/>
        <w:ind w:firstLine="378" w:firstLineChars="180"/>
        <w:rPr>
          <w:rFonts w:eastAsia="宋体"/>
          <w:color w:val="auto"/>
          <w:highlight w:val="none"/>
        </w:rPr>
      </w:pPr>
      <w:r>
        <w:rPr>
          <w:rFonts w:hint="eastAsia" w:eastAsia="宋体"/>
          <w:color w:val="auto"/>
          <w:highlight w:val="none"/>
        </w:rPr>
        <w:t>一般技术参数要求响应得分（共计36项），“仪器用途”“液相色谱部分”“质谱仪部分”“配套运行系统”“基本配置”等为技术参数要求的名称描述，不计入一般技术参数要求数量。</w:t>
      </w:r>
    </w:p>
    <w:p w14:paraId="341FDB58">
      <w:pPr>
        <w:pStyle w:val="149"/>
        <w:adjustRightInd w:val="0"/>
        <w:snapToGrid w:val="0"/>
        <w:spacing w:line="360" w:lineRule="exact"/>
        <w:ind w:firstLine="378" w:firstLineChars="180"/>
        <w:rPr>
          <w:rFonts w:eastAsia="宋体"/>
          <w:color w:val="auto"/>
          <w:highlight w:val="none"/>
        </w:rPr>
      </w:pPr>
      <w:r>
        <w:rPr>
          <w:rFonts w:hint="eastAsia" w:eastAsia="宋体"/>
          <w:color w:val="auto"/>
          <w:highlight w:val="none"/>
        </w:rPr>
        <w:t>一般技术参数满足</w:t>
      </w:r>
      <w:r>
        <w:rPr>
          <w:rFonts w:hint="eastAsia"/>
          <w:color w:val="auto"/>
          <w:highlight w:val="none"/>
        </w:rPr>
        <w:t>采购需求</w:t>
      </w:r>
      <w:r>
        <w:rPr>
          <w:rFonts w:hint="eastAsia" w:eastAsia="宋体"/>
          <w:color w:val="auto"/>
          <w:highlight w:val="none"/>
        </w:rPr>
        <w:t>的，每项</w:t>
      </w:r>
      <w:r>
        <w:rPr>
          <w:rFonts w:hint="eastAsia"/>
          <w:color w:val="auto"/>
          <w:highlight w:val="none"/>
        </w:rPr>
        <w:t>得</w:t>
      </w:r>
      <w:r>
        <w:rPr>
          <w:rFonts w:hint="eastAsia" w:eastAsia="宋体"/>
          <w:color w:val="auto"/>
          <w:highlight w:val="none"/>
        </w:rPr>
        <w:t>1.11分。</w:t>
      </w:r>
    </w:p>
    <w:p w14:paraId="0C5AC8C9">
      <w:pPr>
        <w:pStyle w:val="149"/>
        <w:adjustRightInd w:val="0"/>
        <w:snapToGrid w:val="0"/>
        <w:spacing w:line="360" w:lineRule="exact"/>
        <w:ind w:firstLine="378" w:firstLineChars="180"/>
        <w:rPr>
          <w:color w:val="auto"/>
          <w:highlight w:val="none"/>
        </w:rPr>
      </w:pPr>
      <w:r>
        <w:rPr>
          <w:rFonts w:hint="eastAsia"/>
          <w:color w:val="auto"/>
          <w:highlight w:val="none"/>
        </w:rPr>
        <w:t>注：一般技术参数要求是指技术参数要求中未标注“▲”、“★”的技术参数。</w:t>
      </w:r>
    </w:p>
    <w:p w14:paraId="33C79930">
      <w:pPr>
        <w:pStyle w:val="149"/>
        <w:adjustRightInd w:val="0"/>
        <w:snapToGrid w:val="0"/>
        <w:spacing w:line="360" w:lineRule="exact"/>
        <w:ind w:firstLine="378" w:firstLineChars="180"/>
        <w:rPr>
          <w:color w:val="auto"/>
          <w:highlight w:val="none"/>
        </w:rPr>
      </w:pPr>
    </w:p>
    <w:p w14:paraId="2418D3BD">
      <w:pPr>
        <w:pStyle w:val="149"/>
        <w:adjustRightInd w:val="0"/>
        <w:snapToGrid w:val="0"/>
        <w:spacing w:line="360" w:lineRule="exact"/>
        <w:ind w:firstLine="378" w:firstLineChars="180"/>
        <w:rPr>
          <w:color w:val="auto"/>
          <w:highlight w:val="none"/>
        </w:rPr>
      </w:pPr>
    </w:p>
    <w:p w14:paraId="503120A2">
      <w:pPr>
        <w:pStyle w:val="149"/>
        <w:adjustRightInd w:val="0"/>
        <w:snapToGrid w:val="0"/>
        <w:spacing w:line="360" w:lineRule="exact"/>
        <w:ind w:firstLine="378" w:firstLineChars="180"/>
        <w:rPr>
          <w:color w:val="auto"/>
          <w:highlight w:val="none"/>
        </w:rPr>
      </w:pPr>
      <w:r>
        <w:rPr>
          <w:rFonts w:hint="eastAsia"/>
          <w:color w:val="auto"/>
          <w:highlight w:val="none"/>
        </w:rPr>
        <w:t>（2）技术及项目实施方案分（满分9分）</w:t>
      </w:r>
    </w:p>
    <w:p w14:paraId="65F6CE11">
      <w:pPr>
        <w:pStyle w:val="149"/>
        <w:snapToGrid w:val="0"/>
        <w:spacing w:line="360" w:lineRule="exact"/>
        <w:ind w:firstLine="378" w:firstLineChars="180"/>
        <w:rPr>
          <w:rFonts w:eastAsia="宋体"/>
          <w:color w:val="auto"/>
          <w:highlight w:val="none"/>
        </w:rPr>
      </w:pPr>
      <w:r>
        <w:rPr>
          <w:rFonts w:eastAsia="宋体"/>
          <w:color w:val="auto"/>
          <w:highlight w:val="none"/>
        </w:rPr>
        <w:t>根据投标文件中投标人技术及项目实施方案内容独立评分。</w:t>
      </w:r>
    </w:p>
    <w:p w14:paraId="1B7F484D">
      <w:pPr>
        <w:pStyle w:val="149"/>
        <w:snapToGrid w:val="0"/>
        <w:spacing w:line="360" w:lineRule="exact"/>
        <w:ind w:firstLine="378" w:firstLineChars="180"/>
        <w:rPr>
          <w:rFonts w:eastAsia="宋体"/>
          <w:color w:val="auto"/>
          <w:highlight w:val="none"/>
        </w:rPr>
      </w:pPr>
      <w:r>
        <w:rPr>
          <w:rFonts w:hint="eastAsia" w:eastAsia="宋体"/>
          <w:color w:val="auto"/>
          <w:highlight w:val="none"/>
        </w:rPr>
        <w:t>一档（3分）：管理措施、具体实施流程、进度安排、质量保证措施等方案</w:t>
      </w:r>
      <w:r>
        <w:rPr>
          <w:rFonts w:eastAsia="宋体"/>
          <w:color w:val="auto"/>
          <w:highlight w:val="none"/>
        </w:rPr>
        <w:t>内容齐全，符合基础条件</w:t>
      </w:r>
      <w:r>
        <w:rPr>
          <w:rFonts w:hint="eastAsia" w:eastAsia="宋体"/>
          <w:color w:val="auto"/>
          <w:highlight w:val="none"/>
        </w:rPr>
        <w:t>的。</w:t>
      </w:r>
    </w:p>
    <w:p w14:paraId="354A4F8C">
      <w:pPr>
        <w:pStyle w:val="149"/>
        <w:snapToGrid w:val="0"/>
        <w:spacing w:line="360" w:lineRule="exact"/>
        <w:ind w:firstLine="378" w:firstLineChars="180"/>
        <w:rPr>
          <w:rFonts w:eastAsia="宋体"/>
          <w:color w:val="auto"/>
          <w:highlight w:val="none"/>
        </w:rPr>
      </w:pPr>
      <w:r>
        <w:rPr>
          <w:rFonts w:hint="eastAsia" w:eastAsia="宋体"/>
          <w:color w:val="auto"/>
          <w:highlight w:val="none"/>
        </w:rPr>
        <w:t>二档（6分）：管理措施、具体实施流程、进度安排、质量保证措施等方案内容齐全，</w:t>
      </w:r>
      <w:r>
        <w:rPr>
          <w:rFonts w:eastAsia="宋体"/>
          <w:color w:val="auto"/>
          <w:highlight w:val="none"/>
        </w:rPr>
        <w:t>方案有可行性，</w:t>
      </w:r>
      <w:r>
        <w:rPr>
          <w:rFonts w:hint="eastAsia" w:eastAsia="宋体"/>
          <w:color w:val="auto"/>
          <w:highlight w:val="none"/>
        </w:rPr>
        <w:t>无明显错误。</w:t>
      </w:r>
    </w:p>
    <w:p w14:paraId="737BA3B0">
      <w:pPr>
        <w:pStyle w:val="149"/>
        <w:snapToGrid w:val="0"/>
        <w:spacing w:line="360" w:lineRule="exact"/>
        <w:ind w:firstLine="378" w:firstLineChars="180"/>
        <w:rPr>
          <w:rFonts w:eastAsia="宋体"/>
          <w:color w:val="auto"/>
          <w:highlight w:val="none"/>
        </w:rPr>
      </w:pPr>
      <w:r>
        <w:rPr>
          <w:rFonts w:hint="eastAsia" w:eastAsia="宋体"/>
          <w:color w:val="auto"/>
          <w:highlight w:val="none"/>
        </w:rPr>
        <w:t>三档（9分）：管理措施、具体实施流程、进度安排、质量保证措施等方案内容齐全，方案有可行性</w:t>
      </w:r>
      <w:r>
        <w:rPr>
          <w:rFonts w:eastAsia="宋体"/>
          <w:color w:val="auto"/>
          <w:highlight w:val="none"/>
        </w:rPr>
        <w:t>，</w:t>
      </w:r>
      <w:r>
        <w:rPr>
          <w:rFonts w:hint="eastAsia" w:eastAsia="宋体"/>
          <w:color w:val="auto"/>
          <w:highlight w:val="none"/>
        </w:rPr>
        <w:t>无明显错误，有利于采购项目实施的内容或合理性建议的。</w:t>
      </w:r>
    </w:p>
    <w:p w14:paraId="486FDCC8">
      <w:pPr>
        <w:pStyle w:val="149"/>
        <w:adjustRightInd w:val="0"/>
        <w:snapToGrid w:val="0"/>
        <w:spacing w:line="360" w:lineRule="exact"/>
        <w:ind w:firstLine="379" w:firstLineChars="180"/>
        <w:rPr>
          <w:b/>
          <w:bCs/>
          <w:color w:val="auto"/>
          <w:highlight w:val="none"/>
        </w:rPr>
      </w:pPr>
      <w:r>
        <w:rPr>
          <w:rFonts w:eastAsia="宋体" w:cs="Times New Roman"/>
          <w:b/>
          <w:bCs/>
          <w:color w:val="auto"/>
          <w:highlight w:val="none"/>
        </w:rPr>
        <w:t>无技术及项目实施方案内容或不齐全的不得分。</w:t>
      </w:r>
    </w:p>
    <w:p w14:paraId="5F8B5AEA">
      <w:pPr>
        <w:pStyle w:val="149"/>
        <w:snapToGrid w:val="0"/>
        <w:spacing w:line="360" w:lineRule="exact"/>
        <w:ind w:firstLine="378" w:firstLineChars="180"/>
        <w:rPr>
          <w:color w:val="auto"/>
          <w:highlight w:val="none"/>
        </w:rPr>
      </w:pPr>
      <w:r>
        <w:rPr>
          <w:rFonts w:hint="eastAsia"/>
          <w:color w:val="auto"/>
          <w:highlight w:val="none"/>
        </w:rPr>
        <w:t>（3）技术人员分（满分4分）</w:t>
      </w:r>
    </w:p>
    <w:p w14:paraId="0C79A7EF">
      <w:pPr>
        <w:pStyle w:val="149"/>
        <w:snapToGrid w:val="0"/>
        <w:spacing w:line="360" w:lineRule="exact"/>
        <w:ind w:firstLine="378" w:firstLineChars="180"/>
        <w:rPr>
          <w:rFonts w:eastAsia="宋体" w:cs="Times New Roman"/>
          <w:color w:val="auto"/>
          <w:highlight w:val="none"/>
        </w:rPr>
      </w:pPr>
      <w:r>
        <w:rPr>
          <w:rFonts w:hint="eastAsia" w:eastAsia="宋体" w:cs="Times New Roman"/>
          <w:color w:val="auto"/>
          <w:highlight w:val="none"/>
        </w:rPr>
        <w:t xml:space="preserve">根据投标文件中投标人技术人员方案内容独立评分。   </w:t>
      </w:r>
    </w:p>
    <w:p w14:paraId="6EB18C2B">
      <w:pPr>
        <w:pStyle w:val="149"/>
        <w:snapToGrid w:val="0"/>
        <w:spacing w:line="360" w:lineRule="exact"/>
        <w:ind w:firstLine="378" w:firstLineChars="180"/>
        <w:rPr>
          <w:rFonts w:eastAsia="宋体" w:cs="Times New Roman"/>
          <w:color w:val="auto"/>
          <w:highlight w:val="none"/>
        </w:rPr>
      </w:pPr>
      <w:r>
        <w:rPr>
          <w:rFonts w:hint="eastAsia" w:eastAsia="宋体" w:cs="Times New Roman"/>
          <w:color w:val="auto"/>
          <w:highlight w:val="none"/>
        </w:rPr>
        <w:t xml:space="preserve">一档（1分）：技术人员投入计划，技术人员在安装调试过程提供技术支持和协助计划，拟派技术人员的经验介绍等方案内容齐全，符合基础条件的。 </w:t>
      </w:r>
    </w:p>
    <w:p w14:paraId="004D3572">
      <w:pPr>
        <w:pStyle w:val="149"/>
        <w:snapToGrid w:val="0"/>
        <w:spacing w:line="360" w:lineRule="exact"/>
        <w:ind w:firstLine="378" w:firstLineChars="180"/>
        <w:rPr>
          <w:rFonts w:eastAsia="宋体" w:cs="Times New Roman"/>
          <w:color w:val="auto"/>
          <w:highlight w:val="none"/>
        </w:rPr>
      </w:pPr>
      <w:r>
        <w:rPr>
          <w:rFonts w:hint="eastAsia" w:eastAsia="宋体" w:cs="Times New Roman"/>
          <w:color w:val="auto"/>
          <w:highlight w:val="none"/>
        </w:rPr>
        <w:t>二档（2分）：技术人员投入计划，有技术人员在安装调试过程提供技术支持和协助计划，拟派技术人员的经验介绍等方案内容齐全，有可行性，</w:t>
      </w:r>
      <w:r>
        <w:rPr>
          <w:rFonts w:hint="eastAsia" w:eastAsia="宋体"/>
          <w:color w:val="auto"/>
          <w:highlight w:val="none"/>
        </w:rPr>
        <w:t>无明显错误的</w:t>
      </w:r>
      <w:r>
        <w:rPr>
          <w:rFonts w:hint="eastAsia" w:eastAsia="宋体" w:cs="Times New Roman"/>
          <w:color w:val="auto"/>
          <w:highlight w:val="none"/>
        </w:rPr>
        <w:t xml:space="preserve">。 </w:t>
      </w:r>
    </w:p>
    <w:p w14:paraId="2A3E24C1">
      <w:pPr>
        <w:pStyle w:val="149"/>
        <w:snapToGrid w:val="0"/>
        <w:spacing w:line="360" w:lineRule="exact"/>
        <w:ind w:firstLine="378" w:firstLineChars="180"/>
        <w:rPr>
          <w:rFonts w:eastAsia="宋体" w:cs="Times New Roman"/>
          <w:color w:val="auto"/>
          <w:highlight w:val="none"/>
        </w:rPr>
      </w:pPr>
      <w:r>
        <w:rPr>
          <w:rFonts w:hint="eastAsia" w:eastAsia="宋体" w:cs="Times New Roman"/>
          <w:color w:val="auto"/>
          <w:highlight w:val="none"/>
        </w:rPr>
        <w:t>三档（4分）：技术人员投入计划，有技术人员在安装调试过程提供技术支持和协助计划，拟派技术人员的经验介绍等方案内容齐全，方案有具体措施，有可行性</w:t>
      </w:r>
      <w:r>
        <w:rPr>
          <w:rFonts w:hint="eastAsia" w:eastAsia="宋体"/>
          <w:color w:val="auto"/>
          <w:highlight w:val="none"/>
        </w:rPr>
        <w:t>，无明显错误，有利于采购项目实施的内容或合理性建议的</w:t>
      </w:r>
      <w:r>
        <w:rPr>
          <w:rFonts w:hint="eastAsia" w:eastAsia="宋体" w:cs="Times New Roman"/>
          <w:color w:val="auto"/>
          <w:highlight w:val="none"/>
        </w:rPr>
        <w:t>。</w:t>
      </w:r>
    </w:p>
    <w:p w14:paraId="5E3F1922">
      <w:pPr>
        <w:pStyle w:val="149"/>
        <w:adjustRightInd w:val="0"/>
        <w:snapToGrid w:val="0"/>
        <w:spacing w:line="360" w:lineRule="exact"/>
        <w:ind w:firstLine="379" w:firstLineChars="180"/>
        <w:rPr>
          <w:color w:val="auto"/>
          <w:highlight w:val="none"/>
        </w:rPr>
      </w:pPr>
      <w:r>
        <w:rPr>
          <w:rFonts w:eastAsia="宋体" w:cs="Times New Roman"/>
          <w:b/>
          <w:bCs/>
          <w:color w:val="auto"/>
          <w:highlight w:val="none"/>
        </w:rPr>
        <w:t>无技术人员方案或不齐全的不得分。</w:t>
      </w:r>
    </w:p>
    <w:p w14:paraId="1EFADD05">
      <w:pPr>
        <w:pStyle w:val="149"/>
        <w:adjustRightInd w:val="0"/>
        <w:snapToGrid w:val="0"/>
        <w:spacing w:line="360" w:lineRule="exact"/>
        <w:ind w:firstLine="378" w:firstLineChars="180"/>
        <w:rPr>
          <w:color w:val="auto"/>
          <w:highlight w:val="none"/>
        </w:rPr>
      </w:pPr>
      <w:r>
        <w:rPr>
          <w:rFonts w:hint="eastAsia"/>
          <w:color w:val="auto"/>
          <w:highlight w:val="none"/>
        </w:rPr>
        <w:t>（4）培训计划分（满分3分）</w:t>
      </w:r>
    </w:p>
    <w:p w14:paraId="4EE8A2E3">
      <w:pPr>
        <w:spacing w:line="360" w:lineRule="exact"/>
        <w:ind w:firstLine="420" w:firstLineChars="200"/>
        <w:rPr>
          <w:rFonts w:ascii="宋体" w:hAnsi="宋体" w:eastAsia="宋体"/>
          <w:color w:val="auto"/>
          <w:kern w:val="0"/>
          <w:szCs w:val="21"/>
          <w:highlight w:val="none"/>
        </w:rPr>
      </w:pPr>
      <w:r>
        <w:rPr>
          <w:rFonts w:hint="eastAsia" w:ascii="宋体" w:hAnsi="宋体" w:eastAsia="宋体"/>
          <w:color w:val="auto"/>
          <w:kern w:val="0"/>
          <w:szCs w:val="21"/>
          <w:highlight w:val="none"/>
        </w:rPr>
        <w:t xml:space="preserve">根据投标文件中投标人培训方案内容独立评分。  </w:t>
      </w:r>
    </w:p>
    <w:p w14:paraId="48C4C3F3">
      <w:pPr>
        <w:spacing w:line="360" w:lineRule="exact"/>
        <w:ind w:firstLine="420" w:firstLineChars="200"/>
        <w:rPr>
          <w:rFonts w:ascii="宋体" w:hAnsi="宋体" w:eastAsia="宋体"/>
          <w:color w:val="auto"/>
          <w:kern w:val="0"/>
          <w:szCs w:val="21"/>
          <w:highlight w:val="none"/>
        </w:rPr>
      </w:pPr>
      <w:r>
        <w:rPr>
          <w:rFonts w:hint="eastAsia" w:ascii="宋体" w:hAnsi="宋体" w:eastAsia="宋体"/>
          <w:color w:val="auto"/>
          <w:kern w:val="0"/>
          <w:szCs w:val="21"/>
          <w:highlight w:val="none"/>
        </w:rPr>
        <w:t>一档（1分）：培训方案有简单的培训计划安排，能满足基本要求。</w:t>
      </w:r>
    </w:p>
    <w:p w14:paraId="65A1E4BD">
      <w:pPr>
        <w:spacing w:line="360" w:lineRule="exact"/>
        <w:ind w:firstLine="420" w:firstLineChars="200"/>
        <w:rPr>
          <w:rFonts w:ascii="宋体" w:hAnsi="宋体" w:eastAsia="宋体"/>
          <w:color w:val="auto"/>
          <w:kern w:val="0"/>
          <w:szCs w:val="21"/>
          <w:highlight w:val="none"/>
        </w:rPr>
      </w:pPr>
      <w:r>
        <w:rPr>
          <w:rFonts w:hint="eastAsia" w:ascii="宋体" w:hAnsi="宋体" w:eastAsia="宋体"/>
          <w:color w:val="auto"/>
          <w:kern w:val="0"/>
          <w:szCs w:val="21"/>
          <w:highlight w:val="none"/>
        </w:rPr>
        <w:t>二档（3分）：培训方案应全面、详细，方案内容至少包含：拟派培训人员的安排及介绍、培训时间、规模人数、设备功能理论、简单故障排除等内容。</w:t>
      </w:r>
    </w:p>
    <w:p w14:paraId="6AA11489">
      <w:pPr>
        <w:pStyle w:val="149"/>
        <w:adjustRightInd w:val="0"/>
        <w:snapToGrid w:val="0"/>
        <w:spacing w:line="360" w:lineRule="exact"/>
        <w:ind w:firstLine="379" w:firstLineChars="180"/>
        <w:rPr>
          <w:color w:val="auto"/>
          <w:highlight w:val="none"/>
        </w:rPr>
      </w:pPr>
      <w:r>
        <w:rPr>
          <w:rFonts w:eastAsia="宋体" w:cs="Times New Roman"/>
          <w:b/>
          <w:bCs/>
          <w:color w:val="auto"/>
          <w:highlight w:val="none"/>
        </w:rPr>
        <w:t>未提供或有明显错误的不得分。</w:t>
      </w:r>
    </w:p>
    <w:p w14:paraId="6A11024E">
      <w:pPr>
        <w:pStyle w:val="148"/>
        <w:spacing w:line="360" w:lineRule="exact"/>
        <w:ind w:firstLine="420" w:firstLineChars="200"/>
        <w:rPr>
          <w:rFonts w:ascii="宋体" w:hAnsi="宋体"/>
          <w:color w:val="auto"/>
          <w:highlight w:val="none"/>
        </w:rPr>
      </w:pPr>
      <w:r>
        <w:rPr>
          <w:rFonts w:hint="eastAsia"/>
          <w:b/>
          <w:bCs/>
          <w:color w:val="auto"/>
          <w:highlight w:val="none"/>
        </w:rPr>
        <w:t>3.售后服务分……………………………………………………………………………………10分</w:t>
      </w:r>
    </w:p>
    <w:p w14:paraId="0E104BCA">
      <w:pPr>
        <w:pStyle w:val="149"/>
        <w:adjustRightInd w:val="0"/>
        <w:snapToGrid w:val="0"/>
        <w:spacing w:line="360" w:lineRule="exact"/>
        <w:ind w:firstLine="378" w:firstLineChars="180"/>
        <w:rPr>
          <w:color w:val="auto"/>
          <w:highlight w:val="none"/>
        </w:rPr>
      </w:pPr>
      <w:r>
        <w:rPr>
          <w:rFonts w:hint="eastAsia"/>
          <w:color w:val="auto"/>
          <w:highlight w:val="none"/>
        </w:rPr>
        <w:t>（1）售后服务承诺分（满分8分）</w:t>
      </w:r>
    </w:p>
    <w:p w14:paraId="14C6D5F4">
      <w:pPr>
        <w:spacing w:line="360" w:lineRule="exact"/>
        <w:ind w:firstLine="420" w:firstLineChars="200"/>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一档（4分）：售后服务方案仅满足招标文件基本要求。</w:t>
      </w:r>
    </w:p>
    <w:p w14:paraId="09BC2271">
      <w:pPr>
        <w:spacing w:line="360" w:lineRule="exact"/>
        <w:ind w:firstLine="420" w:firstLineChars="200"/>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二档（8分）：售后服务方案细致、合理、可行，能提供生产厂家售后服务承诺书原件，有详细的售后服务管理制度、售后服务流程、应急预案、年度保养计划、发生故障时提供备用机或其他替代解决的具体措施、质量保障方案。</w:t>
      </w:r>
    </w:p>
    <w:p w14:paraId="7997E0D1">
      <w:pPr>
        <w:spacing w:line="360" w:lineRule="exact"/>
        <w:ind w:firstLine="422" w:firstLineChars="200"/>
        <w:rPr>
          <w:rFonts w:ascii="宋体" w:hAnsi="宋体"/>
          <w:color w:val="auto"/>
          <w:kern w:val="0"/>
          <w:szCs w:val="21"/>
          <w:highlight w:val="none"/>
        </w:rPr>
      </w:pPr>
      <w:r>
        <w:rPr>
          <w:rFonts w:hint="eastAsia" w:ascii="宋体" w:hAnsi="宋体" w:eastAsia="宋体" w:cs="Times New Roman"/>
          <w:b/>
          <w:bCs/>
          <w:color w:val="auto"/>
          <w:kern w:val="0"/>
          <w:szCs w:val="21"/>
          <w:highlight w:val="none"/>
        </w:rPr>
        <w:t>未提供或有明显错误的不得分。</w:t>
      </w:r>
    </w:p>
    <w:p w14:paraId="1AA4646C">
      <w:pPr>
        <w:pStyle w:val="149"/>
        <w:adjustRightInd w:val="0"/>
        <w:snapToGrid w:val="0"/>
        <w:spacing w:line="360" w:lineRule="exact"/>
        <w:ind w:firstLine="378" w:firstLineChars="180"/>
        <w:rPr>
          <w:color w:val="auto"/>
          <w:highlight w:val="none"/>
        </w:rPr>
      </w:pPr>
      <w:r>
        <w:rPr>
          <w:rFonts w:hint="eastAsia"/>
          <w:color w:val="auto"/>
          <w:highlight w:val="none"/>
        </w:rPr>
        <w:t>（2）质保期（保修期）（满分2分）</w:t>
      </w:r>
    </w:p>
    <w:p w14:paraId="236A947B">
      <w:pPr>
        <w:pStyle w:val="149"/>
        <w:adjustRightInd w:val="0"/>
        <w:snapToGrid w:val="0"/>
        <w:spacing w:line="360" w:lineRule="exact"/>
        <w:ind w:firstLine="378" w:firstLineChars="180"/>
        <w:rPr>
          <w:color w:val="auto"/>
          <w:highlight w:val="none"/>
        </w:rPr>
      </w:pPr>
      <w:r>
        <w:rPr>
          <w:rFonts w:hint="eastAsia" w:eastAsia="宋体"/>
          <w:color w:val="auto"/>
          <w:highlight w:val="none"/>
        </w:rPr>
        <w:t>在满足基本质保期（保修期）（3年）的基础上，免费保修期每延长6个月得0.5分（以产品生产厂家承诺为准，投标文件中提供厂家证明文件复印件加盖投标单位公章），满分2分。</w:t>
      </w:r>
    </w:p>
    <w:p w14:paraId="5B2951D5">
      <w:pPr>
        <w:pStyle w:val="148"/>
        <w:spacing w:line="360" w:lineRule="exact"/>
        <w:ind w:firstLine="420" w:firstLineChars="200"/>
        <w:rPr>
          <w:rFonts w:ascii="宋体" w:hAnsi="宋体"/>
          <w:color w:val="auto"/>
          <w:highlight w:val="none"/>
        </w:rPr>
      </w:pPr>
      <w:r>
        <w:rPr>
          <w:rFonts w:hint="eastAsia"/>
          <w:b/>
          <w:bCs/>
          <w:color w:val="auto"/>
          <w:highlight w:val="none"/>
        </w:rPr>
        <w:t>4.信誉分…………………………………………………………………………………………3分</w:t>
      </w:r>
    </w:p>
    <w:p w14:paraId="7DFFE2E7">
      <w:pPr>
        <w:pStyle w:val="149"/>
        <w:adjustRightInd w:val="0"/>
        <w:snapToGrid w:val="0"/>
        <w:spacing w:line="360" w:lineRule="exact"/>
        <w:ind w:firstLine="378" w:firstLineChars="180"/>
        <w:rPr>
          <w:color w:val="auto"/>
          <w:highlight w:val="none"/>
        </w:rPr>
      </w:pPr>
      <w:r>
        <w:rPr>
          <w:rFonts w:hint="eastAsia"/>
          <w:color w:val="auto"/>
          <w:highlight w:val="none"/>
        </w:rPr>
        <w:t>信誉及业绩（满分3分）</w:t>
      </w:r>
    </w:p>
    <w:p w14:paraId="45DFE89D">
      <w:pPr>
        <w:spacing w:line="3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1）投标人或所投产品制造商通过ISO9001系列国际质量体系认证、ISO13485医疗器械质量管理体系认证及ISO 14001环境管理体系认证的，每有1项得0.5分，满分1.5分。</w:t>
      </w:r>
    </w:p>
    <w:p w14:paraId="4A6325B0">
      <w:pPr>
        <w:spacing w:line="3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注：投标文件中提供有效的证书复印件（或扫描件）并加盖投标人电子签章，非中文文本的请提供中文翻译文本，否则不予以计分。</w:t>
      </w:r>
    </w:p>
    <w:p w14:paraId="48787FA9">
      <w:pPr>
        <w:spacing w:line="3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（2）投标人或所投产品制造商2022年1月1日至今同类项目（同类项目业绩指与采购标的产品相同类型设备的业绩）业绩，每有1项得0.5分，满分1.5分。</w:t>
      </w:r>
    </w:p>
    <w:p w14:paraId="627BE8D4">
      <w:pPr>
        <w:pStyle w:val="149"/>
        <w:adjustRightInd w:val="0"/>
        <w:snapToGrid w:val="0"/>
        <w:spacing w:line="360" w:lineRule="exact"/>
        <w:ind w:firstLine="590" w:firstLineChars="280"/>
        <w:rPr>
          <w:rFonts w:eastAsia="宋体" w:cs="宋体"/>
          <w:color w:val="auto"/>
          <w:highlight w:val="none"/>
        </w:rPr>
      </w:pPr>
      <w:r>
        <w:rPr>
          <w:rFonts w:hint="eastAsia" w:eastAsia="宋体" w:cs="宋体"/>
          <w:b/>
          <w:color w:val="auto"/>
          <w:highlight w:val="none"/>
        </w:rPr>
        <w:t>注：投标文件中提供有效的中标通知书或合同复印件（或扫描件）并加盖投标人电子签章，否则不予以计分。</w:t>
      </w:r>
    </w:p>
    <w:p w14:paraId="59B6565B">
      <w:pPr>
        <w:pStyle w:val="148"/>
        <w:spacing w:line="360" w:lineRule="exact"/>
        <w:ind w:firstLine="420" w:firstLineChars="200"/>
        <w:rPr>
          <w:rFonts w:ascii="宋体" w:hAnsi="宋体"/>
          <w:color w:val="auto"/>
          <w:highlight w:val="none"/>
        </w:rPr>
      </w:pPr>
      <w:r>
        <w:rPr>
          <w:rFonts w:hint="eastAsia"/>
          <w:b/>
          <w:bCs/>
          <w:color w:val="auto"/>
          <w:highlight w:val="none"/>
        </w:rPr>
        <w:t>5.政策功能分……………………………………………………………………………………1分</w:t>
      </w:r>
    </w:p>
    <w:p w14:paraId="5E0D1CC6">
      <w:pPr>
        <w:pStyle w:val="149"/>
        <w:adjustRightInd w:val="0"/>
        <w:snapToGrid w:val="0"/>
        <w:spacing w:line="360" w:lineRule="exact"/>
        <w:ind w:firstLine="378" w:firstLineChars="180"/>
        <w:rPr>
          <w:color w:val="auto"/>
          <w:highlight w:val="none"/>
        </w:rPr>
      </w:pPr>
      <w:r>
        <w:rPr>
          <w:rFonts w:hint="eastAsia"/>
          <w:color w:val="auto"/>
          <w:highlight w:val="none"/>
        </w:rPr>
        <w:t>节能、环保分（满分1分）</w:t>
      </w:r>
    </w:p>
    <w:p w14:paraId="4C0C26AD">
      <w:pPr>
        <w:widowControl/>
        <w:spacing w:line="360" w:lineRule="exact"/>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rPr>
        <w:t>所投产品</w:t>
      </w:r>
      <w:r>
        <w:rPr>
          <w:rFonts w:hint="eastAsia" w:ascii="宋体" w:hAnsi="宋体" w:eastAsia="宋体" w:cs="宋体"/>
          <w:color w:val="auto"/>
          <w:szCs w:val="21"/>
          <w:highlight w:val="none"/>
        </w:rPr>
        <w:t>属于财政部《节能产品政府采购品目清单》内优先采购的产品[投标文件中提供有效的认证证书复印件（或扫描件）及品目清单（标注出投标产品在品目清单中所属的品目），并加盖投标人电子签章]，得0.5分。</w:t>
      </w:r>
    </w:p>
    <w:p w14:paraId="6ACDFDAF">
      <w:pPr>
        <w:pStyle w:val="149"/>
        <w:adjustRightInd w:val="0"/>
        <w:snapToGrid w:val="0"/>
        <w:spacing w:line="360" w:lineRule="exact"/>
        <w:ind w:firstLine="378" w:firstLineChars="180"/>
        <w:rPr>
          <w:rFonts w:cs="宋体"/>
          <w:color w:val="auto"/>
          <w:highlight w:val="none"/>
        </w:rPr>
      </w:pPr>
      <w:r>
        <w:rPr>
          <w:rFonts w:hint="eastAsia" w:eastAsia="宋体" w:cs="宋体"/>
          <w:color w:val="auto"/>
          <w:highlight w:val="none"/>
        </w:rPr>
        <w:t>（2）</w:t>
      </w:r>
      <w:r>
        <w:rPr>
          <w:rFonts w:hint="eastAsia" w:cs="宋体"/>
          <w:color w:val="auto"/>
          <w:highlight w:val="none"/>
        </w:rPr>
        <w:t>所投产品</w:t>
      </w:r>
      <w:r>
        <w:rPr>
          <w:rFonts w:hint="eastAsia" w:eastAsia="宋体" w:cs="宋体"/>
          <w:color w:val="auto"/>
          <w:highlight w:val="none"/>
        </w:rPr>
        <w:t>属于财政部《环境标志产品政府采购品目清单》内的产品[投标文件中提供有效的认证证书复印件（或扫描件）及品目清单（标注出投标产品在品目清单中所属的品目），并加盖投标人电子签章]，得0.5分。</w:t>
      </w:r>
    </w:p>
    <w:p w14:paraId="1C7F8414">
      <w:pPr>
        <w:adjustRightInd w:val="0"/>
        <w:snapToGrid w:val="0"/>
        <w:spacing w:line="360" w:lineRule="exact"/>
        <w:jc w:val="left"/>
        <w:rPr>
          <w:rFonts w:hAnsi="宋体"/>
          <w:b/>
          <w:color w:val="auto"/>
          <w:highlight w:val="none"/>
        </w:rPr>
      </w:pPr>
    </w:p>
    <w:p w14:paraId="4EF6053B">
      <w:pPr>
        <w:numPr>
          <w:ilvl w:val="0"/>
          <w:numId w:val="9"/>
        </w:numPr>
        <w:adjustRightInd w:val="0"/>
        <w:snapToGrid w:val="0"/>
        <w:spacing w:line="360" w:lineRule="exact"/>
        <w:jc w:val="left"/>
        <w:rPr>
          <w:rFonts w:hAnsi="宋体"/>
          <w:b/>
          <w:color w:val="auto"/>
          <w:highlight w:val="none"/>
        </w:rPr>
      </w:pPr>
      <w:r>
        <w:rPr>
          <w:rFonts w:hint="eastAsia" w:hAnsi="宋体"/>
          <w:b/>
          <w:color w:val="auto"/>
          <w:highlight w:val="none"/>
        </w:rPr>
        <w:t>总得分=1+ 2+ 3+ 4+ 5。</w:t>
      </w:r>
    </w:p>
    <w:p w14:paraId="207F1C80">
      <w:pPr>
        <w:pStyle w:val="144"/>
        <w:spacing w:line="360" w:lineRule="exact"/>
        <w:rPr>
          <w:color w:val="auto"/>
          <w:highlight w:val="none"/>
          <w:lang w:val="zh-CN"/>
        </w:rPr>
      </w:pPr>
    </w:p>
    <w:bookmarkEnd w:id="139"/>
    <w:p w14:paraId="0F290ED6">
      <w:pPr>
        <w:spacing w:line="360" w:lineRule="exact"/>
        <w:ind w:firstLine="422" w:firstLineChars="200"/>
        <w:jc w:val="left"/>
        <w:rPr>
          <w:rFonts w:ascii="宋体" w:hAnsi="宋体" w:eastAsia="宋体" w:cs="宋体"/>
          <w:b/>
          <w:color w:val="auto"/>
          <w:szCs w:val="21"/>
          <w:highlight w:val="none"/>
          <w:lang w:bidi="ar"/>
        </w:rPr>
      </w:pPr>
      <w:r>
        <w:rPr>
          <w:rFonts w:hint="eastAsia" w:ascii="宋体" w:hAnsi="宋体" w:eastAsia="宋体" w:cs="宋体"/>
          <w:b/>
          <w:color w:val="auto"/>
          <w:szCs w:val="21"/>
          <w:highlight w:val="none"/>
          <w:lang w:bidi="ar"/>
        </w:rPr>
        <w:t>四、中标候选人推荐原则</w:t>
      </w:r>
    </w:p>
    <w:p w14:paraId="3220F8A9">
      <w:pPr>
        <w:widowControl/>
        <w:spacing w:line="360" w:lineRule="exact"/>
        <w:ind w:firstLine="525" w:firstLineChars="250"/>
        <w:jc w:val="left"/>
        <w:rPr>
          <w:rFonts w:ascii="宋体" w:hAnsi="宋体" w:eastAsia="宋体" w:cs="宋体"/>
          <w:bCs/>
          <w:color w:val="auto"/>
          <w:kern w:val="0"/>
          <w:szCs w:val="21"/>
          <w:highlight w:val="none"/>
          <w:lang w:val="zh-CN"/>
        </w:rPr>
      </w:pPr>
      <w:r>
        <w:rPr>
          <w:rFonts w:hint="eastAsia" w:ascii="宋体" w:hAnsi="宋体" w:eastAsia="宋体" w:cs="宋体"/>
          <w:bCs/>
          <w:color w:val="auto"/>
          <w:kern w:val="0"/>
          <w:szCs w:val="21"/>
          <w:highlight w:val="none"/>
          <w:lang w:val="zh-CN"/>
        </w:rPr>
        <w:t>（一）评标委员会将根据得分由高到低排列次序</w:t>
      </w:r>
      <w:r>
        <w:rPr>
          <w:rFonts w:hint="eastAsia" w:ascii="宋体" w:hAnsi="宋体" w:eastAsia="宋体" w:cs="宋体"/>
          <w:b/>
          <w:bCs/>
          <w:color w:val="auto"/>
          <w:kern w:val="0"/>
          <w:szCs w:val="21"/>
          <w:highlight w:val="none"/>
          <w:lang w:val="zh-CN"/>
        </w:rPr>
        <w:t>（得分相同时，以投标报价由低到高顺序排列；得分相同且投标报价相同的，按技术指标优劣顺序排列）</w:t>
      </w:r>
      <w:r>
        <w:rPr>
          <w:rFonts w:hint="eastAsia" w:ascii="宋体" w:hAnsi="宋体" w:eastAsia="宋体" w:cs="宋体"/>
          <w:bCs/>
          <w:color w:val="auto"/>
          <w:kern w:val="0"/>
          <w:szCs w:val="21"/>
          <w:highlight w:val="none"/>
          <w:lang w:val="zh-CN"/>
        </w:rPr>
        <w:t>并推荐中标候选供应商。招标人应当确定评审委员会推荐排名第一的中标候选人为中标人。</w:t>
      </w:r>
    </w:p>
    <w:p w14:paraId="029385FF">
      <w:pPr>
        <w:widowControl/>
        <w:spacing w:line="360" w:lineRule="exact"/>
        <w:ind w:firstLine="525" w:firstLineChars="250"/>
        <w:jc w:val="left"/>
        <w:rPr>
          <w:rFonts w:ascii="宋体" w:hAnsi="宋体" w:eastAsia="宋体" w:cs="宋体"/>
          <w:b/>
          <w:bCs/>
          <w:color w:val="auto"/>
          <w:kern w:val="0"/>
          <w:szCs w:val="21"/>
          <w:highlight w:val="none"/>
          <w:lang w:val="zh-CN"/>
        </w:rPr>
      </w:pPr>
      <w:r>
        <w:rPr>
          <w:rFonts w:hint="eastAsia" w:ascii="宋体" w:hAnsi="宋体" w:eastAsia="宋体" w:cs="宋体"/>
          <w:bCs/>
          <w:color w:val="auto"/>
          <w:kern w:val="0"/>
          <w:szCs w:val="21"/>
          <w:highlight w:val="none"/>
          <w:lang w:val="zh-CN"/>
        </w:rPr>
        <w:t>排名第一的中标候选人放弃中标</w:t>
      </w:r>
      <w:r>
        <w:rPr>
          <w:rFonts w:hint="eastAsia" w:ascii="宋体" w:hAnsi="宋体" w:eastAsia="宋体" w:cs="宋体"/>
          <w:color w:val="auto"/>
          <w:kern w:val="0"/>
          <w:szCs w:val="21"/>
          <w:highlight w:val="none"/>
          <w:lang w:val="zh-CN"/>
        </w:rPr>
        <w:t>、或在规定限期内拒不签订合同</w:t>
      </w:r>
      <w:r>
        <w:rPr>
          <w:rFonts w:hint="eastAsia" w:ascii="宋体" w:hAnsi="宋体" w:eastAsia="宋体" w:cs="宋体"/>
          <w:bCs/>
          <w:color w:val="auto"/>
          <w:kern w:val="0"/>
          <w:szCs w:val="21"/>
          <w:highlight w:val="none"/>
          <w:lang w:val="zh-CN"/>
        </w:rPr>
        <w:t>、因不可抗力提出不能履行合同，或者招标文件规定应当提交履约保证金而在规定的期限内未能提交的，招标人可以确定排名第二的中标候选人为中标人。排名第二的中标候选人因前款规定的同样原因不能签订合同的，招标人可以确定排名第三的中标候选人为中标人，其余以此类推</w:t>
      </w:r>
      <w:r>
        <w:rPr>
          <w:rFonts w:hint="eastAsia" w:ascii="宋体" w:hAnsi="宋体" w:eastAsia="宋体" w:cs="宋体"/>
          <w:b/>
          <w:bCs/>
          <w:color w:val="auto"/>
          <w:kern w:val="0"/>
          <w:szCs w:val="21"/>
          <w:highlight w:val="none"/>
          <w:lang w:val="zh-CN"/>
        </w:rPr>
        <w:t>。</w:t>
      </w:r>
    </w:p>
    <w:p w14:paraId="223F0228">
      <w:pPr>
        <w:widowControl/>
        <w:spacing w:line="360" w:lineRule="exact"/>
        <w:ind w:firstLine="525" w:firstLineChars="250"/>
        <w:rPr>
          <w:rFonts w:ascii="宋体" w:hAnsi="宋体" w:eastAsia="宋体" w:cs="宋体"/>
          <w:color w:val="auto"/>
          <w:kern w:val="0"/>
          <w:szCs w:val="21"/>
          <w:highlight w:val="none"/>
          <w:lang w:val="zh-CN"/>
        </w:rPr>
      </w:pPr>
      <w:r>
        <w:rPr>
          <w:rFonts w:hint="eastAsia" w:ascii="宋体" w:hAnsi="宋体" w:eastAsia="宋体" w:cs="宋体"/>
          <w:bCs/>
          <w:color w:val="auto"/>
          <w:kern w:val="0"/>
          <w:szCs w:val="21"/>
          <w:highlight w:val="none"/>
          <w:lang w:val="zh-CN"/>
        </w:rPr>
        <w:t>（二）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ED47680">
      <w:pPr>
        <w:spacing w:line="360" w:lineRule="exact"/>
        <w:contextualSpacing/>
        <w:rPr>
          <w:rFonts w:ascii="宋体" w:hAnsi="宋体" w:eastAsia="宋体" w:cs="Times New Roman"/>
          <w:color w:val="auto"/>
          <w:kern w:val="0"/>
          <w:szCs w:val="21"/>
          <w:highlight w:val="none"/>
          <w:lang w:val="zh-CN"/>
        </w:rPr>
      </w:pPr>
    </w:p>
    <w:p w14:paraId="038E5D5A">
      <w:pPr>
        <w:spacing w:before="120" w:beforeLines="50" w:after="120" w:afterLines="50" w:line="400" w:lineRule="exact"/>
        <w:rPr>
          <w:rFonts w:ascii="宋体" w:hAnsi="宋体" w:eastAsia="宋体" w:cs="Times New Roman"/>
          <w:b/>
          <w:color w:val="auto"/>
          <w:szCs w:val="21"/>
          <w:highlight w:val="none"/>
        </w:rPr>
      </w:pPr>
    </w:p>
    <w:p w14:paraId="6474022C">
      <w:pPr>
        <w:spacing w:before="120" w:beforeLines="50" w:after="120" w:afterLines="50" w:line="400" w:lineRule="exac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br w:type="page"/>
      </w:r>
    </w:p>
    <w:p w14:paraId="0A660125">
      <w:pPr>
        <w:spacing w:before="120" w:beforeLines="50" w:after="120" w:afterLines="50" w:line="400" w:lineRule="exact"/>
        <w:rPr>
          <w:rFonts w:ascii="宋体" w:hAnsi="宋体" w:eastAsia="宋体" w:cs="Times New Roman"/>
          <w:b/>
          <w:color w:val="auto"/>
          <w:sz w:val="24"/>
          <w:szCs w:val="24"/>
          <w:highlight w:val="none"/>
        </w:rPr>
      </w:pPr>
    </w:p>
    <w:p w14:paraId="108195E5">
      <w:pPr>
        <w:spacing w:before="120" w:beforeLines="50" w:after="120" w:afterLines="50" w:line="400" w:lineRule="exact"/>
        <w:rPr>
          <w:rFonts w:ascii="宋体" w:hAnsi="宋体" w:eastAsia="宋体" w:cs="Times New Roman"/>
          <w:b/>
          <w:color w:val="auto"/>
          <w:sz w:val="24"/>
          <w:szCs w:val="24"/>
          <w:highlight w:val="none"/>
        </w:rPr>
      </w:pPr>
    </w:p>
    <w:p w14:paraId="205F7677">
      <w:pPr>
        <w:spacing w:before="120" w:beforeLines="50" w:after="120" w:afterLines="50" w:line="400" w:lineRule="exact"/>
        <w:rPr>
          <w:rFonts w:ascii="宋体" w:hAnsi="宋体" w:eastAsia="宋体" w:cs="Times New Roman"/>
          <w:b/>
          <w:color w:val="auto"/>
          <w:sz w:val="24"/>
          <w:szCs w:val="24"/>
          <w:highlight w:val="none"/>
        </w:rPr>
      </w:pPr>
    </w:p>
    <w:p w14:paraId="3D84BAAC">
      <w:pPr>
        <w:keepNext/>
        <w:keepLines/>
        <w:spacing w:before="340" w:after="330" w:line="578" w:lineRule="auto"/>
        <w:jc w:val="center"/>
        <w:outlineLvl w:val="0"/>
        <w:rPr>
          <w:rFonts w:ascii="Times New Roman" w:hAnsi="Times New Roman" w:eastAsia="宋体" w:cs="Times New Roman"/>
          <w:b/>
          <w:bCs/>
          <w:color w:val="auto"/>
          <w:kern w:val="44"/>
          <w:sz w:val="44"/>
          <w:szCs w:val="44"/>
          <w:highlight w:val="none"/>
          <w:lang w:val="zh-CN"/>
        </w:rPr>
      </w:pPr>
      <w:bookmarkStart w:id="142" w:name="_Toc74323515"/>
      <w:r>
        <w:rPr>
          <w:rFonts w:hint="eastAsia" w:ascii="Times New Roman" w:hAnsi="Times New Roman" w:eastAsia="宋体" w:cs="Times New Roman"/>
          <w:b/>
          <w:bCs/>
          <w:color w:val="auto"/>
          <w:kern w:val="44"/>
          <w:sz w:val="44"/>
          <w:szCs w:val="44"/>
          <w:highlight w:val="none"/>
          <w:lang w:val="zh-CN"/>
        </w:rPr>
        <w:t>第五章  拟签订的合同文本</w:t>
      </w:r>
      <w:bookmarkEnd w:id="142"/>
    </w:p>
    <w:p w14:paraId="3E9F37DA">
      <w:pPr>
        <w:snapToGrid w:val="0"/>
        <w:jc w:val="center"/>
        <w:rPr>
          <w:rFonts w:ascii="宋体" w:hAnsi="宋体" w:eastAsia="宋体" w:cs="Times New Roman"/>
          <w:bCs/>
          <w:color w:val="auto"/>
          <w:sz w:val="32"/>
          <w:szCs w:val="32"/>
          <w:highlight w:val="none"/>
        </w:rPr>
      </w:pPr>
    </w:p>
    <w:p w14:paraId="629E468B">
      <w:pPr>
        <w:snapToGrid w:val="0"/>
        <w:jc w:val="center"/>
        <w:rPr>
          <w:rFonts w:ascii="宋体" w:hAnsi="宋体" w:eastAsia="宋体" w:cs="Times New Roman"/>
          <w:bCs/>
          <w:color w:val="auto"/>
          <w:sz w:val="32"/>
          <w:szCs w:val="32"/>
          <w:highlight w:val="none"/>
        </w:rPr>
      </w:pPr>
    </w:p>
    <w:p w14:paraId="094C713A">
      <w:pPr>
        <w:snapToGrid w:val="0"/>
        <w:jc w:val="center"/>
        <w:rPr>
          <w:rFonts w:ascii="宋体" w:hAnsi="宋体" w:eastAsia="宋体" w:cs="Times New Roman"/>
          <w:bCs/>
          <w:color w:val="auto"/>
          <w:sz w:val="32"/>
          <w:szCs w:val="32"/>
          <w:highlight w:val="none"/>
        </w:rPr>
      </w:pPr>
    </w:p>
    <w:p w14:paraId="623DBBA7">
      <w:pPr>
        <w:snapToGrid w:val="0"/>
        <w:jc w:val="center"/>
        <w:rPr>
          <w:rFonts w:ascii="宋体" w:hAnsi="宋体" w:eastAsia="宋体" w:cs="Times New Roman"/>
          <w:bCs/>
          <w:color w:val="auto"/>
          <w:sz w:val="32"/>
          <w:szCs w:val="32"/>
          <w:highlight w:val="none"/>
        </w:rPr>
      </w:pPr>
    </w:p>
    <w:p w14:paraId="5B3AA2E4">
      <w:pPr>
        <w:snapToGrid w:val="0"/>
        <w:jc w:val="center"/>
        <w:rPr>
          <w:rFonts w:ascii="宋体" w:hAnsi="宋体" w:eastAsia="宋体" w:cs="Times New Roman"/>
          <w:bCs/>
          <w:color w:val="auto"/>
          <w:sz w:val="32"/>
          <w:szCs w:val="32"/>
          <w:highlight w:val="none"/>
        </w:rPr>
      </w:pPr>
    </w:p>
    <w:p w14:paraId="0B08C2F5">
      <w:pPr>
        <w:snapToGrid w:val="0"/>
        <w:jc w:val="center"/>
        <w:rPr>
          <w:rFonts w:ascii="宋体" w:hAnsi="宋体" w:eastAsia="宋体" w:cs="Times New Roman"/>
          <w:bCs/>
          <w:color w:val="auto"/>
          <w:sz w:val="32"/>
          <w:szCs w:val="32"/>
          <w:highlight w:val="none"/>
        </w:rPr>
      </w:pPr>
    </w:p>
    <w:p w14:paraId="4B0E262E">
      <w:pPr>
        <w:snapToGrid w:val="0"/>
        <w:jc w:val="center"/>
        <w:rPr>
          <w:rFonts w:ascii="宋体" w:hAnsi="宋体" w:eastAsia="宋体" w:cs="Times New Roman"/>
          <w:bCs/>
          <w:color w:val="auto"/>
          <w:sz w:val="32"/>
          <w:szCs w:val="32"/>
          <w:highlight w:val="none"/>
        </w:rPr>
      </w:pPr>
    </w:p>
    <w:p w14:paraId="5F0A3B96">
      <w:pPr>
        <w:snapToGrid w:val="0"/>
        <w:jc w:val="center"/>
        <w:rPr>
          <w:rFonts w:ascii="宋体" w:hAnsi="宋体" w:eastAsia="宋体" w:cs="Times New Roman"/>
          <w:bCs/>
          <w:color w:val="auto"/>
          <w:sz w:val="32"/>
          <w:szCs w:val="32"/>
          <w:highlight w:val="none"/>
        </w:rPr>
      </w:pPr>
    </w:p>
    <w:p w14:paraId="46DA6068">
      <w:pPr>
        <w:snapToGrid w:val="0"/>
        <w:jc w:val="center"/>
        <w:rPr>
          <w:rFonts w:ascii="宋体" w:hAnsi="宋体" w:eastAsia="宋体" w:cs="Times New Roman"/>
          <w:bCs/>
          <w:color w:val="auto"/>
          <w:sz w:val="32"/>
          <w:szCs w:val="32"/>
          <w:highlight w:val="none"/>
        </w:rPr>
      </w:pPr>
    </w:p>
    <w:p w14:paraId="03F95809">
      <w:pPr>
        <w:snapToGrid w:val="0"/>
        <w:jc w:val="center"/>
        <w:rPr>
          <w:rFonts w:ascii="宋体" w:hAnsi="宋体" w:eastAsia="宋体" w:cs="Times New Roman"/>
          <w:bCs/>
          <w:color w:val="auto"/>
          <w:sz w:val="32"/>
          <w:szCs w:val="32"/>
          <w:highlight w:val="none"/>
        </w:rPr>
      </w:pPr>
    </w:p>
    <w:p w14:paraId="0212D80E">
      <w:pPr>
        <w:snapToGrid w:val="0"/>
        <w:jc w:val="center"/>
        <w:rPr>
          <w:rFonts w:ascii="宋体" w:hAnsi="宋体" w:eastAsia="宋体" w:cs="Times New Roman"/>
          <w:bCs/>
          <w:color w:val="auto"/>
          <w:sz w:val="32"/>
          <w:szCs w:val="32"/>
          <w:highlight w:val="none"/>
        </w:rPr>
      </w:pPr>
    </w:p>
    <w:p w14:paraId="7592CA8A">
      <w:pPr>
        <w:pStyle w:val="21"/>
        <w:spacing w:line="420" w:lineRule="exact"/>
        <w:rPr>
          <w:rFonts w:hAnsi="宋体"/>
          <w:color w:val="auto"/>
          <w:highlight w:val="none"/>
        </w:rPr>
      </w:pPr>
      <w:r>
        <w:rPr>
          <w:rFonts w:hAnsi="宋体"/>
          <w:bCs/>
          <w:color w:val="auto"/>
          <w:szCs w:val="24"/>
          <w:highlight w:val="none"/>
        </w:rPr>
        <w:br w:type="page"/>
      </w:r>
    </w:p>
    <w:p w14:paraId="2433491B">
      <w:pPr>
        <w:spacing w:line="300" w:lineRule="auto"/>
        <w:ind w:left="420" w:hanging="420"/>
        <w:jc w:val="center"/>
        <w:rPr>
          <w:rStyle w:val="147"/>
          <w:rFonts w:ascii="黑体" w:eastAsia="黑体"/>
          <w:b/>
          <w:bCs/>
          <w:color w:val="auto"/>
          <w:sz w:val="44"/>
          <w:szCs w:val="44"/>
          <w:highlight w:val="none"/>
          <w:u w:val="none"/>
        </w:rPr>
      </w:pPr>
      <w:r>
        <w:rPr>
          <w:rStyle w:val="147"/>
          <w:rFonts w:hint="eastAsia" w:ascii="黑体" w:hAnsi="黑体"/>
          <w:b/>
          <w:color w:val="auto"/>
          <w:sz w:val="44"/>
          <w:szCs w:val="44"/>
          <w:highlight w:val="none"/>
          <w:u w:val="none"/>
        </w:rPr>
        <w:t>采购</w:t>
      </w:r>
      <w:r>
        <w:rPr>
          <w:rStyle w:val="147"/>
          <w:rFonts w:hint="eastAsia" w:ascii="黑体" w:hAnsi="黑体"/>
          <w:b/>
          <w:bCs/>
          <w:color w:val="auto"/>
          <w:sz w:val="44"/>
          <w:szCs w:val="44"/>
          <w:highlight w:val="none"/>
          <w:u w:val="none"/>
        </w:rPr>
        <w:t>合同文本</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9"/>
      </w:tblGrid>
      <w:tr w14:paraId="3E7D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5E3F3F22">
            <w:pPr>
              <w:snapToGrid w:val="0"/>
              <w:spacing w:before="120" w:after="120"/>
              <w:jc w:val="center"/>
              <w:outlineLvl w:val="0"/>
              <w:rPr>
                <w:rFonts w:ascii="宋体" w:hAnsi="宋体" w:cs="宋体"/>
                <w:color w:val="auto"/>
                <w:sz w:val="32"/>
                <w:szCs w:val="32"/>
                <w:highlight w:val="none"/>
              </w:rPr>
            </w:pPr>
            <w:r>
              <w:rPr>
                <w:rFonts w:hint="eastAsia" w:ascii="宋体" w:hAnsi="宋体" w:cs="宋体"/>
                <w:color w:val="auto"/>
                <w:sz w:val="24"/>
                <w:highlight w:val="none"/>
              </w:rPr>
              <w:br w:type="page"/>
            </w:r>
            <w:r>
              <w:rPr>
                <w:rFonts w:hint="eastAsia" w:ascii="宋体" w:hAnsi="宋体" w:cs="宋体"/>
                <w:color w:val="auto"/>
                <w:sz w:val="32"/>
                <w:szCs w:val="32"/>
                <w:highlight w:val="none"/>
              </w:rPr>
              <w:t>合同主要条款格式</w:t>
            </w:r>
          </w:p>
          <w:p w14:paraId="2A9E8926">
            <w:pPr>
              <w:spacing w:line="360" w:lineRule="auto"/>
              <w:ind w:right="105"/>
              <w:jc w:val="left"/>
              <w:rPr>
                <w:rFonts w:ascii="宋体" w:hAnsi="宋体" w:cs="宋体"/>
                <w:b/>
                <w:bCs/>
                <w:color w:val="auto"/>
                <w:szCs w:val="21"/>
                <w:highlight w:val="none"/>
              </w:rPr>
            </w:pPr>
            <w:r>
              <w:rPr>
                <w:rFonts w:hint="eastAsia" w:ascii="宋体" w:hAnsi="宋体" w:cs="宋体"/>
                <w:b/>
                <w:bCs/>
                <w:color w:val="auto"/>
                <w:szCs w:val="21"/>
                <w:highlight w:val="none"/>
              </w:rPr>
              <w:t>项目编号：</w:t>
            </w:r>
          </w:p>
          <w:p w14:paraId="2F8DF279">
            <w:pPr>
              <w:wordWrap w:val="0"/>
              <w:spacing w:line="360" w:lineRule="auto"/>
              <w:jc w:val="left"/>
              <w:rPr>
                <w:rFonts w:ascii="宋体" w:hAnsi="宋体" w:cs="宋体"/>
                <w:b/>
                <w:bCs/>
                <w:color w:val="auto"/>
                <w:szCs w:val="21"/>
                <w:highlight w:val="none"/>
              </w:rPr>
            </w:pPr>
            <w:r>
              <w:rPr>
                <w:rFonts w:hint="eastAsia" w:ascii="宋体" w:hAnsi="宋体" w:cs="宋体"/>
                <w:b/>
                <w:bCs/>
                <w:color w:val="auto"/>
                <w:szCs w:val="21"/>
                <w:highlight w:val="none"/>
              </w:rPr>
              <w:t>项目名称：</w:t>
            </w:r>
          </w:p>
          <w:p w14:paraId="5B2D0C7C">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合同签订地点：广西梧州市 </w:t>
            </w:r>
          </w:p>
          <w:p w14:paraId="70D61E27">
            <w:pPr>
              <w:spacing w:line="360" w:lineRule="auto"/>
              <w:rPr>
                <w:rFonts w:ascii="宋体" w:hAnsi="宋体" w:cs="宋体"/>
                <w:color w:val="auto"/>
                <w:szCs w:val="21"/>
                <w:highlight w:val="none"/>
              </w:rPr>
            </w:pPr>
            <w:r>
              <w:rPr>
                <w:rFonts w:hint="eastAsia" w:ascii="宋体" w:hAnsi="宋体" w:cs="宋体"/>
                <w:color w:val="auto"/>
                <w:szCs w:val="21"/>
                <w:highlight w:val="none"/>
              </w:rPr>
              <w:t>合同签订日期：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7EA0DD5">
            <w:pPr>
              <w:spacing w:line="360" w:lineRule="auto"/>
              <w:rPr>
                <w:rFonts w:ascii="宋体" w:hAnsi="宋体" w:cs="宋体"/>
                <w:color w:val="auto"/>
                <w:szCs w:val="21"/>
                <w:highlight w:val="none"/>
              </w:rPr>
            </w:pPr>
          </w:p>
          <w:p w14:paraId="0E6C3E10">
            <w:pPr>
              <w:spacing w:line="360" w:lineRule="auto"/>
              <w:rPr>
                <w:rFonts w:ascii="宋体" w:hAnsi="宋体" w:cs="宋体"/>
                <w:color w:val="auto"/>
                <w:szCs w:val="21"/>
                <w:highlight w:val="none"/>
              </w:rPr>
            </w:pPr>
            <w:r>
              <w:rPr>
                <w:rFonts w:hint="eastAsia" w:ascii="宋体" w:hAnsi="宋体" w:cs="宋体"/>
                <w:color w:val="auto"/>
                <w:szCs w:val="21"/>
                <w:highlight w:val="none"/>
              </w:rPr>
              <w:t>甲方（招标人）：</w:t>
            </w:r>
            <w:r>
              <w:rPr>
                <w:rFonts w:hint="eastAsia" w:ascii="宋体" w:hAnsi="宋体" w:cs="宋体"/>
                <w:color w:val="auto"/>
                <w:szCs w:val="21"/>
                <w:highlight w:val="none"/>
                <w:u w:val="single"/>
              </w:rPr>
              <w:t xml:space="preserve"> 梧州市红十字会医院  </w:t>
            </w:r>
          </w:p>
          <w:p w14:paraId="01A339DD">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乙方（中标供应商）：</w:t>
            </w:r>
            <w:r>
              <w:rPr>
                <w:rFonts w:hint="eastAsia" w:ascii="宋体" w:hAnsi="宋体" w:cs="宋体"/>
                <w:color w:val="auto"/>
                <w:szCs w:val="21"/>
                <w:highlight w:val="none"/>
                <w:u w:val="single"/>
              </w:rPr>
              <w:t xml:space="preserve">                   </w:t>
            </w:r>
          </w:p>
          <w:p w14:paraId="1DFE5BDD">
            <w:pPr>
              <w:spacing w:line="360" w:lineRule="auto"/>
              <w:ind w:firstLine="360"/>
              <w:rPr>
                <w:rFonts w:ascii="宋体" w:hAnsi="宋体" w:cs="宋体"/>
                <w:color w:val="auto"/>
                <w:szCs w:val="21"/>
                <w:highlight w:val="none"/>
              </w:rPr>
            </w:pPr>
            <w:r>
              <w:rPr>
                <w:rFonts w:hint="eastAsia" w:ascii="宋体" w:hAnsi="宋体" w:cs="宋体"/>
                <w:color w:val="auto"/>
                <w:szCs w:val="21"/>
                <w:highlight w:val="none"/>
              </w:rPr>
              <w:t>根据</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日中经国际招标集团有限公司签发的（</w:t>
            </w:r>
            <w:r>
              <w:rPr>
                <w:rFonts w:hint="eastAsia" w:ascii="宋体" w:hAnsi="宋体" w:cs="宋体"/>
                <w:color w:val="auto"/>
                <w:szCs w:val="21"/>
                <w:highlight w:val="none"/>
                <w:u w:val="single"/>
              </w:rPr>
              <w:t>项目名称及项目编号</w:t>
            </w:r>
            <w:r>
              <w:rPr>
                <w:rFonts w:hint="eastAsia" w:ascii="宋体" w:hAnsi="宋体" w:cs="宋体"/>
                <w:color w:val="auto"/>
                <w:szCs w:val="21"/>
                <w:highlight w:val="none"/>
              </w:rPr>
              <w:t>）中标通知书，甲方接受乙方对本项目的投标，甲、乙双方同意签署本合同（以下简称合同），中标通知书、招标文件及补充、投标文件及澄清为本合同不可分割的部分并与本合同具有同等效力。</w:t>
            </w:r>
          </w:p>
          <w:p w14:paraId="2E8192EB">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  采购内容</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5"/>
              <w:gridCol w:w="1720"/>
              <w:gridCol w:w="1718"/>
              <w:gridCol w:w="1685"/>
              <w:gridCol w:w="1685"/>
            </w:tblGrid>
            <w:tr w14:paraId="4115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6" w:type="dxa"/>
                  <w:vAlign w:val="center"/>
                </w:tcPr>
                <w:p w14:paraId="6A63E33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1927" w:type="dxa"/>
                  <w:vAlign w:val="center"/>
                </w:tcPr>
                <w:p w14:paraId="5311ABB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数量（单位）</w:t>
                  </w:r>
                </w:p>
              </w:tc>
              <w:tc>
                <w:tcPr>
                  <w:tcW w:w="1925" w:type="dxa"/>
                  <w:vAlign w:val="center"/>
                </w:tcPr>
                <w:p w14:paraId="62DD5464">
                  <w:pPr>
                    <w:jc w:val="center"/>
                    <w:rPr>
                      <w:rFonts w:ascii="宋体" w:hAnsi="宋体" w:cs="宋体"/>
                      <w:color w:val="auto"/>
                      <w:szCs w:val="21"/>
                      <w:highlight w:val="none"/>
                    </w:rPr>
                  </w:pPr>
                  <w:r>
                    <w:rPr>
                      <w:rFonts w:hint="eastAsia" w:ascii="宋体" w:hAnsi="宋体" w:cs="宋体"/>
                      <w:color w:val="auto"/>
                      <w:szCs w:val="21"/>
                      <w:highlight w:val="none"/>
                    </w:rPr>
                    <w:t>品牌、厂家、型号、规格</w:t>
                  </w:r>
                </w:p>
              </w:tc>
              <w:tc>
                <w:tcPr>
                  <w:tcW w:w="1925" w:type="dxa"/>
                  <w:vAlign w:val="center"/>
                </w:tcPr>
                <w:p w14:paraId="0BDBDBF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技术参数</w:t>
                  </w:r>
                </w:p>
              </w:tc>
              <w:tc>
                <w:tcPr>
                  <w:tcW w:w="1925" w:type="dxa"/>
                  <w:vAlign w:val="center"/>
                </w:tcPr>
                <w:p w14:paraId="7C34AB2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金额</w:t>
                  </w:r>
                </w:p>
              </w:tc>
            </w:tr>
            <w:tr w14:paraId="5A22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6" w:type="dxa"/>
                  <w:vAlign w:val="center"/>
                </w:tcPr>
                <w:p w14:paraId="4F1BF055">
                  <w:pPr>
                    <w:spacing w:line="360" w:lineRule="auto"/>
                    <w:ind w:firstLine="480"/>
                    <w:jc w:val="center"/>
                    <w:rPr>
                      <w:rFonts w:ascii="宋体" w:hAnsi="宋体" w:cs="宋体"/>
                      <w:color w:val="auto"/>
                      <w:szCs w:val="21"/>
                      <w:highlight w:val="none"/>
                    </w:rPr>
                  </w:pPr>
                </w:p>
              </w:tc>
              <w:tc>
                <w:tcPr>
                  <w:tcW w:w="1927" w:type="dxa"/>
                  <w:vAlign w:val="center"/>
                </w:tcPr>
                <w:p w14:paraId="242C006A">
                  <w:pPr>
                    <w:spacing w:line="360" w:lineRule="auto"/>
                    <w:jc w:val="center"/>
                    <w:rPr>
                      <w:rFonts w:ascii="宋体" w:hAnsi="宋体" w:cs="宋体"/>
                      <w:color w:val="auto"/>
                      <w:szCs w:val="21"/>
                      <w:highlight w:val="none"/>
                    </w:rPr>
                  </w:pPr>
                </w:p>
              </w:tc>
              <w:tc>
                <w:tcPr>
                  <w:tcW w:w="1925" w:type="dxa"/>
                  <w:vAlign w:val="center"/>
                </w:tcPr>
                <w:p w14:paraId="72967F8E">
                  <w:pPr>
                    <w:spacing w:line="360" w:lineRule="auto"/>
                    <w:jc w:val="center"/>
                    <w:rPr>
                      <w:rFonts w:ascii="宋体" w:hAnsi="宋体" w:cs="宋体"/>
                      <w:color w:val="auto"/>
                      <w:szCs w:val="21"/>
                      <w:highlight w:val="none"/>
                    </w:rPr>
                  </w:pPr>
                </w:p>
              </w:tc>
              <w:tc>
                <w:tcPr>
                  <w:tcW w:w="1925" w:type="dxa"/>
                  <w:vAlign w:val="center"/>
                </w:tcPr>
                <w:p w14:paraId="52B7E08C">
                  <w:pPr>
                    <w:spacing w:line="360" w:lineRule="auto"/>
                    <w:jc w:val="center"/>
                    <w:rPr>
                      <w:rFonts w:ascii="宋体" w:hAnsi="宋体" w:cs="宋体"/>
                      <w:color w:val="auto"/>
                      <w:szCs w:val="21"/>
                      <w:highlight w:val="none"/>
                    </w:rPr>
                  </w:pPr>
                </w:p>
              </w:tc>
              <w:tc>
                <w:tcPr>
                  <w:tcW w:w="1925" w:type="dxa"/>
                  <w:vAlign w:val="center"/>
                </w:tcPr>
                <w:p w14:paraId="5904BD68">
                  <w:pPr>
                    <w:spacing w:line="360" w:lineRule="auto"/>
                    <w:ind w:firstLine="480"/>
                    <w:jc w:val="center"/>
                    <w:rPr>
                      <w:rFonts w:ascii="宋体" w:hAnsi="宋体" w:cs="宋体"/>
                      <w:color w:val="auto"/>
                      <w:szCs w:val="21"/>
                      <w:highlight w:val="none"/>
                    </w:rPr>
                  </w:pPr>
                </w:p>
              </w:tc>
            </w:tr>
          </w:tbl>
          <w:p w14:paraId="395150F8">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2.  合同金额</w:t>
            </w:r>
          </w:p>
          <w:p w14:paraId="26D50ADF">
            <w:pPr>
              <w:spacing w:line="360" w:lineRule="auto"/>
              <w:ind w:left="2" w:firstLine="359" w:firstLineChars="171"/>
              <w:rPr>
                <w:rFonts w:ascii="宋体" w:hAnsi="宋体" w:eastAsia="宋体" w:cs="宋体"/>
                <w:color w:val="auto"/>
                <w:szCs w:val="21"/>
                <w:highlight w:val="none"/>
              </w:rPr>
            </w:pPr>
            <w:r>
              <w:rPr>
                <w:rFonts w:hint="eastAsia" w:ascii="宋体" w:hAnsi="宋体" w:eastAsia="宋体" w:cs="宋体"/>
                <w:bCs/>
                <w:color w:val="auto"/>
                <w:szCs w:val="21"/>
                <w:highlight w:val="none"/>
              </w:rPr>
              <w:t xml:space="preserve">2.1 </w:t>
            </w:r>
            <w:r>
              <w:rPr>
                <w:rFonts w:hint="eastAsia" w:ascii="宋体" w:hAnsi="宋体" w:cs="宋体"/>
                <w:bCs/>
                <w:color w:val="auto"/>
                <w:szCs w:val="21"/>
                <w:highlight w:val="none"/>
              </w:rPr>
              <w:t>本合同金额</w:t>
            </w:r>
            <w:r>
              <w:rPr>
                <w:rFonts w:hint="eastAsia" w:ascii="宋体" w:hAnsi="宋体" w:cs="宋体"/>
                <w:color w:val="auto"/>
                <w:szCs w:val="21"/>
                <w:highlight w:val="none"/>
              </w:rPr>
              <w:t>为人民币（大写）：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w:t>
            </w:r>
            <w:r>
              <w:rPr>
                <w:rFonts w:hint="eastAsia" w:ascii="宋体" w:hAnsi="宋体" w:cs="宋体"/>
                <w:color w:val="auto"/>
                <w:szCs w:val="21"/>
                <w:highlight w:val="none"/>
              </w:rPr>
              <w:t>）。包含货物采购、制造、改造、包装、运输、劳务、管理、利润、税金、保险、协调、装卸、调试、培训、相关软硬件平台使用服务费、第三方检测验收费用（如有）、承诺售后服务期限内售后服务费用以及相关文件规定及合同包含的所有风险、责任等各项应有费用。</w:t>
            </w:r>
          </w:p>
          <w:p w14:paraId="1DF35283">
            <w:pPr>
              <w:tabs>
                <w:tab w:val="left" w:pos="5940"/>
              </w:tabs>
              <w:spacing w:line="360" w:lineRule="auto"/>
              <w:rPr>
                <w:rFonts w:ascii="宋体" w:hAnsi="宋体" w:cs="宋体"/>
                <w:b/>
                <w:bCs/>
                <w:color w:val="auto"/>
                <w:szCs w:val="21"/>
                <w:highlight w:val="none"/>
              </w:rPr>
            </w:pPr>
            <w:r>
              <w:rPr>
                <w:rFonts w:hint="eastAsia" w:ascii="宋体" w:hAnsi="宋体" w:cs="宋体"/>
                <w:b/>
                <w:bCs/>
                <w:color w:val="auto"/>
                <w:szCs w:val="21"/>
                <w:highlight w:val="none"/>
              </w:rPr>
              <w:t>3.  交货要求</w:t>
            </w:r>
          </w:p>
          <w:p w14:paraId="233F37CC">
            <w:pPr>
              <w:tabs>
                <w:tab w:val="left" w:pos="5220"/>
              </w:tabs>
              <w:spacing w:line="360" w:lineRule="auto"/>
              <w:ind w:firstLine="420"/>
              <w:rPr>
                <w:rFonts w:ascii="宋体" w:hAnsi="宋体" w:eastAsia="宋体" w:cs="宋体"/>
                <w:bCs/>
                <w:color w:val="auto"/>
                <w:szCs w:val="21"/>
                <w:highlight w:val="none"/>
              </w:rPr>
            </w:pPr>
            <w:r>
              <w:rPr>
                <w:rFonts w:hint="eastAsia" w:ascii="宋体" w:hAnsi="宋体" w:eastAsia="宋体" w:cs="宋体"/>
                <w:bCs/>
                <w:color w:val="auto"/>
                <w:szCs w:val="21"/>
                <w:highlight w:val="none"/>
              </w:rPr>
              <w:t>3.1 交货时间：合同签定之日起，中标供应商在30个日历日内向招标人交付全部货物。</w:t>
            </w:r>
          </w:p>
          <w:p w14:paraId="02B14878">
            <w:pPr>
              <w:spacing w:line="360" w:lineRule="auto"/>
              <w:ind w:firstLine="420"/>
              <w:rPr>
                <w:rFonts w:ascii="宋体" w:hAnsi="宋体" w:eastAsia="宋体" w:cs="宋体"/>
                <w:bCs/>
                <w:color w:val="auto"/>
                <w:szCs w:val="21"/>
                <w:highlight w:val="none"/>
              </w:rPr>
            </w:pPr>
            <w:r>
              <w:rPr>
                <w:rFonts w:hint="eastAsia" w:ascii="宋体" w:hAnsi="宋体" w:eastAsia="宋体" w:cs="宋体"/>
                <w:bCs/>
                <w:color w:val="auto"/>
                <w:szCs w:val="21"/>
                <w:highlight w:val="none"/>
              </w:rPr>
              <w:t>3.2 交货地点：</w:t>
            </w:r>
            <w:r>
              <w:rPr>
                <w:rFonts w:hint="eastAsia" w:ascii="宋体" w:hAnsi="宋体" w:eastAsia="宋体" w:cs="宋体"/>
                <w:color w:val="auto"/>
                <w:szCs w:val="21"/>
                <w:highlight w:val="none"/>
              </w:rPr>
              <w:t>招标人指定地点</w:t>
            </w:r>
          </w:p>
          <w:p w14:paraId="5DE75A78">
            <w:pPr>
              <w:tabs>
                <w:tab w:val="left" w:pos="5220"/>
                <w:tab w:val="left" w:pos="6120"/>
              </w:tabs>
              <w:spacing w:line="360" w:lineRule="auto"/>
              <w:ind w:firstLine="420"/>
              <w:rPr>
                <w:rFonts w:ascii="宋体" w:hAnsi="宋体" w:eastAsia="宋体" w:cs="宋体"/>
                <w:bCs/>
                <w:color w:val="auto"/>
                <w:szCs w:val="21"/>
                <w:highlight w:val="none"/>
              </w:rPr>
            </w:pPr>
            <w:r>
              <w:rPr>
                <w:rFonts w:hint="eastAsia" w:ascii="宋体" w:hAnsi="宋体" w:eastAsia="宋体" w:cs="宋体"/>
                <w:bCs/>
                <w:color w:val="auto"/>
                <w:szCs w:val="21"/>
                <w:highlight w:val="none"/>
              </w:rPr>
              <w:t>3.3 交货方式：</w:t>
            </w:r>
            <w:r>
              <w:rPr>
                <w:rFonts w:hint="eastAsia" w:ascii="宋体" w:hAnsi="宋体" w:eastAsia="宋体" w:cs="宋体"/>
                <w:color w:val="auto"/>
                <w:szCs w:val="21"/>
                <w:highlight w:val="none"/>
              </w:rPr>
              <w:t>现场安装调试</w:t>
            </w:r>
          </w:p>
          <w:p w14:paraId="35206C8D">
            <w:pPr>
              <w:spacing w:line="360" w:lineRule="auto"/>
              <w:ind w:firstLine="420"/>
              <w:rPr>
                <w:rFonts w:ascii="宋体" w:hAnsi="宋体" w:eastAsia="宋体" w:cs="宋体"/>
                <w:b/>
                <w:color w:val="auto"/>
                <w:szCs w:val="21"/>
                <w:highlight w:val="none"/>
              </w:rPr>
            </w:pPr>
            <w:r>
              <w:rPr>
                <w:rFonts w:hint="eastAsia" w:ascii="宋体" w:hAnsi="宋体" w:eastAsia="宋体" w:cs="宋体"/>
                <w:bCs/>
                <w:color w:val="auto"/>
                <w:szCs w:val="21"/>
                <w:highlight w:val="none"/>
              </w:rPr>
              <w:t xml:space="preserve">3.4 </w:t>
            </w:r>
            <w:r>
              <w:rPr>
                <w:rFonts w:hint="eastAsia" w:ascii="宋体" w:hAnsi="宋体" w:eastAsia="宋体" w:cs="宋体"/>
                <w:color w:val="auto"/>
                <w:szCs w:val="21"/>
                <w:highlight w:val="none"/>
              </w:rPr>
              <w:t>乙方必须按响应文件承诺的技术参数、性能要求、质量标准等向甲方提供全新、完整、未经使用的货物。（生产日期在验收之日6个月内）</w:t>
            </w:r>
          </w:p>
          <w:p w14:paraId="2DEC023B">
            <w:pPr>
              <w:spacing w:line="360" w:lineRule="auto"/>
              <w:ind w:left="357" w:hanging="357" w:hangingChars="170"/>
              <w:rPr>
                <w:rFonts w:ascii="宋体" w:hAnsi="宋体" w:cs="宋体"/>
                <w:b/>
                <w:color w:val="auto"/>
                <w:szCs w:val="21"/>
                <w:highlight w:val="none"/>
              </w:rPr>
            </w:pPr>
            <w:r>
              <w:rPr>
                <w:rFonts w:hint="eastAsia" w:ascii="宋体" w:hAnsi="宋体" w:cs="宋体"/>
                <w:b/>
                <w:bCs/>
                <w:color w:val="auto"/>
                <w:szCs w:val="21"/>
                <w:highlight w:val="none"/>
              </w:rPr>
              <w:t>4.  履约保证金（不设定）</w:t>
            </w:r>
          </w:p>
          <w:p w14:paraId="1D1C8810">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5.  质量保证及售后服务</w:t>
            </w:r>
          </w:p>
          <w:p w14:paraId="12435688">
            <w:pPr>
              <w:spacing w:line="360" w:lineRule="auto"/>
              <w:ind w:left="2" w:firstLine="359" w:firstLineChars="171"/>
              <w:rPr>
                <w:rFonts w:ascii="宋体" w:hAnsi="宋体" w:cs="宋体"/>
                <w:color w:val="auto"/>
                <w:szCs w:val="21"/>
                <w:highlight w:val="none"/>
              </w:rPr>
            </w:pPr>
            <w:r>
              <w:rPr>
                <w:rFonts w:hint="eastAsia" w:ascii="宋体" w:hAnsi="宋体" w:cs="宋体"/>
                <w:color w:val="auto"/>
                <w:szCs w:val="21"/>
                <w:highlight w:val="none"/>
              </w:rPr>
              <w:t>5.1 质保期：自设备验收合格之日起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p>
          <w:p w14:paraId="1BFA2657">
            <w:pPr>
              <w:spacing w:line="360" w:lineRule="auto"/>
              <w:ind w:left="19" w:leftChars="9" w:firstLine="340" w:firstLineChars="162"/>
              <w:rPr>
                <w:rFonts w:ascii="宋体" w:hAnsi="宋体" w:cs="宋体"/>
                <w:color w:val="auto"/>
                <w:szCs w:val="21"/>
                <w:highlight w:val="none"/>
              </w:rPr>
            </w:pPr>
            <w:r>
              <w:rPr>
                <w:rFonts w:hint="eastAsia" w:ascii="宋体" w:hAnsi="宋体" w:cs="宋体"/>
                <w:color w:val="auto"/>
                <w:szCs w:val="21"/>
                <w:highlight w:val="none"/>
              </w:rPr>
              <w:t>5.2 如乙方提供的货物在使用过程中发生质量问题，乙方接到甲方故障通知后应在</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小时内到达甲方指定现场，按国家及行业标准对故障进行及时处理。</w:t>
            </w:r>
          </w:p>
          <w:p w14:paraId="2C26A573">
            <w:pPr>
              <w:spacing w:line="360" w:lineRule="auto"/>
              <w:ind w:firstLine="359" w:firstLineChars="171"/>
              <w:rPr>
                <w:rFonts w:ascii="宋体" w:hAnsi="宋体" w:cs="宋体"/>
                <w:color w:val="auto"/>
                <w:szCs w:val="21"/>
                <w:highlight w:val="none"/>
              </w:rPr>
            </w:pPr>
            <w:r>
              <w:rPr>
                <w:rFonts w:hint="eastAsia" w:ascii="宋体" w:hAnsi="宋体" w:cs="宋体"/>
                <w:color w:val="auto"/>
                <w:szCs w:val="21"/>
                <w:highlight w:val="none"/>
              </w:rPr>
              <w:t>5.3 乙方提供的货物在质量保证期内因货物本身的质量问题发生故障，乙方应负责免费更换。对达不到技术要求者，根据实际情况，经双方协商，可按以下办法处理：</w:t>
            </w:r>
          </w:p>
          <w:p w14:paraId="6DF04914">
            <w:pPr>
              <w:spacing w:line="360" w:lineRule="auto"/>
              <w:ind w:firstLine="359" w:firstLineChars="171"/>
              <w:rPr>
                <w:rFonts w:ascii="宋体" w:hAnsi="宋体" w:cs="宋体"/>
                <w:color w:val="auto"/>
                <w:szCs w:val="21"/>
                <w:highlight w:val="none"/>
              </w:rPr>
            </w:pPr>
            <w:r>
              <w:rPr>
                <w:rFonts w:hint="eastAsia" w:ascii="宋体" w:hAnsi="宋体" w:cs="宋体"/>
                <w:color w:val="auto"/>
                <w:szCs w:val="21"/>
                <w:highlight w:val="none"/>
              </w:rPr>
              <w:t>（1）更换：由乙方承担所发生的全部费用；</w:t>
            </w:r>
          </w:p>
          <w:p w14:paraId="2D5B9B49">
            <w:pPr>
              <w:spacing w:line="360" w:lineRule="auto"/>
              <w:ind w:firstLine="359" w:firstLineChars="171"/>
              <w:rPr>
                <w:rFonts w:ascii="宋体" w:hAnsi="宋体" w:cs="宋体"/>
                <w:color w:val="auto"/>
                <w:szCs w:val="21"/>
                <w:highlight w:val="none"/>
              </w:rPr>
            </w:pPr>
            <w:r>
              <w:rPr>
                <w:rFonts w:hint="eastAsia" w:ascii="宋体" w:hAnsi="宋体" w:cs="宋体"/>
                <w:color w:val="auto"/>
                <w:szCs w:val="21"/>
                <w:highlight w:val="none"/>
              </w:rPr>
              <w:t>（2）贬值处理：由甲乙双方合议定价；</w:t>
            </w:r>
          </w:p>
          <w:p w14:paraId="5CFA741B">
            <w:pPr>
              <w:spacing w:line="360" w:lineRule="auto"/>
              <w:ind w:firstLine="359" w:firstLineChars="171"/>
              <w:rPr>
                <w:rFonts w:ascii="宋体" w:hAnsi="宋体" w:cs="宋体"/>
                <w:color w:val="auto"/>
                <w:szCs w:val="21"/>
                <w:highlight w:val="none"/>
              </w:rPr>
            </w:pPr>
            <w:r>
              <w:rPr>
                <w:rFonts w:hint="eastAsia" w:ascii="宋体" w:hAnsi="宋体" w:cs="宋体"/>
                <w:color w:val="auto"/>
                <w:szCs w:val="21"/>
                <w:highlight w:val="none"/>
              </w:rPr>
              <w:t>（3）退货处理：乙方应退还甲方支付的合同款，同时应承担与该货物相关的直接费用（运输、保险、检验、合同款利息及银行手续费等）。</w:t>
            </w:r>
          </w:p>
          <w:p w14:paraId="36785B3D">
            <w:pPr>
              <w:spacing w:line="360" w:lineRule="auto"/>
              <w:ind w:firstLine="418"/>
              <w:rPr>
                <w:rFonts w:ascii="宋体" w:hAnsi="宋体" w:cs="宋体"/>
                <w:color w:val="auto"/>
                <w:szCs w:val="21"/>
                <w:highlight w:val="none"/>
              </w:rPr>
            </w:pPr>
            <w:r>
              <w:rPr>
                <w:rFonts w:hint="eastAsia" w:ascii="宋体" w:hAnsi="宋体" w:cs="宋体"/>
                <w:color w:val="auto"/>
                <w:szCs w:val="21"/>
                <w:highlight w:val="none"/>
              </w:rPr>
              <w:t>5.4 在质量保证期内，乙方负责处理解决货物出现的质量及安全问题并承担一切费用，所有非故意性损坏以及正常使用范围内造成的损坏均要免费维修，因人为因素出现的故障不在免费保修范围内，但乙方也要积极帮助招标人修理，并提供优惠价格的配件和服务。</w:t>
            </w:r>
          </w:p>
          <w:p w14:paraId="697BE0BC">
            <w:pPr>
              <w:spacing w:line="360" w:lineRule="auto"/>
              <w:ind w:firstLine="418"/>
              <w:rPr>
                <w:rFonts w:ascii="宋体" w:hAnsi="宋体" w:cs="宋体"/>
                <w:color w:val="auto"/>
                <w:szCs w:val="21"/>
                <w:highlight w:val="none"/>
              </w:rPr>
            </w:pPr>
            <w:r>
              <w:rPr>
                <w:rFonts w:hint="eastAsia" w:ascii="宋体" w:hAnsi="宋体" w:cs="宋体"/>
                <w:color w:val="auto"/>
                <w:szCs w:val="21"/>
                <w:highlight w:val="none"/>
              </w:rPr>
              <w:t>5.5 超过质量保证期的货物，乙方提供终生维修、保养服务，维修时只收部件成本费。</w:t>
            </w:r>
          </w:p>
          <w:p w14:paraId="41EE5831">
            <w:pPr>
              <w:spacing w:line="360" w:lineRule="auto"/>
              <w:ind w:firstLine="418"/>
              <w:rPr>
                <w:rFonts w:ascii="宋体" w:hAnsi="宋体" w:cs="宋体"/>
                <w:color w:val="auto"/>
                <w:szCs w:val="21"/>
                <w:highlight w:val="none"/>
              </w:rPr>
            </w:pPr>
            <w:r>
              <w:rPr>
                <w:rFonts w:hint="eastAsia" w:ascii="宋体" w:hAnsi="宋体" w:cs="宋体"/>
                <w:color w:val="auto"/>
                <w:szCs w:val="21"/>
                <w:highlight w:val="none"/>
              </w:rPr>
              <w:t>5.6 乙方随时优惠提供备品备件，优惠提供产品更新、改造服务。</w:t>
            </w:r>
          </w:p>
          <w:p w14:paraId="2783FF0B">
            <w:pPr>
              <w:spacing w:line="360" w:lineRule="auto"/>
              <w:ind w:firstLine="418"/>
              <w:rPr>
                <w:color w:val="auto"/>
                <w:highlight w:val="none"/>
              </w:rPr>
            </w:pPr>
            <w:r>
              <w:rPr>
                <w:rFonts w:hint="eastAsia" w:ascii="宋体" w:hAnsi="宋体" w:eastAsia="宋体" w:cs="宋体"/>
                <w:color w:val="auto"/>
                <w:szCs w:val="21"/>
                <w:highlight w:val="none"/>
              </w:rPr>
              <w:t>5.7免费维护期结束后，如甲方如有维护服务需求，与乙方约定的维护服务费不超过本项目成交金额的5%。</w:t>
            </w:r>
          </w:p>
          <w:p w14:paraId="75DF102B">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6.  合同款支付</w:t>
            </w:r>
          </w:p>
          <w:p w14:paraId="22F52169">
            <w:pPr>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6.1付款方式：</w:t>
            </w:r>
          </w:p>
          <w:p w14:paraId="3D6E5D13">
            <w:pPr>
              <w:widowControl/>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本合同采用分期付款方式结算，甲方核对发票无误后支付当期合同款至乙方指定对公银行帐户。</w:t>
            </w:r>
          </w:p>
          <w:p w14:paraId="4D0474C2">
            <w:pPr>
              <w:widowControl/>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第一期：收到项目货物并经甲方验收合格入库后，通知乙方开具符合税法规定的全额增值税发票并提交请款函，经甲方审核确认无误后，10个工作日内支付至合同总额的90%。</w:t>
            </w:r>
          </w:p>
          <w:p w14:paraId="07D2CFE4">
            <w:pPr>
              <w:widowControl/>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第二笔款：余下10%合同款项在验收合格9个月后，乙方向甲方请款，甲方收到请款函后10个工作日内支付完毕。(不计利息)。</w:t>
            </w:r>
          </w:p>
          <w:p w14:paraId="543A9F21">
            <w:pPr>
              <w:widowControl/>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合同签署的乙方名称及发票开具单位与收款单位必须一致，在合同执行过程中，乙方不得以其他不正当理由要求调整发票开具单位或收款单位，否则视为乙方违约。</w:t>
            </w:r>
          </w:p>
          <w:p w14:paraId="33F8F764">
            <w:pPr>
              <w:widowControl/>
              <w:spacing w:line="360" w:lineRule="auto"/>
              <w:jc w:val="left"/>
              <w:rPr>
                <w:rFonts w:ascii="宋体" w:hAnsi="宋体" w:cs="宋体"/>
                <w:b/>
                <w:color w:val="auto"/>
                <w:szCs w:val="21"/>
                <w:highlight w:val="none"/>
              </w:rPr>
            </w:pPr>
            <w:r>
              <w:rPr>
                <w:rFonts w:hint="eastAsia" w:ascii="宋体" w:hAnsi="宋体" w:cs="宋体"/>
                <w:b/>
                <w:bCs/>
                <w:color w:val="auto"/>
                <w:szCs w:val="21"/>
                <w:highlight w:val="none"/>
              </w:rPr>
              <w:t>7.  产权</w:t>
            </w:r>
          </w:p>
          <w:p w14:paraId="58E0AD97">
            <w:pPr>
              <w:spacing w:line="360" w:lineRule="auto"/>
              <w:ind w:left="2" w:firstLine="359" w:firstLineChars="171"/>
              <w:rPr>
                <w:rFonts w:ascii="宋体" w:hAnsi="宋体" w:cs="宋体"/>
                <w:bCs/>
                <w:color w:val="auto"/>
                <w:szCs w:val="21"/>
                <w:highlight w:val="none"/>
              </w:rPr>
            </w:pPr>
            <w:r>
              <w:rPr>
                <w:rFonts w:hint="eastAsia" w:ascii="宋体" w:hAnsi="宋体" w:cs="宋体"/>
                <w:color w:val="auto"/>
                <w:szCs w:val="21"/>
                <w:highlight w:val="none"/>
              </w:rPr>
              <w:t>7.1 乙方保证所提供的货物或其任何一部分均不会侵犯任何第三方的专利权、商标权或著作权</w:t>
            </w:r>
            <w:r>
              <w:rPr>
                <w:rFonts w:hint="eastAsia" w:ascii="宋体" w:hAnsi="宋体" w:cs="宋体"/>
                <w:bCs/>
                <w:color w:val="auto"/>
                <w:szCs w:val="21"/>
                <w:highlight w:val="none"/>
              </w:rPr>
              <w:t>。</w:t>
            </w:r>
          </w:p>
          <w:p w14:paraId="2D0C59E2">
            <w:pPr>
              <w:spacing w:line="360" w:lineRule="auto"/>
              <w:ind w:left="2" w:firstLine="359" w:firstLineChars="171"/>
              <w:rPr>
                <w:rFonts w:ascii="宋体" w:hAnsi="宋体" w:cs="宋体"/>
                <w:b/>
                <w:bCs/>
                <w:color w:val="auto"/>
                <w:szCs w:val="21"/>
                <w:highlight w:val="none"/>
              </w:rPr>
            </w:pPr>
            <w:r>
              <w:rPr>
                <w:rFonts w:hint="eastAsia" w:ascii="宋体" w:hAnsi="宋体" w:cs="宋体"/>
                <w:color w:val="auto"/>
                <w:szCs w:val="21"/>
                <w:highlight w:val="none"/>
              </w:rPr>
              <w:t>7.2 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14:paraId="4C9262E6">
            <w:pPr>
              <w:spacing w:line="360" w:lineRule="auto"/>
              <w:rPr>
                <w:rFonts w:ascii="宋体" w:hAnsi="宋体" w:cs="宋体"/>
                <w:b/>
                <w:color w:val="auto"/>
                <w:szCs w:val="21"/>
                <w:highlight w:val="none"/>
              </w:rPr>
            </w:pPr>
            <w:r>
              <w:rPr>
                <w:rFonts w:hint="eastAsia" w:ascii="宋体" w:hAnsi="宋体" w:cs="宋体"/>
                <w:b/>
                <w:bCs/>
                <w:color w:val="auto"/>
                <w:szCs w:val="21"/>
                <w:highlight w:val="none"/>
              </w:rPr>
              <w:t>8.  技术资料</w:t>
            </w:r>
          </w:p>
          <w:p w14:paraId="2D70995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8.1 甲方向乙方提供货物的有关技术资料。</w:t>
            </w:r>
          </w:p>
          <w:p w14:paraId="078F882F">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8.2 乙方应在采购文件规定的时间向甲方提供使用货物的有关技术资料。</w:t>
            </w:r>
          </w:p>
          <w:p w14:paraId="18693E9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8.3 没有甲方事先书面同意，乙方不得将甲方提供的有关合同或任何合同条文、规格、计划、图纸、样品或资料提供给与履行本合同无关的第三方。即使向与履行本合同有关的人员提供，也应注意保密并限于履行合同的必需范围。</w:t>
            </w:r>
          </w:p>
          <w:p w14:paraId="051C1CE6">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9.  货物包装、发运及运输</w:t>
            </w:r>
          </w:p>
          <w:p w14:paraId="5797ECE8">
            <w:pPr>
              <w:tabs>
                <w:tab w:val="left" w:pos="0"/>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9.1 乙方应在货物发运前对其进行满足运输距离、防潮、防震、防锈和防破损装卸等要求包装，以保证货物安全运达甲方指定地点。</w:t>
            </w:r>
          </w:p>
          <w:p w14:paraId="592D5948">
            <w:pPr>
              <w:tabs>
                <w:tab w:val="left" w:pos="0"/>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9.2 使用说明书、质量检验证明书、保修单据、随配附件和工具以及清单一并附于货物内。</w:t>
            </w:r>
          </w:p>
          <w:p w14:paraId="50F95997">
            <w:pPr>
              <w:tabs>
                <w:tab w:val="left" w:pos="0"/>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9.3 乙方在货物发运手续办理完毕后24小时内或货到甲方48小时前通知甲方，以准备接货。</w:t>
            </w:r>
          </w:p>
          <w:p w14:paraId="469631D8">
            <w:pPr>
              <w:tabs>
                <w:tab w:val="left" w:pos="0"/>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9.4 货物在交付甲方前发生的风险均由乙方负责。</w:t>
            </w:r>
          </w:p>
          <w:p w14:paraId="76448320">
            <w:pPr>
              <w:tabs>
                <w:tab w:val="left" w:pos="0"/>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9.5 货物在规定的交付期限内由乙方送达甲方指定的地点视为交付，乙方同时需通知甲方货物已送达。</w:t>
            </w:r>
          </w:p>
          <w:p w14:paraId="4A250BF4">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10.  调试和验收</w:t>
            </w:r>
          </w:p>
          <w:p w14:paraId="6ED38D4D">
            <w:pPr>
              <w:spacing w:line="360" w:lineRule="auto"/>
              <w:ind w:firstLine="359" w:firstLineChars="171"/>
              <w:rPr>
                <w:rFonts w:ascii="宋体" w:hAnsi="宋体" w:cs="宋体"/>
                <w:color w:val="auto"/>
                <w:szCs w:val="21"/>
                <w:highlight w:val="none"/>
              </w:rPr>
            </w:pPr>
            <w:r>
              <w:rPr>
                <w:rFonts w:hint="eastAsia" w:ascii="宋体" w:hAnsi="宋体" w:cs="宋体"/>
                <w:color w:val="auto"/>
                <w:szCs w:val="21"/>
                <w:highlight w:val="none"/>
              </w:rPr>
              <w:t>10.1 乙方将货物运达约定的交货地点后，甲乙双方应在五个工作日内对乙方提交的货物依据招标文件、投标文件要求和国家标准或行业标准进行现场初步验收。对外观、说明书符合要求的，给予签收；对不符合要求或有质量问题的货物不予签收，可立即要求退换，乙方不得拒绝和延误。</w:t>
            </w:r>
          </w:p>
          <w:p w14:paraId="7D6887E3">
            <w:pPr>
              <w:spacing w:line="360" w:lineRule="auto"/>
              <w:ind w:firstLine="359" w:firstLineChars="171"/>
              <w:rPr>
                <w:rFonts w:ascii="宋体" w:hAnsi="宋体" w:cs="宋体"/>
                <w:color w:val="auto"/>
                <w:szCs w:val="21"/>
                <w:highlight w:val="none"/>
              </w:rPr>
            </w:pPr>
            <w:r>
              <w:rPr>
                <w:rFonts w:hint="eastAsia" w:ascii="宋体" w:hAnsi="宋体" w:cs="宋体"/>
                <w:color w:val="auto"/>
                <w:szCs w:val="21"/>
                <w:highlight w:val="none"/>
              </w:rPr>
              <w:t>10.2 乙方交货前应对产品作出全面检查和对验收文件进行整理，并列出清单，作为甲方收货验收和使用的技术条件依据，检验的结果应随货物交甲方。</w:t>
            </w:r>
          </w:p>
          <w:p w14:paraId="5700E3FF">
            <w:pPr>
              <w:spacing w:line="360" w:lineRule="auto"/>
              <w:ind w:firstLine="359" w:firstLineChars="171"/>
              <w:rPr>
                <w:rFonts w:ascii="宋体" w:hAnsi="宋体" w:cs="宋体"/>
                <w:color w:val="auto"/>
                <w:szCs w:val="21"/>
                <w:highlight w:val="none"/>
              </w:rPr>
            </w:pPr>
            <w:r>
              <w:rPr>
                <w:rFonts w:hint="eastAsia" w:ascii="宋体" w:hAnsi="宋体" w:cs="宋体"/>
                <w:color w:val="auto"/>
                <w:szCs w:val="21"/>
                <w:highlight w:val="none"/>
              </w:rPr>
              <w:t>10.3 甲方对乙方提供的货物在使用前进行调试时，乙方需负责安装并培训甲方的使用操作人员，并协助甲方一起调试，直到符合技术要求，甲方才做最终验收。</w:t>
            </w:r>
          </w:p>
          <w:p w14:paraId="572EE189">
            <w:pPr>
              <w:spacing w:line="360" w:lineRule="auto"/>
              <w:ind w:firstLine="359" w:firstLineChars="171"/>
              <w:rPr>
                <w:rFonts w:ascii="宋体" w:hAnsi="宋体" w:cs="宋体"/>
                <w:color w:val="auto"/>
                <w:szCs w:val="21"/>
                <w:highlight w:val="none"/>
              </w:rPr>
            </w:pPr>
            <w:r>
              <w:rPr>
                <w:rFonts w:hint="eastAsia" w:ascii="宋体" w:hAnsi="宋体" w:cs="宋体"/>
                <w:color w:val="auto"/>
                <w:szCs w:val="21"/>
                <w:highlight w:val="none"/>
              </w:rPr>
              <w:t>10.4 验收时乙方必须在现场，验收完毕后作出验收结果报告。</w:t>
            </w:r>
          </w:p>
          <w:p w14:paraId="33E44564">
            <w:pPr>
              <w:spacing w:line="360" w:lineRule="auto"/>
              <w:ind w:firstLine="359" w:firstLineChars="171"/>
              <w:rPr>
                <w:rFonts w:ascii="宋体" w:hAnsi="宋体" w:cs="宋体"/>
                <w:color w:val="auto"/>
                <w:szCs w:val="21"/>
                <w:highlight w:val="none"/>
              </w:rPr>
            </w:pPr>
            <w:r>
              <w:rPr>
                <w:rFonts w:hint="eastAsia" w:ascii="宋体" w:hAnsi="宋体" w:cs="宋体"/>
                <w:color w:val="auto"/>
                <w:szCs w:val="21"/>
                <w:highlight w:val="none"/>
              </w:rPr>
              <w:t>10.5 对技术复杂的货物，甲方可请国家认可的专业检测机构参与验收，并由其出具质量检测报告，相关费用由乙方承担。</w:t>
            </w:r>
          </w:p>
          <w:p w14:paraId="71C5B0B9">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11.  违约责任</w:t>
            </w:r>
          </w:p>
          <w:p w14:paraId="64BAD90D">
            <w:pPr>
              <w:spacing w:line="360" w:lineRule="auto"/>
              <w:ind w:firstLine="418"/>
              <w:rPr>
                <w:rFonts w:ascii="宋体" w:hAnsi="宋体" w:cs="宋体"/>
                <w:color w:val="auto"/>
                <w:szCs w:val="21"/>
                <w:highlight w:val="none"/>
              </w:rPr>
            </w:pPr>
            <w:r>
              <w:rPr>
                <w:rFonts w:hint="eastAsia" w:ascii="宋体" w:hAnsi="宋体" w:cs="宋体"/>
                <w:color w:val="auto"/>
                <w:szCs w:val="21"/>
                <w:highlight w:val="none"/>
              </w:rPr>
              <w:t>11.1 甲方无正当理由拒收货物的，甲方向乙方偿付合同款总值的百分之五违约金。</w:t>
            </w:r>
          </w:p>
          <w:p w14:paraId="25737E96">
            <w:pPr>
              <w:spacing w:line="400" w:lineRule="exact"/>
              <w:ind w:firstLine="418"/>
              <w:rPr>
                <w:rFonts w:ascii="宋体" w:hAnsi="宋体" w:cs="宋体"/>
                <w:color w:val="auto"/>
                <w:szCs w:val="21"/>
                <w:highlight w:val="none"/>
              </w:rPr>
            </w:pPr>
            <w:r>
              <w:rPr>
                <w:rFonts w:hint="eastAsia" w:ascii="宋体" w:hAnsi="宋体" w:cs="宋体"/>
                <w:color w:val="auto"/>
                <w:szCs w:val="21"/>
                <w:highlight w:val="none"/>
              </w:rPr>
              <w:t>11.2 甲方无故逾期验收或办理合同款支付手续的，甲方应按逾期付款总额每日万分之五向乙方支付违约金。</w:t>
            </w:r>
          </w:p>
          <w:p w14:paraId="1AE3C75F">
            <w:pPr>
              <w:spacing w:line="400" w:lineRule="exact"/>
              <w:ind w:firstLine="418"/>
              <w:rPr>
                <w:rFonts w:ascii="宋体" w:hAnsi="宋体" w:cs="宋体"/>
                <w:color w:val="auto"/>
                <w:szCs w:val="21"/>
                <w:highlight w:val="none"/>
              </w:rPr>
            </w:pPr>
            <w:r>
              <w:rPr>
                <w:rFonts w:hint="eastAsia" w:ascii="宋体" w:hAnsi="宋体" w:cs="宋体"/>
                <w:color w:val="auto"/>
                <w:szCs w:val="21"/>
                <w:highlight w:val="none"/>
              </w:rPr>
              <w:t>11.3 乙方逾期交付货物的，乙方应按逾期交货总额每日万分之五向甲方支付违约金，由甲方从待付合同款中扣除。乙方逾期超过本合同约定交货日期十个工作日不能交货的，甲方可单方面解除本合同。乙方因逾期交货或因其他违约行为导致甲方解除合同的，乙方应向甲方支付合同总值百分之五的违约金，如造成甲方损失超过违约金的，超出部分由乙方继续承担赔偿责任。</w:t>
            </w:r>
          </w:p>
          <w:p w14:paraId="1EE5A94B">
            <w:pPr>
              <w:spacing w:line="400" w:lineRule="exact"/>
              <w:ind w:firstLine="418"/>
              <w:rPr>
                <w:rFonts w:ascii="宋体" w:hAnsi="宋体" w:cs="宋体"/>
                <w:color w:val="auto"/>
                <w:szCs w:val="21"/>
                <w:highlight w:val="none"/>
              </w:rPr>
            </w:pPr>
            <w:r>
              <w:rPr>
                <w:rFonts w:hint="eastAsia" w:ascii="宋体" w:hAnsi="宋体" w:cs="宋体"/>
                <w:color w:val="auto"/>
                <w:szCs w:val="21"/>
                <w:highlight w:val="none"/>
              </w:rPr>
              <w:t>11.4 乙方所交的货物品种、型号、规格、技术参数、质量不符合合同规定及采购文件规定标准的，甲方有权拒收该货物，乙方愿意更换货物但逾期交货的，按乙方逾期交货处理。乙方拒绝更换货物的，甲方可单方面解除合同。</w:t>
            </w:r>
          </w:p>
          <w:p w14:paraId="4276830B">
            <w:pPr>
              <w:spacing w:line="400" w:lineRule="exact"/>
              <w:rPr>
                <w:rFonts w:ascii="宋体" w:hAnsi="宋体" w:cs="宋体"/>
                <w:b/>
                <w:bCs/>
                <w:color w:val="auto"/>
                <w:szCs w:val="21"/>
                <w:highlight w:val="none"/>
              </w:rPr>
            </w:pPr>
            <w:r>
              <w:rPr>
                <w:rFonts w:hint="eastAsia" w:ascii="宋体" w:hAnsi="宋体" w:cs="宋体"/>
                <w:b/>
                <w:bCs/>
                <w:color w:val="auto"/>
                <w:szCs w:val="21"/>
                <w:highlight w:val="none"/>
              </w:rPr>
              <w:t>12.  不可抗力事件处理</w:t>
            </w:r>
          </w:p>
          <w:p w14:paraId="751D6CF2">
            <w:pPr>
              <w:spacing w:line="400" w:lineRule="exact"/>
              <w:ind w:firstLine="359" w:firstLineChars="171"/>
              <w:rPr>
                <w:rFonts w:ascii="宋体" w:hAnsi="宋体" w:cs="宋体"/>
                <w:color w:val="auto"/>
                <w:szCs w:val="21"/>
                <w:highlight w:val="none"/>
              </w:rPr>
            </w:pPr>
            <w:r>
              <w:rPr>
                <w:rFonts w:hint="eastAsia" w:ascii="宋体" w:hAnsi="宋体" w:cs="宋体"/>
                <w:color w:val="auto"/>
                <w:szCs w:val="21"/>
                <w:highlight w:val="none"/>
              </w:rPr>
              <w:t>12.1 在合同有效期内，任何一方因不可抗力事件导致不能履行合同，则合同履行期可延长，其延长期与不可抗力影响期相同。</w:t>
            </w:r>
          </w:p>
          <w:p w14:paraId="7F184D96">
            <w:pPr>
              <w:spacing w:line="400" w:lineRule="exact"/>
              <w:ind w:firstLine="359" w:firstLineChars="171"/>
              <w:rPr>
                <w:rFonts w:ascii="宋体" w:hAnsi="宋体" w:cs="宋体"/>
                <w:color w:val="auto"/>
                <w:szCs w:val="21"/>
                <w:highlight w:val="none"/>
              </w:rPr>
            </w:pPr>
            <w:r>
              <w:rPr>
                <w:rFonts w:hint="eastAsia" w:ascii="宋体" w:hAnsi="宋体" w:cs="宋体"/>
                <w:color w:val="auto"/>
                <w:szCs w:val="21"/>
                <w:highlight w:val="none"/>
              </w:rPr>
              <w:t>12.2 不可抗力事件发生后，应立即通知对方，并寄送有关权威机构出具的证明。</w:t>
            </w:r>
          </w:p>
          <w:p w14:paraId="2A06AAC1">
            <w:pPr>
              <w:spacing w:line="400" w:lineRule="exact"/>
              <w:ind w:firstLine="359" w:firstLineChars="171"/>
              <w:rPr>
                <w:rFonts w:ascii="宋体" w:hAnsi="宋体" w:cs="宋体"/>
                <w:color w:val="auto"/>
                <w:szCs w:val="21"/>
                <w:highlight w:val="none"/>
              </w:rPr>
            </w:pPr>
            <w:r>
              <w:rPr>
                <w:rFonts w:hint="eastAsia" w:ascii="宋体" w:hAnsi="宋体" w:cs="宋体"/>
                <w:color w:val="auto"/>
                <w:szCs w:val="21"/>
                <w:highlight w:val="none"/>
              </w:rPr>
              <w:t>12.3 不可抗力事件延续60天以上，双方应通过友好协商，确定是否继续履行合同。</w:t>
            </w:r>
          </w:p>
          <w:p w14:paraId="68DCE760">
            <w:pPr>
              <w:spacing w:line="400" w:lineRule="exact"/>
              <w:rPr>
                <w:rFonts w:ascii="宋体" w:hAnsi="宋体" w:cs="宋体"/>
                <w:b/>
                <w:bCs/>
                <w:color w:val="auto"/>
                <w:szCs w:val="21"/>
                <w:highlight w:val="none"/>
              </w:rPr>
            </w:pPr>
            <w:r>
              <w:rPr>
                <w:rFonts w:hint="eastAsia" w:ascii="宋体" w:hAnsi="宋体" w:cs="宋体"/>
                <w:b/>
                <w:bCs/>
                <w:color w:val="auto"/>
                <w:szCs w:val="21"/>
                <w:highlight w:val="none"/>
              </w:rPr>
              <w:t>13.  诉讼</w:t>
            </w:r>
          </w:p>
          <w:p w14:paraId="29816930">
            <w:pPr>
              <w:tabs>
                <w:tab w:val="left" w:pos="0"/>
              </w:tabs>
              <w:spacing w:line="400" w:lineRule="exact"/>
              <w:ind w:firstLine="359" w:firstLineChars="171"/>
              <w:rPr>
                <w:rFonts w:ascii="宋体" w:hAnsi="宋体" w:cs="宋体"/>
                <w:color w:val="auto"/>
                <w:szCs w:val="21"/>
                <w:highlight w:val="none"/>
              </w:rPr>
            </w:pPr>
            <w:r>
              <w:rPr>
                <w:rFonts w:hint="eastAsia" w:ascii="宋体" w:hAnsi="宋体" w:cs="宋体"/>
                <w:color w:val="auto"/>
                <w:szCs w:val="21"/>
                <w:highlight w:val="none"/>
              </w:rPr>
              <w:t>13.1 双方在执行合同中所发生的一切争议，应通过协商解决。如协商不成，可向合同签订地法院起诉，合同签订地在此约定为广西梧州市。</w:t>
            </w:r>
          </w:p>
          <w:p w14:paraId="1DB5FFC7">
            <w:pPr>
              <w:spacing w:line="400" w:lineRule="exact"/>
              <w:rPr>
                <w:rFonts w:ascii="宋体" w:hAnsi="宋体" w:cs="宋体"/>
                <w:b/>
                <w:bCs/>
                <w:color w:val="auto"/>
                <w:szCs w:val="21"/>
                <w:highlight w:val="none"/>
              </w:rPr>
            </w:pPr>
            <w:r>
              <w:rPr>
                <w:rFonts w:hint="eastAsia" w:ascii="宋体" w:hAnsi="宋体" w:cs="宋体"/>
                <w:b/>
                <w:bCs/>
                <w:color w:val="auto"/>
                <w:szCs w:val="21"/>
                <w:highlight w:val="none"/>
              </w:rPr>
              <w:t>14.  合同生效及其它</w:t>
            </w:r>
          </w:p>
          <w:p w14:paraId="283ABC8E">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14.1 合同经双方法定代表人或授权委托代理人签字并加盖单位公章后生效。</w:t>
            </w:r>
          </w:p>
          <w:p w14:paraId="687C8A7A">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14.2 合同执行中涉及采购资金和采购内容修改或补充的，须经市财政部门审批，并签书面补充协议报梧州市政府采购监督管理部门备案，方可作为主合同不可分割的一部分。</w:t>
            </w:r>
          </w:p>
          <w:p w14:paraId="5615B104">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14.3 本合同未尽事宜，遵照《中华人民共和国民法典》有关条文执行。</w:t>
            </w:r>
          </w:p>
          <w:p w14:paraId="5C816DF6">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14.4 本合同正本一式伍份，具有同等法律效力，甲方执三份，乙方执一份，采购代理机构执一份，招标人自合同签订之日起七个工作日内报梧州市政府采购监督管理部门备案。</w:t>
            </w:r>
          </w:p>
          <w:p w14:paraId="0C403171">
            <w:pPr>
              <w:spacing w:line="440" w:lineRule="exact"/>
              <w:rPr>
                <w:rFonts w:ascii="宋体" w:hAnsi="宋体" w:cs="宋体"/>
                <w:color w:val="auto"/>
                <w:szCs w:val="21"/>
                <w:highlight w:val="none"/>
                <w:u w:val="single"/>
              </w:rPr>
            </w:pPr>
            <w:r>
              <w:rPr>
                <w:rFonts w:hint="eastAsia" w:ascii="宋体" w:hAnsi="宋体" w:cs="宋体"/>
                <w:color w:val="auto"/>
                <w:szCs w:val="21"/>
                <w:highlight w:val="none"/>
              </w:rPr>
              <w:t>甲方：梧州市红十字会医院              乙方：</w:t>
            </w:r>
          </w:p>
          <w:p w14:paraId="21D49642">
            <w:pPr>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地址：梧州市万秀区新兴一路3-1号      地址：  </w:t>
            </w:r>
          </w:p>
          <w:p w14:paraId="62EB1FD3">
            <w:pPr>
              <w:spacing w:line="440" w:lineRule="exact"/>
              <w:rPr>
                <w:rFonts w:ascii="宋体" w:hAnsi="宋体" w:cs="宋体"/>
                <w:color w:val="auto"/>
                <w:szCs w:val="21"/>
                <w:highlight w:val="none"/>
              </w:rPr>
            </w:pPr>
            <w:r>
              <w:rPr>
                <w:rFonts w:hint="eastAsia" w:ascii="宋体" w:hAnsi="宋体" w:cs="宋体"/>
                <w:color w:val="auto"/>
                <w:szCs w:val="21"/>
                <w:highlight w:val="none"/>
              </w:rPr>
              <w:t>法定代表人：                          法定代表人：</w:t>
            </w:r>
          </w:p>
          <w:p w14:paraId="01628663">
            <w:pPr>
              <w:spacing w:line="440" w:lineRule="exact"/>
              <w:rPr>
                <w:rFonts w:ascii="宋体" w:hAnsi="宋体" w:cs="宋体"/>
                <w:color w:val="auto"/>
                <w:szCs w:val="21"/>
                <w:highlight w:val="none"/>
              </w:rPr>
            </w:pPr>
            <w:r>
              <w:rPr>
                <w:rFonts w:hint="eastAsia" w:ascii="宋体" w:hAnsi="宋体" w:cs="宋体"/>
                <w:color w:val="auto"/>
                <w:szCs w:val="21"/>
                <w:highlight w:val="none"/>
              </w:rPr>
              <w:t>委托代理人：                          委托代理人：</w:t>
            </w:r>
          </w:p>
          <w:p w14:paraId="4CF09C5A">
            <w:pPr>
              <w:spacing w:line="440" w:lineRule="exact"/>
              <w:rPr>
                <w:rFonts w:ascii="宋体" w:hAnsi="宋体" w:cs="宋体"/>
                <w:color w:val="auto"/>
                <w:szCs w:val="21"/>
                <w:highlight w:val="none"/>
              </w:rPr>
            </w:pPr>
            <w:r>
              <w:rPr>
                <w:rFonts w:hint="eastAsia" w:ascii="宋体" w:hAnsi="宋体" w:cs="宋体"/>
                <w:color w:val="auto"/>
                <w:szCs w:val="21"/>
                <w:highlight w:val="none"/>
              </w:rPr>
              <w:t>电话：                                电话：</w:t>
            </w:r>
          </w:p>
          <w:p w14:paraId="74A8C693">
            <w:pPr>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传真：                                传真：    </w:t>
            </w:r>
          </w:p>
          <w:p w14:paraId="7A29E88B">
            <w:pPr>
              <w:spacing w:line="440" w:lineRule="exact"/>
              <w:rPr>
                <w:rFonts w:ascii="宋体" w:hAnsi="宋体" w:cs="宋体"/>
                <w:color w:val="auto"/>
                <w:szCs w:val="21"/>
                <w:highlight w:val="none"/>
                <w:u w:val="single"/>
              </w:rPr>
            </w:pPr>
            <w:r>
              <w:rPr>
                <w:rFonts w:hint="eastAsia" w:ascii="宋体" w:hAnsi="宋体" w:cs="宋体"/>
                <w:color w:val="auto"/>
                <w:szCs w:val="21"/>
                <w:highlight w:val="none"/>
              </w:rPr>
              <w:t xml:space="preserve">                                      开户银行：</w:t>
            </w:r>
          </w:p>
          <w:p w14:paraId="4D16BFF4">
            <w:pPr>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                                      开户名称：                                </w:t>
            </w:r>
          </w:p>
          <w:p w14:paraId="4FD52BDF">
            <w:pPr>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                                      银行账号：</w:t>
            </w:r>
          </w:p>
          <w:p w14:paraId="7B7982C1">
            <w:pPr>
              <w:snapToGrid w:val="0"/>
              <w:spacing w:before="120" w:after="120"/>
              <w:jc w:val="center"/>
              <w:outlineLvl w:val="0"/>
              <w:rPr>
                <w:rFonts w:ascii="宋体" w:hAnsi="宋体" w:cs="宋体"/>
                <w:color w:val="auto"/>
                <w:sz w:val="24"/>
                <w:highlight w:val="none"/>
              </w:rPr>
            </w:pPr>
          </w:p>
        </w:tc>
      </w:tr>
    </w:tbl>
    <w:p w14:paraId="28B59836">
      <w:pPr>
        <w:snapToGrid w:val="0"/>
        <w:spacing w:line="360" w:lineRule="exact"/>
        <w:jc w:val="center"/>
        <w:rPr>
          <w:rFonts w:hint="eastAsia" w:ascii="宋体"/>
          <w:b/>
          <w:color w:val="auto"/>
          <w:sz w:val="28"/>
          <w:szCs w:val="28"/>
          <w:highlight w:val="none"/>
        </w:rPr>
      </w:pPr>
    </w:p>
    <w:p w14:paraId="662CE624">
      <w:pPr>
        <w:snapToGrid w:val="0"/>
        <w:spacing w:line="360" w:lineRule="exact"/>
        <w:jc w:val="center"/>
        <w:rPr>
          <w:rFonts w:hint="eastAsia" w:ascii="宋体"/>
          <w:b/>
          <w:color w:val="auto"/>
          <w:sz w:val="28"/>
          <w:szCs w:val="28"/>
          <w:highlight w:val="none"/>
        </w:rPr>
      </w:pPr>
    </w:p>
    <w:p w14:paraId="001E3F2A">
      <w:pPr>
        <w:snapToGrid w:val="0"/>
        <w:spacing w:line="360" w:lineRule="exact"/>
        <w:jc w:val="center"/>
        <w:rPr>
          <w:rFonts w:hint="eastAsia" w:ascii="宋体"/>
          <w:b/>
          <w:color w:val="auto"/>
          <w:sz w:val="28"/>
          <w:szCs w:val="28"/>
          <w:highlight w:val="none"/>
        </w:rPr>
      </w:pPr>
    </w:p>
    <w:p w14:paraId="1C7374A2">
      <w:pPr>
        <w:snapToGrid w:val="0"/>
        <w:spacing w:line="360" w:lineRule="exact"/>
        <w:jc w:val="center"/>
        <w:rPr>
          <w:rFonts w:hint="eastAsia" w:ascii="宋体"/>
          <w:b/>
          <w:color w:val="auto"/>
          <w:sz w:val="28"/>
          <w:szCs w:val="28"/>
          <w:highlight w:val="none"/>
        </w:rPr>
      </w:pPr>
    </w:p>
    <w:p w14:paraId="27FF5984">
      <w:pPr>
        <w:snapToGrid w:val="0"/>
        <w:spacing w:line="360" w:lineRule="exact"/>
        <w:jc w:val="center"/>
        <w:rPr>
          <w:rFonts w:hint="eastAsia" w:ascii="宋体"/>
          <w:b/>
          <w:color w:val="auto"/>
          <w:sz w:val="28"/>
          <w:szCs w:val="28"/>
          <w:highlight w:val="none"/>
        </w:rPr>
      </w:pPr>
    </w:p>
    <w:p w14:paraId="700068F8">
      <w:pPr>
        <w:snapToGrid w:val="0"/>
        <w:spacing w:line="360" w:lineRule="exact"/>
        <w:jc w:val="center"/>
        <w:rPr>
          <w:rFonts w:hint="eastAsia" w:ascii="宋体"/>
          <w:b/>
          <w:color w:val="auto"/>
          <w:sz w:val="28"/>
          <w:szCs w:val="28"/>
          <w:highlight w:val="none"/>
        </w:rPr>
      </w:pPr>
    </w:p>
    <w:p w14:paraId="5A2A1378">
      <w:pPr>
        <w:snapToGrid w:val="0"/>
        <w:spacing w:line="360" w:lineRule="exact"/>
        <w:jc w:val="center"/>
        <w:rPr>
          <w:rFonts w:ascii="宋体"/>
          <w:b/>
          <w:color w:val="auto"/>
          <w:sz w:val="28"/>
          <w:szCs w:val="28"/>
          <w:highlight w:val="none"/>
        </w:rPr>
      </w:pPr>
      <w:r>
        <w:rPr>
          <w:rFonts w:hint="eastAsia" w:ascii="宋体"/>
          <w:b/>
          <w:color w:val="auto"/>
          <w:sz w:val="28"/>
          <w:szCs w:val="28"/>
          <w:highlight w:val="none"/>
        </w:rPr>
        <w:t>合 同 附 件</w:t>
      </w:r>
    </w:p>
    <w:p w14:paraId="1AE83C9F">
      <w:pPr>
        <w:snapToGrid w:val="0"/>
        <w:spacing w:line="360" w:lineRule="exact"/>
        <w:jc w:val="center"/>
        <w:rPr>
          <w:rFonts w:ascii="宋体"/>
          <w:b/>
          <w:color w:val="auto"/>
          <w:szCs w:val="21"/>
          <w:highlight w:val="none"/>
        </w:rPr>
      </w:pPr>
    </w:p>
    <w:tbl>
      <w:tblPr>
        <w:tblStyle w:val="37"/>
        <w:tblW w:w="5000" w:type="pct"/>
        <w:tblInd w:w="0" w:type="dxa"/>
        <w:tblLayout w:type="autofit"/>
        <w:tblCellMar>
          <w:top w:w="0" w:type="dxa"/>
          <w:left w:w="108" w:type="dxa"/>
          <w:bottom w:w="0" w:type="dxa"/>
          <w:right w:w="108" w:type="dxa"/>
        </w:tblCellMar>
      </w:tblPr>
      <w:tblGrid>
        <w:gridCol w:w="4413"/>
        <w:gridCol w:w="4316"/>
      </w:tblGrid>
      <w:tr w14:paraId="35BC0F27">
        <w:tblPrEx>
          <w:tblCellMar>
            <w:top w:w="0" w:type="dxa"/>
            <w:left w:w="108" w:type="dxa"/>
            <w:bottom w:w="0" w:type="dxa"/>
            <w:right w:w="108" w:type="dxa"/>
          </w:tblCellMar>
        </w:tblPrEx>
        <w:trPr>
          <w:trHeight w:val="2260" w:hRule="atLeast"/>
        </w:trPr>
        <w:tc>
          <w:tcPr>
            <w:tcW w:w="5000" w:type="pct"/>
            <w:gridSpan w:val="2"/>
            <w:tcBorders>
              <w:top w:val="single" w:color="auto" w:sz="4" w:space="0"/>
              <w:left w:val="single" w:color="auto" w:sz="4" w:space="0"/>
              <w:bottom w:val="nil"/>
              <w:right w:val="single" w:color="auto" w:sz="4" w:space="0"/>
            </w:tcBorders>
          </w:tcPr>
          <w:p w14:paraId="0B04C665">
            <w:pPr>
              <w:snapToGrid w:val="0"/>
              <w:spacing w:line="360" w:lineRule="exact"/>
              <w:rPr>
                <w:rFonts w:ascii="宋体"/>
                <w:b/>
                <w:color w:val="auto"/>
                <w:szCs w:val="21"/>
                <w:highlight w:val="none"/>
              </w:rPr>
            </w:pPr>
            <w:r>
              <w:rPr>
                <w:rFonts w:hint="eastAsia" w:ascii="宋体"/>
                <w:b/>
                <w:color w:val="auto"/>
                <w:szCs w:val="21"/>
                <w:highlight w:val="none"/>
              </w:rPr>
              <w:t>1、供应商承诺具体事项：</w:t>
            </w:r>
          </w:p>
        </w:tc>
      </w:tr>
      <w:tr w14:paraId="389B481D">
        <w:tblPrEx>
          <w:tblCellMar>
            <w:top w:w="0" w:type="dxa"/>
            <w:left w:w="108" w:type="dxa"/>
            <w:bottom w:w="0" w:type="dxa"/>
            <w:right w:w="108" w:type="dxa"/>
          </w:tblCellMar>
        </w:tblPrEx>
        <w:trPr>
          <w:trHeight w:val="2145" w:hRule="atLeast"/>
        </w:trPr>
        <w:tc>
          <w:tcPr>
            <w:tcW w:w="5000" w:type="pct"/>
            <w:gridSpan w:val="2"/>
            <w:tcBorders>
              <w:top w:val="single" w:color="auto" w:sz="4" w:space="0"/>
              <w:left w:val="single" w:color="auto" w:sz="4" w:space="0"/>
              <w:bottom w:val="nil"/>
              <w:right w:val="single" w:color="auto" w:sz="4" w:space="0"/>
            </w:tcBorders>
          </w:tcPr>
          <w:p w14:paraId="3312777A">
            <w:pPr>
              <w:snapToGrid w:val="0"/>
              <w:spacing w:line="360" w:lineRule="exact"/>
              <w:rPr>
                <w:rFonts w:ascii="宋体"/>
                <w:b/>
                <w:color w:val="auto"/>
                <w:szCs w:val="21"/>
                <w:highlight w:val="none"/>
              </w:rPr>
            </w:pPr>
            <w:r>
              <w:rPr>
                <w:rFonts w:hint="eastAsia" w:ascii="宋体"/>
                <w:b/>
                <w:color w:val="auto"/>
                <w:szCs w:val="21"/>
                <w:highlight w:val="none"/>
              </w:rPr>
              <w:t>2、售后服务具体事项：</w:t>
            </w:r>
          </w:p>
        </w:tc>
      </w:tr>
      <w:tr w14:paraId="252930FB">
        <w:tblPrEx>
          <w:tblCellMar>
            <w:top w:w="0" w:type="dxa"/>
            <w:left w:w="108" w:type="dxa"/>
            <w:bottom w:w="0" w:type="dxa"/>
            <w:right w:w="108" w:type="dxa"/>
          </w:tblCellMar>
        </w:tblPrEx>
        <w:trPr>
          <w:trHeight w:val="2062" w:hRule="atLeast"/>
        </w:trPr>
        <w:tc>
          <w:tcPr>
            <w:tcW w:w="5000" w:type="pct"/>
            <w:gridSpan w:val="2"/>
            <w:tcBorders>
              <w:top w:val="single" w:color="auto" w:sz="4" w:space="0"/>
              <w:left w:val="single" w:color="auto" w:sz="4" w:space="0"/>
              <w:bottom w:val="nil"/>
              <w:right w:val="single" w:color="auto" w:sz="4" w:space="0"/>
            </w:tcBorders>
          </w:tcPr>
          <w:p w14:paraId="0BAED0AD">
            <w:pPr>
              <w:snapToGrid w:val="0"/>
              <w:spacing w:line="360" w:lineRule="exact"/>
              <w:rPr>
                <w:rFonts w:ascii="宋体"/>
                <w:b/>
                <w:color w:val="auto"/>
                <w:szCs w:val="21"/>
                <w:highlight w:val="none"/>
              </w:rPr>
            </w:pPr>
            <w:r>
              <w:rPr>
                <w:rFonts w:hint="eastAsia" w:ascii="宋体"/>
                <w:b/>
                <w:color w:val="auto"/>
                <w:szCs w:val="21"/>
                <w:highlight w:val="none"/>
              </w:rPr>
              <w:t>3、其他具体事项：</w:t>
            </w:r>
          </w:p>
        </w:tc>
      </w:tr>
      <w:tr w14:paraId="1D6F97A8">
        <w:tblPrEx>
          <w:tblCellMar>
            <w:top w:w="0" w:type="dxa"/>
            <w:left w:w="108" w:type="dxa"/>
            <w:bottom w:w="0" w:type="dxa"/>
            <w:right w:w="108" w:type="dxa"/>
          </w:tblCellMar>
        </w:tblPrEx>
        <w:trPr>
          <w:trHeight w:val="3267" w:hRule="atLeast"/>
        </w:trPr>
        <w:tc>
          <w:tcPr>
            <w:tcW w:w="2528" w:type="pct"/>
            <w:tcBorders>
              <w:top w:val="single" w:color="auto" w:sz="4" w:space="0"/>
              <w:left w:val="single" w:color="auto" w:sz="4" w:space="0"/>
              <w:bottom w:val="single" w:color="auto" w:sz="4" w:space="0"/>
              <w:right w:val="single" w:color="auto" w:sz="4" w:space="0"/>
            </w:tcBorders>
            <w:vAlign w:val="center"/>
          </w:tcPr>
          <w:p w14:paraId="4145335F">
            <w:pPr>
              <w:snapToGrid w:val="0"/>
              <w:spacing w:line="360" w:lineRule="exact"/>
              <w:ind w:firstLine="420" w:firstLineChars="200"/>
              <w:rPr>
                <w:rFonts w:ascii="宋体"/>
                <w:b/>
                <w:color w:val="auto"/>
                <w:szCs w:val="21"/>
                <w:highlight w:val="none"/>
              </w:rPr>
            </w:pPr>
            <w:r>
              <w:rPr>
                <w:rFonts w:hint="eastAsia" w:ascii="宋体"/>
                <w:b/>
                <w:color w:val="auto"/>
                <w:szCs w:val="21"/>
                <w:highlight w:val="none"/>
              </w:rPr>
              <w:t>甲方（章）</w:t>
            </w:r>
          </w:p>
          <w:p w14:paraId="00CB052F">
            <w:pPr>
              <w:snapToGrid w:val="0"/>
              <w:spacing w:line="360" w:lineRule="exact"/>
              <w:ind w:firstLine="420" w:firstLineChars="200"/>
              <w:rPr>
                <w:rFonts w:ascii="宋体"/>
                <w:b/>
                <w:color w:val="auto"/>
                <w:szCs w:val="21"/>
                <w:highlight w:val="none"/>
              </w:rPr>
            </w:pPr>
          </w:p>
          <w:p w14:paraId="24F4ECFD">
            <w:pPr>
              <w:snapToGrid w:val="0"/>
              <w:spacing w:line="360" w:lineRule="exact"/>
              <w:ind w:firstLine="420" w:firstLineChars="200"/>
              <w:rPr>
                <w:rFonts w:ascii="宋体"/>
                <w:b/>
                <w:color w:val="auto"/>
                <w:szCs w:val="21"/>
                <w:highlight w:val="none"/>
              </w:rPr>
            </w:pPr>
          </w:p>
          <w:p w14:paraId="150D0683">
            <w:pPr>
              <w:snapToGrid w:val="0"/>
              <w:spacing w:line="360" w:lineRule="exact"/>
              <w:ind w:firstLine="420" w:firstLineChars="200"/>
              <w:rPr>
                <w:rFonts w:ascii="宋体"/>
                <w:b/>
                <w:color w:val="auto"/>
                <w:szCs w:val="21"/>
                <w:highlight w:val="none"/>
              </w:rPr>
            </w:pPr>
          </w:p>
          <w:p w14:paraId="546403CB">
            <w:pPr>
              <w:snapToGrid w:val="0"/>
              <w:spacing w:line="360" w:lineRule="exact"/>
              <w:ind w:firstLine="420" w:firstLineChars="200"/>
              <w:rPr>
                <w:rFonts w:ascii="宋体"/>
                <w:b/>
                <w:color w:val="auto"/>
                <w:szCs w:val="21"/>
                <w:highlight w:val="none"/>
              </w:rPr>
            </w:pPr>
          </w:p>
          <w:p w14:paraId="316BFD92">
            <w:pPr>
              <w:snapToGrid w:val="0"/>
              <w:spacing w:line="360" w:lineRule="exact"/>
              <w:ind w:firstLine="420" w:firstLineChars="200"/>
              <w:rPr>
                <w:rFonts w:ascii="宋体"/>
                <w:b/>
                <w:color w:val="auto"/>
                <w:szCs w:val="21"/>
                <w:highlight w:val="none"/>
              </w:rPr>
            </w:pPr>
          </w:p>
          <w:p w14:paraId="4C4EC752">
            <w:pPr>
              <w:snapToGrid w:val="0"/>
              <w:spacing w:line="360" w:lineRule="exact"/>
              <w:ind w:firstLine="420" w:firstLineChars="200"/>
              <w:rPr>
                <w:rFonts w:ascii="宋体"/>
                <w:b/>
                <w:color w:val="auto"/>
                <w:szCs w:val="21"/>
                <w:highlight w:val="none"/>
              </w:rPr>
            </w:pPr>
            <w:r>
              <w:rPr>
                <w:rFonts w:hint="eastAsia" w:ascii="宋体"/>
                <w:b/>
                <w:color w:val="auto"/>
                <w:szCs w:val="21"/>
                <w:highlight w:val="none"/>
              </w:rPr>
              <w:t xml:space="preserve">                      年   月   日 </w:t>
            </w:r>
          </w:p>
        </w:tc>
        <w:tc>
          <w:tcPr>
            <w:tcW w:w="2471" w:type="pct"/>
            <w:tcBorders>
              <w:top w:val="single" w:color="auto" w:sz="4" w:space="0"/>
              <w:left w:val="single" w:color="auto" w:sz="4" w:space="0"/>
              <w:bottom w:val="single" w:color="auto" w:sz="4" w:space="0"/>
              <w:right w:val="single" w:color="auto" w:sz="4" w:space="0"/>
            </w:tcBorders>
            <w:vAlign w:val="center"/>
          </w:tcPr>
          <w:p w14:paraId="0D1DBDDB">
            <w:pPr>
              <w:snapToGrid w:val="0"/>
              <w:spacing w:line="360" w:lineRule="exact"/>
              <w:ind w:firstLine="420" w:firstLineChars="200"/>
              <w:rPr>
                <w:rFonts w:ascii="宋体"/>
                <w:b/>
                <w:color w:val="auto"/>
                <w:szCs w:val="21"/>
                <w:highlight w:val="none"/>
              </w:rPr>
            </w:pPr>
            <w:r>
              <w:rPr>
                <w:rFonts w:hint="eastAsia" w:ascii="宋体"/>
                <w:b/>
                <w:color w:val="auto"/>
                <w:szCs w:val="21"/>
                <w:highlight w:val="none"/>
              </w:rPr>
              <w:t>乙方（章）</w:t>
            </w:r>
          </w:p>
          <w:p w14:paraId="2C5E9DD9">
            <w:pPr>
              <w:snapToGrid w:val="0"/>
              <w:spacing w:line="360" w:lineRule="exact"/>
              <w:ind w:firstLine="420" w:firstLineChars="200"/>
              <w:rPr>
                <w:rFonts w:ascii="宋体"/>
                <w:b/>
                <w:color w:val="auto"/>
                <w:szCs w:val="21"/>
                <w:highlight w:val="none"/>
              </w:rPr>
            </w:pPr>
          </w:p>
          <w:p w14:paraId="0F0C7489">
            <w:pPr>
              <w:snapToGrid w:val="0"/>
              <w:spacing w:line="360" w:lineRule="exact"/>
              <w:ind w:firstLine="420" w:firstLineChars="200"/>
              <w:rPr>
                <w:rFonts w:ascii="宋体"/>
                <w:b/>
                <w:color w:val="auto"/>
                <w:szCs w:val="21"/>
                <w:highlight w:val="none"/>
              </w:rPr>
            </w:pPr>
          </w:p>
          <w:p w14:paraId="65965533">
            <w:pPr>
              <w:snapToGrid w:val="0"/>
              <w:spacing w:line="360" w:lineRule="exact"/>
              <w:ind w:firstLine="420" w:firstLineChars="200"/>
              <w:rPr>
                <w:rFonts w:ascii="宋体"/>
                <w:b/>
                <w:color w:val="auto"/>
                <w:szCs w:val="21"/>
                <w:highlight w:val="none"/>
              </w:rPr>
            </w:pPr>
          </w:p>
          <w:p w14:paraId="3AACE321">
            <w:pPr>
              <w:snapToGrid w:val="0"/>
              <w:spacing w:line="360" w:lineRule="exact"/>
              <w:ind w:firstLine="420" w:firstLineChars="200"/>
              <w:rPr>
                <w:rFonts w:ascii="宋体"/>
                <w:b/>
                <w:color w:val="auto"/>
                <w:szCs w:val="21"/>
                <w:highlight w:val="none"/>
              </w:rPr>
            </w:pPr>
          </w:p>
          <w:p w14:paraId="473081EF">
            <w:pPr>
              <w:snapToGrid w:val="0"/>
              <w:spacing w:line="360" w:lineRule="exact"/>
              <w:ind w:firstLine="420" w:firstLineChars="200"/>
              <w:rPr>
                <w:rFonts w:ascii="宋体"/>
                <w:b/>
                <w:color w:val="auto"/>
                <w:szCs w:val="21"/>
                <w:highlight w:val="none"/>
              </w:rPr>
            </w:pPr>
          </w:p>
          <w:p w14:paraId="310F29C1">
            <w:pPr>
              <w:snapToGrid w:val="0"/>
              <w:spacing w:line="360" w:lineRule="exact"/>
              <w:ind w:firstLine="420" w:firstLineChars="200"/>
              <w:rPr>
                <w:rFonts w:ascii="宋体"/>
                <w:b/>
                <w:color w:val="auto"/>
                <w:szCs w:val="21"/>
                <w:highlight w:val="none"/>
              </w:rPr>
            </w:pPr>
            <w:r>
              <w:rPr>
                <w:rFonts w:hint="eastAsia" w:ascii="宋体"/>
                <w:b/>
                <w:color w:val="auto"/>
                <w:szCs w:val="21"/>
                <w:highlight w:val="none"/>
              </w:rPr>
              <w:t xml:space="preserve">                       年   月   日</w:t>
            </w:r>
          </w:p>
        </w:tc>
      </w:tr>
    </w:tbl>
    <w:p w14:paraId="6DEB3EA3">
      <w:pPr>
        <w:snapToGrid w:val="0"/>
        <w:jc w:val="center"/>
        <w:rPr>
          <w:rFonts w:ascii="宋体" w:hAnsi="宋体" w:eastAsia="宋体" w:cs="Times New Roman"/>
          <w:bCs/>
          <w:color w:val="auto"/>
          <w:sz w:val="32"/>
          <w:szCs w:val="32"/>
          <w:highlight w:val="none"/>
        </w:rPr>
      </w:pPr>
      <w:r>
        <w:rPr>
          <w:rFonts w:hAnsi="宋体"/>
          <w:color w:val="auto"/>
          <w:highlight w:val="none"/>
        </w:rPr>
        <w:br w:type="page"/>
      </w:r>
    </w:p>
    <w:p w14:paraId="3338C17A">
      <w:pPr>
        <w:rPr>
          <w:rFonts w:ascii="宋体" w:hAnsi="宋体"/>
          <w:color w:val="auto"/>
          <w:szCs w:val="21"/>
          <w:highlight w:val="none"/>
        </w:rPr>
      </w:pPr>
      <w:r>
        <w:rPr>
          <w:rFonts w:hint="eastAsia" w:ascii="宋体" w:hAnsi="宋体"/>
          <w:color w:val="auto"/>
          <w:szCs w:val="21"/>
          <w:highlight w:val="none"/>
        </w:rPr>
        <w:t>附件1：</w:t>
      </w:r>
    </w:p>
    <w:p w14:paraId="19ACEBFC">
      <w:pPr>
        <w:autoSpaceDE w:val="0"/>
        <w:autoSpaceDN w:val="0"/>
        <w:adjustRightInd w:val="0"/>
        <w:snapToGrid w:val="0"/>
        <w:ind w:firstLine="482"/>
        <w:jc w:val="center"/>
        <w:rPr>
          <w:rFonts w:ascii="华文中宋" w:hAnsi="华文中宋" w:eastAsia="华文中宋"/>
          <w:color w:val="auto"/>
          <w:kern w:val="0"/>
          <w:sz w:val="40"/>
          <w:highlight w:val="none"/>
          <w:lang w:val="zh-CN"/>
        </w:rPr>
      </w:pPr>
      <w:r>
        <w:rPr>
          <w:rFonts w:hint="eastAsia" w:ascii="华文中宋" w:hAnsi="华文中宋" w:eastAsia="华文中宋"/>
          <w:color w:val="auto"/>
          <w:kern w:val="0"/>
          <w:sz w:val="40"/>
          <w:highlight w:val="none"/>
          <w:lang w:val="zh-CN"/>
        </w:rPr>
        <w:t>项目采购</w:t>
      </w:r>
      <w:r>
        <w:rPr>
          <w:rFonts w:ascii="华文中宋" w:hAnsi="华文中宋" w:eastAsia="华文中宋"/>
          <w:color w:val="auto"/>
          <w:kern w:val="0"/>
          <w:sz w:val="40"/>
          <w:highlight w:val="none"/>
          <w:lang w:val="zh-CN"/>
        </w:rPr>
        <w:t>廉洁承诺书</w:t>
      </w:r>
    </w:p>
    <w:p w14:paraId="10EA769D">
      <w:pPr>
        <w:autoSpaceDE w:val="0"/>
        <w:autoSpaceDN w:val="0"/>
        <w:adjustRightInd w:val="0"/>
        <w:snapToGrid w:val="0"/>
        <w:spacing w:line="400" w:lineRule="exact"/>
        <w:ind w:firstLine="482"/>
        <w:rPr>
          <w:rFonts w:ascii="宋体" w:hAnsi="宋体"/>
          <w:color w:val="auto"/>
          <w:kern w:val="0"/>
          <w:szCs w:val="21"/>
          <w:highlight w:val="none"/>
          <w:lang w:val="zh-CN"/>
        </w:rPr>
      </w:pPr>
      <w:r>
        <w:rPr>
          <w:rFonts w:hint="eastAsia" w:ascii="宋体" w:hAnsi="宋体"/>
          <w:color w:val="auto"/>
          <w:kern w:val="0"/>
          <w:szCs w:val="21"/>
          <w:highlight w:val="none"/>
          <w:lang w:val="zh-CN"/>
        </w:rPr>
        <w:t>为深入贯彻落实国家卫生健康委等部门《关于印发医疗机构工作人员廉洁从业九项准则的通知》（国卫医发〔2021〕37号）、《广西壮族自治区医疗卫生机构及其工作人员廉洁从业规定》（桂卫发[2020]11号）及《中华人民共和国政府采购法》等文件精神，进一步规范医疗机构项目（包括货物</w:t>
      </w:r>
      <w:r>
        <w:rPr>
          <w:rFonts w:ascii="宋体" w:hAnsi="宋体"/>
          <w:color w:val="auto"/>
          <w:kern w:val="0"/>
          <w:szCs w:val="21"/>
          <w:highlight w:val="none"/>
          <w:lang w:val="zh-CN"/>
        </w:rPr>
        <w:t>、服务、工程</w:t>
      </w:r>
      <w:r>
        <w:rPr>
          <w:rFonts w:hint="eastAsia" w:ascii="宋体" w:hAnsi="宋体"/>
          <w:color w:val="auto"/>
          <w:kern w:val="0"/>
          <w:szCs w:val="21"/>
          <w:highlight w:val="none"/>
          <w:lang w:val="zh-CN"/>
        </w:rPr>
        <w:t>等）采购行为，从源头上遏制和预防项目</w:t>
      </w:r>
      <w:r>
        <w:rPr>
          <w:rFonts w:ascii="宋体" w:hAnsi="宋体"/>
          <w:color w:val="auto"/>
          <w:kern w:val="0"/>
          <w:szCs w:val="21"/>
          <w:highlight w:val="none"/>
          <w:lang w:val="zh-CN"/>
        </w:rPr>
        <w:t>采购</w:t>
      </w:r>
      <w:r>
        <w:rPr>
          <w:rFonts w:hint="eastAsia" w:ascii="宋体" w:hAnsi="宋体"/>
          <w:color w:val="auto"/>
          <w:kern w:val="0"/>
          <w:szCs w:val="21"/>
          <w:highlight w:val="none"/>
          <w:lang w:val="zh-CN"/>
        </w:rPr>
        <w:t>贿赂行为，营造风清气正的购销环境，我公司及所属业务人员作出以下不向医院工作人员赠送“回扣”“红包”等廉洁承诺：</w:t>
      </w:r>
    </w:p>
    <w:p w14:paraId="29727427">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一、严格遵守国家的法律法规，依法依规处理项目采购业务，保证不进行违法乱纪活动，自觉接受执法执纪部门的监督检查。</w:t>
      </w:r>
    </w:p>
    <w:p w14:paraId="09572300">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二、保证严格按照民法典及项目采购合同约定履行。</w:t>
      </w:r>
    </w:p>
    <w:p w14:paraId="0CFA76B2">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三、在项目采购活动中，保证不以任何借口向医院及其工作人员（含工作人员的近亲属和其他关系人）给予回扣，主要包括以下内容：</w:t>
      </w:r>
    </w:p>
    <w:p w14:paraId="0AF5250D">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（一）以各种名义所送礼品、礼金、有价证券和支付凭证等财物；</w:t>
      </w:r>
    </w:p>
    <w:p w14:paraId="38DA3819">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（二）报销应当由医院及其工作人员与其近亲属和其他关系人支付的费用；</w:t>
      </w:r>
    </w:p>
    <w:p w14:paraId="3BD84DC4">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（三）向医院及其工作人员提供旅游、考察、宴请、健身、娱乐等活动；</w:t>
      </w:r>
    </w:p>
    <w:p w14:paraId="3B69C0ED">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（四）在医疗活动中向临床提供促销费、开单（药品、检验、耗材等）提成费、推介费等；</w:t>
      </w:r>
    </w:p>
    <w:p w14:paraId="500CA947">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（五）让医院及其工作人员进行以商业目的的处方统计或为其统计提供便利，获取药品、医用设备和医用耗材的用量信息，给予不正当利益的；</w:t>
      </w:r>
    </w:p>
    <w:p w14:paraId="512901F0">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（六）法律法规规定禁止的其他不正当行为。</w:t>
      </w:r>
    </w:p>
    <w:p w14:paraId="15CF6B9A">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四、保证不到住院部、门诊部、医技科室等推销产品、项目，不借故到医疗机构相关领导、部门负责人及相关工作人员家中访谈并提供任何好处费。</w:t>
      </w:r>
    </w:p>
    <w:p w14:paraId="4F0C2D0F">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五、维护正常的医疗秩序，保证不以宴请、到营业性娱乐场所娱乐活动、提供旅游等手段影响医疗机构工作人员的项目（包括货物、服务、工程等）采购选择权。</w:t>
      </w:r>
    </w:p>
    <w:p w14:paraId="4C32B686">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六、保证不以任何理由要求医院及其工作人员利用任何途径和方式统计医师个人及临床科室有关药品、耗材、后勤物资等的用量信息，或要求为营销人员统计提供便利。</w:t>
      </w:r>
    </w:p>
    <w:p w14:paraId="576D3B8E">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七、如有违反上述承诺，我们愿意接受按照《国家卫生计生委关于建立医药购销领域商业贿赂不良记录的规定》（国卫法制发（2013）50号）相关规定处理，以及执法执纪部门的其他处理。</w:t>
      </w:r>
    </w:p>
    <w:p w14:paraId="7EF2F156">
      <w:pPr>
        <w:autoSpaceDE w:val="0"/>
        <w:autoSpaceDN w:val="0"/>
        <w:adjustRightInd w:val="0"/>
        <w:snapToGrid w:val="0"/>
        <w:spacing w:line="400" w:lineRule="exact"/>
        <w:ind w:firstLine="567"/>
        <w:rPr>
          <w:rFonts w:ascii="宋体" w:hAnsi="宋体"/>
          <w:color w:val="auto"/>
          <w:kern w:val="0"/>
          <w:szCs w:val="21"/>
          <w:highlight w:val="none"/>
          <w:lang w:val="zh-CN"/>
        </w:rPr>
      </w:pPr>
      <w:r>
        <w:rPr>
          <w:rFonts w:hint="eastAsia" w:ascii="宋体" w:hAnsi="宋体"/>
          <w:color w:val="auto"/>
          <w:kern w:val="0"/>
          <w:szCs w:val="21"/>
          <w:highlight w:val="none"/>
          <w:lang w:val="zh-CN"/>
        </w:rPr>
        <w:t>八、本承诺书一式两份，我公司和医疗机构各执一份。</w:t>
      </w:r>
    </w:p>
    <w:p w14:paraId="117715FF">
      <w:pPr>
        <w:autoSpaceDE w:val="0"/>
        <w:autoSpaceDN w:val="0"/>
        <w:adjustRightInd w:val="0"/>
        <w:snapToGrid w:val="0"/>
        <w:spacing w:line="400" w:lineRule="exact"/>
        <w:ind w:firstLine="2835" w:firstLineChars="1350"/>
        <w:rPr>
          <w:rFonts w:ascii="宋体" w:hAnsi="宋体"/>
          <w:color w:val="auto"/>
          <w:kern w:val="0"/>
          <w:szCs w:val="21"/>
          <w:highlight w:val="none"/>
          <w:lang w:val="zh-CN"/>
        </w:rPr>
      </w:pPr>
      <w:r>
        <w:rPr>
          <w:rFonts w:hint="eastAsia" w:ascii="宋体" w:hAnsi="宋体"/>
          <w:color w:val="auto"/>
          <w:kern w:val="0"/>
          <w:szCs w:val="21"/>
          <w:highlight w:val="none"/>
          <w:lang w:val="zh-CN"/>
        </w:rPr>
        <w:t>公司名称（盖章）：</w:t>
      </w:r>
    </w:p>
    <w:p w14:paraId="606D9381">
      <w:pPr>
        <w:autoSpaceDE w:val="0"/>
        <w:autoSpaceDN w:val="0"/>
        <w:adjustRightInd w:val="0"/>
        <w:snapToGrid w:val="0"/>
        <w:spacing w:line="400" w:lineRule="exact"/>
        <w:ind w:firstLine="3465" w:firstLineChars="1650"/>
        <w:rPr>
          <w:rFonts w:ascii="宋体" w:hAnsi="宋体"/>
          <w:color w:val="auto"/>
          <w:kern w:val="0"/>
          <w:szCs w:val="21"/>
          <w:highlight w:val="none"/>
          <w:lang w:val="zh-CN"/>
        </w:rPr>
      </w:pPr>
      <w:r>
        <w:rPr>
          <w:rFonts w:hint="eastAsia" w:ascii="宋体" w:hAnsi="宋体"/>
          <w:color w:val="auto"/>
          <w:kern w:val="0"/>
          <w:szCs w:val="21"/>
          <w:highlight w:val="none"/>
          <w:lang w:val="zh-CN"/>
        </w:rPr>
        <w:t>法定代表人：</w:t>
      </w:r>
    </w:p>
    <w:p w14:paraId="0E164CE8">
      <w:pPr>
        <w:autoSpaceDE w:val="0"/>
        <w:autoSpaceDN w:val="0"/>
        <w:adjustRightInd w:val="0"/>
        <w:snapToGrid w:val="0"/>
        <w:spacing w:line="400" w:lineRule="exact"/>
        <w:ind w:firstLine="3465" w:firstLineChars="1650"/>
        <w:rPr>
          <w:rFonts w:ascii="宋体" w:hAnsi="宋体"/>
          <w:color w:val="auto"/>
          <w:kern w:val="0"/>
          <w:szCs w:val="21"/>
          <w:highlight w:val="none"/>
          <w:lang w:val="zh-CN"/>
        </w:rPr>
      </w:pPr>
      <w:r>
        <w:rPr>
          <w:rFonts w:hint="eastAsia" w:ascii="宋体" w:hAnsi="宋体"/>
          <w:color w:val="auto"/>
          <w:kern w:val="0"/>
          <w:szCs w:val="21"/>
          <w:highlight w:val="none"/>
          <w:lang w:val="zh-CN"/>
        </w:rPr>
        <w:t>经办人签名：</w:t>
      </w:r>
    </w:p>
    <w:p w14:paraId="3AD2F316">
      <w:pPr>
        <w:autoSpaceDE w:val="0"/>
        <w:autoSpaceDN w:val="0"/>
        <w:adjustRightInd w:val="0"/>
        <w:snapToGrid w:val="0"/>
        <w:spacing w:line="400" w:lineRule="exact"/>
        <w:ind w:firstLine="4095" w:firstLineChars="1950"/>
        <w:rPr>
          <w:rFonts w:ascii="宋体" w:hAnsi="宋体"/>
          <w:color w:val="auto"/>
          <w:kern w:val="0"/>
          <w:szCs w:val="21"/>
          <w:highlight w:val="none"/>
          <w:lang w:val="zh-CN"/>
        </w:rPr>
      </w:pPr>
      <w:r>
        <w:rPr>
          <w:rFonts w:hint="eastAsia" w:ascii="宋体" w:hAnsi="宋体"/>
          <w:color w:val="auto"/>
          <w:kern w:val="0"/>
          <w:szCs w:val="21"/>
          <w:highlight w:val="none"/>
          <w:lang w:val="zh-CN"/>
        </w:rPr>
        <w:t>日期：</w:t>
      </w:r>
    </w:p>
    <w:p w14:paraId="7F68C8E3">
      <w:pPr>
        <w:autoSpaceDE w:val="0"/>
        <w:autoSpaceDN w:val="0"/>
        <w:adjustRightInd w:val="0"/>
        <w:snapToGrid w:val="0"/>
        <w:jc w:val="left"/>
        <w:rPr>
          <w:rFonts w:ascii="宋体" w:hAnsi="宋体"/>
          <w:color w:val="auto"/>
          <w:szCs w:val="21"/>
          <w:highlight w:val="none"/>
        </w:rPr>
      </w:pPr>
    </w:p>
    <w:p w14:paraId="5541FBB3">
      <w:pPr>
        <w:autoSpaceDE w:val="0"/>
        <w:autoSpaceDN w:val="0"/>
        <w:adjustRightInd w:val="0"/>
        <w:snapToGrid w:val="0"/>
        <w:jc w:val="left"/>
        <w:rPr>
          <w:rFonts w:ascii="宋体" w:hAnsi="宋体"/>
          <w:color w:val="auto"/>
          <w:szCs w:val="21"/>
          <w:highlight w:val="none"/>
        </w:rPr>
      </w:pPr>
    </w:p>
    <w:p w14:paraId="292CE535">
      <w:pPr>
        <w:autoSpaceDE w:val="0"/>
        <w:autoSpaceDN w:val="0"/>
        <w:adjustRightInd w:val="0"/>
        <w:snapToGrid w:val="0"/>
        <w:jc w:val="left"/>
        <w:rPr>
          <w:rFonts w:ascii="宋体" w:hAns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2</w:t>
      </w:r>
      <w:r>
        <w:rPr>
          <w:rFonts w:hint="eastAsia" w:ascii="宋体" w:hAnsi="宋体"/>
          <w:color w:val="auto"/>
          <w:szCs w:val="21"/>
          <w:highlight w:val="none"/>
        </w:rPr>
        <w:t>：</w:t>
      </w:r>
    </w:p>
    <w:p w14:paraId="650841F1">
      <w:pPr>
        <w:spacing w:line="400" w:lineRule="exact"/>
        <w:jc w:val="center"/>
        <w:rPr>
          <w:rFonts w:ascii="方正小标宋简体" w:hAnsi="??" w:eastAsia="方正小标宋简体"/>
          <w:color w:val="auto"/>
          <w:sz w:val="32"/>
          <w:szCs w:val="32"/>
          <w:highlight w:val="none"/>
        </w:rPr>
      </w:pPr>
      <w:r>
        <w:rPr>
          <w:rFonts w:hint="eastAsia" w:ascii="方正小标宋简体" w:hAnsi="??" w:eastAsia="方正小标宋简体"/>
          <w:color w:val="auto"/>
          <w:sz w:val="32"/>
          <w:szCs w:val="32"/>
          <w:highlight w:val="none"/>
        </w:rPr>
        <w:t>广西壮族自治区医疗卫生机构</w:t>
      </w:r>
    </w:p>
    <w:p w14:paraId="61323BFA">
      <w:pPr>
        <w:spacing w:line="560" w:lineRule="exact"/>
        <w:jc w:val="center"/>
        <w:rPr>
          <w:rFonts w:ascii="方正小标宋简体" w:hAnsi="宋体" w:eastAsia="方正小标宋简体"/>
          <w:color w:val="auto"/>
          <w:sz w:val="32"/>
          <w:szCs w:val="32"/>
          <w:highlight w:val="none"/>
        </w:rPr>
      </w:pPr>
      <w:r>
        <w:rPr>
          <w:rFonts w:hint="eastAsia" w:ascii="方正小标宋简体" w:hAnsi="??" w:eastAsia="方正小标宋简体"/>
          <w:color w:val="auto"/>
          <w:sz w:val="32"/>
          <w:szCs w:val="32"/>
          <w:highlight w:val="none"/>
        </w:rPr>
        <w:t>项目</w:t>
      </w:r>
      <w:r>
        <w:rPr>
          <w:rFonts w:ascii="方正小标宋简体" w:hAnsi="??" w:eastAsia="方正小标宋简体"/>
          <w:color w:val="auto"/>
          <w:sz w:val="32"/>
          <w:szCs w:val="32"/>
          <w:highlight w:val="none"/>
        </w:rPr>
        <w:t>采购</w:t>
      </w:r>
      <w:r>
        <w:rPr>
          <w:rFonts w:hint="eastAsia" w:ascii="方正小标宋简体" w:hAnsi="??" w:eastAsia="方正小标宋简体"/>
          <w:color w:val="auto"/>
          <w:sz w:val="32"/>
          <w:szCs w:val="32"/>
          <w:highlight w:val="none"/>
        </w:rPr>
        <w:t>廉洁协议</w:t>
      </w:r>
    </w:p>
    <w:p w14:paraId="00A71783">
      <w:pPr>
        <w:spacing w:line="360" w:lineRule="exact"/>
        <w:ind w:firstLine="420" w:firstLineChars="200"/>
        <w:rPr>
          <w:rFonts w:ascii="宋体" w:hAnsi="宋体" w:eastAsia="宋体" w:cs="宋体"/>
          <w:color w:val="auto"/>
          <w:szCs w:val="21"/>
          <w:highlight w:val="none"/>
          <w:u w:val="single"/>
        </w:rPr>
      </w:pPr>
      <w:r>
        <w:rPr>
          <w:rFonts w:hint="eastAsia" w:ascii="宋体" w:hAnsi="宋体" w:cs="宋体"/>
          <w:b/>
          <w:color w:val="auto"/>
          <w:szCs w:val="21"/>
          <w:highlight w:val="none"/>
        </w:rPr>
        <w:t>甲方：</w:t>
      </w:r>
      <w:r>
        <w:rPr>
          <w:rFonts w:hint="eastAsia" w:ascii="宋体" w:hAnsi="宋体" w:cs="宋体"/>
          <w:color w:val="auto"/>
          <w:szCs w:val="21"/>
          <w:highlight w:val="none"/>
        </w:rPr>
        <w:t>梧州市红十字会医院</w:t>
      </w:r>
    </w:p>
    <w:p w14:paraId="58B77D8F">
      <w:pPr>
        <w:spacing w:line="360" w:lineRule="exact"/>
        <w:ind w:firstLine="420" w:firstLineChars="200"/>
        <w:rPr>
          <w:rFonts w:ascii="宋体" w:hAnsi="宋体" w:cs="宋体"/>
          <w:color w:val="auto"/>
          <w:szCs w:val="21"/>
          <w:highlight w:val="none"/>
        </w:rPr>
      </w:pPr>
      <w:r>
        <w:rPr>
          <w:rFonts w:hint="eastAsia" w:ascii="宋体" w:hAnsi="宋体" w:cs="宋体"/>
          <w:b/>
          <w:color w:val="auto"/>
          <w:szCs w:val="21"/>
          <w:highlight w:val="none"/>
        </w:rPr>
        <w:t>乙方：</w:t>
      </w:r>
    </w:p>
    <w:p w14:paraId="68517DAE">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为进一步加强医疗卫生行风建设，规范医疗卫生机构医药购销行为，有效防范商业贿赂行为，营造公平交易、诚实守信的购销环境，经甲、乙双方协商，同意签订本协议，并共同遵守：</w:t>
      </w:r>
    </w:p>
    <w:p w14:paraId="4D847D41">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一、甲乙双方按照《中华人民共和国民法典》、《中华人民共和国政府采购法》及采购合同约定履行合同内容。</w:t>
      </w:r>
    </w:p>
    <w:p w14:paraId="4F4CED0E">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二、甲方应当严格执行货物、服务、工程类采购合同验收、入库制度，对采购内容及发票进行查验，不得违反有关规定合同外采购、违价采购或从非规定渠道采购。</w:t>
      </w:r>
    </w:p>
    <w:p w14:paraId="40404CB6">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三、甲方严禁接受乙方以任何名义、形式给予的回扣，不得将接受捐赠、资助与采购挂钩。甲方工作人员不得参加乙方安排并支付费用的营业性娱乐场所的娱乐活动，不得以任何形式向乙方索要和收受现金、有价证券、支付凭证和贵重礼品等。被迫接受乙方给予的钱物，应予退还，无法退还的，有责任如实向有关纪检监察部门反映情况。</w:t>
      </w:r>
    </w:p>
    <w:p w14:paraId="20919E75">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四、乙方不得以回扣、宴请等方式影响甲方工作人员的采购工作，不得在学术活动中提供旅游、超标准支付食宿费用。</w:t>
      </w:r>
    </w:p>
    <w:p w14:paraId="4DC6FCE8">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五、乙方不得以围标、相互串通投标，或者排挤其他投标人的公平竞争，损害招标人或者其他投标人的合法权益，严禁以他人名义投标或允许他人以自己的名义投标，不得提供虚假资料参与投标或以其他方式弄虚作假、骗取中标。甲方发现乙方违反规定者，按甲方有关管理规定，列入医院招投标不良行为黑名单。</w:t>
      </w:r>
    </w:p>
    <w:p w14:paraId="358CC32A">
      <w:pPr>
        <w:autoSpaceDE w:val="0"/>
        <w:autoSpaceDN w:val="0"/>
        <w:adjustRightInd w:val="0"/>
        <w:spacing w:line="360" w:lineRule="exact"/>
        <w:ind w:left="-141" w:leftChars="-67" w:right="-25" w:rightChars="-12" w:firstLine="420" w:firstLineChars="200"/>
        <w:rPr>
          <w:rFonts w:ascii="宋体" w:hAnsi="宋体" w:cs="宋体"/>
          <w:color w:val="auto"/>
          <w:szCs w:val="21"/>
          <w:highlight w:val="none"/>
        </w:rPr>
      </w:pPr>
      <w:r>
        <w:rPr>
          <w:rFonts w:hint="eastAsia" w:ascii="宋体" w:hAnsi="宋体" w:cs="宋体"/>
          <w:color w:val="auto"/>
          <w:szCs w:val="21"/>
          <w:highlight w:val="none"/>
        </w:rPr>
        <w:t>六、乙方指定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作为授权代表对接业务。授权代表必须在工作时间到甲方指定地点联系对接。不得借故到甲方相关领导、部门负责人及相关工作人员家中访谈并提供任何好处费，甲方发现乙方违反规定者，列入医院招投标不良行为黑名单。</w:t>
      </w:r>
    </w:p>
    <w:p w14:paraId="0C2FC238">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七、乙方如违反本协议，一经发现，甲方有权终止购销合同，并向有关卫生健康行政部门报告。如乙方被列入商业贿赂不良记录，则严格按照《国家卫生计生委关于建立医药购销领域商业贿赂不良记录的规定》（国卫法制发〔2013〕50号）、《广西壮族自治区医药购销领域商业贿赂不良记录实施办法》（桂卫药政发〔2014〕2号）及《中华人民共和国政府采购法》等相关规定处理。</w:t>
      </w:r>
    </w:p>
    <w:p w14:paraId="1B4EC5CB">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八、本协议作为项目采购合同的重要组成部分，与项目采购合同一并执行，具有同等的法律效力,从签订之日起生效。</w:t>
      </w:r>
    </w:p>
    <w:tbl>
      <w:tblPr>
        <w:tblStyle w:val="37"/>
        <w:tblW w:w="9555" w:type="dxa"/>
        <w:tblInd w:w="0" w:type="dxa"/>
        <w:tblLayout w:type="fixed"/>
        <w:tblCellMar>
          <w:top w:w="0" w:type="dxa"/>
          <w:left w:w="108" w:type="dxa"/>
          <w:bottom w:w="0" w:type="dxa"/>
          <w:right w:w="108" w:type="dxa"/>
        </w:tblCellMar>
      </w:tblPr>
      <w:tblGrid>
        <w:gridCol w:w="4625"/>
        <w:gridCol w:w="4930"/>
      </w:tblGrid>
      <w:tr w14:paraId="029CD65D">
        <w:tblPrEx>
          <w:tblCellMar>
            <w:top w:w="0" w:type="dxa"/>
            <w:left w:w="108" w:type="dxa"/>
            <w:bottom w:w="0" w:type="dxa"/>
            <w:right w:w="108" w:type="dxa"/>
          </w:tblCellMar>
        </w:tblPrEx>
        <w:trPr>
          <w:trHeight w:val="666" w:hRule="atLeast"/>
        </w:trPr>
        <w:tc>
          <w:tcPr>
            <w:tcW w:w="4625" w:type="dxa"/>
          </w:tcPr>
          <w:p w14:paraId="42556D1D">
            <w:pPr>
              <w:spacing w:line="320" w:lineRule="exact"/>
              <w:rPr>
                <w:rFonts w:ascii="宋体" w:hAnsi="宋体" w:eastAsia="宋体" w:cs="宋体"/>
                <w:bCs/>
                <w:color w:val="auto"/>
                <w:szCs w:val="21"/>
                <w:highlight w:val="none"/>
              </w:rPr>
            </w:pPr>
            <w:r>
              <w:rPr>
                <w:rFonts w:hint="eastAsia" w:ascii="宋体" w:hAnsi="宋体" w:eastAsia="宋体" w:cs="宋体"/>
                <w:bCs/>
                <w:color w:val="auto"/>
                <w:szCs w:val="21"/>
                <w:highlight w:val="none"/>
              </w:rPr>
              <w:t>甲方（盖章）：梧州市</w:t>
            </w:r>
            <w:r>
              <w:rPr>
                <w:rFonts w:hint="eastAsia" w:ascii="宋体" w:hAnsi="宋体" w:cs="宋体"/>
                <w:bCs/>
                <w:color w:val="auto"/>
                <w:szCs w:val="21"/>
                <w:highlight w:val="none"/>
              </w:rPr>
              <w:t>红十字会医院</w:t>
            </w:r>
          </w:p>
        </w:tc>
        <w:tc>
          <w:tcPr>
            <w:tcW w:w="4930" w:type="dxa"/>
          </w:tcPr>
          <w:p w14:paraId="5C255A32">
            <w:pPr>
              <w:spacing w:line="320" w:lineRule="exact"/>
              <w:rPr>
                <w:rFonts w:ascii="宋体" w:hAnsi="宋体" w:eastAsia="宋体" w:cs="宋体"/>
                <w:bCs/>
                <w:color w:val="auto"/>
                <w:szCs w:val="21"/>
                <w:highlight w:val="none"/>
              </w:rPr>
            </w:pPr>
            <w:r>
              <w:rPr>
                <w:rFonts w:hint="eastAsia" w:ascii="宋体" w:hAnsi="宋体" w:eastAsia="宋体" w:cs="宋体"/>
                <w:bCs/>
                <w:color w:val="auto"/>
                <w:szCs w:val="21"/>
                <w:highlight w:val="none"/>
              </w:rPr>
              <w:t xml:space="preserve"> 乙方（盖章）：</w:t>
            </w:r>
          </w:p>
        </w:tc>
      </w:tr>
      <w:tr w14:paraId="56AA47DC">
        <w:tblPrEx>
          <w:tblCellMar>
            <w:top w:w="0" w:type="dxa"/>
            <w:left w:w="108" w:type="dxa"/>
            <w:bottom w:w="0" w:type="dxa"/>
            <w:right w:w="108" w:type="dxa"/>
          </w:tblCellMar>
        </w:tblPrEx>
        <w:trPr>
          <w:trHeight w:val="1123" w:hRule="atLeast"/>
        </w:trPr>
        <w:tc>
          <w:tcPr>
            <w:tcW w:w="4625" w:type="dxa"/>
          </w:tcPr>
          <w:p w14:paraId="3274AEE3">
            <w:pPr>
              <w:spacing w:line="320" w:lineRule="exact"/>
              <w:rPr>
                <w:rFonts w:ascii="宋体" w:hAnsi="宋体" w:eastAsia="宋体" w:cs="宋体"/>
                <w:bCs/>
                <w:color w:val="auto"/>
                <w:szCs w:val="21"/>
                <w:highlight w:val="none"/>
              </w:rPr>
            </w:pPr>
            <w:r>
              <w:rPr>
                <w:rFonts w:hint="eastAsia" w:ascii="宋体" w:hAnsi="宋体" w:eastAsia="宋体" w:cs="宋体"/>
                <w:bCs/>
                <w:color w:val="auto"/>
                <w:szCs w:val="21"/>
                <w:highlight w:val="none"/>
              </w:rPr>
              <w:t>法定代表人/负责人/授权</w:t>
            </w:r>
          </w:p>
          <w:p w14:paraId="305435AF">
            <w:pPr>
              <w:spacing w:line="320" w:lineRule="exact"/>
              <w:rPr>
                <w:rFonts w:ascii="宋体" w:hAnsi="宋体" w:eastAsia="宋体" w:cs="宋体"/>
                <w:bCs/>
                <w:color w:val="auto"/>
                <w:szCs w:val="21"/>
                <w:highlight w:val="none"/>
              </w:rPr>
            </w:pPr>
            <w:r>
              <w:rPr>
                <w:rFonts w:hint="eastAsia" w:ascii="宋体" w:hAnsi="宋体" w:eastAsia="宋体" w:cs="宋体"/>
                <w:bCs/>
                <w:color w:val="auto"/>
                <w:szCs w:val="21"/>
                <w:highlight w:val="none"/>
              </w:rPr>
              <w:t>代表签字或盖章：</w:t>
            </w:r>
          </w:p>
        </w:tc>
        <w:tc>
          <w:tcPr>
            <w:tcW w:w="4930" w:type="dxa"/>
          </w:tcPr>
          <w:p w14:paraId="4CB43435">
            <w:pPr>
              <w:spacing w:line="320" w:lineRule="exact"/>
              <w:rPr>
                <w:rFonts w:ascii="宋体" w:hAnsi="宋体" w:eastAsia="宋体" w:cs="宋体"/>
                <w:bCs/>
                <w:color w:val="auto"/>
                <w:szCs w:val="21"/>
                <w:highlight w:val="none"/>
              </w:rPr>
            </w:pPr>
            <w:r>
              <w:rPr>
                <w:rFonts w:hint="eastAsia" w:ascii="宋体" w:hAnsi="宋体" w:eastAsia="宋体" w:cs="宋体"/>
                <w:bCs/>
                <w:color w:val="auto"/>
                <w:szCs w:val="21"/>
                <w:highlight w:val="none"/>
              </w:rPr>
              <w:t>法定代表人/负责人/授权</w:t>
            </w:r>
          </w:p>
          <w:p w14:paraId="0DA1E9DF">
            <w:pPr>
              <w:spacing w:line="320" w:lineRule="exact"/>
              <w:rPr>
                <w:rFonts w:ascii="宋体" w:hAnsi="宋体" w:eastAsia="宋体" w:cs="宋体"/>
                <w:bCs/>
                <w:color w:val="auto"/>
                <w:szCs w:val="21"/>
                <w:highlight w:val="none"/>
              </w:rPr>
            </w:pPr>
            <w:r>
              <w:rPr>
                <w:rFonts w:hint="eastAsia" w:ascii="宋体" w:hAnsi="宋体" w:eastAsia="宋体" w:cs="宋体"/>
                <w:bCs/>
                <w:color w:val="auto"/>
                <w:szCs w:val="21"/>
                <w:highlight w:val="none"/>
              </w:rPr>
              <w:t>代表签字或盖章：</w:t>
            </w:r>
          </w:p>
        </w:tc>
      </w:tr>
      <w:tr w14:paraId="78BB6D8D">
        <w:tblPrEx>
          <w:tblCellMar>
            <w:top w:w="0" w:type="dxa"/>
            <w:left w:w="108" w:type="dxa"/>
            <w:bottom w:w="0" w:type="dxa"/>
            <w:right w:w="108" w:type="dxa"/>
          </w:tblCellMar>
        </w:tblPrEx>
        <w:trPr>
          <w:trHeight w:val="584" w:hRule="atLeast"/>
        </w:trPr>
        <w:tc>
          <w:tcPr>
            <w:tcW w:w="4625" w:type="dxa"/>
          </w:tcPr>
          <w:p w14:paraId="27DD6509">
            <w:pPr>
              <w:spacing w:line="320" w:lineRule="exact"/>
              <w:rPr>
                <w:rFonts w:ascii="宋体" w:hAnsi="宋体" w:eastAsia="宋体" w:cs="宋体"/>
                <w:bCs/>
                <w:color w:val="auto"/>
                <w:szCs w:val="21"/>
                <w:highlight w:val="none"/>
              </w:rPr>
            </w:pPr>
            <w:r>
              <w:rPr>
                <w:rFonts w:hint="eastAsia" w:ascii="宋体" w:hAnsi="宋体" w:eastAsia="宋体" w:cs="宋体"/>
                <w:bCs/>
                <w:color w:val="auto"/>
                <w:szCs w:val="21"/>
                <w:highlight w:val="none"/>
              </w:rPr>
              <w:t>年   月   日</w:t>
            </w:r>
          </w:p>
        </w:tc>
        <w:tc>
          <w:tcPr>
            <w:tcW w:w="4930" w:type="dxa"/>
          </w:tcPr>
          <w:p w14:paraId="4360640A">
            <w:pPr>
              <w:spacing w:line="320" w:lineRule="exact"/>
              <w:rPr>
                <w:rFonts w:ascii="宋体" w:hAnsi="宋体" w:eastAsia="宋体" w:cs="宋体"/>
                <w:bCs/>
                <w:color w:val="auto"/>
                <w:szCs w:val="21"/>
                <w:highlight w:val="none"/>
              </w:rPr>
            </w:pPr>
            <w:r>
              <w:rPr>
                <w:rFonts w:hint="eastAsia" w:ascii="宋体" w:hAnsi="宋体" w:eastAsia="宋体" w:cs="宋体"/>
                <w:bCs/>
                <w:color w:val="auto"/>
                <w:szCs w:val="21"/>
                <w:highlight w:val="none"/>
              </w:rPr>
              <w:t xml:space="preserve">          年   月   日</w:t>
            </w:r>
          </w:p>
        </w:tc>
      </w:tr>
    </w:tbl>
    <w:p w14:paraId="692FA087">
      <w:pPr>
        <w:keepNext/>
        <w:keepLines/>
        <w:spacing w:before="340" w:after="330" w:line="578" w:lineRule="auto"/>
        <w:jc w:val="center"/>
        <w:outlineLvl w:val="0"/>
        <w:rPr>
          <w:rFonts w:ascii="Times New Roman" w:hAnsi="Times New Roman" w:eastAsia="宋体" w:cs="Times New Roman"/>
          <w:b/>
          <w:bCs/>
          <w:color w:val="auto"/>
          <w:kern w:val="44"/>
          <w:sz w:val="44"/>
          <w:szCs w:val="44"/>
          <w:highlight w:val="none"/>
          <w:lang w:val="zh-CN"/>
        </w:rPr>
      </w:pPr>
      <w:bookmarkStart w:id="143" w:name="_Toc74323516"/>
    </w:p>
    <w:p w14:paraId="7EC9BE1F">
      <w:pPr>
        <w:keepNext/>
        <w:keepLines/>
        <w:spacing w:before="340" w:after="330" w:line="578" w:lineRule="auto"/>
        <w:jc w:val="center"/>
        <w:outlineLvl w:val="0"/>
        <w:rPr>
          <w:rFonts w:ascii="Times New Roman" w:hAnsi="Times New Roman" w:eastAsia="宋体" w:cs="Times New Roman"/>
          <w:b/>
          <w:bCs/>
          <w:color w:val="auto"/>
          <w:kern w:val="44"/>
          <w:sz w:val="44"/>
          <w:szCs w:val="44"/>
          <w:highlight w:val="none"/>
          <w:lang w:val="zh-CN"/>
        </w:rPr>
      </w:pPr>
      <w:r>
        <w:rPr>
          <w:rFonts w:hint="eastAsia" w:ascii="Times New Roman" w:hAnsi="Times New Roman" w:eastAsia="宋体" w:cs="Times New Roman"/>
          <w:b/>
          <w:bCs/>
          <w:color w:val="auto"/>
          <w:kern w:val="44"/>
          <w:sz w:val="44"/>
          <w:szCs w:val="44"/>
          <w:highlight w:val="none"/>
          <w:lang w:val="zh-CN"/>
        </w:rPr>
        <w:t>第六章　投标文件格式</w:t>
      </w:r>
      <w:bookmarkEnd w:id="143"/>
    </w:p>
    <w:p w14:paraId="35376242">
      <w:pPr>
        <w:snapToGrid w:val="0"/>
        <w:spacing w:before="50" w:after="50"/>
        <w:outlineLvl w:val="1"/>
        <w:rPr>
          <w:rFonts w:ascii="宋体" w:hAnsi="宋体" w:eastAsia="宋体" w:cs="Times New Roman"/>
          <w:color w:val="auto"/>
          <w:sz w:val="32"/>
          <w:szCs w:val="20"/>
          <w:highlight w:val="none"/>
        </w:rPr>
      </w:pPr>
    </w:p>
    <w:p w14:paraId="020C6878">
      <w:pPr>
        <w:snapToGrid w:val="0"/>
        <w:spacing w:before="50" w:after="50"/>
        <w:outlineLvl w:val="1"/>
        <w:rPr>
          <w:rFonts w:ascii="宋体" w:hAnsi="宋体" w:eastAsia="宋体" w:cs="Times New Roman"/>
          <w:color w:val="auto"/>
          <w:sz w:val="32"/>
          <w:szCs w:val="20"/>
          <w:highlight w:val="none"/>
        </w:rPr>
      </w:pPr>
    </w:p>
    <w:p w14:paraId="5AB270BF">
      <w:pPr>
        <w:snapToGrid w:val="0"/>
        <w:spacing w:before="50" w:after="50"/>
        <w:outlineLvl w:val="1"/>
        <w:rPr>
          <w:rFonts w:ascii="宋体" w:hAnsi="宋体" w:eastAsia="宋体" w:cs="Times New Roman"/>
          <w:color w:val="auto"/>
          <w:sz w:val="32"/>
          <w:szCs w:val="20"/>
          <w:highlight w:val="none"/>
        </w:rPr>
      </w:pPr>
    </w:p>
    <w:p w14:paraId="73B604C3">
      <w:pPr>
        <w:snapToGrid w:val="0"/>
        <w:spacing w:before="50" w:after="50"/>
        <w:outlineLvl w:val="1"/>
        <w:rPr>
          <w:rFonts w:ascii="宋体" w:hAnsi="宋体" w:eastAsia="宋体" w:cs="Times New Roman"/>
          <w:color w:val="auto"/>
          <w:sz w:val="32"/>
          <w:szCs w:val="20"/>
          <w:highlight w:val="none"/>
        </w:rPr>
      </w:pPr>
    </w:p>
    <w:p w14:paraId="6C8E3B6C">
      <w:pPr>
        <w:snapToGrid w:val="0"/>
        <w:spacing w:before="50" w:after="50"/>
        <w:outlineLvl w:val="1"/>
        <w:rPr>
          <w:rFonts w:ascii="宋体" w:hAnsi="宋体" w:eastAsia="宋体" w:cs="Times New Roman"/>
          <w:color w:val="auto"/>
          <w:sz w:val="32"/>
          <w:szCs w:val="20"/>
          <w:highlight w:val="none"/>
        </w:rPr>
      </w:pPr>
    </w:p>
    <w:p w14:paraId="7448FF4D">
      <w:pPr>
        <w:snapToGrid w:val="0"/>
        <w:spacing w:before="50" w:after="50"/>
        <w:outlineLvl w:val="1"/>
        <w:rPr>
          <w:rFonts w:ascii="宋体" w:hAnsi="宋体" w:eastAsia="宋体" w:cs="Times New Roman"/>
          <w:color w:val="auto"/>
          <w:sz w:val="32"/>
          <w:szCs w:val="20"/>
          <w:highlight w:val="none"/>
        </w:rPr>
      </w:pPr>
    </w:p>
    <w:p w14:paraId="18E5AC91">
      <w:pPr>
        <w:snapToGrid w:val="0"/>
        <w:spacing w:before="50" w:after="50"/>
        <w:outlineLvl w:val="1"/>
        <w:rPr>
          <w:rFonts w:ascii="宋体" w:hAnsi="宋体" w:eastAsia="宋体" w:cs="Times New Roman"/>
          <w:color w:val="auto"/>
          <w:sz w:val="32"/>
          <w:szCs w:val="20"/>
          <w:highlight w:val="none"/>
        </w:rPr>
      </w:pPr>
    </w:p>
    <w:p w14:paraId="144C62B5">
      <w:pPr>
        <w:snapToGrid w:val="0"/>
        <w:spacing w:before="50" w:after="50"/>
        <w:outlineLvl w:val="1"/>
        <w:rPr>
          <w:rFonts w:ascii="宋体" w:hAnsi="宋体" w:eastAsia="宋体" w:cs="Times New Roman"/>
          <w:color w:val="auto"/>
          <w:sz w:val="32"/>
          <w:szCs w:val="20"/>
          <w:highlight w:val="none"/>
        </w:rPr>
      </w:pPr>
    </w:p>
    <w:p w14:paraId="38E8A741">
      <w:pPr>
        <w:snapToGrid w:val="0"/>
        <w:spacing w:before="50" w:after="50"/>
        <w:outlineLvl w:val="1"/>
        <w:rPr>
          <w:rFonts w:ascii="宋体" w:hAnsi="宋体" w:eastAsia="宋体" w:cs="Times New Roman"/>
          <w:color w:val="auto"/>
          <w:sz w:val="32"/>
          <w:szCs w:val="20"/>
          <w:highlight w:val="none"/>
        </w:rPr>
      </w:pPr>
    </w:p>
    <w:p w14:paraId="486142E1">
      <w:pPr>
        <w:snapToGrid w:val="0"/>
        <w:spacing w:before="50" w:after="50"/>
        <w:outlineLvl w:val="1"/>
        <w:rPr>
          <w:rFonts w:ascii="宋体" w:hAnsi="宋体" w:eastAsia="宋体" w:cs="Times New Roman"/>
          <w:color w:val="auto"/>
          <w:sz w:val="32"/>
          <w:szCs w:val="20"/>
          <w:highlight w:val="none"/>
        </w:rPr>
      </w:pPr>
    </w:p>
    <w:p w14:paraId="18586528">
      <w:pPr>
        <w:snapToGrid w:val="0"/>
        <w:spacing w:before="50" w:after="50"/>
        <w:outlineLvl w:val="1"/>
        <w:rPr>
          <w:rFonts w:ascii="宋体" w:hAnsi="宋体" w:eastAsia="宋体" w:cs="Times New Roman"/>
          <w:color w:val="auto"/>
          <w:sz w:val="32"/>
          <w:szCs w:val="20"/>
          <w:highlight w:val="none"/>
        </w:rPr>
      </w:pPr>
    </w:p>
    <w:p w14:paraId="158E9BE0">
      <w:pPr>
        <w:snapToGrid w:val="0"/>
        <w:spacing w:before="50" w:after="50"/>
        <w:outlineLvl w:val="1"/>
        <w:rPr>
          <w:rFonts w:ascii="宋体" w:hAnsi="宋体" w:eastAsia="宋体" w:cs="Times New Roman"/>
          <w:color w:val="auto"/>
          <w:sz w:val="32"/>
          <w:szCs w:val="20"/>
          <w:highlight w:val="none"/>
        </w:rPr>
      </w:pPr>
    </w:p>
    <w:p w14:paraId="1CF24159">
      <w:pPr>
        <w:rPr>
          <w:rFonts w:ascii="Times New Roman" w:hAnsi="Times New Roman" w:eastAsia="宋体" w:cs="Times New Roman"/>
          <w:b/>
          <w:color w:val="auto"/>
          <w:sz w:val="28"/>
          <w:szCs w:val="28"/>
          <w:highlight w:val="none"/>
        </w:rPr>
      </w:pPr>
      <w:r>
        <w:rPr>
          <w:rFonts w:ascii="Times New Roman" w:hAnsi="Times New Roman" w:eastAsia="宋体" w:cs="Times New Roman"/>
          <w:color w:val="auto"/>
          <w:sz w:val="32"/>
          <w:szCs w:val="20"/>
          <w:highlight w:val="none"/>
        </w:rPr>
        <w:br w:type="page"/>
      </w:r>
      <w:bookmarkStart w:id="144" w:name="_Toc254970697"/>
      <w:bookmarkStart w:id="145" w:name="_Toc19686835"/>
      <w:bookmarkStart w:id="146" w:name="_Toc254970556"/>
      <w:r>
        <w:rPr>
          <w:rFonts w:hint="eastAsia" w:ascii="Times New Roman" w:hAnsi="Times New Roman" w:eastAsia="宋体" w:cs="Times New Roman"/>
          <w:b/>
          <w:color w:val="auto"/>
          <w:sz w:val="28"/>
          <w:szCs w:val="28"/>
          <w:highlight w:val="none"/>
        </w:rPr>
        <w:t>一、投标文件外层包装封面格式</w:t>
      </w:r>
      <w:bookmarkEnd w:id="144"/>
      <w:bookmarkEnd w:id="145"/>
      <w:bookmarkEnd w:id="146"/>
      <w:r>
        <w:rPr>
          <w:rFonts w:hint="eastAsia" w:ascii="Times New Roman" w:hAnsi="Times New Roman" w:eastAsia="宋体" w:cs="Times New Roman"/>
          <w:b/>
          <w:color w:val="auto"/>
          <w:sz w:val="28"/>
          <w:szCs w:val="28"/>
          <w:highlight w:val="none"/>
        </w:rPr>
        <w:t xml:space="preserve"> </w:t>
      </w:r>
    </w:p>
    <w:p w14:paraId="7DC5D128">
      <w:pPr>
        <w:snapToGrid w:val="0"/>
        <w:spacing w:before="120" w:beforeLines="50" w:after="50"/>
        <w:rPr>
          <w:rFonts w:ascii="宋体" w:hAnsi="宋体" w:eastAsia="宋体" w:cs="Times New Roman"/>
          <w:color w:val="auto"/>
          <w:sz w:val="24"/>
          <w:szCs w:val="20"/>
          <w:highlight w:val="none"/>
        </w:rPr>
      </w:pPr>
    </w:p>
    <w:p w14:paraId="756317EE">
      <w:pPr>
        <w:snapToGrid w:val="0"/>
        <w:spacing w:before="120" w:beforeLines="50" w:after="50"/>
        <w:jc w:val="center"/>
        <w:rPr>
          <w:rFonts w:ascii="宋体" w:hAnsi="宋体" w:eastAsia="宋体" w:cs="Times New Roman"/>
          <w:bCs/>
          <w:color w:val="auto"/>
          <w:sz w:val="24"/>
          <w:szCs w:val="20"/>
          <w:highlight w:val="none"/>
        </w:rPr>
      </w:pPr>
    </w:p>
    <w:p w14:paraId="3B254239">
      <w:pPr>
        <w:snapToGrid w:val="0"/>
        <w:spacing w:before="120" w:beforeLines="50" w:after="50"/>
        <w:jc w:val="center"/>
        <w:rPr>
          <w:rFonts w:ascii="宋体" w:hAnsi="宋体" w:eastAsia="宋体" w:cs="Times New Roman"/>
          <w:b/>
          <w:color w:val="auto"/>
          <w:sz w:val="32"/>
          <w:szCs w:val="32"/>
          <w:highlight w:val="none"/>
        </w:rPr>
      </w:pPr>
      <w:r>
        <w:rPr>
          <w:rFonts w:hint="eastAsia" w:ascii="宋体" w:hAnsi="宋体" w:eastAsia="宋体" w:cs="Times New Roman"/>
          <w:b/>
          <w:color w:val="auto"/>
          <w:sz w:val="32"/>
          <w:szCs w:val="32"/>
          <w:highlight w:val="none"/>
        </w:rPr>
        <w:t>投 标 文 件</w:t>
      </w:r>
    </w:p>
    <w:p w14:paraId="668C058D">
      <w:pPr>
        <w:snapToGrid w:val="0"/>
        <w:spacing w:before="120" w:beforeLines="50" w:after="50"/>
        <w:rPr>
          <w:rFonts w:ascii="宋体" w:hAnsi="宋体" w:eastAsia="宋体" w:cs="Times New Roman"/>
          <w:bCs/>
          <w:color w:val="auto"/>
          <w:sz w:val="24"/>
          <w:szCs w:val="20"/>
          <w:highlight w:val="none"/>
        </w:rPr>
      </w:pPr>
    </w:p>
    <w:p w14:paraId="4029A157">
      <w:pPr>
        <w:snapToGrid w:val="0"/>
        <w:spacing w:before="120" w:beforeLines="50" w:after="50"/>
        <w:rPr>
          <w:rFonts w:ascii="宋体" w:hAnsi="宋体" w:eastAsia="宋体" w:cs="Times New Roman"/>
          <w:bCs/>
          <w:color w:val="auto"/>
          <w:sz w:val="24"/>
          <w:szCs w:val="20"/>
          <w:highlight w:val="none"/>
        </w:rPr>
      </w:pPr>
      <w:r>
        <w:rPr>
          <w:rFonts w:hint="eastAsia" w:ascii="宋体" w:hAnsi="宋体" w:eastAsia="宋体" w:cs="Times New Roman"/>
          <w:bCs/>
          <w:color w:val="auto"/>
          <w:sz w:val="24"/>
          <w:szCs w:val="20"/>
          <w:highlight w:val="none"/>
        </w:rPr>
        <w:t xml:space="preserve">                              </w:t>
      </w:r>
    </w:p>
    <w:p w14:paraId="1B7876BD">
      <w:pPr>
        <w:snapToGrid w:val="0"/>
        <w:spacing w:before="120" w:beforeLines="50" w:after="50"/>
        <w:rPr>
          <w:rFonts w:ascii="宋体" w:hAnsi="宋体" w:eastAsia="宋体" w:cs="Times New Roman"/>
          <w:bCs/>
          <w:color w:val="auto"/>
          <w:sz w:val="24"/>
          <w:szCs w:val="20"/>
          <w:highlight w:val="none"/>
        </w:rPr>
      </w:pPr>
    </w:p>
    <w:p w14:paraId="495FB5FE">
      <w:pPr>
        <w:snapToGrid w:val="0"/>
        <w:spacing w:before="120" w:beforeLines="50" w:after="50"/>
        <w:rPr>
          <w:rFonts w:ascii="宋体" w:hAnsi="宋体" w:eastAsia="宋体" w:cs="Times New Roman"/>
          <w:bCs/>
          <w:color w:val="auto"/>
          <w:sz w:val="24"/>
          <w:szCs w:val="20"/>
          <w:highlight w:val="none"/>
        </w:rPr>
      </w:pPr>
    </w:p>
    <w:p w14:paraId="3DCB8FDA">
      <w:pPr>
        <w:snapToGrid w:val="0"/>
        <w:spacing w:before="120" w:beforeLines="50" w:after="50"/>
        <w:rPr>
          <w:rFonts w:ascii="宋体" w:hAnsi="宋体" w:eastAsia="宋体" w:cs="Times New Roman"/>
          <w:bCs/>
          <w:color w:val="auto"/>
          <w:sz w:val="24"/>
          <w:szCs w:val="20"/>
          <w:highlight w:val="none"/>
        </w:rPr>
      </w:pPr>
    </w:p>
    <w:p w14:paraId="4C57FD0E">
      <w:pPr>
        <w:snapToGrid w:val="0"/>
        <w:spacing w:before="120" w:beforeLines="50" w:after="50"/>
        <w:ind w:firstLine="360" w:firstLineChars="15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项目名称：</w:t>
      </w:r>
    </w:p>
    <w:p w14:paraId="0CAD3976">
      <w:pPr>
        <w:snapToGrid w:val="0"/>
        <w:spacing w:before="120" w:beforeLines="50" w:after="50"/>
        <w:ind w:firstLine="360" w:firstLineChars="150"/>
        <w:rPr>
          <w:rFonts w:ascii="宋体" w:hAnsi="宋体" w:eastAsia="宋体" w:cs="Times New Roman"/>
          <w:bCs/>
          <w:color w:val="auto"/>
          <w:sz w:val="24"/>
          <w:szCs w:val="20"/>
          <w:highlight w:val="none"/>
        </w:rPr>
      </w:pPr>
    </w:p>
    <w:p w14:paraId="2DD853A4">
      <w:pPr>
        <w:snapToGrid w:val="0"/>
        <w:spacing w:before="120" w:beforeLines="50" w:after="50"/>
        <w:ind w:firstLine="360" w:firstLineChars="15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项目编号：</w:t>
      </w:r>
    </w:p>
    <w:p w14:paraId="07DBE301">
      <w:pPr>
        <w:snapToGrid w:val="0"/>
        <w:spacing w:before="120" w:beforeLines="50" w:after="50"/>
        <w:ind w:firstLine="360" w:firstLineChars="150"/>
        <w:rPr>
          <w:rFonts w:ascii="宋体" w:hAnsi="宋体" w:eastAsia="宋体" w:cs="Times New Roman"/>
          <w:bCs/>
          <w:color w:val="auto"/>
          <w:sz w:val="24"/>
          <w:szCs w:val="24"/>
          <w:highlight w:val="none"/>
        </w:rPr>
      </w:pPr>
    </w:p>
    <w:p w14:paraId="7DAAB958">
      <w:pPr>
        <w:snapToGrid w:val="0"/>
        <w:spacing w:before="120" w:beforeLines="50" w:after="50"/>
        <w:ind w:firstLine="360" w:firstLineChars="150"/>
        <w:rPr>
          <w:rFonts w:ascii="宋体" w:hAnsi="宋体" w:eastAsia="宋体" w:cs="Times New Roman"/>
          <w:bCs/>
          <w:color w:val="auto"/>
          <w:sz w:val="24"/>
          <w:szCs w:val="20"/>
          <w:highlight w:val="none"/>
        </w:rPr>
      </w:pPr>
    </w:p>
    <w:p w14:paraId="042C7983">
      <w:pPr>
        <w:snapToGrid w:val="0"/>
        <w:spacing w:before="120" w:beforeLines="50" w:after="50"/>
        <w:ind w:firstLine="360" w:firstLineChars="150"/>
        <w:rPr>
          <w:rFonts w:ascii="宋体" w:hAnsi="宋体" w:eastAsia="宋体" w:cs="Times New Roman"/>
          <w:bCs/>
          <w:color w:val="auto"/>
          <w:sz w:val="24"/>
          <w:szCs w:val="20"/>
          <w:highlight w:val="none"/>
        </w:rPr>
      </w:pPr>
      <w:r>
        <w:rPr>
          <w:rFonts w:hint="eastAsia" w:ascii="宋体" w:hAnsi="宋体" w:eastAsia="宋体" w:cs="Times New Roman"/>
          <w:bCs/>
          <w:color w:val="auto"/>
          <w:sz w:val="24"/>
          <w:szCs w:val="20"/>
          <w:highlight w:val="none"/>
        </w:rPr>
        <w:t>投标人名称：</w:t>
      </w:r>
    </w:p>
    <w:p w14:paraId="77552338">
      <w:pPr>
        <w:snapToGrid w:val="0"/>
        <w:spacing w:before="120" w:beforeLines="50" w:after="50"/>
        <w:ind w:firstLine="360" w:firstLineChars="150"/>
        <w:rPr>
          <w:rFonts w:ascii="宋体" w:hAnsi="宋体" w:eastAsia="宋体" w:cs="Times New Roman"/>
          <w:bCs/>
          <w:color w:val="auto"/>
          <w:sz w:val="24"/>
          <w:szCs w:val="20"/>
          <w:highlight w:val="none"/>
        </w:rPr>
      </w:pPr>
    </w:p>
    <w:p w14:paraId="3405A88D">
      <w:pPr>
        <w:snapToGrid w:val="0"/>
        <w:spacing w:before="120" w:beforeLines="50" w:after="50"/>
        <w:ind w:firstLine="360" w:firstLineChars="150"/>
        <w:rPr>
          <w:rFonts w:ascii="宋体" w:hAnsi="宋体" w:eastAsia="宋体" w:cs="Times New Roman"/>
          <w:bCs/>
          <w:color w:val="auto"/>
          <w:sz w:val="24"/>
          <w:szCs w:val="20"/>
          <w:highlight w:val="none"/>
        </w:rPr>
      </w:pPr>
      <w:r>
        <w:rPr>
          <w:rFonts w:hint="eastAsia" w:ascii="宋体" w:hAnsi="宋体" w:eastAsia="宋体" w:cs="Times New Roman"/>
          <w:bCs/>
          <w:color w:val="auto"/>
          <w:sz w:val="24"/>
          <w:szCs w:val="20"/>
          <w:highlight w:val="none"/>
        </w:rPr>
        <w:t>投标人地址：</w:t>
      </w:r>
    </w:p>
    <w:p w14:paraId="30323310">
      <w:pPr>
        <w:snapToGrid w:val="0"/>
        <w:spacing w:before="120" w:beforeLines="50" w:after="50"/>
        <w:ind w:firstLine="360" w:firstLineChars="150"/>
        <w:rPr>
          <w:rFonts w:ascii="宋体" w:hAnsi="宋体" w:eastAsia="宋体" w:cs="Times New Roman"/>
          <w:bCs/>
          <w:color w:val="auto"/>
          <w:sz w:val="24"/>
          <w:szCs w:val="20"/>
          <w:highlight w:val="none"/>
        </w:rPr>
      </w:pPr>
    </w:p>
    <w:p w14:paraId="345A2C65">
      <w:pPr>
        <w:snapToGrid w:val="0"/>
        <w:spacing w:before="120" w:beforeLines="50" w:after="50"/>
        <w:ind w:firstLine="360" w:firstLineChars="150"/>
        <w:jc w:val="center"/>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0"/>
          <w:highlight w:val="none"/>
        </w:rPr>
        <w:t>投标截止时间前不得启封</w:t>
      </w:r>
    </w:p>
    <w:p w14:paraId="19EC954E">
      <w:pPr>
        <w:snapToGrid w:val="0"/>
        <w:spacing w:before="120" w:beforeLines="50" w:after="50"/>
        <w:ind w:firstLine="4080" w:firstLineChars="1700"/>
        <w:rPr>
          <w:rFonts w:ascii="宋体" w:hAnsi="宋体" w:eastAsia="宋体" w:cs="Times New Roman"/>
          <w:bCs/>
          <w:color w:val="auto"/>
          <w:sz w:val="24"/>
          <w:szCs w:val="20"/>
          <w:highlight w:val="none"/>
        </w:rPr>
      </w:pPr>
    </w:p>
    <w:p w14:paraId="7E5410A4">
      <w:pPr>
        <w:snapToGrid w:val="0"/>
        <w:spacing w:before="120" w:beforeLines="50" w:after="50"/>
        <w:ind w:firstLine="645"/>
        <w:jc w:val="left"/>
        <w:rPr>
          <w:rFonts w:ascii="宋体" w:hAnsi="宋体" w:eastAsia="宋体" w:cs="Times New Roman"/>
          <w:bCs/>
          <w:color w:val="auto"/>
          <w:sz w:val="24"/>
          <w:szCs w:val="20"/>
          <w:highlight w:val="none"/>
        </w:rPr>
      </w:pPr>
      <w:r>
        <w:rPr>
          <w:rFonts w:hint="eastAsia" w:ascii="宋体" w:hAnsi="宋体" w:eastAsia="宋体" w:cs="Times New Roman"/>
          <w:bCs/>
          <w:color w:val="auto"/>
          <w:sz w:val="24"/>
          <w:szCs w:val="24"/>
          <w:highlight w:val="none"/>
        </w:rPr>
        <w:t xml:space="preserve">                        年    月    日</w:t>
      </w:r>
    </w:p>
    <w:p w14:paraId="44C6AE6E">
      <w:pPr>
        <w:snapToGrid w:val="0"/>
        <w:spacing w:before="120" w:beforeLines="50" w:after="50"/>
        <w:jc w:val="center"/>
        <w:outlineLvl w:val="1"/>
        <w:rPr>
          <w:rFonts w:ascii="宋体" w:hAnsi="宋体" w:eastAsia="宋体" w:cs="Times New Roman"/>
          <w:color w:val="auto"/>
          <w:szCs w:val="24"/>
          <w:highlight w:val="none"/>
        </w:rPr>
      </w:pPr>
    </w:p>
    <w:p w14:paraId="003621C7">
      <w:pPr>
        <w:snapToGrid w:val="0"/>
        <w:spacing w:before="120" w:beforeLines="50" w:after="50"/>
        <w:jc w:val="center"/>
        <w:outlineLvl w:val="1"/>
        <w:rPr>
          <w:rFonts w:ascii="宋体" w:hAnsi="宋体" w:eastAsia="宋体" w:cs="Times New Roman"/>
          <w:color w:val="auto"/>
          <w:szCs w:val="24"/>
          <w:highlight w:val="none"/>
        </w:rPr>
      </w:pPr>
    </w:p>
    <w:p w14:paraId="0AC26C11">
      <w:pPr>
        <w:snapToGrid w:val="0"/>
        <w:spacing w:before="120" w:beforeLines="50" w:after="50"/>
        <w:jc w:val="center"/>
        <w:outlineLvl w:val="1"/>
        <w:rPr>
          <w:rFonts w:ascii="宋体" w:hAnsi="宋体" w:eastAsia="宋体" w:cs="Times New Roman"/>
          <w:color w:val="auto"/>
          <w:szCs w:val="24"/>
          <w:highlight w:val="none"/>
        </w:rPr>
      </w:pPr>
    </w:p>
    <w:p w14:paraId="5530CA63">
      <w:pPr>
        <w:snapToGrid w:val="0"/>
        <w:spacing w:before="120" w:beforeLines="50" w:after="50"/>
        <w:outlineLvl w:val="1"/>
        <w:rPr>
          <w:rFonts w:ascii="宋体" w:hAnsi="宋体" w:eastAsia="宋体" w:cs="Times New Roman"/>
          <w:color w:val="auto"/>
          <w:szCs w:val="24"/>
          <w:highlight w:val="none"/>
        </w:rPr>
      </w:pPr>
    </w:p>
    <w:p w14:paraId="01554921">
      <w:pPr>
        <w:snapToGrid w:val="0"/>
        <w:spacing w:before="120" w:beforeLines="50" w:after="50"/>
        <w:outlineLvl w:val="1"/>
        <w:rPr>
          <w:rFonts w:ascii="宋体" w:hAnsi="宋体" w:eastAsia="宋体" w:cs="Times New Roman"/>
          <w:color w:val="auto"/>
          <w:szCs w:val="24"/>
          <w:highlight w:val="none"/>
        </w:rPr>
      </w:pPr>
    </w:p>
    <w:p w14:paraId="1CF7DE6F">
      <w:pPr>
        <w:snapToGrid w:val="0"/>
        <w:spacing w:before="120" w:beforeLines="50" w:after="50"/>
        <w:outlineLvl w:val="1"/>
        <w:rPr>
          <w:rFonts w:ascii="宋体" w:hAnsi="宋体" w:eastAsia="宋体" w:cs="Times New Roman"/>
          <w:color w:val="auto"/>
          <w:szCs w:val="24"/>
          <w:highlight w:val="none"/>
        </w:rPr>
      </w:pPr>
    </w:p>
    <w:p w14:paraId="2353CB45">
      <w:pPr>
        <w:snapToGrid w:val="0"/>
        <w:spacing w:before="120" w:beforeLines="50" w:after="50"/>
        <w:outlineLvl w:val="1"/>
        <w:rPr>
          <w:rFonts w:ascii="宋体" w:hAnsi="宋体" w:eastAsia="宋体" w:cs="Times New Roman"/>
          <w:color w:val="auto"/>
          <w:szCs w:val="24"/>
          <w:highlight w:val="none"/>
        </w:rPr>
      </w:pPr>
    </w:p>
    <w:p w14:paraId="47C4EC26">
      <w:pPr>
        <w:snapToGrid w:val="0"/>
        <w:spacing w:before="120" w:beforeLines="50" w:after="50"/>
        <w:outlineLvl w:val="1"/>
        <w:rPr>
          <w:rFonts w:ascii="宋体" w:hAnsi="宋体" w:eastAsia="宋体" w:cs="Times New Roman"/>
          <w:color w:val="auto"/>
          <w:szCs w:val="24"/>
          <w:highlight w:val="none"/>
        </w:rPr>
      </w:pPr>
    </w:p>
    <w:p w14:paraId="35EF4764">
      <w:pPr>
        <w:pStyle w:val="2"/>
        <w:rPr>
          <w:color w:val="auto"/>
          <w:highlight w:val="none"/>
        </w:rPr>
      </w:pPr>
    </w:p>
    <w:p w14:paraId="20C4572C">
      <w:pPr>
        <w:snapToGrid w:val="0"/>
        <w:spacing w:before="120" w:beforeLines="50" w:after="50"/>
        <w:outlineLvl w:val="1"/>
        <w:rPr>
          <w:rFonts w:ascii="宋体" w:hAnsi="宋体" w:eastAsia="宋体" w:cs="Times New Roman"/>
          <w:color w:val="auto"/>
          <w:szCs w:val="24"/>
          <w:highlight w:val="none"/>
        </w:rPr>
      </w:pPr>
    </w:p>
    <w:p w14:paraId="12D1021F">
      <w:pPr>
        <w:snapToGrid w:val="0"/>
        <w:spacing w:before="120" w:beforeLines="50" w:after="50"/>
        <w:outlineLvl w:val="1"/>
        <w:rPr>
          <w:rFonts w:ascii="宋体" w:hAnsi="宋体" w:eastAsia="宋体" w:cs="Times New Roman"/>
          <w:color w:val="auto"/>
          <w:szCs w:val="24"/>
          <w:highlight w:val="none"/>
        </w:rPr>
      </w:pPr>
    </w:p>
    <w:p w14:paraId="51DCB4CE">
      <w:pPr>
        <w:snapToGrid w:val="0"/>
        <w:spacing w:before="120" w:beforeLines="50" w:after="50"/>
        <w:outlineLvl w:val="1"/>
        <w:rPr>
          <w:rFonts w:ascii="宋体" w:hAnsi="宋体" w:eastAsia="宋体" w:cs="Times New Roman"/>
          <w:color w:val="auto"/>
          <w:szCs w:val="24"/>
          <w:highlight w:val="none"/>
        </w:rPr>
      </w:pPr>
    </w:p>
    <w:p w14:paraId="3E1170E4">
      <w:pPr>
        <w:rPr>
          <w:rFonts w:ascii="Times New Roman" w:hAnsi="Times New Roman" w:eastAsia="宋体" w:cs="Times New Roman"/>
          <w:b/>
          <w:color w:val="auto"/>
          <w:sz w:val="28"/>
          <w:szCs w:val="28"/>
          <w:highlight w:val="none"/>
        </w:rPr>
      </w:pPr>
      <w:bookmarkStart w:id="147" w:name="_Toc19686836"/>
      <w:bookmarkStart w:id="148" w:name="_Toc254970557"/>
      <w:bookmarkStart w:id="149" w:name="_Toc254970698"/>
      <w:r>
        <w:rPr>
          <w:rFonts w:hint="eastAsia" w:ascii="Times New Roman" w:hAnsi="Times New Roman" w:eastAsia="宋体" w:cs="Times New Roman"/>
          <w:b/>
          <w:color w:val="auto"/>
          <w:sz w:val="28"/>
          <w:szCs w:val="28"/>
          <w:highlight w:val="none"/>
        </w:rPr>
        <w:t>二、报价文件格式</w:t>
      </w:r>
      <w:bookmarkEnd w:id="147"/>
    </w:p>
    <w:p w14:paraId="43E90DB3">
      <w:pPr>
        <w:snapToGrid w:val="0"/>
        <w:spacing w:before="120" w:beforeLines="50" w:after="50" w:line="360" w:lineRule="auto"/>
        <w:ind w:left="142"/>
        <w:jc w:val="left"/>
        <w:rPr>
          <w:rFonts w:ascii="宋体" w:hAnsi="宋体" w:eastAsia="宋体" w:cs="Times New Roman"/>
          <w:color w:val="auto"/>
          <w:sz w:val="24"/>
          <w:szCs w:val="20"/>
          <w:highlight w:val="none"/>
        </w:rPr>
      </w:pPr>
      <w:r>
        <w:rPr>
          <w:rFonts w:hint="eastAsia" w:ascii="宋体" w:hAnsi="宋体" w:eastAsia="宋体" w:cs="Times New Roman"/>
          <w:b/>
          <w:color w:val="auto"/>
          <w:sz w:val="24"/>
          <w:szCs w:val="24"/>
          <w:highlight w:val="none"/>
        </w:rPr>
        <w:t xml:space="preserve">1. 报价文件封面格式： </w:t>
      </w:r>
    </w:p>
    <w:p w14:paraId="4B52E856">
      <w:pPr>
        <w:snapToGrid w:val="0"/>
        <w:spacing w:before="120" w:beforeLines="50" w:after="50" w:line="400" w:lineRule="exact"/>
        <w:rPr>
          <w:rFonts w:ascii="宋体" w:hAnsi="宋体" w:eastAsia="宋体" w:cs="Times New Roman"/>
          <w:bCs/>
          <w:color w:val="auto"/>
          <w:sz w:val="32"/>
          <w:szCs w:val="20"/>
          <w:highlight w:val="none"/>
        </w:r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bCs/>
          <w:color w:val="auto"/>
          <w:szCs w:val="24"/>
          <w:highlight w:val="none"/>
        </w:rPr>
        <w:t>正本</w:t>
      </w:r>
    </w:p>
    <w:p w14:paraId="23D75ADB">
      <w:pPr>
        <w:snapToGrid w:val="0"/>
        <w:spacing w:before="120" w:beforeLines="50" w:after="50" w:line="400" w:lineRule="exact"/>
        <w:jc w:val="center"/>
        <w:rPr>
          <w:rFonts w:ascii="宋体" w:hAnsi="宋体" w:eastAsia="宋体" w:cs="Times New Roman"/>
          <w:bCs/>
          <w:color w:val="auto"/>
          <w:sz w:val="24"/>
          <w:szCs w:val="20"/>
          <w:highlight w:val="none"/>
        </w:rPr>
      </w:pPr>
    </w:p>
    <w:p w14:paraId="731B3004">
      <w:pPr>
        <w:snapToGrid w:val="0"/>
        <w:spacing w:before="120" w:beforeLines="50" w:after="50" w:line="400" w:lineRule="exact"/>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报价文件</w:t>
      </w:r>
    </w:p>
    <w:p w14:paraId="36B853BE">
      <w:pPr>
        <w:snapToGrid w:val="0"/>
        <w:spacing w:before="120" w:beforeLines="50" w:after="50" w:line="400" w:lineRule="exact"/>
        <w:rPr>
          <w:rFonts w:ascii="宋体" w:hAnsi="宋体" w:eastAsia="宋体" w:cs="Times New Roman"/>
          <w:bCs/>
          <w:color w:val="auto"/>
          <w:sz w:val="24"/>
          <w:szCs w:val="20"/>
          <w:highlight w:val="none"/>
        </w:rPr>
      </w:pPr>
    </w:p>
    <w:p w14:paraId="33B794DD">
      <w:pPr>
        <w:snapToGrid w:val="0"/>
        <w:spacing w:before="120" w:beforeLines="50" w:after="50" w:line="400" w:lineRule="exact"/>
        <w:rPr>
          <w:rFonts w:ascii="宋体" w:hAnsi="宋体" w:eastAsia="宋体" w:cs="Times New Roman"/>
          <w:bCs/>
          <w:color w:val="auto"/>
          <w:sz w:val="24"/>
          <w:szCs w:val="20"/>
          <w:highlight w:val="none"/>
        </w:rPr>
      </w:pPr>
    </w:p>
    <w:p w14:paraId="1859DAD2">
      <w:pPr>
        <w:snapToGrid w:val="0"/>
        <w:spacing w:before="120" w:beforeLines="50" w:after="50" w:line="400" w:lineRule="exact"/>
        <w:rPr>
          <w:rFonts w:ascii="宋体" w:hAnsi="宋体" w:eastAsia="宋体" w:cs="Times New Roman"/>
          <w:bCs/>
          <w:color w:val="auto"/>
          <w:sz w:val="24"/>
          <w:szCs w:val="20"/>
          <w:highlight w:val="none"/>
        </w:rPr>
      </w:pPr>
    </w:p>
    <w:p w14:paraId="7560EAC0">
      <w:pPr>
        <w:snapToGrid w:val="0"/>
        <w:spacing w:before="120" w:beforeLines="50" w:after="50" w:line="400" w:lineRule="exact"/>
        <w:rPr>
          <w:rFonts w:ascii="宋体" w:hAnsi="宋体" w:eastAsia="宋体" w:cs="Times New Roman"/>
          <w:bCs/>
          <w:color w:val="auto"/>
          <w:sz w:val="24"/>
          <w:szCs w:val="20"/>
          <w:highlight w:val="none"/>
        </w:rPr>
      </w:pPr>
    </w:p>
    <w:p w14:paraId="4D5023B1">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 xml:space="preserve">项目名称： </w:t>
      </w:r>
    </w:p>
    <w:p w14:paraId="3D7ACF6E">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p>
    <w:p w14:paraId="710073EF">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 xml:space="preserve">项目编号： </w:t>
      </w:r>
    </w:p>
    <w:p w14:paraId="0AC3D577">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p>
    <w:p w14:paraId="0C6030BC">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p>
    <w:p w14:paraId="0A9E052B">
      <w:pPr>
        <w:spacing w:line="380" w:lineRule="exact"/>
        <w:rPr>
          <w:rFonts w:ascii="Times New Roman" w:hAnsi="Times New Roman" w:eastAsia="宋体" w:cs="Times New Roman"/>
          <w:color w:val="auto"/>
          <w:kern w:val="0"/>
          <w:sz w:val="24"/>
          <w:szCs w:val="24"/>
          <w:highlight w:val="none"/>
        </w:rPr>
      </w:pPr>
    </w:p>
    <w:p w14:paraId="11129491">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投标人名称：</w:t>
      </w:r>
    </w:p>
    <w:p w14:paraId="77BFE2C4">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p>
    <w:p w14:paraId="3656D51D">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投标人地址：</w:t>
      </w:r>
    </w:p>
    <w:p w14:paraId="50D6D12D">
      <w:pPr>
        <w:snapToGrid w:val="0"/>
        <w:spacing w:before="50" w:after="50" w:line="400" w:lineRule="exact"/>
        <w:ind w:firstLine="960" w:firstLineChars="400"/>
        <w:rPr>
          <w:rFonts w:ascii="宋体" w:hAnsi="宋体" w:eastAsia="宋体" w:cs="Times New Roman"/>
          <w:bCs/>
          <w:color w:val="auto"/>
          <w:sz w:val="24"/>
          <w:szCs w:val="24"/>
          <w:highlight w:val="none"/>
        </w:rPr>
      </w:pPr>
    </w:p>
    <w:p w14:paraId="1137EE91">
      <w:pPr>
        <w:snapToGrid w:val="0"/>
        <w:spacing w:before="120" w:beforeLines="50" w:after="50" w:line="400" w:lineRule="exact"/>
        <w:rPr>
          <w:rFonts w:ascii="宋体" w:hAnsi="宋体" w:eastAsia="宋体" w:cs="Times New Roman"/>
          <w:color w:val="auto"/>
          <w:sz w:val="30"/>
          <w:szCs w:val="20"/>
          <w:highlight w:val="none"/>
        </w:rPr>
      </w:pPr>
      <w:r>
        <w:rPr>
          <w:rFonts w:hint="eastAsia" w:ascii="宋体" w:hAnsi="宋体" w:eastAsia="宋体" w:cs="Times New Roman"/>
          <w:color w:val="auto"/>
          <w:sz w:val="24"/>
          <w:szCs w:val="24"/>
          <w:highlight w:val="none"/>
        </w:rPr>
        <w:t xml:space="preserve">                                   年  月  日</w:t>
      </w:r>
    </w:p>
    <w:p w14:paraId="72B4516D">
      <w:pPr>
        <w:snapToGrid w:val="0"/>
        <w:spacing w:before="120" w:beforeLines="50" w:after="50" w:line="360" w:lineRule="auto"/>
        <w:jc w:val="left"/>
        <w:rPr>
          <w:rFonts w:ascii="宋体" w:hAnsi="宋体" w:eastAsia="宋体" w:cs="Times New Roman"/>
          <w:color w:val="auto"/>
          <w:sz w:val="24"/>
          <w:szCs w:val="20"/>
          <w:highlight w:val="none"/>
        </w:rPr>
      </w:pPr>
      <w:r>
        <w:rPr>
          <w:rFonts w:ascii="宋体" w:hAnsi="宋体" w:eastAsia="宋体" w:cs="Times New Roman"/>
          <w:b/>
          <w:color w:val="auto"/>
          <w:sz w:val="24"/>
          <w:szCs w:val="24"/>
          <w:highlight w:val="none"/>
        </w:rPr>
        <w:br w:type="page"/>
      </w:r>
      <w:r>
        <w:rPr>
          <w:rFonts w:hint="eastAsia" w:ascii="宋体" w:hAnsi="宋体" w:eastAsia="宋体" w:cs="Times New Roman"/>
          <w:b/>
          <w:color w:val="auto"/>
          <w:sz w:val="24"/>
          <w:szCs w:val="24"/>
          <w:highlight w:val="none"/>
        </w:rPr>
        <w:t>2.</w:t>
      </w:r>
      <w:r>
        <w:rPr>
          <w:rFonts w:hint="eastAsia" w:ascii="宋体" w:hAnsi="宋体" w:eastAsia="宋体" w:cs="Times New Roman"/>
          <w:b/>
          <w:bCs/>
          <w:color w:val="auto"/>
          <w:sz w:val="24"/>
          <w:szCs w:val="24"/>
          <w:highlight w:val="none"/>
        </w:rPr>
        <w:t>报价文件目录</w:t>
      </w:r>
    </w:p>
    <w:p w14:paraId="5E9BC98F">
      <w:pPr>
        <w:snapToGrid w:val="0"/>
        <w:spacing w:before="50" w:after="120" w:afterLines="50" w:line="360" w:lineRule="auto"/>
        <w:jc w:val="left"/>
        <w:rPr>
          <w:rFonts w:ascii="宋体" w:hAnsi="宋体" w:eastAsia="宋体" w:cs="Times New Roman"/>
          <w:b/>
          <w:color w:val="auto"/>
          <w:sz w:val="24"/>
          <w:szCs w:val="24"/>
          <w:highlight w:val="none"/>
        </w:rPr>
      </w:pPr>
      <w:r>
        <w:rPr>
          <w:rFonts w:hint="eastAsia" w:ascii="宋体" w:hAnsi="宋体" w:eastAsia="宋体" w:cs="Times New Roman"/>
          <w:color w:val="auto"/>
          <w:szCs w:val="21"/>
          <w:highlight w:val="none"/>
        </w:rPr>
        <w:t>根据招标文件规定及投标人提供的材料自行编写目录。</w:t>
      </w:r>
    </w:p>
    <w:p w14:paraId="73853556">
      <w:pPr>
        <w:snapToGrid w:val="0"/>
        <w:spacing w:before="120" w:beforeLines="50" w:after="50"/>
        <w:jc w:val="left"/>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3. 投标函格式：</w:t>
      </w:r>
    </w:p>
    <w:p w14:paraId="301D16B4">
      <w:pPr>
        <w:snapToGrid w:val="0"/>
        <w:spacing w:before="120" w:beforeLines="50" w:after="50" w:line="320" w:lineRule="exact"/>
        <w:jc w:val="center"/>
        <w:rPr>
          <w:rFonts w:ascii="宋体" w:hAnsi="宋体" w:eastAsia="宋体" w:cs="Times New Roman"/>
          <w:b/>
          <w:color w:val="auto"/>
          <w:sz w:val="32"/>
          <w:szCs w:val="32"/>
          <w:highlight w:val="none"/>
        </w:rPr>
      </w:pPr>
      <w:r>
        <w:rPr>
          <w:rFonts w:hint="eastAsia" w:ascii="宋体" w:hAnsi="宋体" w:eastAsia="宋体" w:cs="Times New Roman"/>
          <w:b/>
          <w:color w:val="auto"/>
          <w:sz w:val="32"/>
          <w:szCs w:val="32"/>
          <w:highlight w:val="none"/>
        </w:rPr>
        <w:t>投 标 函</w:t>
      </w:r>
    </w:p>
    <w:p w14:paraId="67173D60">
      <w:pPr>
        <w:snapToGrid w:val="0"/>
        <w:spacing w:before="120" w:beforeLines="50" w:after="50" w:line="320" w:lineRule="exact"/>
        <w:jc w:val="center"/>
        <w:rPr>
          <w:rFonts w:ascii="宋体" w:hAnsi="宋体" w:eastAsia="宋体" w:cs="Times New Roman"/>
          <w:b/>
          <w:color w:val="auto"/>
          <w:sz w:val="24"/>
          <w:szCs w:val="20"/>
          <w:highlight w:val="none"/>
        </w:rPr>
      </w:pPr>
    </w:p>
    <w:p w14:paraId="7238823C">
      <w:pPr>
        <w:snapToGrid w:val="0"/>
        <w:spacing w:before="120" w:beforeLines="50" w:after="50" w:line="320" w:lineRule="exact"/>
        <w:jc w:val="center"/>
        <w:rPr>
          <w:rFonts w:ascii="宋体" w:hAnsi="宋体" w:eastAsia="宋体" w:cs="Times New Roman"/>
          <w:b/>
          <w:color w:val="auto"/>
          <w:sz w:val="24"/>
          <w:szCs w:val="20"/>
          <w:highlight w:val="none"/>
        </w:rPr>
      </w:pPr>
    </w:p>
    <w:p w14:paraId="27CC089B">
      <w:pPr>
        <w:snapToGrid w:val="0"/>
        <w:spacing w:before="120" w:beforeLines="50" w:after="50" w:line="320" w:lineRule="exact"/>
        <w:jc w:val="center"/>
        <w:rPr>
          <w:rFonts w:ascii="宋体" w:hAnsi="宋体" w:eastAsia="宋体" w:cs="Times New Roman"/>
          <w:b/>
          <w:color w:val="auto"/>
          <w:sz w:val="24"/>
          <w:szCs w:val="20"/>
          <w:highlight w:val="none"/>
        </w:rPr>
      </w:pPr>
    </w:p>
    <w:p w14:paraId="7A3502B2">
      <w:pPr>
        <w:snapToGrid w:val="0"/>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致：</w:t>
      </w:r>
      <w:r>
        <w:rPr>
          <w:rFonts w:hint="eastAsia" w:ascii="宋体" w:hAnsi="宋体" w:eastAsia="宋体" w:cs="Times New Roman"/>
          <w:color w:val="auto"/>
          <w:sz w:val="24"/>
          <w:szCs w:val="24"/>
          <w:highlight w:val="none"/>
          <w:u w:val="single"/>
        </w:rPr>
        <w:t>招标人名称</w:t>
      </w:r>
      <w:r>
        <w:rPr>
          <w:rFonts w:hint="eastAsia" w:ascii="宋体" w:hAnsi="宋体" w:eastAsia="宋体" w:cs="Times New Roman"/>
          <w:color w:val="auto"/>
          <w:sz w:val="24"/>
          <w:szCs w:val="24"/>
          <w:highlight w:val="none"/>
        </w:rPr>
        <w:t>：</w:t>
      </w:r>
    </w:p>
    <w:p w14:paraId="60BF99B1">
      <w:pPr>
        <w:snapToGrid w:val="0"/>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根据贵方</w:t>
      </w:r>
      <w:r>
        <w:rPr>
          <w:rFonts w:hint="eastAsia" w:ascii="宋体" w:hAnsi="宋体" w:eastAsia="宋体" w:cs="Times New Roman"/>
          <w:color w:val="auto"/>
          <w:sz w:val="24"/>
          <w:szCs w:val="24"/>
          <w:highlight w:val="none"/>
          <w:u w:val="single"/>
        </w:rPr>
        <w:t xml:space="preserve"> 项目名称</w:t>
      </w:r>
      <w:r>
        <w:rPr>
          <w:rFonts w:hint="eastAsia" w:ascii="宋体" w:hAnsi="宋体" w:eastAsia="宋体" w:cs="Times New Roman"/>
          <w:color w:val="auto"/>
          <w:sz w:val="24"/>
          <w:szCs w:val="24"/>
          <w:highlight w:val="none"/>
        </w:rPr>
        <w:t>（项目编号：</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）的招标公告，签字代表______</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（姓名）经正式授权并代表投标人</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（投标人名称）提交投标文件。</w:t>
      </w:r>
    </w:p>
    <w:p w14:paraId="0FF194FD">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据此函，我方宣布同意如下：</w:t>
      </w:r>
    </w:p>
    <w:p w14:paraId="4627E08F">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40A77D25">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2.我方在投标之前已经完全理解并接受招标文件的各项规定和要求，对招标文件的合理性、合法性不再有异议。</w:t>
      </w:r>
    </w:p>
    <w:p w14:paraId="4E70848C">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3.本投标有效期自投标截止之日起</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32E0DC32">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4.如中标，本投标文件至本项目合同履行完毕止均保持有效，我方将按“招标文件”及政府采购法律、法规的规定履行合同责任和义务。</w:t>
      </w:r>
    </w:p>
    <w:p w14:paraId="6DFCBA7C">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5.我方同意按照贵方要求提供与投标有关的一切数据或者资料。</w:t>
      </w:r>
    </w:p>
    <w:p w14:paraId="1AFA645C">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6.我方向贵方提交的所有投标文件、资料都是准确的和真实的。</w:t>
      </w:r>
    </w:p>
    <w:p w14:paraId="6DC78B27">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7.以上事项如有虚假或者隐瞒，我方愿意承担一切后果，并不再寻求任何旨在减轻或者免除法律责任的辩解。</w:t>
      </w:r>
    </w:p>
    <w:p w14:paraId="2776A56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8.根据</w:t>
      </w:r>
      <w:r>
        <w:rPr>
          <w:rFonts w:ascii="宋体" w:hAnsi="宋体" w:eastAsia="宋体" w:cs="Times New Roman"/>
          <w:color w:val="auto"/>
          <w:sz w:val="24"/>
          <w:szCs w:val="24"/>
          <w:highlight w:val="none"/>
        </w:rPr>
        <w:t>《中华人民共和国政府采购法实施条例》第五十条要求对政府采购合同进行公告</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但政府采购合同中涉及国家秘密、商业秘密的内容除外。</w:t>
      </w:r>
      <w:r>
        <w:rPr>
          <w:rFonts w:hint="eastAsia" w:ascii="宋体" w:hAnsi="宋体" w:eastAsia="宋体" w:cs="Times New Roman"/>
          <w:color w:val="auto"/>
          <w:sz w:val="24"/>
          <w:szCs w:val="24"/>
          <w:highlight w:val="none"/>
        </w:rPr>
        <w:t>我方就对本次投标文件进行注明如下：（两项内容中必须选择一项）</w:t>
      </w:r>
    </w:p>
    <w:p w14:paraId="128D368A">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□我方本次投标文件</w:t>
      </w:r>
      <w:r>
        <w:rPr>
          <w:rFonts w:ascii="宋体" w:hAnsi="宋体" w:eastAsia="宋体" w:cs="宋体"/>
          <w:color w:val="auto"/>
          <w:kern w:val="0"/>
          <w:sz w:val="24"/>
          <w:szCs w:val="24"/>
          <w:highlight w:val="none"/>
        </w:rPr>
        <w:t>内容中</w:t>
      </w:r>
      <w:r>
        <w:rPr>
          <w:rFonts w:hint="eastAsia" w:ascii="宋体" w:hAnsi="宋体" w:eastAsia="宋体" w:cs="Times New Roman"/>
          <w:color w:val="auto"/>
          <w:sz w:val="24"/>
          <w:szCs w:val="24"/>
          <w:highlight w:val="none"/>
        </w:rPr>
        <w:t>未</w:t>
      </w:r>
      <w:r>
        <w:rPr>
          <w:rFonts w:ascii="宋体" w:hAnsi="宋体" w:eastAsia="宋体" w:cs="宋体"/>
          <w:color w:val="auto"/>
          <w:kern w:val="0"/>
          <w:sz w:val="24"/>
          <w:szCs w:val="24"/>
          <w:highlight w:val="none"/>
        </w:rPr>
        <w:t>涉及商业秘密</w:t>
      </w:r>
      <w:r>
        <w:rPr>
          <w:rFonts w:hint="eastAsia" w:ascii="宋体" w:hAnsi="宋体" w:eastAsia="宋体" w:cs="宋体"/>
          <w:color w:val="auto"/>
          <w:kern w:val="0"/>
          <w:sz w:val="24"/>
          <w:szCs w:val="24"/>
          <w:highlight w:val="none"/>
        </w:rPr>
        <w:t>；</w:t>
      </w:r>
    </w:p>
    <w:p w14:paraId="53375F6A">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□我方本次投标文件</w:t>
      </w:r>
      <w:r>
        <w:rPr>
          <w:rFonts w:ascii="宋体" w:hAnsi="宋体" w:eastAsia="宋体" w:cs="宋体"/>
          <w:color w:val="auto"/>
          <w:kern w:val="0"/>
          <w:sz w:val="24"/>
          <w:szCs w:val="24"/>
          <w:highlight w:val="none"/>
        </w:rPr>
        <w:t>涉及商业秘密</w:t>
      </w:r>
      <w:r>
        <w:rPr>
          <w:rFonts w:hint="eastAsia" w:ascii="宋体" w:hAnsi="宋体" w:eastAsia="宋体" w:cs="宋体"/>
          <w:color w:val="auto"/>
          <w:kern w:val="0"/>
          <w:sz w:val="24"/>
          <w:szCs w:val="24"/>
          <w:highlight w:val="none"/>
        </w:rPr>
        <w:t>的</w:t>
      </w:r>
      <w:r>
        <w:rPr>
          <w:rFonts w:ascii="宋体" w:hAnsi="宋体" w:eastAsia="宋体" w:cs="宋体"/>
          <w:color w:val="auto"/>
          <w:kern w:val="0"/>
          <w:sz w:val="24"/>
          <w:szCs w:val="24"/>
          <w:highlight w:val="none"/>
        </w:rPr>
        <w:t>内容</w:t>
      </w:r>
      <w:r>
        <w:rPr>
          <w:rFonts w:hint="eastAsia" w:ascii="宋体" w:hAnsi="宋体" w:eastAsia="宋体" w:cs="宋体"/>
          <w:color w:val="auto"/>
          <w:kern w:val="0"/>
          <w:sz w:val="24"/>
          <w:szCs w:val="24"/>
          <w:highlight w:val="none"/>
        </w:rPr>
        <w:t>有：</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66237F76">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9.与本投标有关的一切正式往来信函请寄：</w:t>
      </w:r>
    </w:p>
    <w:p w14:paraId="79FF37CB">
      <w:pPr>
        <w:snapToGrid w:val="0"/>
        <w:spacing w:line="360" w:lineRule="auto"/>
        <w:ind w:firstLine="480" w:firstLineChars="2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地址：</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邮编：</w:t>
      </w:r>
      <w:r>
        <w:rPr>
          <w:rFonts w:hint="eastAsia" w:ascii="宋体" w:hAnsi="宋体" w:eastAsia="宋体" w:cs="Times New Roman"/>
          <w:color w:val="auto"/>
          <w:sz w:val="24"/>
          <w:szCs w:val="24"/>
          <w:highlight w:val="none"/>
          <w:u w:val="single"/>
        </w:rPr>
        <w:t xml:space="preserve">            </w:t>
      </w:r>
    </w:p>
    <w:p w14:paraId="713906CC">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电话：</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传真：</w:t>
      </w:r>
      <w:r>
        <w:rPr>
          <w:rFonts w:hint="eastAsia" w:ascii="宋体" w:hAnsi="宋体" w:eastAsia="宋体" w:cs="Times New Roman"/>
          <w:color w:val="auto"/>
          <w:sz w:val="24"/>
          <w:szCs w:val="24"/>
          <w:highlight w:val="none"/>
          <w:u w:val="single"/>
        </w:rPr>
        <w:t xml:space="preserve">          </w:t>
      </w:r>
    </w:p>
    <w:p w14:paraId="47EE3B61">
      <w:pPr>
        <w:snapToGrid w:val="0"/>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投标人名称:</w:t>
      </w:r>
      <w:r>
        <w:rPr>
          <w:rFonts w:hint="eastAsia" w:ascii="宋体" w:hAnsi="宋体" w:eastAsia="宋体" w:cs="Times New Roman"/>
          <w:color w:val="auto"/>
          <w:sz w:val="24"/>
          <w:szCs w:val="24"/>
          <w:highlight w:val="none"/>
          <w:u w:val="single"/>
        </w:rPr>
        <w:t xml:space="preserve">                </w:t>
      </w:r>
    </w:p>
    <w:p w14:paraId="72CAB552">
      <w:pPr>
        <w:snapToGrid w:val="0"/>
        <w:spacing w:line="360" w:lineRule="auto"/>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开户银行：</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 xml:space="preserve">   银行帐号：</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 xml:space="preserve"> </w:t>
      </w:r>
    </w:p>
    <w:p w14:paraId="5740EB76">
      <w:pPr>
        <w:snapToGrid w:val="0"/>
        <w:spacing w:line="360" w:lineRule="auto"/>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法定代表人或者委托代理人（签字）:___________ </w:t>
      </w:r>
    </w:p>
    <w:p w14:paraId="428EADDF">
      <w:pPr>
        <w:snapToGrid w:val="0"/>
        <w:spacing w:before="295" w:after="295" w:line="360" w:lineRule="auto"/>
        <w:jc w:val="center"/>
        <w:rPr>
          <w:rFonts w:ascii="宋体" w:hAnsi="宋体" w:eastAsia="宋体" w:cs="Times New Roman"/>
          <w:color w:val="auto"/>
          <w:kern w:val="0"/>
          <w:sz w:val="24"/>
          <w:szCs w:val="24"/>
          <w:highlight w:val="none"/>
          <w:u w:val="single"/>
          <w:lang w:val="zh-CN"/>
        </w:rPr>
      </w:pPr>
      <w:r>
        <w:rPr>
          <w:rFonts w:hint="eastAsia" w:ascii="宋体" w:hAnsi="宋体" w:eastAsia="宋体" w:cs="Times New Roman"/>
          <w:color w:val="auto"/>
          <w:kern w:val="0"/>
          <w:sz w:val="24"/>
          <w:szCs w:val="21"/>
          <w:highlight w:val="none"/>
          <w:lang w:val="zh-CN"/>
        </w:rPr>
        <w:t xml:space="preserve"> </w:t>
      </w:r>
      <w:r>
        <w:rPr>
          <w:rFonts w:ascii="宋体" w:hAnsi="宋体" w:eastAsia="宋体" w:cs="Times New Roman"/>
          <w:color w:val="auto"/>
          <w:kern w:val="0"/>
          <w:sz w:val="24"/>
          <w:szCs w:val="21"/>
          <w:highlight w:val="none"/>
          <w:lang w:val="zh-CN"/>
        </w:rPr>
        <w:t xml:space="preserve">                                   </w:t>
      </w:r>
      <w:r>
        <w:rPr>
          <w:rFonts w:hint="eastAsia" w:ascii="宋体" w:hAnsi="宋体" w:eastAsia="宋体" w:cs="Times New Roman"/>
          <w:color w:val="auto"/>
          <w:kern w:val="0"/>
          <w:sz w:val="24"/>
          <w:szCs w:val="21"/>
          <w:highlight w:val="none"/>
          <w:lang w:val="zh-CN"/>
        </w:rPr>
        <w:t>投标人（盖公章）：</w:t>
      </w:r>
    </w:p>
    <w:p w14:paraId="1CDFBE9D">
      <w:pPr>
        <w:snapToGrid w:val="0"/>
        <w:spacing w:before="295" w:after="295" w:line="360" w:lineRule="auto"/>
        <w:rPr>
          <w:rFonts w:ascii="宋体" w:hAnsi="宋体" w:eastAsia="宋体" w:cs="Times New Roman"/>
          <w:color w:val="auto"/>
          <w:kern w:val="0"/>
          <w:sz w:val="24"/>
          <w:szCs w:val="21"/>
          <w:highlight w:val="none"/>
          <w:lang w:val="zh-CN"/>
        </w:rPr>
      </w:pPr>
      <w:r>
        <w:rPr>
          <w:rFonts w:hint="eastAsia" w:ascii="宋体" w:hAnsi="宋体" w:eastAsia="宋体" w:cs="Times New Roman"/>
          <w:color w:val="auto"/>
          <w:kern w:val="0"/>
          <w:sz w:val="24"/>
          <w:szCs w:val="24"/>
          <w:highlight w:val="none"/>
          <w:lang w:val="zh-CN"/>
        </w:rPr>
        <w:t xml:space="preserve">                                                </w:t>
      </w:r>
      <w:r>
        <w:rPr>
          <w:rFonts w:hint="eastAsia" w:ascii="宋体" w:hAnsi="宋体" w:eastAsia="宋体" w:cs="Times New Roman"/>
          <w:color w:val="auto"/>
          <w:kern w:val="0"/>
          <w:sz w:val="24"/>
          <w:szCs w:val="24"/>
          <w:highlight w:val="none"/>
          <w:u w:val="single"/>
          <w:lang w:val="zh-CN"/>
        </w:rPr>
        <w:t xml:space="preserve">      </w:t>
      </w:r>
      <w:r>
        <w:rPr>
          <w:rFonts w:hint="eastAsia" w:ascii="宋体" w:hAnsi="宋体" w:eastAsia="宋体" w:cs="Times New Roman"/>
          <w:color w:val="auto"/>
          <w:kern w:val="0"/>
          <w:sz w:val="24"/>
          <w:szCs w:val="24"/>
          <w:highlight w:val="none"/>
          <w:lang w:val="zh-CN"/>
        </w:rPr>
        <w:t>年</w:t>
      </w:r>
      <w:r>
        <w:rPr>
          <w:rFonts w:hint="eastAsia" w:ascii="宋体" w:hAnsi="宋体" w:eastAsia="宋体" w:cs="Times New Roman"/>
          <w:color w:val="auto"/>
          <w:kern w:val="0"/>
          <w:sz w:val="24"/>
          <w:szCs w:val="24"/>
          <w:highlight w:val="none"/>
          <w:u w:val="single"/>
          <w:lang w:val="zh-CN"/>
        </w:rPr>
        <w:t xml:space="preserve">    </w:t>
      </w:r>
      <w:r>
        <w:rPr>
          <w:rFonts w:hint="eastAsia" w:ascii="宋体" w:hAnsi="宋体" w:eastAsia="宋体" w:cs="Times New Roman"/>
          <w:color w:val="auto"/>
          <w:kern w:val="0"/>
          <w:sz w:val="24"/>
          <w:szCs w:val="24"/>
          <w:highlight w:val="none"/>
          <w:lang w:val="zh-CN"/>
        </w:rPr>
        <w:t>月</w:t>
      </w:r>
      <w:r>
        <w:rPr>
          <w:rFonts w:hint="eastAsia" w:ascii="宋体" w:hAnsi="宋体" w:eastAsia="宋体" w:cs="Times New Roman"/>
          <w:color w:val="auto"/>
          <w:kern w:val="0"/>
          <w:sz w:val="24"/>
          <w:szCs w:val="24"/>
          <w:highlight w:val="none"/>
          <w:u w:val="single"/>
          <w:lang w:val="zh-CN"/>
        </w:rPr>
        <w:t xml:space="preserve">     </w:t>
      </w:r>
      <w:r>
        <w:rPr>
          <w:rFonts w:hint="eastAsia" w:ascii="宋体" w:hAnsi="宋体" w:eastAsia="宋体" w:cs="Times New Roman"/>
          <w:color w:val="auto"/>
          <w:kern w:val="0"/>
          <w:sz w:val="24"/>
          <w:szCs w:val="24"/>
          <w:highlight w:val="none"/>
          <w:lang w:val="zh-CN"/>
        </w:rPr>
        <w:t>日</w:t>
      </w:r>
    </w:p>
    <w:p w14:paraId="2191CF68">
      <w:pPr>
        <w:snapToGrid w:val="0"/>
        <w:spacing w:before="120" w:beforeLines="50" w:after="50"/>
        <w:jc w:val="left"/>
        <w:rPr>
          <w:rFonts w:ascii="宋体" w:hAnsi="宋体" w:eastAsia="宋体" w:cs="Times New Roman"/>
          <w:b/>
          <w:color w:val="auto"/>
          <w:sz w:val="24"/>
          <w:szCs w:val="20"/>
          <w:highlight w:val="none"/>
        </w:rPr>
      </w:pPr>
      <w:r>
        <w:rPr>
          <w:rFonts w:ascii="Times New Roman" w:hAnsi="宋体" w:eastAsia="宋体" w:cs="Times New Roman"/>
          <w:color w:val="auto"/>
          <w:szCs w:val="24"/>
          <w:highlight w:val="none"/>
          <w:u w:val="single"/>
        </w:rPr>
        <w:br w:type="page"/>
      </w:r>
      <w:r>
        <w:rPr>
          <w:rFonts w:hint="eastAsia" w:ascii="宋体" w:hAnsi="宋体" w:eastAsia="宋体" w:cs="Times New Roman"/>
          <w:b/>
          <w:color w:val="auto"/>
          <w:sz w:val="24"/>
          <w:szCs w:val="24"/>
          <w:highlight w:val="none"/>
        </w:rPr>
        <w:t>4. 开标一览表</w:t>
      </w:r>
    </w:p>
    <w:p w14:paraId="0EA48F71">
      <w:pPr>
        <w:snapToGrid w:val="0"/>
        <w:spacing w:before="50" w:after="50"/>
        <w:jc w:val="center"/>
        <w:rPr>
          <w:rFonts w:ascii="宋体" w:hAnsi="宋体" w:eastAsia="宋体" w:cs="Times New Roman"/>
          <w:b/>
          <w:color w:val="auto"/>
          <w:sz w:val="30"/>
          <w:szCs w:val="24"/>
          <w:highlight w:val="none"/>
        </w:rPr>
      </w:pPr>
      <w:r>
        <w:rPr>
          <w:rFonts w:hint="eastAsia" w:ascii="宋体" w:hAnsi="宋体" w:eastAsia="宋体" w:cs="Times New Roman"/>
          <w:b/>
          <w:color w:val="auto"/>
          <w:sz w:val="30"/>
          <w:szCs w:val="24"/>
          <w:highlight w:val="none"/>
        </w:rPr>
        <w:t>开标一览表</w:t>
      </w:r>
    </w:p>
    <w:p w14:paraId="481DE7C0">
      <w:pPr>
        <w:snapToGrid w:val="0"/>
        <w:spacing w:before="50" w:after="50"/>
        <w:jc w:val="center"/>
        <w:rPr>
          <w:rFonts w:ascii="宋体" w:hAnsi="宋体" w:eastAsia="宋体" w:cs="Times New Roman"/>
          <w:b/>
          <w:color w:val="auto"/>
          <w:sz w:val="30"/>
          <w:szCs w:val="20"/>
          <w:highlight w:val="none"/>
        </w:rPr>
      </w:pPr>
    </w:p>
    <w:p w14:paraId="3CE9008E">
      <w:pPr>
        <w:snapToGrid w:val="0"/>
        <w:spacing w:before="50" w:after="50" w:line="360" w:lineRule="auto"/>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项目名称：</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项目编号：</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 xml:space="preserve">         </w:t>
      </w:r>
    </w:p>
    <w:p w14:paraId="666CB27B">
      <w:pPr>
        <w:snapToGrid w:val="0"/>
        <w:spacing w:before="50" w:after="50"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投标人名称：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 xml:space="preserve">                       单位：元</w:t>
      </w:r>
    </w:p>
    <w:p w14:paraId="45B6FF29">
      <w:pPr>
        <w:snapToGrid w:val="0"/>
        <w:spacing w:before="50" w:after="50" w:line="360" w:lineRule="auto"/>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 xml:space="preserve">                                           </w:t>
      </w:r>
    </w:p>
    <w:tbl>
      <w:tblPr>
        <w:tblStyle w:val="37"/>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712"/>
        <w:gridCol w:w="1521"/>
        <w:gridCol w:w="1418"/>
        <w:gridCol w:w="1673"/>
        <w:gridCol w:w="1184"/>
      </w:tblGrid>
      <w:tr w14:paraId="75DE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69CB3416">
            <w:pPr>
              <w:spacing w:line="360" w:lineRule="auto"/>
              <w:jc w:val="center"/>
              <w:rPr>
                <w:rFonts w:ascii="宋体" w:hAnsi="宋体" w:eastAsia="宋体" w:cs="仿宋_GB2312"/>
                <w:color w:val="auto"/>
                <w:sz w:val="24"/>
                <w:szCs w:val="24"/>
                <w:highlight w:val="none"/>
              </w:rPr>
            </w:pPr>
            <w:r>
              <w:rPr>
                <w:rFonts w:ascii="宋体" w:hAnsi="宋体" w:eastAsia="宋体" w:cs="仿宋_GB2312"/>
                <w:color w:val="auto"/>
                <w:sz w:val="24"/>
                <w:szCs w:val="24"/>
                <w:highlight w:val="none"/>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24C54BBB">
            <w:pPr>
              <w:spacing w:line="360" w:lineRule="auto"/>
              <w:jc w:val="center"/>
              <w:rPr>
                <w:rFonts w:ascii="宋体" w:hAnsi="宋体" w:eastAsia="宋体" w:cs="仿宋_GB2312"/>
                <w:color w:val="auto"/>
                <w:sz w:val="24"/>
                <w:szCs w:val="24"/>
                <w:highlight w:val="none"/>
              </w:rPr>
            </w:pPr>
            <w:r>
              <w:rPr>
                <w:rFonts w:hint="eastAsia" w:ascii="宋体" w:hAnsi="宋体" w:eastAsia="宋体" w:cs="Times New Roman"/>
                <w:b/>
                <w:color w:val="auto"/>
                <w:sz w:val="24"/>
                <w:szCs w:val="24"/>
                <w:highlight w:val="none"/>
              </w:rPr>
              <w:t>标的名称</w:t>
            </w:r>
          </w:p>
        </w:tc>
        <w:tc>
          <w:tcPr>
            <w:tcW w:w="1521" w:type="dxa"/>
            <w:tcBorders>
              <w:top w:val="single" w:color="auto" w:sz="4" w:space="0"/>
              <w:left w:val="single" w:color="auto" w:sz="4" w:space="0"/>
              <w:bottom w:val="single" w:color="auto" w:sz="4" w:space="0"/>
              <w:right w:val="single" w:color="auto" w:sz="4" w:space="0"/>
            </w:tcBorders>
            <w:vAlign w:val="center"/>
          </w:tcPr>
          <w:p w14:paraId="326B4888">
            <w:pPr>
              <w:spacing w:line="360" w:lineRule="auto"/>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数量及单位</w:t>
            </w:r>
          </w:p>
        </w:tc>
        <w:tc>
          <w:tcPr>
            <w:tcW w:w="1418" w:type="dxa"/>
            <w:tcBorders>
              <w:top w:val="single" w:color="auto" w:sz="4" w:space="0"/>
              <w:left w:val="single" w:color="auto" w:sz="4" w:space="0"/>
              <w:bottom w:val="single" w:color="auto" w:sz="4" w:space="0"/>
              <w:right w:val="single" w:color="auto" w:sz="4" w:space="0"/>
            </w:tcBorders>
            <w:vAlign w:val="center"/>
          </w:tcPr>
          <w:p w14:paraId="5D3DFE5A">
            <w:pPr>
              <w:spacing w:line="360" w:lineRule="auto"/>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单价</w:t>
            </w:r>
          </w:p>
        </w:tc>
        <w:tc>
          <w:tcPr>
            <w:tcW w:w="1673" w:type="dxa"/>
            <w:tcBorders>
              <w:top w:val="single" w:color="auto" w:sz="4" w:space="0"/>
              <w:left w:val="single" w:color="auto" w:sz="4" w:space="0"/>
              <w:bottom w:val="single" w:color="auto" w:sz="4" w:space="0"/>
              <w:right w:val="single" w:color="auto" w:sz="4" w:space="0"/>
            </w:tcBorders>
            <w:vAlign w:val="center"/>
          </w:tcPr>
          <w:p w14:paraId="379EE5CC">
            <w:pPr>
              <w:spacing w:line="360" w:lineRule="auto"/>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41599DB0">
            <w:pPr>
              <w:spacing w:line="360" w:lineRule="auto"/>
              <w:jc w:val="center"/>
              <w:rPr>
                <w:rFonts w:ascii="宋体" w:hAnsi="宋体" w:eastAsia="宋体" w:cs="仿宋_GB2312"/>
                <w:color w:val="auto"/>
                <w:sz w:val="24"/>
                <w:szCs w:val="24"/>
                <w:highlight w:val="none"/>
              </w:rPr>
            </w:pPr>
            <w:r>
              <w:rPr>
                <w:rFonts w:ascii="宋体" w:hAnsi="宋体" w:eastAsia="宋体" w:cs="仿宋_GB2312"/>
                <w:color w:val="auto"/>
                <w:sz w:val="24"/>
                <w:szCs w:val="24"/>
                <w:highlight w:val="none"/>
              </w:rPr>
              <w:t>备注</w:t>
            </w:r>
          </w:p>
        </w:tc>
      </w:tr>
      <w:tr w14:paraId="1231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209D8EE6">
            <w:pPr>
              <w:spacing w:line="360" w:lineRule="auto"/>
              <w:jc w:val="center"/>
              <w:rPr>
                <w:rFonts w:ascii="宋体" w:hAnsi="宋体" w:eastAsia="宋体" w:cs="仿宋_GB2312"/>
                <w:color w:val="auto"/>
                <w:sz w:val="24"/>
                <w:szCs w:val="24"/>
                <w:highlight w:val="none"/>
              </w:rPr>
            </w:pPr>
            <w:r>
              <w:rPr>
                <w:rFonts w:ascii="宋体" w:hAnsi="宋体" w:eastAsia="宋体" w:cs="仿宋_GB2312"/>
                <w:color w:val="auto"/>
                <w:sz w:val="24"/>
                <w:szCs w:val="24"/>
                <w:highlight w:val="none"/>
              </w:rPr>
              <w:t>1</w:t>
            </w:r>
          </w:p>
        </w:tc>
        <w:tc>
          <w:tcPr>
            <w:tcW w:w="2712" w:type="dxa"/>
            <w:tcBorders>
              <w:top w:val="single" w:color="auto" w:sz="4" w:space="0"/>
              <w:left w:val="single" w:color="auto" w:sz="4" w:space="0"/>
              <w:bottom w:val="single" w:color="auto" w:sz="4" w:space="0"/>
              <w:right w:val="single" w:color="auto" w:sz="4" w:space="0"/>
            </w:tcBorders>
            <w:vAlign w:val="center"/>
          </w:tcPr>
          <w:p w14:paraId="1CF2B9DB">
            <w:pPr>
              <w:spacing w:line="360" w:lineRule="auto"/>
              <w:jc w:val="center"/>
              <w:rPr>
                <w:rFonts w:ascii="宋体" w:hAnsi="宋体" w:eastAsia="宋体" w:cs="仿宋_GB2312"/>
                <w:color w:val="auto"/>
                <w:sz w:val="24"/>
                <w:szCs w:val="24"/>
                <w:highlight w:val="none"/>
              </w:rPr>
            </w:pPr>
          </w:p>
        </w:tc>
        <w:tc>
          <w:tcPr>
            <w:tcW w:w="1521" w:type="dxa"/>
            <w:tcBorders>
              <w:top w:val="single" w:color="auto" w:sz="4" w:space="0"/>
              <w:left w:val="single" w:color="auto" w:sz="4" w:space="0"/>
              <w:bottom w:val="single" w:color="auto" w:sz="4" w:space="0"/>
              <w:right w:val="single" w:color="auto" w:sz="4" w:space="0"/>
            </w:tcBorders>
            <w:vAlign w:val="center"/>
          </w:tcPr>
          <w:p w14:paraId="0FEC448C">
            <w:pPr>
              <w:spacing w:line="360" w:lineRule="auto"/>
              <w:rPr>
                <w:rFonts w:ascii="宋体" w:hAnsi="宋体" w:eastAsia="宋体" w:cs="仿宋_GB2312"/>
                <w:color w:val="auto"/>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7C9787D9">
            <w:pPr>
              <w:spacing w:line="360" w:lineRule="auto"/>
              <w:rPr>
                <w:rFonts w:ascii="宋体" w:hAnsi="宋体" w:eastAsia="宋体" w:cs="仿宋_GB2312"/>
                <w:color w:val="auto"/>
                <w:sz w:val="24"/>
                <w:szCs w:val="24"/>
                <w:highlight w:val="none"/>
              </w:rPr>
            </w:pPr>
          </w:p>
        </w:tc>
        <w:tc>
          <w:tcPr>
            <w:tcW w:w="1673" w:type="dxa"/>
            <w:tcBorders>
              <w:top w:val="single" w:color="auto" w:sz="4" w:space="0"/>
              <w:left w:val="single" w:color="auto" w:sz="4" w:space="0"/>
              <w:bottom w:val="single" w:color="auto" w:sz="4" w:space="0"/>
              <w:right w:val="single" w:color="auto" w:sz="4" w:space="0"/>
            </w:tcBorders>
          </w:tcPr>
          <w:p w14:paraId="7855209A">
            <w:pPr>
              <w:spacing w:line="360" w:lineRule="auto"/>
              <w:rPr>
                <w:rFonts w:ascii="宋体" w:hAnsi="宋体" w:eastAsia="宋体" w:cs="仿宋_GB2312"/>
                <w:color w:val="auto"/>
                <w:sz w:val="24"/>
                <w:szCs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66830575">
            <w:pPr>
              <w:spacing w:line="360" w:lineRule="auto"/>
              <w:rPr>
                <w:rFonts w:ascii="宋体" w:hAnsi="宋体" w:eastAsia="宋体" w:cs="仿宋_GB2312"/>
                <w:color w:val="auto"/>
                <w:sz w:val="24"/>
                <w:szCs w:val="24"/>
                <w:highlight w:val="none"/>
              </w:rPr>
            </w:pPr>
          </w:p>
        </w:tc>
      </w:tr>
      <w:tr w14:paraId="1AF81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7562DB84">
            <w:pPr>
              <w:spacing w:line="360" w:lineRule="auto"/>
              <w:jc w:val="center"/>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w:t>
            </w:r>
          </w:p>
        </w:tc>
        <w:tc>
          <w:tcPr>
            <w:tcW w:w="2712" w:type="dxa"/>
            <w:tcBorders>
              <w:top w:val="single" w:color="auto" w:sz="4" w:space="0"/>
              <w:left w:val="single" w:color="auto" w:sz="4" w:space="0"/>
              <w:bottom w:val="single" w:color="auto" w:sz="4" w:space="0"/>
              <w:right w:val="single" w:color="auto" w:sz="4" w:space="0"/>
            </w:tcBorders>
            <w:vAlign w:val="center"/>
          </w:tcPr>
          <w:p w14:paraId="47773C76">
            <w:pPr>
              <w:spacing w:line="360" w:lineRule="auto"/>
              <w:jc w:val="center"/>
              <w:rPr>
                <w:rFonts w:ascii="宋体" w:hAnsi="宋体" w:eastAsia="宋体" w:cs="仿宋_GB2312"/>
                <w:color w:val="auto"/>
                <w:sz w:val="24"/>
                <w:szCs w:val="24"/>
                <w:highlight w:val="none"/>
              </w:rPr>
            </w:pPr>
          </w:p>
        </w:tc>
        <w:tc>
          <w:tcPr>
            <w:tcW w:w="1521" w:type="dxa"/>
            <w:tcBorders>
              <w:top w:val="single" w:color="auto" w:sz="4" w:space="0"/>
              <w:left w:val="single" w:color="auto" w:sz="4" w:space="0"/>
              <w:bottom w:val="single" w:color="auto" w:sz="4" w:space="0"/>
              <w:right w:val="single" w:color="auto" w:sz="4" w:space="0"/>
            </w:tcBorders>
            <w:vAlign w:val="center"/>
          </w:tcPr>
          <w:p w14:paraId="4EA19E89">
            <w:pPr>
              <w:spacing w:line="360" w:lineRule="auto"/>
              <w:rPr>
                <w:rFonts w:ascii="宋体" w:hAnsi="宋体" w:eastAsia="宋体" w:cs="仿宋_GB2312"/>
                <w:color w:val="auto"/>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2B63772F">
            <w:pPr>
              <w:spacing w:line="360" w:lineRule="auto"/>
              <w:rPr>
                <w:rFonts w:ascii="宋体" w:hAnsi="宋体" w:eastAsia="宋体" w:cs="仿宋_GB2312"/>
                <w:color w:val="auto"/>
                <w:sz w:val="24"/>
                <w:szCs w:val="24"/>
                <w:highlight w:val="none"/>
              </w:rPr>
            </w:pPr>
          </w:p>
        </w:tc>
        <w:tc>
          <w:tcPr>
            <w:tcW w:w="1673" w:type="dxa"/>
            <w:tcBorders>
              <w:top w:val="single" w:color="auto" w:sz="4" w:space="0"/>
              <w:left w:val="single" w:color="auto" w:sz="4" w:space="0"/>
              <w:bottom w:val="single" w:color="auto" w:sz="4" w:space="0"/>
              <w:right w:val="single" w:color="auto" w:sz="4" w:space="0"/>
            </w:tcBorders>
          </w:tcPr>
          <w:p w14:paraId="543D4B2B">
            <w:pPr>
              <w:spacing w:line="360" w:lineRule="auto"/>
              <w:rPr>
                <w:rFonts w:ascii="宋体" w:hAnsi="宋体" w:eastAsia="宋体" w:cs="仿宋_GB2312"/>
                <w:color w:val="auto"/>
                <w:sz w:val="24"/>
                <w:szCs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70A2090D">
            <w:pPr>
              <w:spacing w:line="360" w:lineRule="auto"/>
              <w:rPr>
                <w:rFonts w:ascii="宋体" w:hAnsi="宋体" w:eastAsia="宋体" w:cs="仿宋_GB2312"/>
                <w:color w:val="auto"/>
                <w:sz w:val="24"/>
                <w:szCs w:val="24"/>
                <w:highlight w:val="none"/>
              </w:rPr>
            </w:pPr>
          </w:p>
        </w:tc>
      </w:tr>
      <w:tr w14:paraId="2B8C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1BE1536F">
            <w:pPr>
              <w:spacing w:line="360" w:lineRule="auto"/>
              <w:jc w:val="center"/>
              <w:rPr>
                <w:rFonts w:ascii="宋体" w:hAnsi="宋体" w:eastAsia="宋体" w:cs="仿宋_GB2312"/>
                <w:color w:val="auto"/>
                <w:sz w:val="24"/>
                <w:szCs w:val="24"/>
                <w:highlight w:val="none"/>
              </w:rPr>
            </w:pPr>
            <w:r>
              <w:rPr>
                <w:rFonts w:hint="eastAsia" w:ascii="宋体" w:hAnsi="宋体" w:eastAsia="宋体" w:cs="Times New Roman"/>
                <w:b/>
                <w:color w:val="auto"/>
                <w:sz w:val="24"/>
                <w:szCs w:val="24"/>
                <w:highlight w:val="none"/>
              </w:rPr>
              <w:t>……</w:t>
            </w:r>
          </w:p>
        </w:tc>
        <w:tc>
          <w:tcPr>
            <w:tcW w:w="2712" w:type="dxa"/>
            <w:tcBorders>
              <w:top w:val="single" w:color="auto" w:sz="4" w:space="0"/>
              <w:left w:val="single" w:color="auto" w:sz="4" w:space="0"/>
              <w:bottom w:val="single" w:color="auto" w:sz="4" w:space="0"/>
              <w:right w:val="single" w:color="auto" w:sz="4" w:space="0"/>
            </w:tcBorders>
            <w:vAlign w:val="center"/>
          </w:tcPr>
          <w:p w14:paraId="5A3AB105">
            <w:pPr>
              <w:spacing w:line="360" w:lineRule="auto"/>
              <w:jc w:val="center"/>
              <w:rPr>
                <w:rFonts w:ascii="宋体" w:hAnsi="宋体" w:eastAsia="宋体" w:cs="仿宋_GB2312"/>
                <w:color w:val="auto"/>
                <w:sz w:val="24"/>
                <w:szCs w:val="24"/>
                <w:highlight w:val="none"/>
              </w:rPr>
            </w:pPr>
            <w:r>
              <w:rPr>
                <w:rFonts w:hint="eastAsia" w:ascii="宋体" w:hAnsi="宋体" w:eastAsia="宋体" w:cs="Times New Roman"/>
                <w:b/>
                <w:color w:val="auto"/>
                <w:sz w:val="24"/>
                <w:szCs w:val="24"/>
                <w:highlight w:val="none"/>
              </w:rPr>
              <w:t>……</w:t>
            </w:r>
          </w:p>
        </w:tc>
        <w:tc>
          <w:tcPr>
            <w:tcW w:w="1521" w:type="dxa"/>
            <w:tcBorders>
              <w:top w:val="single" w:color="auto" w:sz="4" w:space="0"/>
              <w:left w:val="single" w:color="auto" w:sz="4" w:space="0"/>
              <w:bottom w:val="single" w:color="auto" w:sz="4" w:space="0"/>
              <w:right w:val="single" w:color="auto" w:sz="4" w:space="0"/>
            </w:tcBorders>
            <w:vAlign w:val="center"/>
          </w:tcPr>
          <w:p w14:paraId="1B95EDE8">
            <w:pPr>
              <w:spacing w:line="360" w:lineRule="auto"/>
              <w:rPr>
                <w:rFonts w:ascii="宋体" w:hAnsi="宋体" w:eastAsia="宋体" w:cs="仿宋_GB2312"/>
                <w:color w:val="auto"/>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5DF360F6">
            <w:pPr>
              <w:spacing w:line="360" w:lineRule="auto"/>
              <w:rPr>
                <w:rFonts w:ascii="宋体" w:hAnsi="宋体" w:eastAsia="宋体" w:cs="仿宋_GB2312"/>
                <w:color w:val="auto"/>
                <w:sz w:val="24"/>
                <w:szCs w:val="24"/>
                <w:highlight w:val="none"/>
              </w:rPr>
            </w:pPr>
          </w:p>
        </w:tc>
        <w:tc>
          <w:tcPr>
            <w:tcW w:w="1673" w:type="dxa"/>
            <w:tcBorders>
              <w:top w:val="single" w:color="auto" w:sz="4" w:space="0"/>
              <w:left w:val="single" w:color="auto" w:sz="4" w:space="0"/>
              <w:bottom w:val="single" w:color="auto" w:sz="4" w:space="0"/>
              <w:right w:val="single" w:color="auto" w:sz="4" w:space="0"/>
            </w:tcBorders>
          </w:tcPr>
          <w:p w14:paraId="66435A04">
            <w:pPr>
              <w:spacing w:line="360" w:lineRule="auto"/>
              <w:rPr>
                <w:rFonts w:ascii="宋体" w:hAnsi="宋体" w:eastAsia="宋体" w:cs="仿宋_GB2312"/>
                <w:color w:val="auto"/>
                <w:sz w:val="24"/>
                <w:szCs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55CE4741">
            <w:pPr>
              <w:spacing w:line="360" w:lineRule="auto"/>
              <w:rPr>
                <w:rFonts w:ascii="宋体" w:hAnsi="宋体" w:eastAsia="宋体" w:cs="仿宋_GB2312"/>
                <w:color w:val="auto"/>
                <w:sz w:val="24"/>
                <w:szCs w:val="24"/>
                <w:highlight w:val="none"/>
              </w:rPr>
            </w:pPr>
          </w:p>
        </w:tc>
      </w:tr>
      <w:tr w14:paraId="42ED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7" w:hRule="atLeast"/>
          <w:jc w:val="right"/>
        </w:trPr>
        <w:tc>
          <w:tcPr>
            <w:tcW w:w="9520" w:type="dxa"/>
            <w:gridSpan w:val="6"/>
            <w:tcBorders>
              <w:top w:val="single" w:color="auto" w:sz="4" w:space="0"/>
              <w:left w:val="single" w:color="auto" w:sz="4" w:space="0"/>
              <w:bottom w:val="single" w:color="auto" w:sz="4" w:space="0"/>
              <w:right w:val="single" w:color="auto" w:sz="4" w:space="0"/>
            </w:tcBorders>
            <w:vAlign w:val="center"/>
          </w:tcPr>
          <w:p w14:paraId="250CD47F">
            <w:pPr>
              <w:snapToGrid w:val="0"/>
              <w:spacing w:before="50" w:after="50" w:line="360" w:lineRule="auto"/>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合计金额大写：人民币</w:t>
            </w:r>
            <w:r>
              <w:rPr>
                <w:rFonts w:hint="eastAsia" w:ascii="宋体" w:hAnsi="宋体" w:eastAsia="宋体" w:cs="仿宋_GB2312"/>
                <w:color w:val="auto"/>
                <w:sz w:val="24"/>
                <w:szCs w:val="24"/>
                <w:highlight w:val="none"/>
                <w:u w:val="single"/>
              </w:rPr>
              <w:t xml:space="preserve">           </w:t>
            </w:r>
            <w:r>
              <w:rPr>
                <w:rFonts w:hint="eastAsia" w:ascii="宋体" w:hAnsi="宋体" w:eastAsia="宋体" w:cs="仿宋_GB2312"/>
                <w:color w:val="auto"/>
                <w:sz w:val="24"/>
                <w:szCs w:val="24"/>
                <w:highlight w:val="none"/>
              </w:rPr>
              <w:t>（￥</w:t>
            </w:r>
            <w:r>
              <w:rPr>
                <w:rFonts w:hint="eastAsia" w:ascii="宋体" w:hAnsi="宋体" w:eastAsia="宋体" w:cs="仿宋_GB2312"/>
                <w:color w:val="auto"/>
                <w:sz w:val="24"/>
                <w:szCs w:val="24"/>
                <w:highlight w:val="none"/>
                <w:u w:val="single"/>
              </w:rPr>
              <w:t xml:space="preserve">           </w:t>
            </w:r>
            <w:r>
              <w:rPr>
                <w:rFonts w:hint="eastAsia" w:ascii="宋体" w:hAnsi="宋体" w:eastAsia="宋体" w:cs="仿宋_GB2312"/>
                <w:color w:val="auto"/>
                <w:sz w:val="24"/>
                <w:szCs w:val="24"/>
                <w:highlight w:val="none"/>
              </w:rPr>
              <w:t>）</w:t>
            </w:r>
          </w:p>
        </w:tc>
      </w:tr>
      <w:tr w14:paraId="478E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7" w:hRule="atLeast"/>
          <w:jc w:val="right"/>
        </w:trPr>
        <w:tc>
          <w:tcPr>
            <w:tcW w:w="9520" w:type="dxa"/>
            <w:gridSpan w:val="6"/>
            <w:tcBorders>
              <w:top w:val="single" w:color="auto" w:sz="4" w:space="0"/>
              <w:left w:val="single" w:color="auto" w:sz="4" w:space="0"/>
              <w:bottom w:val="single" w:color="auto" w:sz="4" w:space="0"/>
              <w:right w:val="single" w:color="auto" w:sz="4" w:space="0"/>
            </w:tcBorders>
            <w:vAlign w:val="center"/>
          </w:tcPr>
          <w:p w14:paraId="63F2672A">
            <w:pPr>
              <w:snapToGrid w:val="0"/>
              <w:spacing w:before="50" w:after="50" w:line="360" w:lineRule="auto"/>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交货期：</w:t>
            </w:r>
          </w:p>
        </w:tc>
      </w:tr>
    </w:tbl>
    <w:p w14:paraId="6304984E">
      <w:pPr>
        <w:snapToGrid w:val="0"/>
        <w:spacing w:before="50" w:after="50"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注: </w:t>
      </w:r>
    </w:p>
    <w:p w14:paraId="4EA8A38F">
      <w:pPr>
        <w:snapToGrid w:val="0"/>
        <w:spacing w:before="50" w:after="50" w:line="360" w:lineRule="auto"/>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1.投标人的开标一览表必须加盖投标人公章并由</w:t>
      </w:r>
      <w:r>
        <w:rPr>
          <w:rFonts w:ascii="宋体" w:hAnsi="宋体" w:eastAsia="宋体" w:cs="Times New Roman"/>
          <w:color w:val="auto"/>
          <w:sz w:val="24"/>
          <w:szCs w:val="24"/>
          <w:highlight w:val="none"/>
        </w:rPr>
        <w:t>法定代表人或者委托代理人</w:t>
      </w:r>
      <w:r>
        <w:rPr>
          <w:rFonts w:hint="eastAsia" w:ascii="宋体" w:hAnsi="宋体" w:eastAsia="宋体" w:cs="Times New Roman"/>
          <w:color w:val="auto"/>
          <w:sz w:val="24"/>
          <w:szCs w:val="24"/>
          <w:highlight w:val="none"/>
        </w:rPr>
        <w:t>签字，</w:t>
      </w:r>
      <w:r>
        <w:rPr>
          <w:rFonts w:hint="eastAsia" w:ascii="宋体" w:hAnsi="宋体" w:eastAsia="宋体" w:cs="Times New Roman"/>
          <w:b/>
          <w:color w:val="auto"/>
          <w:sz w:val="24"/>
          <w:szCs w:val="24"/>
          <w:highlight w:val="none"/>
        </w:rPr>
        <w:t>否则其投标作无效标处理</w:t>
      </w:r>
      <w:r>
        <w:rPr>
          <w:rFonts w:hint="eastAsia" w:ascii="宋体" w:hAnsi="宋体" w:eastAsia="宋体" w:cs="Times New Roman"/>
          <w:color w:val="auto"/>
          <w:sz w:val="24"/>
          <w:szCs w:val="24"/>
          <w:highlight w:val="none"/>
        </w:rPr>
        <w:t>。</w:t>
      </w:r>
    </w:p>
    <w:p w14:paraId="3EE9AF7F">
      <w:pPr>
        <w:snapToGrid w:val="0"/>
        <w:spacing w:before="50" w:after="50" w:line="360" w:lineRule="auto"/>
        <w:ind w:firstLine="480" w:firstLineChars="200"/>
        <w:jc w:val="left"/>
        <w:rPr>
          <w:rFonts w:ascii="宋体" w:hAnsi="宋体" w:eastAsia="宋体" w:cs="Times New Roman"/>
          <w:b/>
          <w:color w:val="auto"/>
          <w:sz w:val="24"/>
          <w:szCs w:val="24"/>
          <w:highlight w:val="none"/>
        </w:rPr>
      </w:pPr>
      <w:r>
        <w:rPr>
          <w:rFonts w:hint="eastAsia" w:ascii="宋体" w:hAnsi="宋体" w:eastAsia="宋体" w:cs="Times New Roman"/>
          <w:bCs/>
          <w:color w:val="auto"/>
          <w:sz w:val="24"/>
          <w:szCs w:val="24"/>
          <w:highlight w:val="none"/>
        </w:rPr>
        <w:t>2.</w:t>
      </w:r>
      <w:r>
        <w:rPr>
          <w:rFonts w:hint="eastAsia" w:ascii="宋体" w:hAnsi="宋体" w:eastAsia="宋体" w:cs="Times New Roman"/>
          <w:color w:val="auto"/>
          <w:sz w:val="24"/>
          <w:szCs w:val="24"/>
          <w:highlight w:val="none"/>
        </w:rPr>
        <w:t>报价一经涂改，应在涂改处加盖投标人公章或者由法定代表人或者委托代理人签字或者盖章</w:t>
      </w:r>
      <w:r>
        <w:rPr>
          <w:rFonts w:hint="eastAsia" w:ascii="宋体" w:hAnsi="宋体" w:eastAsia="宋体" w:cs="Times New Roman"/>
          <w:b/>
          <w:color w:val="auto"/>
          <w:sz w:val="24"/>
          <w:szCs w:val="24"/>
          <w:highlight w:val="none"/>
        </w:rPr>
        <w:t>，否则其投标作无效标处理。</w:t>
      </w:r>
    </w:p>
    <w:p w14:paraId="73B82722">
      <w:pPr>
        <w:snapToGrid w:val="0"/>
        <w:spacing w:before="50" w:after="50" w:line="360" w:lineRule="auto"/>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 投标报价包括项目实施所需的人工费、服务费、购买及制作标书费、税费及其他一切费用。</w:t>
      </w:r>
    </w:p>
    <w:p w14:paraId="3BA9EF6C">
      <w:pPr>
        <w:snapToGrid w:val="0"/>
        <w:spacing w:before="50" w:after="50" w:line="360" w:lineRule="auto"/>
        <w:ind w:left="-2" w:leftChars="-1" w:right="-817" w:rightChars="-389"/>
        <w:rPr>
          <w:rFonts w:ascii="宋体" w:hAnsi="宋体" w:eastAsia="宋体" w:cs="Times New Roman"/>
          <w:color w:val="auto"/>
          <w:sz w:val="24"/>
          <w:szCs w:val="24"/>
          <w:highlight w:val="none"/>
        </w:rPr>
      </w:pPr>
    </w:p>
    <w:p w14:paraId="586189DC">
      <w:pPr>
        <w:snapToGrid w:val="0"/>
        <w:spacing w:before="50" w:after="50" w:line="360" w:lineRule="auto"/>
        <w:ind w:left="-2" w:leftChars="-1" w:right="-817" w:rightChars="-38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法定代表人或者委托代理人（签字）：                    </w:t>
      </w:r>
    </w:p>
    <w:p w14:paraId="3EE8A9D1">
      <w:pPr>
        <w:snapToGrid w:val="0"/>
        <w:spacing w:before="50" w:after="50" w:line="360" w:lineRule="auto"/>
        <w:ind w:left="-3" w:leftChars="-72" w:right="-817" w:rightChars="-389" w:hanging="148" w:hangingChars="62"/>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p>
    <w:p w14:paraId="2D63EF8A">
      <w:pPr>
        <w:snapToGrid w:val="0"/>
        <w:spacing w:before="50" w:after="50" w:line="360" w:lineRule="auto"/>
        <w:ind w:left="-3" w:leftChars="-15" w:right="-817" w:rightChars="-389" w:hanging="28" w:hangingChars="12"/>
        <w:rPr>
          <w:rFonts w:ascii="宋体" w:hAnsi="宋体" w:eastAsia="宋体" w:cs="Times New Roman"/>
          <w:color w:val="auto"/>
          <w:szCs w:val="21"/>
          <w:highlight w:val="none"/>
        </w:rPr>
      </w:pPr>
      <w:r>
        <w:rPr>
          <w:rFonts w:hint="eastAsia" w:ascii="宋体" w:hAnsi="宋体" w:eastAsia="宋体" w:cs="Times New Roman"/>
          <w:color w:val="auto"/>
          <w:sz w:val="24"/>
          <w:szCs w:val="24"/>
          <w:highlight w:val="none"/>
        </w:rPr>
        <w:t>投标人（盖公章）：                                 日期：    年   月   日</w:t>
      </w:r>
    </w:p>
    <w:p w14:paraId="13EC7ECC">
      <w:pPr>
        <w:rPr>
          <w:rFonts w:ascii="宋体" w:hAnsi="宋体" w:eastAsia="宋体" w:cs="Times New Roman"/>
          <w:b/>
          <w:bCs/>
          <w:color w:val="auto"/>
          <w:sz w:val="24"/>
          <w:szCs w:val="24"/>
          <w:highlight w:val="none"/>
        </w:rPr>
      </w:pPr>
    </w:p>
    <w:p w14:paraId="7365C29A">
      <w:pPr>
        <w:snapToGrid w:val="0"/>
        <w:spacing w:before="120" w:beforeLines="50" w:after="50" w:line="360" w:lineRule="exact"/>
        <w:rPr>
          <w:rFonts w:ascii="宋体" w:hAnsi="宋体" w:eastAsia="宋体" w:cs="Times New Roman"/>
          <w:b/>
          <w:color w:val="auto"/>
          <w:sz w:val="24"/>
          <w:szCs w:val="24"/>
          <w:highlight w:val="none"/>
        </w:rPr>
      </w:pPr>
      <w:r>
        <w:rPr>
          <w:rFonts w:ascii="宋体" w:hAnsi="宋体" w:eastAsia="宋体" w:cs="Times New Roman"/>
          <w:b/>
          <w:bCs/>
          <w:color w:val="auto"/>
          <w:sz w:val="24"/>
          <w:szCs w:val="24"/>
          <w:highlight w:val="none"/>
        </w:rPr>
        <w:br w:type="page"/>
      </w:r>
      <w:r>
        <w:rPr>
          <w:rFonts w:hint="eastAsia" w:ascii="宋体" w:hAnsi="宋体" w:eastAsia="宋体" w:cs="Times New Roman"/>
          <w:b/>
          <w:bCs/>
          <w:color w:val="auto"/>
          <w:sz w:val="24"/>
          <w:szCs w:val="24"/>
          <w:highlight w:val="none"/>
        </w:rPr>
        <w:t>5.</w:t>
      </w:r>
      <w:r>
        <w:rPr>
          <w:rFonts w:hint="eastAsia" w:ascii="宋体" w:hAnsi="宋体" w:eastAsia="宋体" w:cs="Times New Roman"/>
          <w:b/>
          <w:color w:val="auto"/>
          <w:sz w:val="24"/>
          <w:szCs w:val="24"/>
          <w:highlight w:val="none"/>
        </w:rPr>
        <w:t>投标报价明细表格式</w:t>
      </w:r>
    </w:p>
    <w:p w14:paraId="58CDD868">
      <w:pPr>
        <w:snapToGrid w:val="0"/>
        <w:spacing w:before="295" w:after="295" w:line="360" w:lineRule="exact"/>
        <w:ind w:firstLine="120" w:firstLineChars="50"/>
        <w:rPr>
          <w:rFonts w:ascii="宋体" w:hAnsi="宋体" w:eastAsia="宋体" w:cs="Courier New"/>
          <w:color w:val="auto"/>
          <w:sz w:val="24"/>
          <w:szCs w:val="24"/>
          <w:highlight w:val="none"/>
        </w:rPr>
      </w:pPr>
      <w:r>
        <w:rPr>
          <w:rFonts w:hint="eastAsia" w:ascii="宋体" w:hAnsi="宋体" w:eastAsia="宋体" w:cs="Courier New"/>
          <w:color w:val="auto"/>
          <w:sz w:val="24"/>
          <w:szCs w:val="24"/>
          <w:highlight w:val="none"/>
        </w:rPr>
        <w:t xml:space="preserve">                                                金额单位：人民币（元）</w:t>
      </w:r>
    </w:p>
    <w:tbl>
      <w:tblPr>
        <w:tblStyle w:val="37"/>
        <w:tblW w:w="0" w:type="auto"/>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260"/>
        <w:gridCol w:w="1260"/>
        <w:gridCol w:w="1080"/>
        <w:gridCol w:w="1080"/>
        <w:gridCol w:w="1620"/>
        <w:gridCol w:w="900"/>
        <w:gridCol w:w="1620"/>
      </w:tblGrid>
      <w:tr w14:paraId="7FE878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left w:val="single" w:color="auto" w:sz="4" w:space="0"/>
              <w:bottom w:val="single" w:color="auto" w:sz="4" w:space="0"/>
              <w:right w:val="single" w:color="auto" w:sz="4" w:space="0"/>
            </w:tcBorders>
            <w:vAlign w:val="center"/>
          </w:tcPr>
          <w:p w14:paraId="2E773180">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r>
              <w:rPr>
                <w:rFonts w:hint="eastAsia" w:ascii="宋体" w:hAnsi="宋体" w:eastAsia="宋体" w:cs="Times New Roman"/>
                <w:color w:val="auto"/>
                <w:sz w:val="24"/>
                <w:szCs w:val="24"/>
                <w:highlight w:val="none"/>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78D975E1">
            <w:pPr>
              <w:tabs>
                <w:tab w:val="left" w:pos="1418"/>
              </w:tabs>
              <w:snapToGrid w:val="0"/>
              <w:spacing w:before="50" w:after="50" w:line="3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设备名称</w:t>
            </w:r>
          </w:p>
        </w:tc>
        <w:tc>
          <w:tcPr>
            <w:tcW w:w="1260" w:type="dxa"/>
            <w:tcBorders>
              <w:top w:val="single" w:color="auto" w:sz="4" w:space="0"/>
              <w:left w:val="single" w:color="auto" w:sz="4" w:space="0"/>
              <w:bottom w:val="single" w:color="auto" w:sz="4" w:space="0"/>
              <w:right w:val="single" w:color="auto" w:sz="4" w:space="0"/>
            </w:tcBorders>
            <w:vAlign w:val="center"/>
          </w:tcPr>
          <w:p w14:paraId="3EA9FB6A">
            <w:pPr>
              <w:snapToGrid w:val="0"/>
              <w:spacing w:before="50" w:after="50" w:line="360" w:lineRule="exact"/>
              <w:jc w:val="center"/>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品牌</w:t>
            </w:r>
          </w:p>
        </w:tc>
        <w:tc>
          <w:tcPr>
            <w:tcW w:w="1080" w:type="dxa"/>
            <w:tcBorders>
              <w:top w:val="single" w:color="auto" w:sz="4" w:space="0"/>
              <w:left w:val="single" w:color="auto" w:sz="4" w:space="0"/>
              <w:bottom w:val="single" w:color="auto" w:sz="4" w:space="0"/>
              <w:right w:val="single" w:color="auto" w:sz="4" w:space="0"/>
            </w:tcBorders>
            <w:vAlign w:val="center"/>
          </w:tcPr>
          <w:p w14:paraId="1CDE7A6E">
            <w:pPr>
              <w:tabs>
                <w:tab w:val="left" w:pos="1418"/>
              </w:tabs>
              <w:snapToGrid w:val="0"/>
              <w:spacing w:before="50" w:after="50" w:line="2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规格型号</w:t>
            </w:r>
          </w:p>
        </w:tc>
        <w:tc>
          <w:tcPr>
            <w:tcW w:w="1080" w:type="dxa"/>
            <w:tcBorders>
              <w:top w:val="single" w:color="auto" w:sz="4" w:space="0"/>
              <w:left w:val="single" w:color="auto" w:sz="4" w:space="0"/>
              <w:bottom w:val="single" w:color="auto" w:sz="4" w:space="0"/>
              <w:right w:val="single" w:color="auto" w:sz="4" w:space="0"/>
            </w:tcBorders>
            <w:vAlign w:val="center"/>
          </w:tcPr>
          <w:p w14:paraId="13AF099E">
            <w:pPr>
              <w:tabs>
                <w:tab w:val="left" w:pos="1418"/>
              </w:tabs>
              <w:snapToGrid w:val="0"/>
              <w:spacing w:before="50" w:after="50" w:line="2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生产厂家</w:t>
            </w:r>
          </w:p>
        </w:tc>
        <w:tc>
          <w:tcPr>
            <w:tcW w:w="1620" w:type="dxa"/>
            <w:tcBorders>
              <w:top w:val="single" w:color="auto" w:sz="4" w:space="0"/>
              <w:left w:val="single" w:color="auto" w:sz="4" w:space="0"/>
              <w:bottom w:val="single" w:color="auto" w:sz="4" w:space="0"/>
              <w:right w:val="single" w:color="auto" w:sz="4" w:space="0"/>
            </w:tcBorders>
            <w:vAlign w:val="center"/>
          </w:tcPr>
          <w:p w14:paraId="3496B57A">
            <w:pPr>
              <w:tabs>
                <w:tab w:val="left" w:pos="1418"/>
              </w:tabs>
              <w:snapToGrid w:val="0"/>
              <w:spacing w:before="50" w:after="50" w:line="3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单位及数量</w:t>
            </w:r>
          </w:p>
        </w:tc>
        <w:tc>
          <w:tcPr>
            <w:tcW w:w="900" w:type="dxa"/>
            <w:tcBorders>
              <w:top w:val="single" w:color="auto" w:sz="4" w:space="0"/>
              <w:left w:val="single" w:color="auto" w:sz="4" w:space="0"/>
              <w:bottom w:val="single" w:color="auto" w:sz="4" w:space="0"/>
              <w:right w:val="single" w:color="auto" w:sz="4" w:space="0"/>
            </w:tcBorders>
            <w:vAlign w:val="center"/>
          </w:tcPr>
          <w:p w14:paraId="5D0565DE">
            <w:pPr>
              <w:tabs>
                <w:tab w:val="left" w:pos="1418"/>
              </w:tabs>
              <w:snapToGrid w:val="0"/>
              <w:spacing w:before="50" w:after="50" w:line="3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单价</w:t>
            </w:r>
          </w:p>
        </w:tc>
        <w:tc>
          <w:tcPr>
            <w:tcW w:w="1620" w:type="dxa"/>
            <w:tcBorders>
              <w:top w:val="single" w:color="auto" w:sz="4" w:space="0"/>
              <w:left w:val="single" w:color="auto" w:sz="4" w:space="0"/>
              <w:bottom w:val="single" w:color="auto" w:sz="4" w:space="0"/>
              <w:right w:val="single" w:color="auto" w:sz="4" w:space="0"/>
            </w:tcBorders>
            <w:vAlign w:val="center"/>
          </w:tcPr>
          <w:p w14:paraId="0754D219">
            <w:pPr>
              <w:tabs>
                <w:tab w:val="left" w:pos="1418"/>
              </w:tabs>
              <w:snapToGrid w:val="0"/>
              <w:spacing w:before="50" w:after="50" w:line="3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金额</w:t>
            </w:r>
          </w:p>
        </w:tc>
      </w:tr>
      <w:tr w14:paraId="5354B8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00" w:type="dxa"/>
            <w:tcBorders>
              <w:top w:val="single" w:color="auto" w:sz="4" w:space="0"/>
              <w:left w:val="single" w:color="auto" w:sz="4" w:space="0"/>
              <w:bottom w:val="single" w:color="auto" w:sz="4" w:space="0"/>
              <w:right w:val="single" w:color="auto" w:sz="4" w:space="0"/>
            </w:tcBorders>
          </w:tcPr>
          <w:p w14:paraId="4FC2FC0A">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44F8B207">
            <w:pPr>
              <w:snapToGrid w:val="0"/>
              <w:spacing w:before="50" w:after="50" w:line="360" w:lineRule="exact"/>
              <w:jc w:val="left"/>
              <w:rPr>
                <w:rFonts w:ascii="宋体" w:hAnsi="宋体" w:eastAsia="宋体" w:cs="Times New Roman"/>
                <w:bCs/>
                <w:color w:val="auto"/>
                <w:sz w:val="24"/>
                <w:szCs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26FC0F36">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tcPr>
          <w:p w14:paraId="564C1F27">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tcPr>
          <w:p w14:paraId="16B6DD3E">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620" w:type="dxa"/>
            <w:tcBorders>
              <w:top w:val="single" w:color="auto" w:sz="4" w:space="0"/>
              <w:left w:val="single" w:color="auto" w:sz="4" w:space="0"/>
              <w:bottom w:val="single" w:color="auto" w:sz="4" w:space="0"/>
              <w:right w:val="single" w:color="auto" w:sz="4" w:space="0"/>
            </w:tcBorders>
          </w:tcPr>
          <w:p w14:paraId="78A0DA4B">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900" w:type="dxa"/>
            <w:tcBorders>
              <w:top w:val="single" w:color="auto" w:sz="4" w:space="0"/>
              <w:left w:val="single" w:color="auto" w:sz="4" w:space="0"/>
              <w:bottom w:val="single" w:color="auto" w:sz="4" w:space="0"/>
              <w:right w:val="single" w:color="auto" w:sz="4" w:space="0"/>
            </w:tcBorders>
          </w:tcPr>
          <w:p w14:paraId="46C52230">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620" w:type="dxa"/>
            <w:tcBorders>
              <w:top w:val="single" w:color="auto" w:sz="4" w:space="0"/>
              <w:left w:val="single" w:color="auto" w:sz="4" w:space="0"/>
              <w:bottom w:val="single" w:color="auto" w:sz="4" w:space="0"/>
              <w:right w:val="single" w:color="auto" w:sz="4" w:space="0"/>
            </w:tcBorders>
          </w:tcPr>
          <w:p w14:paraId="4985BF93">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r>
      <w:tr w14:paraId="08C31C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00" w:type="dxa"/>
            <w:tcBorders>
              <w:top w:val="single" w:color="auto" w:sz="4" w:space="0"/>
              <w:left w:val="single" w:color="auto" w:sz="4" w:space="0"/>
              <w:bottom w:val="single" w:color="auto" w:sz="4" w:space="0"/>
              <w:right w:val="single" w:color="auto" w:sz="4" w:space="0"/>
            </w:tcBorders>
          </w:tcPr>
          <w:p w14:paraId="7C174ADD">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434EEA88">
            <w:pPr>
              <w:snapToGrid w:val="0"/>
              <w:spacing w:before="50" w:after="50" w:line="360" w:lineRule="exact"/>
              <w:jc w:val="left"/>
              <w:rPr>
                <w:rFonts w:ascii="宋体" w:hAnsi="宋体" w:eastAsia="宋体" w:cs="Times New Roman"/>
                <w:bCs/>
                <w:color w:val="auto"/>
                <w:sz w:val="24"/>
                <w:szCs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26B68E6B">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tcPr>
          <w:p w14:paraId="631F4F3F">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tcPr>
          <w:p w14:paraId="33B2D9D6">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620" w:type="dxa"/>
            <w:tcBorders>
              <w:top w:val="single" w:color="auto" w:sz="4" w:space="0"/>
              <w:left w:val="single" w:color="auto" w:sz="4" w:space="0"/>
              <w:bottom w:val="single" w:color="auto" w:sz="4" w:space="0"/>
              <w:right w:val="single" w:color="auto" w:sz="4" w:space="0"/>
            </w:tcBorders>
          </w:tcPr>
          <w:p w14:paraId="186FF04F">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900" w:type="dxa"/>
            <w:tcBorders>
              <w:top w:val="single" w:color="auto" w:sz="4" w:space="0"/>
              <w:left w:val="single" w:color="auto" w:sz="4" w:space="0"/>
              <w:bottom w:val="single" w:color="auto" w:sz="4" w:space="0"/>
              <w:right w:val="single" w:color="auto" w:sz="4" w:space="0"/>
            </w:tcBorders>
          </w:tcPr>
          <w:p w14:paraId="39794B7B">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620" w:type="dxa"/>
            <w:tcBorders>
              <w:top w:val="single" w:color="auto" w:sz="4" w:space="0"/>
              <w:left w:val="single" w:color="auto" w:sz="4" w:space="0"/>
              <w:bottom w:val="single" w:color="auto" w:sz="4" w:space="0"/>
              <w:right w:val="single" w:color="auto" w:sz="4" w:space="0"/>
            </w:tcBorders>
          </w:tcPr>
          <w:p w14:paraId="79D1E49C">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r>
      <w:tr w14:paraId="062BCD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00" w:type="dxa"/>
            <w:tcBorders>
              <w:top w:val="single" w:color="auto" w:sz="4" w:space="0"/>
              <w:left w:val="single" w:color="auto" w:sz="4" w:space="0"/>
              <w:bottom w:val="single" w:color="auto" w:sz="4" w:space="0"/>
              <w:right w:val="single" w:color="auto" w:sz="4" w:space="0"/>
            </w:tcBorders>
          </w:tcPr>
          <w:p w14:paraId="19AC3911">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5A6B2974">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r>
              <w:rPr>
                <w:rFonts w:hint="eastAsia" w:ascii="宋体" w:hAnsi="宋体" w:eastAsia="宋体" w:cs="Times New Roman"/>
                <w:color w:val="auto"/>
                <w:spacing w:val="20"/>
                <w:sz w:val="24"/>
                <w:szCs w:val="24"/>
                <w:highlight w:val="none"/>
              </w:rPr>
              <w:t>……</w:t>
            </w:r>
          </w:p>
        </w:tc>
        <w:tc>
          <w:tcPr>
            <w:tcW w:w="1260" w:type="dxa"/>
            <w:tcBorders>
              <w:top w:val="single" w:color="auto" w:sz="4" w:space="0"/>
              <w:left w:val="single" w:color="auto" w:sz="4" w:space="0"/>
              <w:bottom w:val="single" w:color="auto" w:sz="4" w:space="0"/>
              <w:right w:val="single" w:color="auto" w:sz="4" w:space="0"/>
            </w:tcBorders>
          </w:tcPr>
          <w:p w14:paraId="6BE4048C">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tcPr>
          <w:p w14:paraId="3A79C58F">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tcPr>
          <w:p w14:paraId="6A8A970C">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620" w:type="dxa"/>
            <w:tcBorders>
              <w:top w:val="single" w:color="auto" w:sz="4" w:space="0"/>
              <w:left w:val="single" w:color="auto" w:sz="4" w:space="0"/>
              <w:bottom w:val="single" w:color="auto" w:sz="4" w:space="0"/>
              <w:right w:val="single" w:color="auto" w:sz="4" w:space="0"/>
            </w:tcBorders>
          </w:tcPr>
          <w:p w14:paraId="2BDDBC4E">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900" w:type="dxa"/>
            <w:tcBorders>
              <w:top w:val="single" w:color="auto" w:sz="4" w:space="0"/>
              <w:left w:val="single" w:color="auto" w:sz="4" w:space="0"/>
              <w:bottom w:val="single" w:color="auto" w:sz="4" w:space="0"/>
              <w:right w:val="single" w:color="auto" w:sz="4" w:space="0"/>
            </w:tcBorders>
          </w:tcPr>
          <w:p w14:paraId="33831E88">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c>
          <w:tcPr>
            <w:tcW w:w="1620" w:type="dxa"/>
            <w:tcBorders>
              <w:top w:val="single" w:color="auto" w:sz="4" w:space="0"/>
              <w:left w:val="single" w:color="auto" w:sz="4" w:space="0"/>
              <w:bottom w:val="single" w:color="auto" w:sz="4" w:space="0"/>
              <w:right w:val="single" w:color="auto" w:sz="4" w:space="0"/>
            </w:tcBorders>
          </w:tcPr>
          <w:p w14:paraId="38A9D489">
            <w:pPr>
              <w:tabs>
                <w:tab w:val="left" w:pos="1418"/>
              </w:tabs>
              <w:snapToGrid w:val="0"/>
              <w:spacing w:before="50" w:after="50" w:line="360" w:lineRule="exact"/>
              <w:jc w:val="center"/>
              <w:rPr>
                <w:rFonts w:ascii="宋体" w:hAnsi="宋体" w:eastAsia="宋体" w:cs="Times New Roman"/>
                <w:color w:val="auto"/>
                <w:spacing w:val="20"/>
                <w:sz w:val="24"/>
                <w:szCs w:val="24"/>
                <w:highlight w:val="none"/>
              </w:rPr>
            </w:pPr>
          </w:p>
        </w:tc>
      </w:tr>
      <w:tr w14:paraId="1E7743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100" w:type="dxa"/>
            <w:gridSpan w:val="7"/>
            <w:tcBorders>
              <w:top w:val="single" w:color="auto" w:sz="4" w:space="0"/>
              <w:left w:val="single" w:color="auto" w:sz="4" w:space="0"/>
              <w:bottom w:val="single" w:color="auto" w:sz="4" w:space="0"/>
              <w:right w:val="single" w:color="auto" w:sz="4" w:space="0"/>
            </w:tcBorders>
          </w:tcPr>
          <w:p w14:paraId="335E3AB5">
            <w:pPr>
              <w:tabs>
                <w:tab w:val="left" w:pos="1418"/>
              </w:tabs>
              <w:snapToGrid w:val="0"/>
              <w:spacing w:before="50" w:after="50" w:line="360" w:lineRule="exact"/>
              <w:rPr>
                <w:rFonts w:ascii="宋体" w:hAnsi="宋体" w:eastAsia="宋体" w:cs="Times New Roman"/>
                <w:color w:val="auto"/>
                <w:spacing w:val="20"/>
                <w:sz w:val="24"/>
                <w:szCs w:val="24"/>
                <w:highlight w:val="none"/>
              </w:rPr>
            </w:pPr>
            <w:r>
              <w:rPr>
                <w:rFonts w:hint="eastAsia" w:ascii="Times New Roman" w:hAnsi="宋体" w:eastAsia="宋体" w:cs="Times New Roman"/>
                <w:color w:val="auto"/>
                <w:sz w:val="24"/>
                <w:szCs w:val="24"/>
                <w:highlight w:val="none"/>
              </w:rPr>
              <w:t>本项目</w:t>
            </w:r>
            <w:r>
              <w:rPr>
                <w:rFonts w:hint="eastAsia" w:ascii="宋体" w:hAnsi="宋体" w:eastAsia="宋体" w:cs="Times New Roman"/>
                <w:color w:val="auto"/>
                <w:sz w:val="24"/>
                <w:szCs w:val="24"/>
                <w:highlight w:val="none"/>
              </w:rPr>
              <w:t xml:space="preserve">合计金额大写：                                             </w:t>
            </w:r>
          </w:p>
        </w:tc>
        <w:tc>
          <w:tcPr>
            <w:tcW w:w="1620" w:type="dxa"/>
            <w:tcBorders>
              <w:top w:val="single" w:color="auto" w:sz="4" w:space="0"/>
              <w:left w:val="single" w:color="auto" w:sz="4" w:space="0"/>
              <w:bottom w:val="single" w:color="auto" w:sz="4" w:space="0"/>
              <w:right w:val="single" w:color="auto" w:sz="4" w:space="0"/>
            </w:tcBorders>
          </w:tcPr>
          <w:p w14:paraId="2E7367CD">
            <w:pPr>
              <w:tabs>
                <w:tab w:val="left" w:pos="1418"/>
              </w:tabs>
              <w:snapToGrid w:val="0"/>
              <w:spacing w:before="50" w:after="50" w:line="360" w:lineRule="exact"/>
              <w:rPr>
                <w:rFonts w:ascii="宋体" w:hAnsi="宋体" w:eastAsia="宋体" w:cs="Times New Roman"/>
                <w:color w:val="auto"/>
                <w:spacing w:val="20"/>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p>
        </w:tc>
      </w:tr>
    </w:tbl>
    <w:p w14:paraId="583F6701">
      <w:pPr>
        <w:tabs>
          <w:tab w:val="left" w:pos="1418"/>
        </w:tabs>
        <w:snapToGrid w:val="0"/>
        <w:spacing w:before="50" w:after="50" w:line="360" w:lineRule="exact"/>
        <w:ind w:left="1418" w:hanging="567"/>
        <w:jc w:val="center"/>
        <w:rPr>
          <w:rFonts w:ascii="宋体" w:hAnsi="宋体" w:eastAsia="宋体" w:cs="Times New Roman"/>
          <w:color w:val="auto"/>
          <w:spacing w:val="20"/>
          <w:sz w:val="24"/>
          <w:szCs w:val="24"/>
          <w:highlight w:val="none"/>
          <w:u w:val="single"/>
        </w:rPr>
      </w:pPr>
    </w:p>
    <w:p w14:paraId="3E036BDF">
      <w:pPr>
        <w:tabs>
          <w:tab w:val="left" w:pos="1418"/>
        </w:tabs>
        <w:snapToGrid w:val="0"/>
        <w:spacing w:before="50" w:after="50" w:line="360" w:lineRule="exact"/>
        <w:ind w:left="1418" w:hanging="567"/>
        <w:jc w:val="center"/>
        <w:rPr>
          <w:rFonts w:ascii="宋体" w:hAnsi="宋体" w:eastAsia="宋体" w:cs="Times New Roman"/>
          <w:color w:val="auto"/>
          <w:spacing w:val="20"/>
          <w:sz w:val="24"/>
          <w:szCs w:val="24"/>
          <w:highlight w:val="none"/>
          <w:u w:val="single"/>
        </w:rPr>
      </w:pPr>
    </w:p>
    <w:p w14:paraId="584501E1">
      <w:pPr>
        <w:tabs>
          <w:tab w:val="left" w:pos="1418"/>
        </w:tabs>
        <w:snapToGrid w:val="0"/>
        <w:spacing w:before="50" w:after="50" w:line="360" w:lineRule="exact"/>
        <w:ind w:left="1418" w:hanging="567"/>
        <w:jc w:val="center"/>
        <w:rPr>
          <w:rFonts w:ascii="宋体" w:hAnsi="宋体" w:eastAsia="宋体" w:cs="Times New Roman"/>
          <w:color w:val="auto"/>
          <w:spacing w:val="20"/>
          <w:sz w:val="24"/>
          <w:szCs w:val="24"/>
          <w:highlight w:val="none"/>
          <w:u w:val="single"/>
        </w:rPr>
      </w:pPr>
    </w:p>
    <w:p w14:paraId="138BA748">
      <w:pPr>
        <w:snapToGrid w:val="0"/>
        <w:spacing w:before="50" w:after="50" w:line="360" w:lineRule="exact"/>
        <w:rPr>
          <w:rFonts w:ascii="宋体" w:hAnsi="宋体" w:eastAsia="宋体" w:cs="Times New Roman"/>
          <w:color w:val="auto"/>
          <w:spacing w:val="20"/>
          <w:sz w:val="24"/>
          <w:szCs w:val="24"/>
          <w:highlight w:val="none"/>
          <w:u w:val="single"/>
        </w:rPr>
      </w:pPr>
      <w:r>
        <w:rPr>
          <w:rFonts w:hint="eastAsia" w:ascii="宋体" w:hAnsi="宋体" w:eastAsia="宋体" w:cs="Times New Roman"/>
          <w:color w:val="auto"/>
          <w:sz w:val="24"/>
          <w:szCs w:val="24"/>
          <w:highlight w:val="none"/>
        </w:rPr>
        <w:t>法定代表人或委托代理人（签字）</w:t>
      </w:r>
      <w:r>
        <w:rPr>
          <w:rFonts w:hint="eastAsia" w:ascii="宋体" w:hAnsi="宋体" w:eastAsia="宋体" w:cs="Times New Roman"/>
          <w:color w:val="auto"/>
          <w:spacing w:val="20"/>
          <w:sz w:val="24"/>
          <w:szCs w:val="24"/>
          <w:highlight w:val="none"/>
        </w:rPr>
        <w:t>：</w:t>
      </w:r>
      <w:r>
        <w:rPr>
          <w:rFonts w:hint="eastAsia" w:ascii="宋体" w:hAnsi="宋体" w:eastAsia="宋体" w:cs="Times New Roman"/>
          <w:color w:val="auto"/>
          <w:spacing w:val="20"/>
          <w:sz w:val="24"/>
          <w:szCs w:val="24"/>
          <w:highlight w:val="none"/>
          <w:u w:val="single"/>
        </w:rPr>
        <w:t xml:space="preserve">          </w:t>
      </w:r>
    </w:p>
    <w:p w14:paraId="4C926326">
      <w:pPr>
        <w:rPr>
          <w:rFonts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投标人（盖公章）：                                 日期：    年   月   日</w:t>
      </w:r>
    </w:p>
    <w:p w14:paraId="0E67F1D2">
      <w:pPr>
        <w:jc w:val="center"/>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br w:type="page"/>
      </w:r>
    </w:p>
    <w:p w14:paraId="360A90EC">
      <w:pPr>
        <w:jc w:val="center"/>
        <w:rPr>
          <w:rFonts w:ascii="宋体" w:hAnsi="宋体" w:eastAsia="宋体" w:cs="Times New Roman"/>
          <w:b/>
          <w:bCs/>
          <w:color w:val="auto"/>
          <w:sz w:val="24"/>
          <w:szCs w:val="24"/>
          <w:highlight w:val="none"/>
        </w:rPr>
      </w:pPr>
    </w:p>
    <w:p w14:paraId="1A45F7AD">
      <w:pPr>
        <w:jc w:val="center"/>
        <w:rPr>
          <w:rFonts w:ascii="宋体" w:hAnsi="宋体" w:eastAsia="宋体" w:cs="Times New Roman"/>
          <w:b/>
          <w:bCs/>
          <w:color w:val="auto"/>
          <w:sz w:val="24"/>
          <w:szCs w:val="24"/>
          <w:highlight w:val="none"/>
        </w:rPr>
      </w:pPr>
    </w:p>
    <w:p w14:paraId="78D748F6">
      <w:pPr>
        <w:rPr>
          <w:rFonts w:ascii="Times New Roman" w:hAnsi="Times New Roman" w:eastAsia="宋体" w:cs="Times New Roman"/>
          <w:b/>
          <w:color w:val="auto"/>
          <w:sz w:val="28"/>
          <w:szCs w:val="28"/>
          <w:highlight w:val="none"/>
        </w:rPr>
      </w:pPr>
      <w:bookmarkStart w:id="150" w:name="_Toc19686837"/>
      <w:r>
        <w:rPr>
          <w:rFonts w:hint="eastAsia" w:ascii="Times New Roman" w:hAnsi="Times New Roman" w:eastAsia="宋体" w:cs="Times New Roman"/>
          <w:b/>
          <w:color w:val="auto"/>
          <w:sz w:val="28"/>
          <w:szCs w:val="28"/>
          <w:highlight w:val="none"/>
        </w:rPr>
        <w:t>三、资格证明文件格式</w:t>
      </w:r>
      <w:bookmarkEnd w:id="148"/>
      <w:bookmarkEnd w:id="149"/>
      <w:bookmarkEnd w:id="150"/>
    </w:p>
    <w:p w14:paraId="2B426132">
      <w:pPr>
        <w:numPr>
          <w:ilvl w:val="2"/>
          <w:numId w:val="10"/>
        </w:numPr>
        <w:snapToGrid w:val="0"/>
        <w:spacing w:before="120" w:beforeLines="50" w:after="50" w:line="360" w:lineRule="auto"/>
        <w:jc w:val="left"/>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 xml:space="preserve">资格证明文件封面格式： </w:t>
      </w:r>
    </w:p>
    <w:p w14:paraId="4A24ED04">
      <w:pPr>
        <w:snapToGrid w:val="0"/>
        <w:spacing w:before="120" w:beforeLines="50" w:after="50"/>
        <w:rPr>
          <w:rFonts w:ascii="宋体" w:hAnsi="宋体" w:eastAsia="宋体" w:cs="Times New Roman"/>
          <w:bCs/>
          <w:color w:val="auto"/>
          <w:sz w:val="32"/>
          <w:szCs w:val="20"/>
          <w:highlight w:val="none"/>
        </w:r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bCs/>
          <w:color w:val="auto"/>
          <w:szCs w:val="24"/>
          <w:highlight w:val="none"/>
        </w:rPr>
        <w:t>正本</w:t>
      </w:r>
    </w:p>
    <w:p w14:paraId="65AC15BE">
      <w:pPr>
        <w:snapToGrid w:val="0"/>
        <w:spacing w:before="120" w:beforeLines="50" w:after="50"/>
        <w:rPr>
          <w:rFonts w:ascii="宋体" w:hAnsi="宋体" w:eastAsia="宋体" w:cs="Times New Roman"/>
          <w:color w:val="auto"/>
          <w:sz w:val="24"/>
          <w:szCs w:val="20"/>
          <w:highlight w:val="none"/>
        </w:rPr>
      </w:pPr>
    </w:p>
    <w:p w14:paraId="108E6D0E">
      <w:pPr>
        <w:snapToGrid w:val="0"/>
        <w:spacing w:before="120" w:beforeLines="50" w:after="50"/>
        <w:jc w:val="center"/>
        <w:rPr>
          <w:rFonts w:ascii="宋体" w:hAnsi="宋体" w:eastAsia="宋体" w:cs="Times New Roman"/>
          <w:b/>
          <w:color w:val="auto"/>
          <w:sz w:val="24"/>
          <w:szCs w:val="20"/>
          <w:highlight w:val="none"/>
        </w:rPr>
      </w:pPr>
      <w:r>
        <w:rPr>
          <w:rFonts w:hint="eastAsia" w:ascii="宋体" w:hAnsi="宋体" w:eastAsia="宋体" w:cs="Times New Roman"/>
          <w:b/>
          <w:color w:val="auto"/>
          <w:sz w:val="32"/>
          <w:szCs w:val="32"/>
          <w:highlight w:val="none"/>
        </w:rPr>
        <w:t>资格证明文件</w:t>
      </w:r>
    </w:p>
    <w:p w14:paraId="3BB4A2F6">
      <w:pPr>
        <w:snapToGrid w:val="0"/>
        <w:spacing w:before="120" w:beforeLines="50" w:after="50"/>
        <w:rPr>
          <w:rFonts w:ascii="宋体" w:hAnsi="宋体" w:eastAsia="宋体" w:cs="Times New Roman"/>
          <w:bCs/>
          <w:color w:val="auto"/>
          <w:sz w:val="24"/>
          <w:szCs w:val="20"/>
          <w:highlight w:val="none"/>
        </w:rPr>
      </w:pPr>
    </w:p>
    <w:p w14:paraId="2C2983B9">
      <w:pPr>
        <w:snapToGrid w:val="0"/>
        <w:spacing w:before="120" w:beforeLines="50" w:after="50"/>
        <w:rPr>
          <w:rFonts w:ascii="宋体" w:hAnsi="宋体" w:eastAsia="宋体" w:cs="Times New Roman"/>
          <w:bCs/>
          <w:color w:val="auto"/>
          <w:sz w:val="24"/>
          <w:szCs w:val="20"/>
          <w:highlight w:val="none"/>
        </w:rPr>
      </w:pPr>
    </w:p>
    <w:p w14:paraId="7372FA25">
      <w:pPr>
        <w:snapToGrid w:val="0"/>
        <w:spacing w:before="120" w:beforeLines="50" w:after="50"/>
        <w:rPr>
          <w:rFonts w:ascii="宋体" w:hAnsi="宋体" w:eastAsia="宋体" w:cs="Times New Roman"/>
          <w:bCs/>
          <w:color w:val="auto"/>
          <w:sz w:val="24"/>
          <w:szCs w:val="20"/>
          <w:highlight w:val="none"/>
        </w:rPr>
      </w:pPr>
    </w:p>
    <w:p w14:paraId="51914806">
      <w:pPr>
        <w:snapToGrid w:val="0"/>
        <w:spacing w:before="120" w:beforeLines="50" w:after="50"/>
        <w:rPr>
          <w:rFonts w:ascii="宋体" w:hAnsi="宋体" w:eastAsia="宋体" w:cs="Times New Roman"/>
          <w:bCs/>
          <w:color w:val="auto"/>
          <w:sz w:val="24"/>
          <w:szCs w:val="20"/>
          <w:highlight w:val="none"/>
        </w:rPr>
      </w:pPr>
    </w:p>
    <w:p w14:paraId="01D423A3">
      <w:pPr>
        <w:snapToGrid w:val="0"/>
        <w:spacing w:before="120" w:beforeLines="50" w:after="50"/>
        <w:rPr>
          <w:rFonts w:ascii="宋体" w:hAnsi="宋体" w:eastAsia="宋体" w:cs="Times New Roman"/>
          <w:bCs/>
          <w:color w:val="auto"/>
          <w:sz w:val="24"/>
          <w:szCs w:val="20"/>
          <w:highlight w:val="none"/>
        </w:rPr>
      </w:pPr>
    </w:p>
    <w:p w14:paraId="2CF2C927">
      <w:pPr>
        <w:snapToGrid w:val="0"/>
        <w:spacing w:before="120" w:beforeLines="50" w:after="50"/>
        <w:rPr>
          <w:rFonts w:ascii="宋体" w:hAnsi="宋体" w:eastAsia="宋体" w:cs="Times New Roman"/>
          <w:bCs/>
          <w:color w:val="auto"/>
          <w:sz w:val="24"/>
          <w:szCs w:val="20"/>
          <w:highlight w:val="none"/>
        </w:rPr>
      </w:pPr>
    </w:p>
    <w:p w14:paraId="57A55A4F">
      <w:pPr>
        <w:snapToGrid w:val="0"/>
        <w:spacing w:before="120" w:beforeLines="50" w:after="50"/>
        <w:rPr>
          <w:rFonts w:ascii="宋体" w:hAnsi="宋体" w:eastAsia="宋体" w:cs="Times New Roman"/>
          <w:bCs/>
          <w:color w:val="auto"/>
          <w:sz w:val="24"/>
          <w:szCs w:val="20"/>
          <w:highlight w:val="none"/>
        </w:rPr>
      </w:pPr>
    </w:p>
    <w:p w14:paraId="45FCCE1F">
      <w:pPr>
        <w:snapToGrid w:val="0"/>
        <w:spacing w:before="120" w:beforeLines="50" w:after="50"/>
        <w:ind w:firstLine="540" w:firstLineChars="225"/>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项目名称：</w:t>
      </w:r>
    </w:p>
    <w:p w14:paraId="3BD2DC65">
      <w:pPr>
        <w:snapToGrid w:val="0"/>
        <w:spacing w:before="120" w:beforeLines="50" w:after="50"/>
        <w:ind w:firstLine="540" w:firstLineChars="225"/>
        <w:rPr>
          <w:rFonts w:ascii="宋体" w:hAnsi="宋体" w:eastAsia="宋体" w:cs="Times New Roman"/>
          <w:bCs/>
          <w:color w:val="auto"/>
          <w:sz w:val="24"/>
          <w:szCs w:val="20"/>
          <w:highlight w:val="none"/>
        </w:rPr>
      </w:pPr>
    </w:p>
    <w:p w14:paraId="694EF24B">
      <w:pPr>
        <w:snapToGrid w:val="0"/>
        <w:spacing w:before="120" w:beforeLines="50" w:after="50"/>
        <w:ind w:firstLine="540" w:firstLineChars="225"/>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项目编号：</w:t>
      </w:r>
    </w:p>
    <w:p w14:paraId="084A75F6">
      <w:pPr>
        <w:snapToGrid w:val="0"/>
        <w:spacing w:before="120" w:beforeLines="50" w:after="50"/>
        <w:ind w:firstLine="540" w:firstLineChars="225"/>
        <w:rPr>
          <w:rFonts w:ascii="宋体" w:hAnsi="宋体" w:eastAsia="宋体" w:cs="Times New Roman"/>
          <w:bCs/>
          <w:color w:val="auto"/>
          <w:sz w:val="24"/>
          <w:szCs w:val="20"/>
          <w:highlight w:val="none"/>
        </w:rPr>
      </w:pPr>
      <w:r>
        <w:rPr>
          <w:rFonts w:hint="eastAsia" w:ascii="宋体" w:hAnsi="宋体" w:eastAsia="宋体" w:cs="Times New Roman"/>
          <w:bCs/>
          <w:color w:val="auto"/>
          <w:sz w:val="24"/>
          <w:szCs w:val="24"/>
          <w:highlight w:val="none"/>
        </w:rPr>
        <w:t xml:space="preserve"> </w:t>
      </w:r>
    </w:p>
    <w:p w14:paraId="6CA7B4DE">
      <w:pPr>
        <w:snapToGrid w:val="0"/>
        <w:spacing w:before="50" w:after="50"/>
        <w:ind w:firstLine="540" w:firstLineChars="225"/>
        <w:rPr>
          <w:rFonts w:ascii="宋体" w:hAnsi="宋体" w:eastAsia="宋体" w:cs="Times New Roman"/>
          <w:bCs/>
          <w:color w:val="auto"/>
          <w:sz w:val="24"/>
          <w:szCs w:val="24"/>
          <w:highlight w:val="none"/>
        </w:rPr>
      </w:pPr>
    </w:p>
    <w:p w14:paraId="4B8DE05A">
      <w:pPr>
        <w:snapToGrid w:val="0"/>
        <w:spacing w:before="50" w:after="50"/>
        <w:ind w:firstLine="540" w:firstLineChars="225"/>
        <w:rPr>
          <w:rFonts w:ascii="宋体" w:hAnsi="宋体" w:eastAsia="宋体" w:cs="Times New Roman"/>
          <w:bCs/>
          <w:color w:val="auto"/>
          <w:sz w:val="24"/>
          <w:szCs w:val="24"/>
          <w:highlight w:val="none"/>
        </w:rPr>
      </w:pPr>
    </w:p>
    <w:p w14:paraId="1D68D95E">
      <w:pPr>
        <w:snapToGrid w:val="0"/>
        <w:spacing w:before="50" w:after="50"/>
        <w:ind w:firstLine="540" w:firstLineChars="225"/>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投标人名称：</w:t>
      </w:r>
    </w:p>
    <w:p w14:paraId="1C812227">
      <w:pPr>
        <w:snapToGrid w:val="0"/>
        <w:spacing w:before="50" w:after="50"/>
        <w:ind w:firstLine="540" w:firstLineChars="225"/>
        <w:rPr>
          <w:rFonts w:ascii="宋体" w:hAnsi="宋体" w:eastAsia="宋体" w:cs="Times New Roman"/>
          <w:bCs/>
          <w:color w:val="auto"/>
          <w:sz w:val="24"/>
          <w:szCs w:val="24"/>
          <w:highlight w:val="none"/>
        </w:rPr>
      </w:pPr>
    </w:p>
    <w:p w14:paraId="2A74D77E">
      <w:pPr>
        <w:snapToGrid w:val="0"/>
        <w:spacing w:before="50" w:after="50"/>
        <w:ind w:firstLine="540" w:firstLineChars="225"/>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投标人地址：</w:t>
      </w:r>
    </w:p>
    <w:p w14:paraId="1EA83162">
      <w:pPr>
        <w:snapToGrid w:val="0"/>
        <w:spacing w:before="50" w:after="50"/>
        <w:ind w:firstLine="540" w:firstLineChars="225"/>
        <w:rPr>
          <w:rFonts w:ascii="宋体" w:hAnsi="宋体" w:eastAsia="宋体" w:cs="Times New Roman"/>
          <w:bCs/>
          <w:color w:val="auto"/>
          <w:sz w:val="24"/>
          <w:szCs w:val="24"/>
          <w:highlight w:val="none"/>
        </w:rPr>
      </w:pPr>
    </w:p>
    <w:p w14:paraId="293556E8">
      <w:pPr>
        <w:snapToGrid w:val="0"/>
        <w:spacing w:before="50" w:after="50"/>
        <w:ind w:firstLine="960" w:firstLineChars="400"/>
        <w:rPr>
          <w:rFonts w:ascii="宋体" w:hAnsi="宋体" w:eastAsia="宋体" w:cs="Times New Roman"/>
          <w:bCs/>
          <w:color w:val="auto"/>
          <w:sz w:val="24"/>
          <w:szCs w:val="24"/>
          <w:highlight w:val="none"/>
        </w:rPr>
      </w:pPr>
    </w:p>
    <w:p w14:paraId="384DB709">
      <w:pPr>
        <w:snapToGrid w:val="0"/>
        <w:spacing w:before="120" w:beforeLines="50" w:after="50"/>
        <w:ind w:firstLine="645"/>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年  月  日</w:t>
      </w:r>
    </w:p>
    <w:p w14:paraId="1320E4F4">
      <w:pPr>
        <w:snapToGrid w:val="0"/>
        <w:spacing w:before="120" w:beforeLines="50" w:after="50"/>
        <w:rPr>
          <w:rFonts w:ascii="宋体" w:hAnsi="宋体" w:eastAsia="宋体" w:cs="Times New Roman"/>
          <w:color w:val="auto"/>
          <w:sz w:val="24"/>
          <w:szCs w:val="20"/>
          <w:highlight w:val="none"/>
        </w:rPr>
      </w:pPr>
      <w:r>
        <w:rPr>
          <w:rFonts w:ascii="宋体" w:hAnsi="宋体" w:eastAsia="宋体" w:cs="Times New Roman"/>
          <w:color w:val="auto"/>
          <w:sz w:val="24"/>
          <w:szCs w:val="20"/>
          <w:highlight w:val="none"/>
        </w:rPr>
        <w:t xml:space="preserve"> </w:t>
      </w:r>
    </w:p>
    <w:p w14:paraId="76655A1D">
      <w:pPr>
        <w:snapToGrid w:val="0"/>
        <w:spacing w:before="120" w:beforeLines="50" w:after="50"/>
        <w:rPr>
          <w:rFonts w:ascii="宋体" w:hAnsi="宋体" w:eastAsia="宋体" w:cs="Times New Roman"/>
          <w:color w:val="auto"/>
          <w:sz w:val="24"/>
          <w:szCs w:val="20"/>
          <w:highlight w:val="none"/>
        </w:rPr>
      </w:pPr>
    </w:p>
    <w:p w14:paraId="1927AE29">
      <w:pPr>
        <w:numPr>
          <w:ilvl w:val="2"/>
          <w:numId w:val="10"/>
        </w:numPr>
        <w:snapToGrid w:val="0"/>
        <w:spacing w:before="120" w:beforeLines="50" w:after="50" w:line="360" w:lineRule="auto"/>
        <w:jc w:val="left"/>
        <w:rPr>
          <w:rFonts w:ascii="宋体" w:hAnsi="宋体" w:eastAsia="宋体" w:cs="Times New Roman"/>
          <w:color w:val="auto"/>
          <w:sz w:val="24"/>
          <w:szCs w:val="20"/>
          <w:highlight w:val="none"/>
        </w:rPr>
      </w:pPr>
      <w:r>
        <w:rPr>
          <w:rFonts w:ascii="宋体" w:hAnsi="宋体" w:eastAsia="宋体" w:cs="Times New Roman"/>
          <w:b/>
          <w:bCs/>
          <w:color w:val="auto"/>
          <w:sz w:val="24"/>
          <w:szCs w:val="24"/>
          <w:highlight w:val="none"/>
        </w:rPr>
        <w:br w:type="page"/>
      </w:r>
      <w:r>
        <w:rPr>
          <w:rFonts w:hint="eastAsia" w:ascii="宋体" w:hAnsi="宋体" w:eastAsia="宋体" w:cs="Times New Roman"/>
          <w:b/>
          <w:bCs/>
          <w:color w:val="auto"/>
          <w:sz w:val="24"/>
          <w:szCs w:val="24"/>
          <w:highlight w:val="none"/>
        </w:rPr>
        <w:t>资格证明文件目录</w:t>
      </w:r>
    </w:p>
    <w:p w14:paraId="41E86293">
      <w:pPr>
        <w:snapToGrid w:val="0"/>
        <w:spacing w:line="36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根据招标文件规定及投标人提供的材料自行编写目录。</w:t>
      </w:r>
    </w:p>
    <w:p w14:paraId="3B9AF092">
      <w:pPr>
        <w:snapToGrid w:val="0"/>
        <w:spacing w:before="50" w:after="120" w:afterLines="50"/>
        <w:jc w:val="left"/>
        <w:rPr>
          <w:rFonts w:ascii="宋体" w:hAnsi="宋体" w:eastAsia="宋体" w:cs="Times New Roman"/>
          <w:color w:val="auto"/>
          <w:sz w:val="24"/>
          <w:szCs w:val="24"/>
          <w:highlight w:val="none"/>
        </w:rPr>
      </w:pPr>
    </w:p>
    <w:p w14:paraId="0F91B261">
      <w:pPr>
        <w:snapToGrid w:val="0"/>
        <w:spacing w:before="50" w:after="120" w:afterLines="50"/>
        <w:jc w:val="left"/>
        <w:rPr>
          <w:rFonts w:ascii="宋体" w:hAnsi="宋体" w:eastAsia="宋体" w:cs="Times New Roman"/>
          <w:color w:val="auto"/>
          <w:sz w:val="24"/>
          <w:szCs w:val="24"/>
          <w:highlight w:val="none"/>
        </w:rPr>
      </w:pPr>
    </w:p>
    <w:p w14:paraId="73735A9C">
      <w:pPr>
        <w:numPr>
          <w:ilvl w:val="2"/>
          <w:numId w:val="10"/>
        </w:numPr>
        <w:snapToGrid w:val="0"/>
        <w:spacing w:before="120" w:beforeLines="50" w:after="5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br w:type="page"/>
      </w:r>
      <w:r>
        <w:rPr>
          <w:rFonts w:hint="eastAsia" w:ascii="宋体" w:hAnsi="宋体" w:eastAsia="宋体" w:cs="Times New Roman"/>
          <w:b/>
          <w:color w:val="auto"/>
          <w:sz w:val="28"/>
          <w:szCs w:val="28"/>
          <w:highlight w:val="none"/>
        </w:rPr>
        <w:t>投标人直接控股、管理关系信息表</w:t>
      </w:r>
    </w:p>
    <w:p w14:paraId="6E711F15">
      <w:pPr>
        <w:snapToGrid w:val="0"/>
        <w:spacing w:before="50" w:after="120" w:afterLines="50"/>
        <w:jc w:val="center"/>
        <w:rPr>
          <w:rFonts w:ascii="宋体" w:hAnsi="宋体" w:eastAsia="宋体" w:cs="Times New Roman"/>
          <w:b/>
          <w:color w:val="auto"/>
          <w:sz w:val="28"/>
          <w:szCs w:val="28"/>
          <w:highlight w:val="none"/>
        </w:rPr>
      </w:pPr>
    </w:p>
    <w:p w14:paraId="29409263">
      <w:pPr>
        <w:snapToGrid w:val="0"/>
        <w:spacing w:before="50" w:after="120" w:afterLines="50" w:line="360" w:lineRule="auto"/>
        <w:jc w:val="center"/>
        <w:rPr>
          <w:rFonts w:ascii="宋体" w:hAnsi="宋体" w:eastAsia="宋体" w:cs="Times New Roman"/>
          <w:b/>
          <w:color w:val="auto"/>
          <w:sz w:val="32"/>
          <w:szCs w:val="32"/>
          <w:highlight w:val="none"/>
        </w:rPr>
      </w:pPr>
      <w:r>
        <w:rPr>
          <w:rFonts w:hint="eastAsia" w:ascii="宋体" w:hAnsi="宋体" w:eastAsia="宋体" w:cs="Times New Roman"/>
          <w:b/>
          <w:color w:val="auto"/>
          <w:sz w:val="32"/>
          <w:szCs w:val="32"/>
          <w:highlight w:val="none"/>
        </w:rPr>
        <w:t>投标人直接控股股东信息表</w:t>
      </w:r>
    </w:p>
    <w:tbl>
      <w:tblPr>
        <w:tblStyle w:val="37"/>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1B652395">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FFFFFF" w:themeFill="background1"/>
            <w:tcMar>
              <w:top w:w="120" w:type="dxa"/>
              <w:left w:w="120" w:type="dxa"/>
              <w:bottom w:w="120" w:type="dxa"/>
              <w:right w:w="120" w:type="dxa"/>
            </w:tcMar>
            <w:vAlign w:val="center"/>
          </w:tcPr>
          <w:p w14:paraId="233120E8">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FFFFFF" w:themeFill="background1"/>
            <w:tcMar>
              <w:top w:w="120" w:type="dxa"/>
              <w:left w:w="120" w:type="dxa"/>
              <w:bottom w:w="120" w:type="dxa"/>
              <w:right w:w="120" w:type="dxa"/>
            </w:tcMar>
            <w:vAlign w:val="center"/>
          </w:tcPr>
          <w:p w14:paraId="1BEEDEEA">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FFFFFF" w:themeFill="background1"/>
            <w:tcMar>
              <w:top w:w="120" w:type="dxa"/>
              <w:left w:w="120" w:type="dxa"/>
              <w:bottom w:w="120" w:type="dxa"/>
              <w:right w:w="120" w:type="dxa"/>
            </w:tcMar>
            <w:vAlign w:val="center"/>
          </w:tcPr>
          <w:p w14:paraId="28484B3B">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FFFFFF" w:themeFill="background1"/>
            <w:tcMar>
              <w:top w:w="120" w:type="dxa"/>
              <w:left w:w="120" w:type="dxa"/>
              <w:bottom w:w="120" w:type="dxa"/>
              <w:right w:w="120" w:type="dxa"/>
            </w:tcMar>
            <w:vAlign w:val="center"/>
          </w:tcPr>
          <w:p w14:paraId="303CD8A8">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Mar>
              <w:top w:w="120" w:type="dxa"/>
              <w:left w:w="120" w:type="dxa"/>
              <w:bottom w:w="120" w:type="dxa"/>
              <w:right w:w="120" w:type="dxa"/>
            </w:tcMar>
            <w:vAlign w:val="center"/>
          </w:tcPr>
          <w:p w14:paraId="7F1EF8FE">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4FF25A5A">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086F49">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FE3FC6">
            <w:pPr>
              <w:spacing w:line="360" w:lineRule="auto"/>
              <w:jc w:val="center"/>
              <w:rPr>
                <w:rFonts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99D457">
            <w:pPr>
              <w:spacing w:line="360" w:lineRule="auto"/>
              <w:jc w:val="center"/>
              <w:rPr>
                <w:rFonts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2CD63B">
            <w:pPr>
              <w:spacing w:line="360" w:lineRule="auto"/>
              <w:jc w:val="center"/>
              <w:rPr>
                <w:rFonts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9B2F60">
            <w:pPr>
              <w:spacing w:line="360" w:lineRule="auto"/>
              <w:jc w:val="center"/>
              <w:rPr>
                <w:rFonts w:ascii="宋体" w:hAnsi="宋体" w:eastAsia="宋体" w:cs="宋体"/>
                <w:color w:val="auto"/>
                <w:kern w:val="0"/>
                <w:sz w:val="24"/>
                <w:szCs w:val="24"/>
                <w:highlight w:val="none"/>
              </w:rPr>
            </w:pPr>
          </w:p>
        </w:tc>
      </w:tr>
      <w:tr w14:paraId="3066E2E5">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743818">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447958">
            <w:pPr>
              <w:spacing w:line="360" w:lineRule="auto"/>
              <w:jc w:val="center"/>
              <w:rPr>
                <w:rFonts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1F5ED1">
            <w:pPr>
              <w:spacing w:line="360" w:lineRule="auto"/>
              <w:jc w:val="center"/>
              <w:rPr>
                <w:rFonts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CA3508">
            <w:pPr>
              <w:spacing w:line="360" w:lineRule="auto"/>
              <w:jc w:val="center"/>
              <w:rPr>
                <w:rFonts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0B89B8">
            <w:pPr>
              <w:spacing w:line="360" w:lineRule="auto"/>
              <w:jc w:val="center"/>
              <w:rPr>
                <w:rFonts w:ascii="宋体" w:hAnsi="宋体" w:eastAsia="宋体" w:cs="宋体"/>
                <w:color w:val="auto"/>
                <w:kern w:val="0"/>
                <w:sz w:val="24"/>
                <w:szCs w:val="24"/>
                <w:highlight w:val="none"/>
              </w:rPr>
            </w:pPr>
          </w:p>
        </w:tc>
      </w:tr>
      <w:tr w14:paraId="4A9C2ED4">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8955D2">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E2EB1E">
            <w:pPr>
              <w:spacing w:line="360" w:lineRule="auto"/>
              <w:jc w:val="center"/>
              <w:rPr>
                <w:rFonts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748F77E">
            <w:pPr>
              <w:spacing w:line="360" w:lineRule="auto"/>
              <w:jc w:val="center"/>
              <w:rPr>
                <w:rFonts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364228">
            <w:pPr>
              <w:spacing w:line="360" w:lineRule="auto"/>
              <w:jc w:val="center"/>
              <w:rPr>
                <w:rFonts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8044EDA">
            <w:pPr>
              <w:spacing w:line="360" w:lineRule="auto"/>
              <w:jc w:val="center"/>
              <w:rPr>
                <w:rFonts w:ascii="宋体" w:hAnsi="宋体" w:eastAsia="宋体" w:cs="宋体"/>
                <w:color w:val="auto"/>
                <w:kern w:val="0"/>
                <w:sz w:val="24"/>
                <w:szCs w:val="24"/>
                <w:highlight w:val="none"/>
              </w:rPr>
            </w:pPr>
          </w:p>
        </w:tc>
      </w:tr>
      <w:tr w14:paraId="1BE8E53E">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68A1B0">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4A5183F">
            <w:pPr>
              <w:spacing w:line="360" w:lineRule="auto"/>
              <w:jc w:val="center"/>
              <w:rPr>
                <w:rFonts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020BE4">
            <w:pPr>
              <w:spacing w:line="360" w:lineRule="auto"/>
              <w:jc w:val="center"/>
              <w:rPr>
                <w:rFonts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F6F1B1">
            <w:pPr>
              <w:spacing w:line="360" w:lineRule="auto"/>
              <w:jc w:val="center"/>
              <w:rPr>
                <w:rFonts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D8F396">
            <w:pPr>
              <w:spacing w:line="360" w:lineRule="auto"/>
              <w:jc w:val="center"/>
              <w:rPr>
                <w:rFonts w:ascii="宋体" w:hAnsi="宋体" w:eastAsia="宋体" w:cs="宋体"/>
                <w:color w:val="auto"/>
                <w:kern w:val="0"/>
                <w:sz w:val="24"/>
                <w:szCs w:val="24"/>
                <w:highlight w:val="none"/>
              </w:rPr>
            </w:pPr>
          </w:p>
        </w:tc>
      </w:tr>
    </w:tbl>
    <w:p w14:paraId="015B8D03">
      <w:pPr>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w:t>
      </w:r>
    </w:p>
    <w:p w14:paraId="40A2B68C">
      <w:pPr>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AABCB1E">
      <w:pPr>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2.本表所指的控股关系仅限于直接控股关系，不包括间接的控股关系。公司实际控制人与公司之间的关系不属于本表所指的直接控股关系。</w:t>
      </w:r>
    </w:p>
    <w:p w14:paraId="4139CCF1">
      <w:pPr>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3.供应商不存在直接控股股东的，则填“无”。</w:t>
      </w:r>
    </w:p>
    <w:p w14:paraId="6631D175">
      <w:pPr>
        <w:snapToGrid w:val="0"/>
        <w:spacing w:line="360" w:lineRule="auto"/>
        <w:jc w:val="left"/>
        <w:rPr>
          <w:rFonts w:ascii="宋体" w:hAnsi="宋体" w:eastAsia="宋体" w:cs="Times New Roman"/>
          <w:color w:val="auto"/>
          <w:sz w:val="24"/>
          <w:szCs w:val="24"/>
          <w:highlight w:val="none"/>
        </w:rPr>
      </w:pPr>
    </w:p>
    <w:p w14:paraId="54082903">
      <w:pPr>
        <w:snapToGrid w:val="0"/>
        <w:spacing w:line="360" w:lineRule="auto"/>
        <w:jc w:val="left"/>
        <w:rPr>
          <w:rFonts w:ascii="宋体" w:hAnsi="宋体" w:eastAsia="宋体" w:cs="Times New Roman"/>
          <w:color w:val="auto"/>
          <w:sz w:val="24"/>
          <w:szCs w:val="24"/>
          <w:highlight w:val="none"/>
        </w:rPr>
      </w:pPr>
    </w:p>
    <w:p w14:paraId="67982EDE">
      <w:pPr>
        <w:snapToGrid w:val="0"/>
        <w:spacing w:line="360" w:lineRule="auto"/>
        <w:jc w:val="left"/>
        <w:rPr>
          <w:rFonts w:ascii="宋体" w:hAnsi="宋体" w:eastAsia="宋体" w:cs="Times New Roman"/>
          <w:color w:val="auto"/>
          <w:sz w:val="24"/>
          <w:szCs w:val="24"/>
          <w:highlight w:val="none"/>
        </w:rPr>
      </w:pPr>
    </w:p>
    <w:p w14:paraId="50907347">
      <w:pPr>
        <w:snapToGrid w:val="0"/>
        <w:spacing w:line="360" w:lineRule="auto"/>
        <w:jc w:val="left"/>
        <w:rPr>
          <w:rFonts w:ascii="宋体" w:hAnsi="宋体" w:eastAsia="宋体" w:cs="Times New Roman"/>
          <w:color w:val="auto"/>
          <w:sz w:val="24"/>
          <w:szCs w:val="24"/>
          <w:highlight w:val="none"/>
        </w:rPr>
      </w:pPr>
    </w:p>
    <w:p w14:paraId="114984C4">
      <w:pPr>
        <w:snapToGrid w:val="0"/>
        <w:spacing w:line="360" w:lineRule="auto"/>
        <w:jc w:val="left"/>
        <w:rPr>
          <w:rFonts w:ascii="宋体" w:hAnsi="宋体" w:eastAsia="宋体" w:cs="Times New Roman"/>
          <w:color w:val="auto"/>
          <w:sz w:val="24"/>
          <w:szCs w:val="24"/>
          <w:highlight w:val="none"/>
        </w:rPr>
      </w:pPr>
    </w:p>
    <w:p w14:paraId="0AC87300">
      <w:pPr>
        <w:snapToGrid w:val="0"/>
        <w:spacing w:before="120" w:beforeLines="50" w:line="360" w:lineRule="auto"/>
        <w:ind w:right="480" w:firstLine="3967" w:firstLineChars="1653"/>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法定代表人或者委托代理人（签字）：</w:t>
      </w:r>
      <w:r>
        <w:rPr>
          <w:rFonts w:hint="eastAsia" w:ascii="宋体" w:hAnsi="宋体" w:eastAsia="宋体" w:cs="Times New Roman"/>
          <w:color w:val="auto"/>
          <w:sz w:val="24"/>
          <w:szCs w:val="24"/>
          <w:highlight w:val="none"/>
          <w:u w:val="single"/>
        </w:rPr>
        <w:t xml:space="preserve">             </w:t>
      </w:r>
    </w:p>
    <w:p w14:paraId="59E06666">
      <w:pPr>
        <w:snapToGrid w:val="0"/>
        <w:spacing w:before="120" w:beforeLines="50" w:after="50" w:line="360" w:lineRule="auto"/>
        <w:ind w:right="480" w:firstLine="5520" w:firstLineChars="23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投标人（盖公章）：</w:t>
      </w:r>
      <w:r>
        <w:rPr>
          <w:rFonts w:hint="eastAsia" w:ascii="宋体" w:hAnsi="宋体" w:eastAsia="宋体" w:cs="Times New Roman"/>
          <w:color w:val="auto"/>
          <w:sz w:val="24"/>
          <w:szCs w:val="24"/>
          <w:highlight w:val="none"/>
          <w:u w:val="single"/>
        </w:rPr>
        <w:t xml:space="preserve">                 </w:t>
      </w:r>
    </w:p>
    <w:p w14:paraId="3B55CA8D">
      <w:pPr>
        <w:snapToGrid w:val="0"/>
        <w:spacing w:before="120" w:beforeLines="50" w:after="50" w:line="360" w:lineRule="auto"/>
        <w:ind w:right="480" w:firstLine="5520" w:firstLineChars="2300"/>
        <w:rPr>
          <w:rFonts w:ascii="宋体" w:hAnsi="宋体" w:eastAsia="宋体" w:cs="Times New Roman"/>
          <w:b/>
          <w:color w:val="auto"/>
          <w:sz w:val="28"/>
          <w:szCs w:val="28"/>
          <w:highlight w:val="none"/>
        </w:rPr>
      </w:pPr>
      <w:r>
        <w:rPr>
          <w:rFonts w:hint="eastAsia" w:ascii="宋体" w:hAnsi="宋体" w:eastAsia="宋体" w:cs="Times New Roman"/>
          <w:color w:val="auto"/>
          <w:sz w:val="24"/>
          <w:szCs w:val="24"/>
          <w:highlight w:val="none"/>
        </w:rPr>
        <w:t>年    月    日</w:t>
      </w:r>
      <w:r>
        <w:rPr>
          <w:rFonts w:ascii="宋体" w:hAnsi="宋体" w:eastAsia="宋体" w:cs="Times New Roman"/>
          <w:b/>
          <w:color w:val="auto"/>
          <w:sz w:val="28"/>
          <w:szCs w:val="28"/>
          <w:highlight w:val="none"/>
        </w:rPr>
        <w:br w:type="page"/>
      </w:r>
    </w:p>
    <w:p w14:paraId="3ACB5760">
      <w:pPr>
        <w:snapToGrid w:val="0"/>
        <w:spacing w:line="360" w:lineRule="auto"/>
        <w:jc w:val="center"/>
        <w:rPr>
          <w:rFonts w:ascii="宋体" w:hAnsi="宋体" w:eastAsia="宋体" w:cs="Times New Roman"/>
          <w:color w:val="auto"/>
          <w:sz w:val="32"/>
          <w:szCs w:val="32"/>
          <w:highlight w:val="none"/>
        </w:rPr>
      </w:pPr>
      <w:r>
        <w:rPr>
          <w:rFonts w:hint="eastAsia" w:ascii="宋体" w:hAnsi="宋体" w:eastAsia="宋体" w:cs="Times New Roman"/>
          <w:b/>
          <w:color w:val="auto"/>
          <w:sz w:val="32"/>
          <w:szCs w:val="32"/>
          <w:highlight w:val="none"/>
        </w:rPr>
        <w:t>投标人直接管理关系信息表</w:t>
      </w:r>
    </w:p>
    <w:tbl>
      <w:tblPr>
        <w:tblStyle w:val="37"/>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09A4D8A8">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FFFFFF" w:themeFill="background1"/>
            <w:tcMar>
              <w:top w:w="120" w:type="dxa"/>
              <w:left w:w="120" w:type="dxa"/>
              <w:bottom w:w="120" w:type="dxa"/>
              <w:right w:w="120" w:type="dxa"/>
            </w:tcMar>
            <w:vAlign w:val="center"/>
          </w:tcPr>
          <w:p w14:paraId="4620BC84">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FFFFFF" w:themeFill="background1"/>
            <w:tcMar>
              <w:top w:w="120" w:type="dxa"/>
              <w:left w:w="120" w:type="dxa"/>
              <w:bottom w:w="120" w:type="dxa"/>
              <w:right w:w="120" w:type="dxa"/>
            </w:tcMar>
            <w:vAlign w:val="center"/>
          </w:tcPr>
          <w:p w14:paraId="351BA6FB">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FFFFFF" w:themeFill="background1"/>
            <w:tcMar>
              <w:top w:w="120" w:type="dxa"/>
              <w:left w:w="120" w:type="dxa"/>
              <w:bottom w:w="120" w:type="dxa"/>
              <w:right w:w="120" w:type="dxa"/>
            </w:tcMar>
            <w:vAlign w:val="center"/>
          </w:tcPr>
          <w:p w14:paraId="731C0AAD">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FFFFFF" w:themeFill="background1"/>
            <w:tcMar>
              <w:top w:w="120" w:type="dxa"/>
              <w:left w:w="120" w:type="dxa"/>
              <w:bottom w:w="120" w:type="dxa"/>
              <w:right w:w="120" w:type="dxa"/>
            </w:tcMar>
            <w:vAlign w:val="center"/>
          </w:tcPr>
          <w:p w14:paraId="1EA6C9D6">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0AC29369">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492D18">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7090148">
            <w:pPr>
              <w:spacing w:line="360" w:lineRule="auto"/>
              <w:jc w:val="center"/>
              <w:rPr>
                <w:rFonts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679800">
            <w:pPr>
              <w:spacing w:line="360" w:lineRule="auto"/>
              <w:jc w:val="center"/>
              <w:rPr>
                <w:rFonts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12F70F">
            <w:pPr>
              <w:spacing w:line="360" w:lineRule="auto"/>
              <w:jc w:val="center"/>
              <w:rPr>
                <w:rFonts w:ascii="宋体" w:hAnsi="宋体" w:eastAsia="宋体" w:cs="宋体"/>
                <w:color w:val="auto"/>
                <w:kern w:val="0"/>
                <w:sz w:val="24"/>
                <w:szCs w:val="24"/>
                <w:highlight w:val="none"/>
              </w:rPr>
            </w:pPr>
          </w:p>
        </w:tc>
      </w:tr>
      <w:tr w14:paraId="4F519CB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B7A2E5">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0EFA86">
            <w:pPr>
              <w:spacing w:line="360" w:lineRule="auto"/>
              <w:jc w:val="center"/>
              <w:rPr>
                <w:rFonts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6448EB8">
            <w:pPr>
              <w:spacing w:line="360" w:lineRule="auto"/>
              <w:jc w:val="center"/>
              <w:rPr>
                <w:rFonts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EF0973">
            <w:pPr>
              <w:spacing w:line="360" w:lineRule="auto"/>
              <w:jc w:val="center"/>
              <w:rPr>
                <w:rFonts w:ascii="宋体" w:hAnsi="宋体" w:eastAsia="宋体" w:cs="宋体"/>
                <w:color w:val="auto"/>
                <w:kern w:val="0"/>
                <w:sz w:val="24"/>
                <w:szCs w:val="24"/>
                <w:highlight w:val="none"/>
              </w:rPr>
            </w:pPr>
          </w:p>
        </w:tc>
      </w:tr>
      <w:tr w14:paraId="4D639325">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67C584">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896B42">
            <w:pPr>
              <w:spacing w:line="360" w:lineRule="auto"/>
              <w:jc w:val="center"/>
              <w:rPr>
                <w:rFonts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31A9D2">
            <w:pPr>
              <w:spacing w:line="360" w:lineRule="auto"/>
              <w:jc w:val="center"/>
              <w:rPr>
                <w:rFonts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D501B5">
            <w:pPr>
              <w:spacing w:line="360" w:lineRule="auto"/>
              <w:jc w:val="center"/>
              <w:rPr>
                <w:rFonts w:ascii="宋体" w:hAnsi="宋体" w:eastAsia="宋体" w:cs="宋体"/>
                <w:color w:val="auto"/>
                <w:kern w:val="0"/>
                <w:sz w:val="24"/>
                <w:szCs w:val="24"/>
                <w:highlight w:val="none"/>
              </w:rPr>
            </w:pPr>
          </w:p>
        </w:tc>
      </w:tr>
      <w:tr w14:paraId="157EC6B2">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593015">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703B4F">
            <w:pPr>
              <w:spacing w:line="360" w:lineRule="auto"/>
              <w:jc w:val="center"/>
              <w:rPr>
                <w:rFonts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C1FBCC">
            <w:pPr>
              <w:spacing w:line="360" w:lineRule="auto"/>
              <w:jc w:val="center"/>
              <w:rPr>
                <w:rFonts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0D21BA">
            <w:pPr>
              <w:spacing w:line="360" w:lineRule="auto"/>
              <w:jc w:val="center"/>
              <w:rPr>
                <w:rFonts w:ascii="宋体" w:hAnsi="宋体" w:eastAsia="宋体" w:cs="宋体"/>
                <w:color w:val="auto"/>
                <w:kern w:val="0"/>
                <w:sz w:val="24"/>
                <w:szCs w:val="24"/>
                <w:highlight w:val="none"/>
              </w:rPr>
            </w:pPr>
          </w:p>
        </w:tc>
      </w:tr>
    </w:tbl>
    <w:p w14:paraId="035543F4">
      <w:pPr>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w:t>
      </w:r>
    </w:p>
    <w:p w14:paraId="67E6DC48">
      <w:pPr>
        <w:snapToGrid w:val="0"/>
        <w:spacing w:line="360" w:lineRule="auto"/>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1.管理关系：是指不具有出资持股关系的其他单位之间存在的管理与被管理关系，如一些上下级关系的事业单位和团体组织。</w:t>
      </w:r>
    </w:p>
    <w:p w14:paraId="5E7C8DD9">
      <w:pPr>
        <w:snapToGrid w:val="0"/>
        <w:spacing w:line="360" w:lineRule="auto"/>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hint="eastAsia" w:ascii="宋体" w:hAnsi="宋体" w:eastAsia="宋体" w:cs="Times New Roman"/>
          <w:color w:val="auto"/>
          <w:spacing w:val="-6"/>
          <w:sz w:val="24"/>
          <w:szCs w:val="24"/>
          <w:highlight w:val="none"/>
        </w:rPr>
        <w:t>本表所指的管理关系仅限于直接管理关系，不包括间接的管理关系。</w:t>
      </w:r>
    </w:p>
    <w:p w14:paraId="339AF974">
      <w:pPr>
        <w:snapToGrid w:val="0"/>
        <w:spacing w:line="360" w:lineRule="auto"/>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3.供应商不存在直接管理关系的，则填“无”。</w:t>
      </w:r>
    </w:p>
    <w:p w14:paraId="5BD8B521">
      <w:pPr>
        <w:snapToGrid w:val="0"/>
        <w:spacing w:line="360" w:lineRule="auto"/>
        <w:jc w:val="left"/>
        <w:rPr>
          <w:rFonts w:ascii="宋体" w:hAnsi="宋体" w:eastAsia="宋体" w:cs="Times New Roman"/>
          <w:color w:val="auto"/>
          <w:sz w:val="24"/>
          <w:szCs w:val="24"/>
          <w:highlight w:val="none"/>
        </w:rPr>
      </w:pPr>
    </w:p>
    <w:p w14:paraId="670DC90A">
      <w:pPr>
        <w:snapToGrid w:val="0"/>
        <w:spacing w:line="360" w:lineRule="auto"/>
        <w:jc w:val="left"/>
        <w:rPr>
          <w:rFonts w:ascii="宋体" w:hAnsi="宋体" w:eastAsia="宋体" w:cs="Times New Roman"/>
          <w:color w:val="auto"/>
          <w:sz w:val="24"/>
          <w:szCs w:val="24"/>
          <w:highlight w:val="none"/>
        </w:rPr>
      </w:pPr>
    </w:p>
    <w:p w14:paraId="534787F3">
      <w:pPr>
        <w:snapToGrid w:val="0"/>
        <w:spacing w:line="360" w:lineRule="auto"/>
        <w:jc w:val="left"/>
        <w:rPr>
          <w:rFonts w:ascii="宋体" w:hAnsi="宋体" w:eastAsia="宋体" w:cs="Times New Roman"/>
          <w:color w:val="auto"/>
          <w:sz w:val="24"/>
          <w:szCs w:val="24"/>
          <w:highlight w:val="none"/>
        </w:rPr>
      </w:pPr>
    </w:p>
    <w:p w14:paraId="47E939FA">
      <w:pPr>
        <w:snapToGrid w:val="0"/>
        <w:spacing w:line="360" w:lineRule="auto"/>
        <w:jc w:val="left"/>
        <w:rPr>
          <w:rFonts w:ascii="Times New Roman" w:hAnsi="Times New Roman" w:eastAsia="宋体" w:cs="Times New Roman"/>
          <w:color w:val="auto"/>
          <w:sz w:val="24"/>
          <w:szCs w:val="24"/>
          <w:highlight w:val="none"/>
        </w:rPr>
      </w:pPr>
    </w:p>
    <w:p w14:paraId="2F97331C">
      <w:pPr>
        <w:snapToGrid w:val="0"/>
        <w:spacing w:line="360" w:lineRule="auto"/>
        <w:jc w:val="left"/>
        <w:rPr>
          <w:rFonts w:ascii="Times New Roman" w:hAnsi="Times New Roman" w:eastAsia="宋体" w:cs="Times New Roman"/>
          <w:color w:val="auto"/>
          <w:sz w:val="24"/>
          <w:szCs w:val="24"/>
          <w:highlight w:val="none"/>
        </w:rPr>
      </w:pPr>
    </w:p>
    <w:p w14:paraId="67CE2CCD">
      <w:pPr>
        <w:snapToGrid w:val="0"/>
        <w:spacing w:line="360" w:lineRule="auto"/>
        <w:jc w:val="left"/>
        <w:rPr>
          <w:rFonts w:ascii="Times New Roman" w:hAnsi="Times New Roman" w:eastAsia="宋体" w:cs="Times New Roman"/>
          <w:color w:val="auto"/>
          <w:sz w:val="24"/>
          <w:szCs w:val="24"/>
          <w:highlight w:val="none"/>
        </w:rPr>
      </w:pPr>
    </w:p>
    <w:p w14:paraId="77C01626">
      <w:pPr>
        <w:snapToGrid w:val="0"/>
        <w:spacing w:line="360" w:lineRule="auto"/>
        <w:jc w:val="left"/>
        <w:rPr>
          <w:rFonts w:ascii="宋体" w:hAnsi="宋体" w:eastAsia="宋体" w:cs="Times New Roman"/>
          <w:color w:val="auto"/>
          <w:sz w:val="24"/>
          <w:szCs w:val="24"/>
          <w:highlight w:val="none"/>
        </w:rPr>
      </w:pPr>
    </w:p>
    <w:p w14:paraId="75506595">
      <w:pPr>
        <w:snapToGrid w:val="0"/>
        <w:spacing w:before="120" w:beforeLines="50" w:line="360" w:lineRule="auto"/>
        <w:ind w:right="480" w:firstLine="3967" w:firstLineChars="1653"/>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法定代表人或者委托代理人（签字）：</w:t>
      </w:r>
      <w:r>
        <w:rPr>
          <w:rFonts w:hint="eastAsia" w:ascii="宋体" w:hAnsi="宋体" w:eastAsia="宋体" w:cs="Times New Roman"/>
          <w:color w:val="auto"/>
          <w:sz w:val="24"/>
          <w:szCs w:val="24"/>
          <w:highlight w:val="none"/>
          <w:u w:val="single"/>
        </w:rPr>
        <w:t xml:space="preserve">             </w:t>
      </w:r>
    </w:p>
    <w:p w14:paraId="008AEAF7">
      <w:pPr>
        <w:snapToGrid w:val="0"/>
        <w:spacing w:before="120" w:beforeLines="50" w:after="50" w:line="360" w:lineRule="auto"/>
        <w:ind w:right="480" w:firstLine="5520" w:firstLineChars="23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投标人（盖公章）：</w:t>
      </w:r>
      <w:r>
        <w:rPr>
          <w:rFonts w:hint="eastAsia" w:ascii="宋体" w:hAnsi="宋体" w:eastAsia="宋体" w:cs="Times New Roman"/>
          <w:color w:val="auto"/>
          <w:sz w:val="24"/>
          <w:szCs w:val="24"/>
          <w:highlight w:val="none"/>
          <w:u w:val="single"/>
        </w:rPr>
        <w:t xml:space="preserve">                 </w:t>
      </w:r>
    </w:p>
    <w:p w14:paraId="420F57DF">
      <w:pPr>
        <w:snapToGrid w:val="0"/>
        <w:spacing w:before="120" w:beforeLines="50" w:after="50" w:line="360" w:lineRule="auto"/>
        <w:ind w:right="480" w:firstLine="240" w:firstLineChars="100"/>
        <w:jc w:val="righ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年    月    日</w:t>
      </w:r>
    </w:p>
    <w:p w14:paraId="6E858F42">
      <w:pPr>
        <w:snapToGrid w:val="0"/>
        <w:spacing w:before="50" w:after="120" w:afterLines="50"/>
        <w:jc w:val="left"/>
        <w:rPr>
          <w:rFonts w:ascii="宋体" w:hAnsi="宋体" w:eastAsia="宋体" w:cs="Times New Roman"/>
          <w:color w:val="auto"/>
          <w:szCs w:val="21"/>
          <w:highlight w:val="none"/>
        </w:rPr>
      </w:pPr>
    </w:p>
    <w:p w14:paraId="4164772B">
      <w:pPr>
        <w:snapToGrid w:val="0"/>
        <w:spacing w:before="120" w:beforeLines="50" w:after="50"/>
        <w:jc w:val="left"/>
        <w:rPr>
          <w:rFonts w:ascii="宋体" w:hAnsi="宋体" w:eastAsia="宋体" w:cs="Times New Roman"/>
          <w:b/>
          <w:color w:val="auto"/>
          <w:sz w:val="24"/>
          <w:szCs w:val="20"/>
          <w:highlight w:val="none"/>
        </w:rPr>
      </w:pPr>
    </w:p>
    <w:p w14:paraId="4679CA7F">
      <w:pPr>
        <w:numPr>
          <w:ilvl w:val="2"/>
          <w:numId w:val="10"/>
        </w:numPr>
        <w:snapToGrid w:val="0"/>
        <w:spacing w:before="120" w:beforeLines="50" w:after="50"/>
        <w:jc w:val="left"/>
        <w:rPr>
          <w:rFonts w:ascii="宋体" w:hAnsi="宋体" w:eastAsia="宋体" w:cs="Times New Roman"/>
          <w:b/>
          <w:color w:val="auto"/>
          <w:sz w:val="24"/>
          <w:szCs w:val="20"/>
          <w:highlight w:val="none"/>
        </w:rPr>
      </w:pPr>
      <w:r>
        <w:rPr>
          <w:rFonts w:ascii="宋体" w:hAnsi="宋体" w:eastAsia="宋体" w:cs="Times New Roman"/>
          <w:b/>
          <w:color w:val="auto"/>
          <w:sz w:val="24"/>
          <w:szCs w:val="24"/>
          <w:highlight w:val="none"/>
        </w:rPr>
        <w:br w:type="page"/>
      </w:r>
      <w:r>
        <w:rPr>
          <w:rFonts w:hint="eastAsia" w:ascii="宋体" w:hAnsi="宋体" w:eastAsia="宋体" w:cs="Times New Roman"/>
          <w:b/>
          <w:color w:val="auto"/>
          <w:sz w:val="24"/>
          <w:szCs w:val="24"/>
          <w:highlight w:val="none"/>
        </w:rPr>
        <w:t>投标声明</w:t>
      </w:r>
    </w:p>
    <w:p w14:paraId="222A56C5">
      <w:pPr>
        <w:snapToGrid w:val="0"/>
        <w:spacing w:before="50" w:after="120" w:afterLines="50"/>
        <w:jc w:val="left"/>
        <w:rPr>
          <w:rFonts w:ascii="宋体" w:hAnsi="宋体" w:eastAsia="宋体" w:cs="Times New Roman"/>
          <w:color w:val="auto"/>
          <w:szCs w:val="24"/>
          <w:highlight w:val="none"/>
        </w:rPr>
      </w:pPr>
    </w:p>
    <w:p w14:paraId="169C1777">
      <w:pPr>
        <w:snapToGrid w:val="0"/>
        <w:spacing w:before="50" w:after="120" w:afterLines="50"/>
        <w:jc w:val="center"/>
        <w:rPr>
          <w:rFonts w:ascii="宋体" w:hAnsi="宋体" w:eastAsia="宋体" w:cs="Times New Roman"/>
          <w:b/>
          <w:color w:val="auto"/>
          <w:sz w:val="32"/>
          <w:szCs w:val="32"/>
          <w:highlight w:val="none"/>
        </w:rPr>
      </w:pPr>
      <w:r>
        <w:rPr>
          <w:rFonts w:hint="eastAsia" w:ascii="宋体" w:hAnsi="宋体" w:eastAsia="宋体" w:cs="Times New Roman"/>
          <w:b/>
          <w:color w:val="auto"/>
          <w:sz w:val="32"/>
          <w:szCs w:val="32"/>
          <w:highlight w:val="none"/>
        </w:rPr>
        <w:t>投标声明</w:t>
      </w:r>
    </w:p>
    <w:p w14:paraId="565AA416">
      <w:pPr>
        <w:spacing w:line="360" w:lineRule="auto"/>
        <w:contextualSpacing/>
        <w:rPr>
          <w:rFonts w:ascii="宋体" w:hAnsi="宋体" w:eastAsia="宋体" w:cs="Times New Roman"/>
          <w:b/>
          <w:color w:val="auto"/>
          <w:sz w:val="28"/>
          <w:szCs w:val="28"/>
          <w:highlight w:val="none"/>
        </w:rPr>
      </w:pPr>
    </w:p>
    <w:p w14:paraId="1A2EE097">
      <w:pPr>
        <w:snapToGrid w:val="0"/>
        <w:spacing w:before="120" w:beforeLines="50" w:after="50" w:line="34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致：_</w:t>
      </w:r>
      <w:r>
        <w:rPr>
          <w:rFonts w:hint="eastAsia" w:ascii="宋体" w:hAnsi="宋体" w:eastAsia="宋体" w:cs="Times New Roman"/>
          <w:color w:val="auto"/>
          <w:sz w:val="24"/>
          <w:szCs w:val="24"/>
          <w:highlight w:val="none"/>
          <w:u w:val="single"/>
        </w:rPr>
        <w:t>中经国际招标集团有限公司</w:t>
      </w:r>
      <w:r>
        <w:rPr>
          <w:rFonts w:hint="eastAsia" w:ascii="宋体" w:hAnsi="宋体" w:eastAsia="宋体" w:cs="Times New Roman"/>
          <w:color w:val="auto"/>
          <w:sz w:val="24"/>
          <w:szCs w:val="24"/>
          <w:highlight w:val="none"/>
        </w:rPr>
        <w:t>：</w:t>
      </w:r>
    </w:p>
    <w:p w14:paraId="462BCD25">
      <w:pPr>
        <w:snapToGrid w:val="0"/>
        <w:spacing w:before="120" w:beforeLines="50" w:after="50" w:line="340" w:lineRule="exact"/>
        <w:ind w:firstLine="720" w:firstLineChars="3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______</w:t>
      </w:r>
      <w:r>
        <w:rPr>
          <w:rFonts w:hint="eastAsia" w:ascii="宋体" w:hAnsi="宋体" w:eastAsia="宋体" w:cs="Times New Roman"/>
          <w:color w:val="auto"/>
          <w:sz w:val="24"/>
          <w:szCs w:val="24"/>
          <w:highlight w:val="none"/>
          <w:u w:val="single"/>
        </w:rPr>
        <w:t>_     _</w:t>
      </w:r>
      <w:r>
        <w:rPr>
          <w:rFonts w:hint="eastAsia" w:ascii="宋体" w:hAnsi="宋体" w:eastAsia="宋体" w:cs="Times New Roman"/>
          <w:color w:val="auto"/>
          <w:sz w:val="24"/>
          <w:szCs w:val="24"/>
          <w:highlight w:val="none"/>
        </w:rPr>
        <w:t>_（投标人名称）系中华人民共和国合法企业，经营地址</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0D0A2555">
      <w:pPr>
        <w:snapToGrid w:val="0"/>
        <w:spacing w:before="120" w:beforeLines="50" w:after="50" w:line="340" w:lineRule="exact"/>
        <w:ind w:firstLine="64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我___</w:t>
      </w:r>
      <w:r>
        <w:rPr>
          <w:rFonts w:hint="eastAsia" w:ascii="宋体" w:hAnsi="宋体" w:eastAsia="宋体" w:cs="Times New Roman"/>
          <w:color w:val="auto"/>
          <w:sz w:val="24"/>
          <w:szCs w:val="24"/>
          <w:highlight w:val="none"/>
          <w:u w:val="single"/>
        </w:rPr>
        <w:t xml:space="preserve">    _</w:t>
      </w:r>
      <w:r>
        <w:rPr>
          <w:rFonts w:hint="eastAsia" w:ascii="宋体" w:hAnsi="宋体" w:eastAsia="宋体" w:cs="Times New Roman"/>
          <w:color w:val="auto"/>
          <w:sz w:val="24"/>
          <w:szCs w:val="24"/>
          <w:highlight w:val="none"/>
        </w:rPr>
        <w:t>_（姓名）系______</w:t>
      </w:r>
      <w:r>
        <w:rPr>
          <w:rFonts w:hint="eastAsia" w:ascii="宋体" w:hAnsi="宋体" w:eastAsia="宋体" w:cs="Times New Roman"/>
          <w:color w:val="auto"/>
          <w:sz w:val="24"/>
          <w:szCs w:val="24"/>
          <w:highlight w:val="none"/>
          <w:u w:val="single"/>
        </w:rPr>
        <w:t>_     _</w:t>
      </w:r>
      <w:r>
        <w:rPr>
          <w:rFonts w:hint="eastAsia" w:ascii="宋体" w:hAnsi="宋体" w:eastAsia="宋体" w:cs="Times New Roman"/>
          <w:color w:val="auto"/>
          <w:sz w:val="24"/>
          <w:szCs w:val="24"/>
          <w:highlight w:val="none"/>
        </w:rPr>
        <w:t>_（投标人名称）的法定代表人(负责人)，我方愿意参加贵方组织的_____</w:t>
      </w:r>
      <w:r>
        <w:rPr>
          <w:rFonts w:hint="eastAsia" w:ascii="宋体" w:hAnsi="宋体" w:eastAsia="宋体" w:cs="Times New Roman"/>
          <w:color w:val="auto"/>
          <w:sz w:val="24"/>
          <w:szCs w:val="24"/>
          <w:highlight w:val="none"/>
          <w:u w:val="single"/>
        </w:rPr>
        <w:t>_              _     _</w:t>
      </w:r>
      <w:r>
        <w:rPr>
          <w:rFonts w:hint="eastAsia" w:ascii="宋体" w:hAnsi="宋体" w:eastAsia="宋体" w:cs="Times New Roman"/>
          <w:color w:val="auto"/>
          <w:sz w:val="24"/>
          <w:szCs w:val="24"/>
          <w:highlight w:val="none"/>
        </w:rPr>
        <w:t>_项目的投标，为便于贵方公正、择优地确定中标人及其投标产品和服务，我方就本次投标有关事项郑重声明如下：</w:t>
      </w:r>
    </w:p>
    <w:p w14:paraId="71E42219">
      <w:pPr>
        <w:snapToGrid w:val="0"/>
        <w:spacing w:line="34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1.我方向贵方提交的所有投标文件、资料都是准确的和真实的。</w:t>
      </w:r>
    </w:p>
    <w:p w14:paraId="664B40A2">
      <w:pPr>
        <w:snapToGrid w:val="0"/>
        <w:spacing w:before="120" w:beforeLines="50" w:line="34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2.我方不是招标人的附属机构；在获知本项目采购信息后，与招标人聘请的为此项目提供咨询服务的公司及其附属机构没有任何联系。</w:t>
      </w:r>
    </w:p>
    <w:p w14:paraId="1C358BCA">
      <w:pPr>
        <w:snapToGrid w:val="0"/>
        <w:spacing w:before="120" w:beforeLines="50" w:line="34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3.我方诚意提请贵方关注：近期有关该型号产品的生产、供货、售后服务以及性能等方面的重大决策和事项有：</w:t>
      </w:r>
    </w:p>
    <w:p w14:paraId="62D46C27">
      <w:pPr>
        <w:snapToGrid w:val="0"/>
        <w:spacing w:before="120" w:beforeLines="50" w:line="340" w:lineRule="exact"/>
        <w:ind w:firstLine="480" w:firstLineChars="2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　　　　　　　　　　　　　　　　　　　　　　　　　　　</w:t>
      </w:r>
    </w:p>
    <w:p w14:paraId="16008AFF">
      <w:pPr>
        <w:snapToGrid w:val="0"/>
        <w:spacing w:before="120" w:beforeLines="50" w:line="34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u w:val="single"/>
        </w:rPr>
        <w:t>　　　　　　　　　　　　　　　　　　　　　　　　　　　</w:t>
      </w:r>
    </w:p>
    <w:p w14:paraId="31AAF671">
      <w:pPr>
        <w:snapToGrid w:val="0"/>
        <w:spacing w:line="340" w:lineRule="exact"/>
        <w:ind w:left="660" w:leftChars="200" w:hanging="240" w:hangingChars="100"/>
        <w:rPr>
          <w:rFonts w:ascii="宋体" w:hAnsi="宋体" w:eastAsia="宋体" w:cs="Times New Roman"/>
          <w:b/>
          <w:color w:val="auto"/>
          <w:sz w:val="24"/>
          <w:szCs w:val="24"/>
          <w:highlight w:val="none"/>
        </w:rPr>
      </w:pPr>
      <w:r>
        <w:rPr>
          <w:rFonts w:hint="eastAsia" w:ascii="宋体" w:hAnsi="宋体" w:eastAsia="宋体" w:cs="Times New Roman"/>
          <w:color w:val="auto"/>
          <w:sz w:val="24"/>
          <w:szCs w:val="24"/>
          <w:highlight w:val="none"/>
        </w:rPr>
        <w:t>4.</w:t>
      </w:r>
      <w:r>
        <w:rPr>
          <w:rFonts w:hint="eastAsia" w:ascii="仿宋_GB2312" w:hAnsi="Times New Roman" w:eastAsia="仿宋_GB2312" w:cs="Times New Roman"/>
          <w:color w:val="auto"/>
          <w:sz w:val="24"/>
          <w:szCs w:val="24"/>
          <w:highlight w:val="none"/>
        </w:rPr>
        <w:t xml:space="preserve"> </w:t>
      </w:r>
      <w:r>
        <w:rPr>
          <w:rFonts w:hint="eastAsia" w:ascii="宋体" w:hAnsi="宋体" w:eastAsia="宋体" w:cs="Times New Roman"/>
          <w:color w:val="auto"/>
          <w:sz w:val="24"/>
          <w:szCs w:val="24"/>
          <w:highlight w:val="none"/>
        </w:rPr>
        <w:t>我方参加政府采购活动前三年内在经营活动中重大违法记录和不良信用记录情况：</w:t>
      </w:r>
    </w:p>
    <w:p w14:paraId="719F46B4">
      <w:pPr>
        <w:snapToGrid w:val="0"/>
        <w:spacing w:before="120" w:beforeLines="50" w:line="340" w:lineRule="exact"/>
        <w:ind w:firstLine="482" w:firstLineChars="200"/>
        <w:rPr>
          <w:rFonts w:ascii="宋体" w:hAnsi="宋体" w:eastAsia="宋体" w:cs="Times New Roman"/>
          <w:color w:val="auto"/>
          <w:sz w:val="24"/>
          <w:szCs w:val="24"/>
          <w:highlight w:val="none"/>
          <w:u w:val="single"/>
        </w:rPr>
      </w:pPr>
      <w:r>
        <w:rPr>
          <w:rFonts w:hint="eastAsia" w:ascii="宋体" w:hAnsi="宋体" w:eastAsia="宋体" w:cs="Times New Roman"/>
          <w:b/>
          <w:color w:val="auto"/>
          <w:sz w:val="24"/>
          <w:szCs w:val="24"/>
          <w:highlight w:val="none"/>
          <w:u w:val="single"/>
        </w:rPr>
        <w:t>　　　　　　</w:t>
      </w:r>
      <w:r>
        <w:rPr>
          <w:rFonts w:hint="eastAsia" w:ascii="宋体" w:hAnsi="宋体" w:eastAsia="宋体" w:cs="Times New Roman"/>
          <w:color w:val="auto"/>
          <w:sz w:val="24"/>
          <w:szCs w:val="24"/>
          <w:highlight w:val="none"/>
          <w:u w:val="single"/>
        </w:rPr>
        <w:t>　　　　　　　　　　　　　　　　　　　　　</w:t>
      </w:r>
    </w:p>
    <w:p w14:paraId="48745B6C">
      <w:pPr>
        <w:snapToGrid w:val="0"/>
        <w:spacing w:before="120" w:beforeLines="50" w:line="340" w:lineRule="exact"/>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5.以上事项如有虚假或隐瞒，我方愿意承担一切后果。</w:t>
      </w:r>
    </w:p>
    <w:p w14:paraId="59BC891C">
      <w:pPr>
        <w:snapToGrid w:val="0"/>
        <w:spacing w:before="120" w:beforeLines="50" w:line="340" w:lineRule="exact"/>
        <w:ind w:firstLine="4010" w:firstLineChars="1671"/>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法定代表人(负责人) 或委托代理人签字：</w:t>
      </w:r>
      <w:r>
        <w:rPr>
          <w:rFonts w:hint="eastAsia" w:ascii="宋体" w:hAnsi="宋体" w:eastAsia="宋体" w:cs="Times New Roman"/>
          <w:color w:val="auto"/>
          <w:sz w:val="24"/>
          <w:szCs w:val="24"/>
          <w:highlight w:val="none"/>
          <w:u w:val="single"/>
        </w:rPr>
        <w:t xml:space="preserve">             </w:t>
      </w:r>
    </w:p>
    <w:p w14:paraId="01C9FAFC">
      <w:pPr>
        <w:snapToGrid w:val="0"/>
        <w:spacing w:before="120" w:beforeLines="50" w:after="50" w:line="340" w:lineRule="exact"/>
        <w:ind w:firstLine="4080" w:firstLineChars="17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投标人公章：</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 xml:space="preserve">                     </w:t>
      </w:r>
    </w:p>
    <w:p w14:paraId="32C85EA3">
      <w:pPr>
        <w:snapToGrid w:val="0"/>
        <w:spacing w:before="120" w:beforeLines="50" w:after="50" w:line="340" w:lineRule="exact"/>
        <w:ind w:firstLine="240" w:firstLineChars="1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年    月    日</w:t>
      </w:r>
    </w:p>
    <w:p w14:paraId="39FEE4F5">
      <w:pPr>
        <w:spacing w:line="400" w:lineRule="exact"/>
        <w:contextualSpacing/>
        <w:jc w:val="left"/>
        <w:rPr>
          <w:rFonts w:ascii="宋体" w:hAnsi="宋体" w:eastAsia="宋体" w:cs="Times New Roman"/>
          <w:color w:val="auto"/>
          <w:sz w:val="24"/>
          <w:szCs w:val="24"/>
          <w:highlight w:val="none"/>
        </w:rPr>
      </w:pPr>
      <w:r>
        <w:rPr>
          <w:rFonts w:hint="eastAsia" w:ascii="宋体" w:hAnsi="宋体" w:eastAsia="宋体" w:cs="Times New Roman"/>
          <w:b/>
          <w:color w:val="auto"/>
          <w:sz w:val="24"/>
          <w:szCs w:val="24"/>
          <w:highlight w:val="none"/>
        </w:rPr>
        <w:t>※重大违法记录，是指供应商因违法经营受到刑事处罚或者责令停产停业、吊销许可证或者执照、较大数额罚款等行政处罚。</w:t>
      </w:r>
    </w:p>
    <w:p w14:paraId="626032F7">
      <w:pPr>
        <w:spacing w:line="400" w:lineRule="exact"/>
        <w:contextualSpacing/>
        <w:jc w:val="left"/>
        <w:rPr>
          <w:rFonts w:ascii="宋体" w:hAnsi="宋体" w:eastAsia="宋体" w:cs="Times New Roman"/>
          <w:color w:val="auto"/>
          <w:sz w:val="24"/>
          <w:szCs w:val="24"/>
          <w:highlight w:val="none"/>
        </w:rPr>
      </w:pPr>
    </w:p>
    <w:p w14:paraId="4A997D8E">
      <w:pPr>
        <w:rPr>
          <w:rFonts w:ascii="Times New Roman" w:hAnsi="Times New Roman" w:eastAsia="宋体" w:cs="Times New Roman"/>
          <w:b/>
          <w:color w:val="auto"/>
          <w:sz w:val="28"/>
          <w:szCs w:val="28"/>
          <w:highlight w:val="none"/>
        </w:rPr>
      </w:pPr>
      <w:bookmarkStart w:id="151" w:name="_Toc19686838"/>
      <w:r>
        <w:rPr>
          <w:rFonts w:ascii="Times New Roman" w:hAnsi="Times New Roman" w:eastAsia="宋体" w:cs="Times New Roman"/>
          <w:b/>
          <w:color w:val="auto"/>
          <w:sz w:val="28"/>
          <w:szCs w:val="28"/>
          <w:highlight w:val="none"/>
        </w:rPr>
        <w:br w:type="page"/>
      </w:r>
      <w:r>
        <w:rPr>
          <w:rFonts w:hint="eastAsia" w:ascii="Times New Roman" w:hAnsi="Times New Roman" w:eastAsia="宋体" w:cs="Times New Roman"/>
          <w:b/>
          <w:color w:val="auto"/>
          <w:sz w:val="28"/>
          <w:szCs w:val="28"/>
          <w:highlight w:val="none"/>
        </w:rPr>
        <w:t>四、商务文件格式</w:t>
      </w:r>
      <w:bookmarkEnd w:id="151"/>
    </w:p>
    <w:p w14:paraId="07F7C450">
      <w:pPr>
        <w:snapToGrid w:val="0"/>
        <w:spacing w:before="120" w:beforeLines="50" w:after="50" w:line="360" w:lineRule="auto"/>
        <w:jc w:val="left"/>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 xml:space="preserve">1.商务文件封面格式： </w:t>
      </w:r>
    </w:p>
    <w:p w14:paraId="1DCDBDC7">
      <w:pPr>
        <w:snapToGrid w:val="0"/>
        <w:spacing w:before="120" w:beforeLines="50" w:after="50"/>
        <w:rPr>
          <w:rFonts w:ascii="宋体" w:hAnsi="宋体" w:eastAsia="宋体" w:cs="Times New Roman"/>
          <w:bCs/>
          <w:color w:val="auto"/>
          <w:sz w:val="32"/>
          <w:szCs w:val="20"/>
          <w:highlight w:val="none"/>
        </w:r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bCs/>
          <w:color w:val="auto"/>
          <w:szCs w:val="24"/>
          <w:highlight w:val="none"/>
        </w:rPr>
        <w:t>正本</w:t>
      </w:r>
    </w:p>
    <w:p w14:paraId="11D8279D">
      <w:pPr>
        <w:snapToGrid w:val="0"/>
        <w:spacing w:before="120" w:beforeLines="50" w:after="50"/>
        <w:rPr>
          <w:rFonts w:ascii="宋体" w:hAnsi="宋体" w:eastAsia="宋体" w:cs="Times New Roman"/>
          <w:color w:val="auto"/>
          <w:sz w:val="24"/>
          <w:szCs w:val="20"/>
          <w:highlight w:val="none"/>
        </w:rPr>
      </w:pPr>
    </w:p>
    <w:p w14:paraId="2294284A">
      <w:pPr>
        <w:snapToGrid w:val="0"/>
        <w:spacing w:before="120" w:beforeLines="50" w:after="50"/>
        <w:jc w:val="center"/>
        <w:rPr>
          <w:rFonts w:ascii="宋体" w:hAnsi="宋体" w:eastAsia="宋体" w:cs="Times New Roman"/>
          <w:b/>
          <w:color w:val="auto"/>
          <w:sz w:val="24"/>
          <w:szCs w:val="20"/>
          <w:highlight w:val="none"/>
        </w:rPr>
      </w:pPr>
      <w:r>
        <w:rPr>
          <w:rFonts w:hint="eastAsia" w:ascii="宋体" w:hAnsi="宋体" w:eastAsia="宋体" w:cs="Times New Roman"/>
          <w:b/>
          <w:color w:val="auto"/>
          <w:sz w:val="32"/>
          <w:szCs w:val="32"/>
          <w:highlight w:val="none"/>
        </w:rPr>
        <w:t>商务文件</w:t>
      </w:r>
    </w:p>
    <w:p w14:paraId="2CCA2104">
      <w:pPr>
        <w:snapToGrid w:val="0"/>
        <w:spacing w:before="120" w:beforeLines="50" w:after="50"/>
        <w:rPr>
          <w:rFonts w:ascii="宋体" w:hAnsi="宋体" w:eastAsia="宋体" w:cs="Times New Roman"/>
          <w:bCs/>
          <w:color w:val="auto"/>
          <w:sz w:val="24"/>
          <w:szCs w:val="20"/>
          <w:highlight w:val="none"/>
        </w:rPr>
      </w:pPr>
    </w:p>
    <w:p w14:paraId="229A6161">
      <w:pPr>
        <w:snapToGrid w:val="0"/>
        <w:spacing w:before="120" w:beforeLines="50" w:after="50"/>
        <w:ind w:firstLine="540" w:firstLineChars="225"/>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项目名称：</w:t>
      </w:r>
    </w:p>
    <w:p w14:paraId="0AEDCA0C">
      <w:pPr>
        <w:snapToGrid w:val="0"/>
        <w:spacing w:before="120" w:beforeLines="50" w:after="50"/>
        <w:ind w:firstLine="540" w:firstLineChars="225"/>
        <w:rPr>
          <w:rFonts w:ascii="宋体" w:hAnsi="宋体" w:eastAsia="宋体" w:cs="Times New Roman"/>
          <w:bCs/>
          <w:color w:val="auto"/>
          <w:sz w:val="24"/>
          <w:szCs w:val="20"/>
          <w:highlight w:val="none"/>
        </w:rPr>
      </w:pPr>
    </w:p>
    <w:p w14:paraId="6ACAC4CE">
      <w:pPr>
        <w:snapToGrid w:val="0"/>
        <w:spacing w:before="120" w:beforeLines="50" w:after="50"/>
        <w:ind w:firstLine="540" w:firstLineChars="225"/>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项目编号：</w:t>
      </w:r>
    </w:p>
    <w:p w14:paraId="7C84592F">
      <w:pPr>
        <w:snapToGrid w:val="0"/>
        <w:spacing w:before="120" w:beforeLines="50" w:after="50"/>
        <w:ind w:firstLine="540" w:firstLineChars="225"/>
        <w:rPr>
          <w:rFonts w:ascii="宋体" w:hAnsi="宋体" w:eastAsia="宋体" w:cs="Times New Roman"/>
          <w:bCs/>
          <w:color w:val="auto"/>
          <w:sz w:val="24"/>
          <w:szCs w:val="20"/>
          <w:highlight w:val="none"/>
        </w:rPr>
      </w:pPr>
      <w:r>
        <w:rPr>
          <w:rFonts w:hint="eastAsia" w:ascii="宋体" w:hAnsi="宋体" w:eastAsia="宋体" w:cs="Times New Roman"/>
          <w:bCs/>
          <w:color w:val="auto"/>
          <w:sz w:val="24"/>
          <w:szCs w:val="24"/>
          <w:highlight w:val="none"/>
        </w:rPr>
        <w:t xml:space="preserve"> </w:t>
      </w:r>
    </w:p>
    <w:p w14:paraId="260236A6">
      <w:pPr>
        <w:snapToGrid w:val="0"/>
        <w:spacing w:before="120" w:beforeLines="50" w:after="50"/>
        <w:ind w:firstLine="540" w:firstLineChars="225"/>
        <w:rPr>
          <w:rFonts w:ascii="宋体" w:hAnsi="宋体" w:eastAsia="宋体" w:cs="Times New Roman"/>
          <w:bCs/>
          <w:color w:val="auto"/>
          <w:sz w:val="24"/>
          <w:szCs w:val="20"/>
          <w:highlight w:val="none"/>
        </w:rPr>
      </w:pPr>
    </w:p>
    <w:p w14:paraId="764EACAB">
      <w:pPr>
        <w:snapToGrid w:val="0"/>
        <w:spacing w:before="50" w:after="50"/>
        <w:ind w:firstLine="540" w:firstLineChars="225"/>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投标人名称：</w:t>
      </w:r>
    </w:p>
    <w:p w14:paraId="32A8B857">
      <w:pPr>
        <w:snapToGrid w:val="0"/>
        <w:spacing w:before="50" w:after="50"/>
        <w:ind w:firstLine="540" w:firstLineChars="225"/>
        <w:rPr>
          <w:rFonts w:ascii="宋体" w:hAnsi="宋体" w:eastAsia="宋体" w:cs="Times New Roman"/>
          <w:bCs/>
          <w:color w:val="auto"/>
          <w:sz w:val="24"/>
          <w:szCs w:val="24"/>
          <w:highlight w:val="none"/>
        </w:rPr>
      </w:pPr>
    </w:p>
    <w:p w14:paraId="62A04699">
      <w:pPr>
        <w:snapToGrid w:val="0"/>
        <w:spacing w:before="50" w:after="50"/>
        <w:ind w:firstLine="540" w:firstLineChars="225"/>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投标人地址：</w:t>
      </w:r>
    </w:p>
    <w:p w14:paraId="68A7E7F6">
      <w:pPr>
        <w:snapToGrid w:val="0"/>
        <w:spacing w:before="50" w:after="50"/>
        <w:ind w:firstLine="540" w:firstLineChars="225"/>
        <w:rPr>
          <w:rFonts w:ascii="宋体" w:hAnsi="宋体" w:eastAsia="宋体" w:cs="Times New Roman"/>
          <w:bCs/>
          <w:color w:val="auto"/>
          <w:sz w:val="24"/>
          <w:szCs w:val="24"/>
          <w:highlight w:val="none"/>
        </w:rPr>
      </w:pPr>
    </w:p>
    <w:p w14:paraId="11C5729B">
      <w:pPr>
        <w:snapToGrid w:val="0"/>
        <w:spacing w:before="50" w:after="50"/>
        <w:ind w:firstLine="960" w:firstLineChars="400"/>
        <w:rPr>
          <w:rFonts w:ascii="宋体" w:hAnsi="宋体" w:eastAsia="宋体" w:cs="Times New Roman"/>
          <w:bCs/>
          <w:color w:val="auto"/>
          <w:sz w:val="24"/>
          <w:szCs w:val="24"/>
          <w:highlight w:val="none"/>
        </w:rPr>
      </w:pPr>
    </w:p>
    <w:p w14:paraId="1DC18205">
      <w:pPr>
        <w:snapToGrid w:val="0"/>
        <w:spacing w:before="120" w:beforeLines="50" w:after="50"/>
        <w:ind w:firstLine="64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年  月  日</w:t>
      </w:r>
    </w:p>
    <w:p w14:paraId="4DBF2D43">
      <w:pPr>
        <w:snapToGrid w:val="0"/>
        <w:spacing w:before="120" w:beforeLines="50" w:after="50"/>
        <w:rPr>
          <w:rFonts w:ascii="宋体" w:hAnsi="宋体" w:eastAsia="宋体" w:cs="Times New Roman"/>
          <w:color w:val="auto"/>
          <w:sz w:val="24"/>
          <w:szCs w:val="20"/>
          <w:highlight w:val="none"/>
        </w:rPr>
      </w:pPr>
      <w:r>
        <w:rPr>
          <w:rFonts w:ascii="宋体" w:hAnsi="宋体" w:eastAsia="宋体" w:cs="Times New Roman"/>
          <w:color w:val="auto"/>
          <w:sz w:val="24"/>
          <w:szCs w:val="20"/>
          <w:highlight w:val="none"/>
        </w:rPr>
        <w:t xml:space="preserve"> </w:t>
      </w:r>
    </w:p>
    <w:p w14:paraId="69B24AB0">
      <w:pPr>
        <w:snapToGrid w:val="0"/>
        <w:spacing w:line="360" w:lineRule="auto"/>
        <w:jc w:val="left"/>
        <w:rPr>
          <w:rFonts w:ascii="宋体" w:hAnsi="宋体" w:eastAsia="宋体" w:cs="Times New Roman"/>
          <w:b/>
          <w:bCs/>
          <w:color w:val="auto"/>
          <w:sz w:val="28"/>
          <w:szCs w:val="28"/>
          <w:highlight w:val="none"/>
        </w:rPr>
      </w:pPr>
      <w:r>
        <w:rPr>
          <w:rFonts w:ascii="宋体" w:hAnsi="宋体" w:eastAsia="宋体" w:cs="Times New Roman"/>
          <w:color w:val="auto"/>
          <w:sz w:val="24"/>
          <w:szCs w:val="20"/>
          <w:highlight w:val="none"/>
        </w:rPr>
        <w:br w:type="page"/>
      </w:r>
      <w:r>
        <w:rPr>
          <w:rFonts w:hint="eastAsia" w:ascii="宋体" w:hAnsi="宋体" w:eastAsia="宋体" w:cs="Times New Roman"/>
          <w:b/>
          <w:bCs/>
          <w:color w:val="auto"/>
          <w:sz w:val="28"/>
          <w:szCs w:val="28"/>
          <w:highlight w:val="none"/>
        </w:rPr>
        <w:t>2.商务文件目录</w:t>
      </w:r>
    </w:p>
    <w:p w14:paraId="00FF0D88">
      <w:pPr>
        <w:snapToGrid w:val="0"/>
        <w:spacing w:before="50" w:after="120" w:afterLines="50" w:line="360" w:lineRule="auto"/>
        <w:jc w:val="left"/>
        <w:rPr>
          <w:rFonts w:ascii="微软雅黑" w:hAnsi="微软雅黑" w:eastAsia="微软雅黑" w:cs="Times New Roman"/>
          <w:b/>
          <w:bCs/>
          <w:color w:val="auto"/>
          <w:sz w:val="24"/>
          <w:szCs w:val="24"/>
          <w:highlight w:val="none"/>
        </w:rPr>
      </w:pPr>
      <w:r>
        <w:rPr>
          <w:rFonts w:hint="eastAsia" w:ascii="宋体" w:hAnsi="宋体" w:eastAsia="宋体" w:cs="Times New Roman"/>
          <w:color w:val="auto"/>
          <w:szCs w:val="21"/>
          <w:highlight w:val="none"/>
        </w:rPr>
        <w:t>根据招标文件规定及投标人提供的材料自行编写目录。</w:t>
      </w:r>
    </w:p>
    <w:p w14:paraId="1337D896">
      <w:pPr>
        <w:snapToGrid w:val="0"/>
        <w:spacing w:before="50" w:after="120" w:afterLines="50"/>
        <w:jc w:val="left"/>
        <w:rPr>
          <w:rFonts w:ascii="宋体" w:hAnsi="宋体" w:eastAsia="宋体" w:cs="Times New Roman"/>
          <w:color w:val="auto"/>
          <w:szCs w:val="24"/>
          <w:highlight w:val="none"/>
        </w:rPr>
      </w:pPr>
    </w:p>
    <w:p w14:paraId="4C235F79">
      <w:pPr>
        <w:snapToGrid w:val="0"/>
        <w:spacing w:before="120" w:beforeLines="50" w:after="50"/>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br w:type="page"/>
      </w:r>
      <w:r>
        <w:rPr>
          <w:rFonts w:hint="eastAsia" w:ascii="宋体" w:hAnsi="宋体" w:eastAsia="宋体" w:cs="Times New Roman"/>
          <w:b/>
          <w:color w:val="auto"/>
          <w:sz w:val="24"/>
          <w:szCs w:val="24"/>
          <w:highlight w:val="none"/>
        </w:rPr>
        <w:t>3.投标人参加本项目无围标串标行为的承诺</w:t>
      </w:r>
    </w:p>
    <w:p w14:paraId="1064F53E">
      <w:pPr>
        <w:snapToGrid w:val="0"/>
        <w:spacing w:before="120" w:beforeLines="50" w:after="50"/>
        <w:jc w:val="left"/>
        <w:rPr>
          <w:rFonts w:ascii="宋体" w:hAnsi="宋体" w:eastAsia="宋体" w:cs="Times New Roman"/>
          <w:b/>
          <w:color w:val="auto"/>
          <w:sz w:val="24"/>
          <w:szCs w:val="24"/>
          <w:highlight w:val="none"/>
        </w:rPr>
      </w:pPr>
    </w:p>
    <w:p w14:paraId="43AA6632">
      <w:pPr>
        <w:snapToGrid w:val="0"/>
        <w:spacing w:before="120" w:beforeLines="50" w:after="50"/>
        <w:ind w:left="420"/>
        <w:jc w:val="center"/>
        <w:rPr>
          <w:rFonts w:ascii="宋体" w:hAnsi="宋体" w:eastAsia="宋体" w:cs="Times New Roman"/>
          <w:b/>
          <w:color w:val="auto"/>
          <w:spacing w:val="-17"/>
          <w:sz w:val="32"/>
          <w:szCs w:val="32"/>
          <w:highlight w:val="none"/>
        </w:rPr>
      </w:pPr>
      <w:r>
        <w:rPr>
          <w:rFonts w:hint="eastAsia" w:ascii="方正小标宋简体" w:hAnsi="方正小标宋简体" w:eastAsia="方正小标宋简体" w:cs="方正小标宋简体"/>
          <w:bCs/>
          <w:color w:val="auto"/>
          <w:spacing w:val="-17"/>
          <w:sz w:val="44"/>
          <w:szCs w:val="44"/>
          <w:highlight w:val="none"/>
        </w:rPr>
        <w:t>投标人参加本项目无围标串标行为的承诺函</w:t>
      </w:r>
    </w:p>
    <w:p w14:paraId="5AF91CF3">
      <w:pPr>
        <w:snapToGrid w:val="0"/>
        <w:spacing w:before="120" w:beforeLines="50" w:after="50"/>
        <w:rPr>
          <w:rFonts w:ascii="宋体" w:hAnsi="宋体" w:eastAsia="宋体" w:cs="Times New Roman"/>
          <w:b/>
          <w:color w:val="auto"/>
          <w:sz w:val="24"/>
          <w:szCs w:val="24"/>
          <w:highlight w:val="none"/>
        </w:rPr>
      </w:pPr>
    </w:p>
    <w:p w14:paraId="42B82139">
      <w:pPr>
        <w:spacing w:line="400" w:lineRule="exact"/>
        <w:contextualSpacing/>
        <w:jc w:val="left"/>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一、我方承诺无下列相互串通投标的情形：</w:t>
      </w:r>
    </w:p>
    <w:p w14:paraId="2743CF1F">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1.不同投标人的投标文件由同一单位或者个人编制； </w:t>
      </w:r>
    </w:p>
    <w:p w14:paraId="545FC236">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2.不同投标人委托同一单位或者个人办理投标事宜；</w:t>
      </w:r>
    </w:p>
    <w:p w14:paraId="641F583F">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3.不同的投标人的投标文件载明的项目管理员为同一个人；</w:t>
      </w:r>
    </w:p>
    <w:p w14:paraId="251946BD">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4.不同投标人的投标文件异常一致或者投标报价呈规律性差异；</w:t>
      </w:r>
    </w:p>
    <w:p w14:paraId="234CA146">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5.不同投标人的投标文件相互混装；</w:t>
      </w:r>
    </w:p>
    <w:p w14:paraId="3B695058">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6.不同投标人的投标保证金从同一单位或者个人账户转出。</w:t>
      </w:r>
    </w:p>
    <w:p w14:paraId="77BAC9A7">
      <w:pPr>
        <w:spacing w:line="400" w:lineRule="exact"/>
        <w:contextualSpacing/>
        <w:jc w:val="left"/>
        <w:rPr>
          <w:rFonts w:ascii="宋体" w:hAnsi="宋体" w:eastAsia="宋体" w:cs="Times New Roman"/>
          <w:color w:val="auto"/>
          <w:sz w:val="24"/>
          <w:szCs w:val="24"/>
          <w:highlight w:val="none"/>
        </w:rPr>
      </w:pPr>
      <w:r>
        <w:rPr>
          <w:rFonts w:hint="eastAsia" w:ascii="宋体" w:hAnsi="宋体" w:eastAsia="宋体" w:cs="Times New Roman"/>
          <w:b/>
          <w:color w:val="auto"/>
          <w:sz w:val="24"/>
          <w:szCs w:val="24"/>
          <w:highlight w:val="none"/>
        </w:rPr>
        <w:t>二、我方承诺无下列恶意串通的情形：</w:t>
      </w:r>
    </w:p>
    <w:p w14:paraId="205567CB">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1.投标人直接或者间接从招标人或者采购代理机构处获得其他投标人的相关信息并修改其投标文件或者投标文件；</w:t>
      </w:r>
    </w:p>
    <w:p w14:paraId="77F8DFA3">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2.投标人按照招标人或者采购代理机构的授意撤换、修改投标文件或者投标文件；</w:t>
      </w:r>
    </w:p>
    <w:p w14:paraId="31217C44">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3.投标人之间协商报价、技术方案等投标文件或者投标文件的实质性内容；</w:t>
      </w:r>
    </w:p>
    <w:p w14:paraId="11F96B87">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4.属于同一集团、协会、商会等组织成员的投标人按照该组织要求协同参加政府采购活动；</w:t>
      </w:r>
    </w:p>
    <w:p w14:paraId="73C3594D">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5.投标人之间事先约定一致抬高或者压低投标报价，或者在招标项目中事先约定轮流以高价位或者低价位中标，或者事先约定由某一特定投标人中标，然后再参加投标；</w:t>
      </w:r>
    </w:p>
    <w:p w14:paraId="6151A817">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6.投标人之间商定部分投标人放弃参加政府采购活动或者放弃中标；</w:t>
      </w:r>
    </w:p>
    <w:p w14:paraId="184EB5F2">
      <w:pPr>
        <w:spacing w:line="400" w:lineRule="exact"/>
        <w:ind w:firstLine="470" w:firstLineChars="196"/>
        <w:contextualSpacing/>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7.投标人与招标人或者采购代理机构之间、投标人相互之间，为谋求特定投标人中标或者排斥其他投标人的其他串通行为。</w:t>
      </w:r>
    </w:p>
    <w:p w14:paraId="561B20C2">
      <w:pPr>
        <w:spacing w:line="400" w:lineRule="exact"/>
        <w:ind w:firstLine="472" w:firstLineChars="196"/>
        <w:contextualSpacing/>
        <w:jc w:val="left"/>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以上情形一经核查属实，我方愿意承担一切后果，并不再寻求任何旨在减轻或者免除法律责任的辩解。</w:t>
      </w:r>
    </w:p>
    <w:p w14:paraId="1FF697AB">
      <w:pPr>
        <w:spacing w:line="400" w:lineRule="exact"/>
        <w:ind w:firstLine="6840" w:firstLineChars="2850"/>
        <w:contextualSpacing/>
        <w:rPr>
          <w:rFonts w:ascii="宋体" w:hAnsi="宋体" w:eastAsia="宋体" w:cs="Times New Roman"/>
          <w:color w:val="auto"/>
          <w:kern w:val="0"/>
          <w:sz w:val="24"/>
          <w:szCs w:val="24"/>
          <w:highlight w:val="none"/>
          <w:lang w:val="zh-CN"/>
        </w:rPr>
      </w:pPr>
    </w:p>
    <w:p w14:paraId="00D27D67">
      <w:pPr>
        <w:spacing w:line="400" w:lineRule="exact"/>
        <w:contextualSpacing/>
        <w:jc w:val="center"/>
        <w:rPr>
          <w:rFonts w:ascii="宋体" w:hAnsi="宋体" w:eastAsia="宋体" w:cs="Times New Roman"/>
          <w:color w:val="auto"/>
          <w:kern w:val="0"/>
          <w:sz w:val="24"/>
          <w:szCs w:val="24"/>
          <w:highlight w:val="none"/>
          <w:lang w:val="zh-CN"/>
        </w:rPr>
      </w:pPr>
      <w:r>
        <w:rPr>
          <w:rFonts w:hint="eastAsia" w:ascii="宋体" w:hAnsi="宋体" w:eastAsia="宋体" w:cs="Times New Roman"/>
          <w:color w:val="auto"/>
          <w:kern w:val="0"/>
          <w:sz w:val="24"/>
          <w:szCs w:val="24"/>
          <w:highlight w:val="none"/>
          <w:lang w:val="zh-CN"/>
        </w:rPr>
        <w:t xml:space="preserve"> </w:t>
      </w:r>
      <w:r>
        <w:rPr>
          <w:rFonts w:ascii="宋体" w:hAnsi="宋体" w:eastAsia="宋体" w:cs="Times New Roman"/>
          <w:color w:val="auto"/>
          <w:kern w:val="0"/>
          <w:sz w:val="24"/>
          <w:szCs w:val="24"/>
          <w:highlight w:val="none"/>
          <w:lang w:val="zh-CN"/>
        </w:rPr>
        <w:t xml:space="preserve">                                   </w:t>
      </w:r>
      <w:r>
        <w:rPr>
          <w:rFonts w:hint="eastAsia" w:ascii="宋体" w:hAnsi="宋体" w:eastAsia="宋体" w:cs="Times New Roman"/>
          <w:color w:val="auto"/>
          <w:kern w:val="0"/>
          <w:sz w:val="24"/>
          <w:szCs w:val="24"/>
          <w:highlight w:val="none"/>
          <w:lang w:val="zh-CN"/>
        </w:rPr>
        <w:t>投标人名称（公章）</w:t>
      </w:r>
    </w:p>
    <w:p w14:paraId="775E2EF4">
      <w:pPr>
        <w:spacing w:line="400" w:lineRule="exact"/>
        <w:contextualSpacing/>
        <w:rPr>
          <w:rFonts w:ascii="宋体" w:hAnsi="宋体" w:eastAsia="宋体" w:cs="Times New Roman"/>
          <w:color w:val="auto"/>
          <w:kern w:val="0"/>
          <w:sz w:val="24"/>
          <w:szCs w:val="21"/>
          <w:highlight w:val="none"/>
          <w:lang w:val="zh-CN"/>
        </w:rPr>
      </w:pPr>
      <w:r>
        <w:rPr>
          <w:rFonts w:hint="eastAsia" w:ascii="宋体" w:hAnsi="宋体" w:eastAsia="宋体" w:cs="Times New Roman"/>
          <w:color w:val="auto"/>
          <w:kern w:val="0"/>
          <w:sz w:val="24"/>
          <w:szCs w:val="21"/>
          <w:highlight w:val="none"/>
          <w:lang w:val="zh-CN"/>
        </w:rPr>
        <w:t xml:space="preserve">                                                </w:t>
      </w:r>
      <w:r>
        <w:rPr>
          <w:rFonts w:hint="eastAsia" w:ascii="宋体" w:hAnsi="宋体" w:eastAsia="宋体" w:cs="Times New Roman"/>
          <w:color w:val="auto"/>
          <w:kern w:val="0"/>
          <w:sz w:val="24"/>
          <w:szCs w:val="21"/>
          <w:highlight w:val="none"/>
          <w:u w:val="single"/>
          <w:lang w:val="zh-CN"/>
        </w:rPr>
        <w:t xml:space="preserve">      </w:t>
      </w:r>
      <w:r>
        <w:rPr>
          <w:rFonts w:hint="eastAsia" w:ascii="宋体" w:hAnsi="宋体" w:eastAsia="宋体" w:cs="Times New Roman"/>
          <w:color w:val="auto"/>
          <w:kern w:val="0"/>
          <w:sz w:val="24"/>
          <w:szCs w:val="21"/>
          <w:highlight w:val="none"/>
          <w:lang w:val="zh-CN"/>
        </w:rPr>
        <w:t>年</w:t>
      </w:r>
      <w:r>
        <w:rPr>
          <w:rFonts w:hint="eastAsia" w:ascii="宋体" w:hAnsi="宋体" w:eastAsia="宋体" w:cs="Times New Roman"/>
          <w:color w:val="auto"/>
          <w:kern w:val="0"/>
          <w:sz w:val="24"/>
          <w:szCs w:val="21"/>
          <w:highlight w:val="none"/>
          <w:u w:val="single"/>
          <w:lang w:val="zh-CN"/>
        </w:rPr>
        <w:t xml:space="preserve">    </w:t>
      </w:r>
      <w:r>
        <w:rPr>
          <w:rFonts w:hint="eastAsia" w:ascii="宋体" w:hAnsi="宋体" w:eastAsia="宋体" w:cs="Times New Roman"/>
          <w:color w:val="auto"/>
          <w:kern w:val="0"/>
          <w:sz w:val="24"/>
          <w:szCs w:val="21"/>
          <w:highlight w:val="none"/>
          <w:lang w:val="zh-CN"/>
        </w:rPr>
        <w:t>月</w:t>
      </w:r>
      <w:r>
        <w:rPr>
          <w:rFonts w:hint="eastAsia" w:ascii="宋体" w:hAnsi="宋体" w:eastAsia="宋体" w:cs="Times New Roman"/>
          <w:color w:val="auto"/>
          <w:kern w:val="0"/>
          <w:sz w:val="24"/>
          <w:szCs w:val="21"/>
          <w:highlight w:val="none"/>
          <w:u w:val="single"/>
          <w:lang w:val="zh-CN"/>
        </w:rPr>
        <w:t xml:space="preserve">     </w:t>
      </w:r>
      <w:r>
        <w:rPr>
          <w:rFonts w:hint="eastAsia" w:ascii="宋体" w:hAnsi="宋体" w:eastAsia="宋体" w:cs="Times New Roman"/>
          <w:color w:val="auto"/>
          <w:kern w:val="0"/>
          <w:sz w:val="24"/>
          <w:szCs w:val="21"/>
          <w:highlight w:val="none"/>
          <w:lang w:val="zh-CN"/>
        </w:rPr>
        <w:t>日</w:t>
      </w:r>
    </w:p>
    <w:p w14:paraId="7025971B">
      <w:pPr>
        <w:snapToGrid w:val="0"/>
        <w:spacing w:before="120" w:beforeLines="50" w:after="50"/>
        <w:ind w:firstLine="472" w:firstLineChars="196"/>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br w:type="page"/>
      </w:r>
    </w:p>
    <w:p w14:paraId="54A10F91">
      <w:pPr>
        <w:spacing w:before="240" w:beforeLines="100" w:after="120" w:afterLines="50"/>
        <w:ind w:left="540"/>
        <w:jc w:val="left"/>
        <w:rPr>
          <w:rFonts w:ascii="宋体" w:hAnsi="宋体" w:eastAsia="宋体" w:cs="方正小标宋简体"/>
          <w:bCs/>
          <w:color w:val="auto"/>
          <w:sz w:val="24"/>
          <w:szCs w:val="24"/>
          <w:highlight w:val="none"/>
        </w:rPr>
      </w:pPr>
    </w:p>
    <w:p w14:paraId="226EE540">
      <w:pPr>
        <w:spacing w:before="240" w:beforeLines="100" w:after="120" w:afterLines="50"/>
        <w:ind w:left="540"/>
        <w:jc w:val="left"/>
        <w:rPr>
          <w:rFonts w:ascii="宋体" w:hAnsi="宋体" w:eastAsia="宋体" w:cs="方正小标宋简体"/>
          <w:bCs/>
          <w:color w:val="auto"/>
          <w:sz w:val="24"/>
          <w:szCs w:val="24"/>
          <w:highlight w:val="none"/>
        </w:rPr>
      </w:pPr>
    </w:p>
    <w:p w14:paraId="2FFEEE16">
      <w:pPr>
        <w:spacing w:before="240" w:beforeLines="100" w:after="120" w:afterLines="50"/>
        <w:ind w:left="540"/>
        <w:jc w:val="left"/>
        <w:rPr>
          <w:rFonts w:ascii="宋体" w:hAnsi="宋体" w:eastAsia="宋体" w:cs="方正小标宋简体"/>
          <w:bCs/>
          <w:color w:val="auto"/>
          <w:sz w:val="24"/>
          <w:szCs w:val="24"/>
          <w:highlight w:val="none"/>
        </w:rPr>
      </w:pPr>
      <w:r>
        <w:rPr>
          <w:rFonts w:hint="eastAsia" w:ascii="宋体" w:hAnsi="宋体" w:eastAsia="宋体" w:cs="方正小标宋简体"/>
          <w:bCs/>
          <w:color w:val="auto"/>
          <w:sz w:val="24"/>
          <w:szCs w:val="24"/>
          <w:highlight w:val="none"/>
        </w:rPr>
        <w:t>4.</w:t>
      </w:r>
      <w:r>
        <w:rPr>
          <w:rFonts w:hint="eastAsia" w:ascii="宋体" w:hAnsi="宋体" w:eastAsia="宋体" w:cs="Times New Roman"/>
          <w:b/>
          <w:color w:val="auto"/>
          <w:sz w:val="24"/>
          <w:szCs w:val="24"/>
          <w:highlight w:val="none"/>
        </w:rPr>
        <w:t xml:space="preserve"> 法定代表人身份证明</w:t>
      </w:r>
    </w:p>
    <w:p w14:paraId="7778C9C5">
      <w:pPr>
        <w:spacing w:before="240" w:beforeLines="100" w:after="120" w:afterLines="50"/>
        <w:ind w:left="54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法定代表人身份证明</w:t>
      </w:r>
    </w:p>
    <w:p w14:paraId="5DC9D978">
      <w:pPr>
        <w:spacing w:line="500" w:lineRule="exact"/>
        <w:ind w:left="54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 标 人：</w:t>
      </w:r>
      <w:r>
        <w:rPr>
          <w:rFonts w:hint="eastAsia" w:ascii="宋体" w:hAnsi="宋体" w:eastAsia="宋体" w:cs="Times New Roman"/>
          <w:color w:val="auto"/>
          <w:sz w:val="24"/>
          <w:szCs w:val="24"/>
          <w:highlight w:val="none"/>
          <w:u w:val="single"/>
        </w:rPr>
        <w:t xml:space="preserve">                                                        </w:t>
      </w:r>
    </w:p>
    <w:p w14:paraId="7D32FDF4">
      <w:pPr>
        <w:spacing w:line="500" w:lineRule="exact"/>
        <w:ind w:left="54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    址：</w:t>
      </w:r>
      <w:r>
        <w:rPr>
          <w:rFonts w:hint="eastAsia" w:ascii="宋体" w:hAnsi="宋体" w:eastAsia="宋体" w:cs="Times New Roman"/>
          <w:color w:val="auto"/>
          <w:sz w:val="24"/>
          <w:szCs w:val="24"/>
          <w:highlight w:val="none"/>
          <w:u w:val="single"/>
        </w:rPr>
        <w:t xml:space="preserve">                                                        </w:t>
      </w:r>
    </w:p>
    <w:p w14:paraId="258666FE">
      <w:pPr>
        <w:spacing w:line="500" w:lineRule="exact"/>
        <w:ind w:left="54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姓    名：</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性      别：</w:t>
      </w:r>
      <w:r>
        <w:rPr>
          <w:rFonts w:hint="eastAsia" w:ascii="宋体" w:hAnsi="宋体" w:eastAsia="宋体" w:cs="Times New Roman"/>
          <w:color w:val="auto"/>
          <w:sz w:val="24"/>
          <w:szCs w:val="24"/>
          <w:highlight w:val="none"/>
          <w:u w:val="single"/>
        </w:rPr>
        <w:t xml:space="preserve">                </w:t>
      </w:r>
    </w:p>
    <w:p w14:paraId="4FB75453">
      <w:pPr>
        <w:spacing w:line="500" w:lineRule="exact"/>
        <w:ind w:left="54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年    龄：</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职      务：</w:t>
      </w:r>
      <w:r>
        <w:rPr>
          <w:rFonts w:hint="eastAsia" w:ascii="宋体" w:hAnsi="宋体" w:eastAsia="宋体" w:cs="Times New Roman"/>
          <w:color w:val="auto"/>
          <w:sz w:val="24"/>
          <w:szCs w:val="24"/>
          <w:highlight w:val="none"/>
          <w:u w:val="single"/>
        </w:rPr>
        <w:t xml:space="preserve">                </w:t>
      </w:r>
    </w:p>
    <w:p w14:paraId="09B0D33F">
      <w:pPr>
        <w:spacing w:line="500" w:lineRule="exact"/>
        <w:ind w:left="54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身份证</w:t>
      </w:r>
      <w:r>
        <w:rPr>
          <w:rFonts w:hint="eastAsia" w:ascii="Times New Roman" w:hAnsi="Times New Roman" w:eastAsia="宋体" w:cs="Times New Roman"/>
          <w:color w:val="auto"/>
          <w:sz w:val="24"/>
          <w:szCs w:val="24"/>
          <w:highlight w:val="none"/>
        </w:rPr>
        <w:t>号码：</w:t>
      </w:r>
      <w:r>
        <w:rPr>
          <w:rFonts w:hint="eastAsia" w:ascii="Times New Roman" w:hAnsi="Times New Roman" w:eastAsia="宋体" w:cs="Times New Roman"/>
          <w:color w:val="auto"/>
          <w:sz w:val="24"/>
          <w:szCs w:val="24"/>
          <w:highlight w:val="none"/>
          <w:u w:val="single"/>
        </w:rPr>
        <w:t xml:space="preserve">                                 </w:t>
      </w:r>
    </w:p>
    <w:p w14:paraId="4A7735CA">
      <w:pPr>
        <w:spacing w:line="500" w:lineRule="exact"/>
        <w:ind w:left="54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系</w:t>
      </w:r>
      <w:r>
        <w:rPr>
          <w:rFonts w:hint="eastAsia" w:ascii="宋体" w:hAnsi="宋体" w:eastAsia="宋体" w:cs="Times New Roman"/>
          <w:color w:val="auto"/>
          <w:sz w:val="24"/>
          <w:szCs w:val="24"/>
          <w:highlight w:val="none"/>
          <w:u w:val="single"/>
        </w:rPr>
        <w:t xml:space="preserve">            （投标人名称）              </w:t>
      </w:r>
      <w:r>
        <w:rPr>
          <w:rFonts w:hint="eastAsia" w:ascii="宋体" w:hAnsi="宋体" w:eastAsia="宋体" w:cs="Times New Roman"/>
          <w:color w:val="auto"/>
          <w:sz w:val="24"/>
          <w:szCs w:val="24"/>
          <w:highlight w:val="none"/>
        </w:rPr>
        <w:t>的法定代表人。</w:t>
      </w:r>
    </w:p>
    <w:p w14:paraId="0C28AE7B">
      <w:pPr>
        <w:spacing w:line="500" w:lineRule="exact"/>
        <w:ind w:left="54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特此证明。</w:t>
      </w:r>
    </w:p>
    <w:p w14:paraId="25558798">
      <w:pPr>
        <w:spacing w:line="500" w:lineRule="exact"/>
        <w:ind w:left="540"/>
        <w:rPr>
          <w:rFonts w:ascii="宋体" w:hAnsi="宋体" w:eastAsia="宋体" w:cs="Times New Roman"/>
          <w:color w:val="auto"/>
          <w:sz w:val="24"/>
          <w:szCs w:val="24"/>
          <w:highlight w:val="none"/>
        </w:rPr>
      </w:pPr>
    </w:p>
    <w:p w14:paraId="5D1C9CB6">
      <w:pPr>
        <w:spacing w:line="500" w:lineRule="exact"/>
        <w:ind w:left="540"/>
        <w:rPr>
          <w:rFonts w:ascii="宋体" w:hAnsi="宋体" w:eastAsia="宋体" w:cs="Times New Roman"/>
          <w:color w:val="auto"/>
          <w:sz w:val="24"/>
          <w:szCs w:val="24"/>
          <w:highlight w:val="none"/>
        </w:rPr>
      </w:pPr>
    </w:p>
    <w:p w14:paraId="14D4BC51">
      <w:pPr>
        <w:spacing w:line="500" w:lineRule="exact"/>
        <w:ind w:left="54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附件：法定代表人有效身份证正反面复印件</w:t>
      </w:r>
    </w:p>
    <w:p w14:paraId="26529A54">
      <w:pPr>
        <w:spacing w:line="500" w:lineRule="exact"/>
        <w:ind w:left="540"/>
        <w:rPr>
          <w:rFonts w:ascii="宋体" w:hAnsi="宋体" w:eastAsia="宋体" w:cs="Times New Roman"/>
          <w:color w:val="auto"/>
          <w:sz w:val="24"/>
          <w:szCs w:val="24"/>
          <w:highlight w:val="none"/>
        </w:rPr>
      </w:pPr>
    </w:p>
    <w:p w14:paraId="1FEDA4EE">
      <w:pPr>
        <w:spacing w:line="500" w:lineRule="exact"/>
        <w:ind w:left="540"/>
        <w:jc w:val="righ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投标人名称（公章）</w:t>
      </w:r>
    </w:p>
    <w:p w14:paraId="0F32C3E5">
      <w:pPr>
        <w:spacing w:line="500" w:lineRule="exact"/>
        <w:ind w:left="540"/>
        <w:jc w:val="right"/>
        <w:rPr>
          <w:rFonts w:ascii="宋体" w:hAnsi="宋体" w:eastAsia="宋体" w:cs="Times New Roman"/>
          <w:color w:val="auto"/>
          <w:sz w:val="24"/>
          <w:szCs w:val="24"/>
          <w:highlight w:val="none"/>
        </w:rPr>
      </w:pPr>
    </w:p>
    <w:p w14:paraId="24AFA769">
      <w:pPr>
        <w:snapToGrid w:val="0"/>
        <w:spacing w:before="120" w:beforeLines="50" w:after="50"/>
        <w:ind w:left="540"/>
        <w:jc w:val="righ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5F5F56DF">
      <w:pPr>
        <w:snapToGrid w:val="0"/>
        <w:spacing w:before="120" w:beforeLines="50" w:after="50"/>
        <w:jc w:val="center"/>
        <w:rPr>
          <w:rFonts w:ascii="宋体" w:hAnsi="宋体" w:eastAsia="宋体" w:cs="Times New Roman"/>
          <w:b/>
          <w:color w:val="auto"/>
          <w:sz w:val="24"/>
          <w:szCs w:val="24"/>
          <w:highlight w:val="none"/>
        </w:rPr>
      </w:pPr>
    </w:p>
    <w:p w14:paraId="2C01CDE1">
      <w:pPr>
        <w:snapToGrid w:val="0"/>
        <w:spacing w:before="120" w:beforeLines="50" w:after="50"/>
        <w:jc w:val="left"/>
        <w:rPr>
          <w:rFonts w:ascii="宋体" w:hAnsi="宋体" w:eastAsia="宋体" w:cs="Times New Roman"/>
          <w:b/>
          <w:color w:val="auto"/>
          <w:sz w:val="24"/>
          <w:szCs w:val="20"/>
          <w:highlight w:val="none"/>
        </w:rPr>
      </w:pPr>
      <w:r>
        <w:rPr>
          <w:rFonts w:hint="eastAsia" w:ascii="宋体" w:hAnsi="宋体" w:eastAsia="宋体" w:cs="Times New Roman"/>
          <w:color w:val="auto"/>
          <w:sz w:val="24"/>
          <w:szCs w:val="24"/>
          <w:highlight w:val="none"/>
        </w:rPr>
        <w:t>注：自然人投标的无需提供</w:t>
      </w:r>
    </w:p>
    <w:p w14:paraId="41EE07A1">
      <w:pPr>
        <w:snapToGrid w:val="0"/>
        <w:spacing w:before="120" w:beforeLines="50" w:after="50"/>
        <w:jc w:val="left"/>
        <w:rPr>
          <w:rFonts w:ascii="宋体" w:hAnsi="宋体" w:eastAsia="宋体" w:cs="Times New Roman"/>
          <w:b/>
          <w:color w:val="auto"/>
          <w:sz w:val="24"/>
          <w:szCs w:val="20"/>
          <w:highlight w:val="none"/>
        </w:rPr>
      </w:pPr>
      <w:r>
        <w:rPr>
          <w:rFonts w:ascii="宋体" w:hAnsi="宋体" w:eastAsia="宋体" w:cs="Times New Roman"/>
          <w:b/>
          <w:color w:val="auto"/>
          <w:sz w:val="24"/>
          <w:szCs w:val="24"/>
          <w:highlight w:val="none"/>
        </w:rPr>
        <w:br w:type="page"/>
      </w:r>
      <w:r>
        <w:rPr>
          <w:rFonts w:hint="eastAsia" w:ascii="宋体" w:hAnsi="宋体" w:eastAsia="宋体" w:cs="Times New Roman"/>
          <w:b/>
          <w:color w:val="auto"/>
          <w:sz w:val="24"/>
          <w:szCs w:val="24"/>
          <w:highlight w:val="none"/>
        </w:rPr>
        <w:t>5.授权委托书格式</w:t>
      </w:r>
    </w:p>
    <w:p w14:paraId="4CB8C41B">
      <w:pPr>
        <w:snapToGrid w:val="0"/>
        <w:spacing w:before="120" w:beforeLines="50" w:after="50"/>
        <w:jc w:val="center"/>
        <w:rPr>
          <w:rFonts w:ascii="宋体" w:hAnsi="宋体" w:eastAsia="宋体" w:cs="Times New Roman"/>
          <w:b/>
          <w:color w:val="auto"/>
          <w:sz w:val="44"/>
          <w:szCs w:val="44"/>
          <w:highlight w:val="none"/>
        </w:rPr>
      </w:pPr>
    </w:p>
    <w:p w14:paraId="127C2CF4">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授权委托书</w:t>
      </w:r>
    </w:p>
    <w:p w14:paraId="369B3B02">
      <w:pPr>
        <w:snapToGrid w:val="0"/>
        <w:spacing w:before="120" w:beforeLines="50" w:after="50"/>
        <w:jc w:val="center"/>
        <w:rPr>
          <w:rFonts w:ascii="宋体" w:hAnsi="宋体" w:eastAsia="宋体" w:cs="Times New Roman"/>
          <w:b/>
          <w:color w:val="auto"/>
          <w:sz w:val="24"/>
          <w:szCs w:val="24"/>
          <w:highlight w:val="none"/>
        </w:rPr>
      </w:pPr>
      <w:r>
        <w:rPr>
          <w:rFonts w:hint="eastAsia" w:ascii="宋体" w:hAnsi="宋体" w:eastAsia="宋体" w:cs="Times New Roman"/>
          <w:b/>
          <w:color w:val="auto"/>
          <w:sz w:val="32"/>
          <w:szCs w:val="32"/>
          <w:highlight w:val="none"/>
        </w:rPr>
        <w:t>（如有委托时）</w:t>
      </w:r>
    </w:p>
    <w:p w14:paraId="7CF1C381">
      <w:pPr>
        <w:snapToGrid w:val="0"/>
        <w:spacing w:before="120" w:beforeLines="50" w:after="50"/>
        <w:jc w:val="center"/>
        <w:rPr>
          <w:rFonts w:ascii="宋体" w:hAnsi="宋体" w:eastAsia="宋体" w:cs="Times New Roman"/>
          <w:b/>
          <w:color w:val="auto"/>
          <w:sz w:val="24"/>
          <w:szCs w:val="24"/>
          <w:highlight w:val="none"/>
        </w:rPr>
      </w:pPr>
    </w:p>
    <w:p w14:paraId="2D60D55E">
      <w:pPr>
        <w:spacing w:line="360" w:lineRule="auto"/>
        <w:contextualSpacing/>
        <w:rPr>
          <w:rFonts w:ascii="宋体" w:hAnsi="宋体" w:eastAsia="宋体" w:cs="Times New Roman"/>
          <w:b/>
          <w:bCs/>
          <w:color w:val="auto"/>
          <w:sz w:val="24"/>
          <w:szCs w:val="24"/>
          <w:highlight w:val="none"/>
        </w:rPr>
      </w:pPr>
      <w:r>
        <w:rPr>
          <w:rFonts w:hint="eastAsia" w:ascii="宋体" w:hAnsi="宋体" w:eastAsia="宋体" w:cs="Times New Roman"/>
          <w:bCs/>
          <w:color w:val="auto"/>
          <w:sz w:val="24"/>
          <w:szCs w:val="24"/>
          <w:highlight w:val="none"/>
        </w:rPr>
        <w:t>致：</w:t>
      </w:r>
      <w:r>
        <w:rPr>
          <w:rFonts w:hint="eastAsia" w:ascii="宋体" w:hAnsi="宋体" w:eastAsia="宋体" w:cs="Times New Roman"/>
          <w:color w:val="auto"/>
          <w:sz w:val="24"/>
          <w:szCs w:val="24"/>
          <w:highlight w:val="none"/>
          <w:u w:val="single"/>
        </w:rPr>
        <w:t>招标人名称</w:t>
      </w:r>
      <w:r>
        <w:rPr>
          <w:rFonts w:hint="eastAsia" w:ascii="宋体" w:hAnsi="宋体" w:eastAsia="宋体" w:cs="Times New Roman"/>
          <w:color w:val="auto"/>
          <w:sz w:val="24"/>
          <w:szCs w:val="24"/>
          <w:highlight w:val="none"/>
        </w:rPr>
        <w:t>：</w:t>
      </w:r>
    </w:p>
    <w:p w14:paraId="3AC6A20A">
      <w:pPr>
        <w:spacing w:line="360" w:lineRule="auto"/>
        <w:ind w:firstLine="566" w:firstLineChars="236"/>
        <w:contextualSpacing/>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我</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（姓名）系</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（投标人名称）的法定代表人，现授权委托</w:t>
      </w:r>
      <w:r>
        <w:rPr>
          <w:rFonts w:hint="eastAsia" w:ascii="宋体" w:hAnsi="宋体" w:eastAsia="宋体" w:cs="Times New Roman"/>
          <w:color w:val="auto"/>
          <w:sz w:val="24"/>
          <w:szCs w:val="24"/>
          <w:highlight w:val="none"/>
          <w:u w:val="single"/>
        </w:rPr>
        <w:t xml:space="preserve">              （姓名）</w:t>
      </w:r>
      <w:r>
        <w:rPr>
          <w:rFonts w:hint="eastAsia" w:ascii="宋体" w:hAnsi="宋体" w:eastAsia="宋体" w:cs="Times New Roman"/>
          <w:color w:val="auto"/>
          <w:sz w:val="24"/>
          <w:szCs w:val="24"/>
          <w:highlight w:val="none"/>
        </w:rPr>
        <w:t>以我方的名义参加</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项目的投标活动，并代表我方全权办理针对上述项目的所有采购程序和环节的具体事务和签署相关文件。</w:t>
      </w:r>
    </w:p>
    <w:p w14:paraId="2FFD3021">
      <w:pPr>
        <w:spacing w:line="360" w:lineRule="auto"/>
        <w:contextualSpacing/>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我方对委托代理人的签字事项负全部责任。</w:t>
      </w:r>
    </w:p>
    <w:p w14:paraId="0AF2CB9F">
      <w:pPr>
        <w:spacing w:line="360" w:lineRule="auto"/>
        <w:ind w:firstLine="480"/>
        <w:contextualSpacing/>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u w:val="single"/>
        </w:rPr>
        <w:t>本授权书自签署之日起生效，在撤销授权的书面通知以前，本授权书一直有效。委托代理人在授权书有效期内签署的所有文件不因授权的撤销而失效。</w:t>
      </w:r>
    </w:p>
    <w:p w14:paraId="20D29831">
      <w:pPr>
        <w:spacing w:line="360" w:lineRule="auto"/>
        <w:ind w:firstLine="480"/>
        <w:contextualSpacing/>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委托代理人无转委托权，特此委托。</w:t>
      </w:r>
    </w:p>
    <w:p w14:paraId="0DA1AD91">
      <w:pPr>
        <w:spacing w:line="360" w:lineRule="auto"/>
        <w:ind w:firstLine="480"/>
        <w:contextualSpacing/>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附：法定代表人身份证明及委托代理人有效身份证正反面复印件</w:t>
      </w:r>
    </w:p>
    <w:p w14:paraId="6FE788DD">
      <w:pPr>
        <w:spacing w:line="360" w:lineRule="auto"/>
        <w:contextualSpacing/>
        <w:rPr>
          <w:rFonts w:ascii="宋体" w:hAnsi="宋体" w:eastAsia="宋体" w:cs="Times New Roman"/>
          <w:color w:val="auto"/>
          <w:sz w:val="24"/>
          <w:szCs w:val="24"/>
          <w:highlight w:val="none"/>
        </w:rPr>
      </w:pPr>
    </w:p>
    <w:p w14:paraId="6DE3C350">
      <w:pPr>
        <w:spacing w:line="360" w:lineRule="auto"/>
        <w:contextualSpacing/>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委托代理人（签字）：</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 xml:space="preserve">            法定代表人（签字或盖章）：</w:t>
      </w:r>
      <w:r>
        <w:rPr>
          <w:rFonts w:hint="eastAsia" w:ascii="宋体" w:hAnsi="宋体" w:eastAsia="宋体" w:cs="Times New Roman"/>
          <w:color w:val="auto"/>
          <w:sz w:val="24"/>
          <w:szCs w:val="24"/>
          <w:highlight w:val="none"/>
          <w:u w:val="single"/>
        </w:rPr>
        <w:t xml:space="preserve">              </w:t>
      </w:r>
    </w:p>
    <w:p w14:paraId="0BDD9C1D">
      <w:pPr>
        <w:spacing w:line="360" w:lineRule="auto"/>
        <w:contextualSpacing/>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委托代理人身份证号码：</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 xml:space="preserve"> </w:t>
      </w:r>
    </w:p>
    <w:p w14:paraId="388DE48D">
      <w:pPr>
        <w:spacing w:line="360" w:lineRule="auto"/>
        <w:contextualSpacing/>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投标人（盖公章）：</w:t>
      </w:r>
    </w:p>
    <w:p w14:paraId="2FC2424D">
      <w:pPr>
        <w:spacing w:line="360" w:lineRule="auto"/>
        <w:contextualSpacing/>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年    月    日</w:t>
      </w:r>
    </w:p>
    <w:p w14:paraId="665083AF">
      <w:pPr>
        <w:spacing w:line="360" w:lineRule="auto"/>
        <w:contextualSpacing/>
        <w:rPr>
          <w:rFonts w:ascii="宋体" w:hAnsi="宋体" w:eastAsia="宋体" w:cs="Times New Roman"/>
          <w:color w:val="auto"/>
          <w:sz w:val="24"/>
          <w:szCs w:val="24"/>
          <w:highlight w:val="none"/>
        </w:rPr>
      </w:pPr>
    </w:p>
    <w:p w14:paraId="5B18BBE8">
      <w:pPr>
        <w:spacing w:line="360" w:lineRule="auto"/>
        <w:contextualSpacing/>
        <w:rPr>
          <w:rFonts w:ascii="宋体" w:hAnsi="宋体" w:eastAsia="宋体" w:cs="仿宋_GB2312"/>
          <w:color w:val="auto"/>
          <w:spacing w:val="-17"/>
          <w:sz w:val="24"/>
          <w:szCs w:val="24"/>
          <w:highlight w:val="none"/>
        </w:rPr>
      </w:pPr>
      <w:r>
        <w:rPr>
          <w:rFonts w:hint="eastAsia" w:ascii="宋体" w:hAnsi="宋体" w:eastAsia="宋体" w:cs="仿宋_GB2312"/>
          <w:color w:val="auto"/>
          <w:spacing w:val="-17"/>
          <w:sz w:val="24"/>
          <w:szCs w:val="24"/>
          <w:highlight w:val="none"/>
        </w:rPr>
        <w:t>注：1.</w:t>
      </w:r>
      <w:bookmarkStart w:id="152" w:name="_Hlk65851555"/>
      <w:r>
        <w:rPr>
          <w:rFonts w:hint="eastAsia" w:ascii="宋体" w:hAnsi="宋体" w:eastAsia="宋体" w:cs="仿宋_GB2312"/>
          <w:color w:val="auto"/>
          <w:spacing w:val="-17"/>
          <w:sz w:val="24"/>
          <w:szCs w:val="24"/>
          <w:highlight w:val="none"/>
        </w:rPr>
        <w:t xml:space="preserve"> </w:t>
      </w:r>
      <w:bookmarkStart w:id="153" w:name="_Hlk65852380"/>
      <w:r>
        <w:rPr>
          <w:rFonts w:hint="eastAsia" w:ascii="宋体" w:hAnsi="宋体" w:eastAsia="宋体" w:cs="仿宋_GB2312"/>
          <w:color w:val="auto"/>
          <w:spacing w:val="-17"/>
          <w:sz w:val="24"/>
          <w:szCs w:val="24"/>
          <w:highlight w:val="none"/>
        </w:rPr>
        <w:t>法定代表人必须在授权委托书上亲笔签字或盖章，</w:t>
      </w:r>
      <w:bookmarkEnd w:id="152"/>
      <w:r>
        <w:rPr>
          <w:rFonts w:hint="eastAsia" w:ascii="宋体" w:hAnsi="宋体" w:eastAsia="宋体" w:cs="仿宋_GB2312"/>
          <w:color w:val="auto"/>
          <w:spacing w:val="-17"/>
          <w:sz w:val="24"/>
          <w:szCs w:val="24"/>
          <w:highlight w:val="none"/>
        </w:rPr>
        <w:t>委托代理人必须在授权委托书上亲笔签字，</w:t>
      </w:r>
      <w:r>
        <w:rPr>
          <w:rFonts w:hint="eastAsia" w:ascii="宋体" w:hAnsi="宋体" w:eastAsia="宋体" w:cs="仿宋_GB2312"/>
          <w:b/>
          <w:bCs/>
          <w:color w:val="auto"/>
          <w:spacing w:val="-17"/>
          <w:sz w:val="24"/>
          <w:szCs w:val="24"/>
          <w:highlight w:val="none"/>
        </w:rPr>
        <w:t>否则按无效投标处理</w:t>
      </w:r>
      <w:r>
        <w:rPr>
          <w:rFonts w:hint="eastAsia" w:ascii="宋体" w:hAnsi="宋体" w:eastAsia="宋体" w:cs="仿宋_GB2312"/>
          <w:color w:val="auto"/>
          <w:spacing w:val="-17"/>
          <w:sz w:val="24"/>
          <w:szCs w:val="24"/>
          <w:highlight w:val="none"/>
        </w:rPr>
        <w:t>；</w:t>
      </w:r>
      <w:bookmarkEnd w:id="153"/>
    </w:p>
    <w:p w14:paraId="643FAB6B">
      <w:pPr>
        <w:spacing w:line="360" w:lineRule="auto"/>
        <w:ind w:firstLine="412" w:firstLineChars="200"/>
        <w:contextualSpacing/>
        <w:jc w:val="left"/>
        <w:rPr>
          <w:rFonts w:ascii="宋体" w:hAnsi="宋体" w:eastAsia="宋体" w:cs="仿宋_GB2312"/>
          <w:color w:val="auto"/>
          <w:spacing w:val="-17"/>
          <w:sz w:val="24"/>
          <w:szCs w:val="24"/>
          <w:highlight w:val="none"/>
        </w:rPr>
      </w:pPr>
      <w:r>
        <w:rPr>
          <w:rFonts w:hint="eastAsia" w:ascii="宋体" w:hAnsi="宋体" w:eastAsia="宋体" w:cs="仿宋_GB2312"/>
          <w:color w:val="auto"/>
          <w:spacing w:val="-17"/>
          <w:sz w:val="24"/>
          <w:szCs w:val="24"/>
          <w:highlight w:val="none"/>
        </w:rPr>
        <w:t>2.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4C0569EA">
      <w:pPr>
        <w:spacing w:line="360" w:lineRule="auto"/>
        <w:ind w:firstLine="412" w:firstLineChars="200"/>
        <w:contextualSpacing/>
        <w:jc w:val="left"/>
        <w:rPr>
          <w:rFonts w:ascii="宋体" w:hAnsi="宋体" w:eastAsia="宋体" w:cs="Times New Roman"/>
          <w:color w:val="auto"/>
          <w:spacing w:val="-17"/>
          <w:sz w:val="24"/>
          <w:szCs w:val="24"/>
          <w:highlight w:val="none"/>
        </w:rPr>
      </w:pPr>
      <w:bookmarkStart w:id="154" w:name="_Hlk65852305"/>
      <w:r>
        <w:rPr>
          <w:rFonts w:ascii="宋体" w:hAnsi="宋体" w:eastAsia="宋体" w:cs="仿宋_GB2312"/>
          <w:color w:val="auto"/>
          <w:spacing w:val="-17"/>
          <w:sz w:val="24"/>
          <w:szCs w:val="24"/>
          <w:highlight w:val="none"/>
        </w:rPr>
        <w:t>3.</w:t>
      </w:r>
      <w:r>
        <w:rPr>
          <w:rFonts w:hint="eastAsia" w:ascii="宋体" w:hAnsi="宋体" w:eastAsia="宋体" w:cs="仿宋_GB2312"/>
          <w:color w:val="auto"/>
          <w:spacing w:val="-17"/>
          <w:sz w:val="24"/>
          <w:szCs w:val="24"/>
          <w:highlight w:val="none"/>
        </w:rPr>
        <w:t>法人、其他组织投标时“我方”是指“我单位”，自然人投标时“我方”是指“本人”。</w:t>
      </w:r>
    </w:p>
    <w:bookmarkEnd w:id="154"/>
    <w:p w14:paraId="5EFF4B1B">
      <w:pPr>
        <w:snapToGrid w:val="0"/>
        <w:spacing w:before="120" w:beforeLines="50" w:after="50"/>
        <w:ind w:firstLine="566" w:firstLineChars="236"/>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br w:type="page"/>
      </w:r>
    </w:p>
    <w:p w14:paraId="6E33AA0B">
      <w:pPr>
        <w:rPr>
          <w:rFonts w:ascii="宋体" w:hAnsi="宋体" w:eastAsia="宋体" w:cs="Times New Roman"/>
          <w:b/>
          <w:color w:val="auto"/>
          <w:sz w:val="24"/>
          <w:szCs w:val="20"/>
          <w:highlight w:val="none"/>
        </w:rPr>
      </w:pPr>
      <w:r>
        <w:rPr>
          <w:rFonts w:hint="eastAsia" w:ascii="宋体" w:hAnsi="宋体" w:eastAsia="宋体" w:cs="Times New Roman"/>
          <w:b/>
          <w:color w:val="auto"/>
          <w:sz w:val="24"/>
          <w:szCs w:val="24"/>
          <w:highlight w:val="none"/>
        </w:rPr>
        <w:t>6.商务条款偏离表格式</w:t>
      </w:r>
    </w:p>
    <w:p w14:paraId="1CED640B">
      <w:pPr>
        <w:snapToGrid w:val="0"/>
        <w:spacing w:before="50"/>
        <w:jc w:val="left"/>
        <w:rPr>
          <w:rFonts w:ascii="宋体" w:hAnsi="宋体" w:eastAsia="宋体" w:cs="Times New Roman"/>
          <w:color w:val="auto"/>
          <w:sz w:val="24"/>
          <w:szCs w:val="24"/>
          <w:highlight w:val="none"/>
        </w:rPr>
      </w:pPr>
    </w:p>
    <w:p w14:paraId="5D8C2F86">
      <w:pPr>
        <w:snapToGrid w:val="0"/>
        <w:spacing w:before="50"/>
        <w:jc w:val="left"/>
        <w:rPr>
          <w:rFonts w:ascii="宋体" w:hAnsi="宋体" w:eastAsia="宋体" w:cs="Times New Roman"/>
          <w:color w:val="auto"/>
          <w:sz w:val="24"/>
          <w:szCs w:val="24"/>
          <w:highlight w:val="none"/>
          <w:u w:val="single"/>
        </w:rPr>
      </w:pPr>
    </w:p>
    <w:tbl>
      <w:tblPr>
        <w:tblStyle w:val="37"/>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70"/>
        <w:gridCol w:w="2977"/>
        <w:gridCol w:w="2126"/>
        <w:gridCol w:w="1468"/>
      </w:tblGrid>
      <w:tr w14:paraId="304147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070" w:type="dxa"/>
            <w:tcBorders>
              <w:top w:val="single" w:color="auto" w:sz="4" w:space="0"/>
              <w:left w:val="single" w:color="auto" w:sz="4" w:space="0"/>
              <w:bottom w:val="single" w:color="auto" w:sz="4" w:space="0"/>
              <w:right w:val="single" w:color="auto" w:sz="4" w:space="0"/>
            </w:tcBorders>
            <w:vAlign w:val="center"/>
          </w:tcPr>
          <w:p w14:paraId="2732C193">
            <w:pPr>
              <w:snapToGrid w:val="0"/>
              <w:spacing w:before="120" w:beforeLines="50"/>
              <w:jc w:val="center"/>
              <w:rPr>
                <w:rFonts w:ascii="宋体" w:hAnsi="宋体" w:eastAsia="宋体" w:cs="Times New Roman"/>
                <w:color w:val="auto"/>
                <w:sz w:val="24"/>
                <w:szCs w:val="24"/>
                <w:highlight w:val="none"/>
              </w:rPr>
            </w:pPr>
            <w:bookmarkStart w:id="155" w:name="_Hlk98345412"/>
            <w:r>
              <w:rPr>
                <w:rFonts w:hint="eastAsia" w:ascii="宋体" w:hAnsi="宋体" w:eastAsia="宋体" w:cs="Times New Roman"/>
                <w:color w:val="auto"/>
                <w:sz w:val="24"/>
                <w:szCs w:val="24"/>
                <w:highlight w:val="none"/>
              </w:rPr>
              <w:t>项目</w:t>
            </w:r>
          </w:p>
        </w:tc>
        <w:tc>
          <w:tcPr>
            <w:tcW w:w="2977" w:type="dxa"/>
            <w:tcBorders>
              <w:top w:val="single" w:color="auto" w:sz="4" w:space="0"/>
              <w:left w:val="single" w:color="auto" w:sz="4" w:space="0"/>
              <w:bottom w:val="single" w:color="auto" w:sz="4" w:space="0"/>
              <w:right w:val="single" w:color="auto" w:sz="4" w:space="0"/>
            </w:tcBorders>
            <w:vAlign w:val="center"/>
          </w:tcPr>
          <w:p w14:paraId="1F41B5A8">
            <w:pPr>
              <w:snapToGrid w:val="0"/>
              <w:spacing w:before="120" w:beforeLines="5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招标文件商务条款要求</w:t>
            </w:r>
          </w:p>
        </w:tc>
        <w:tc>
          <w:tcPr>
            <w:tcW w:w="2126" w:type="dxa"/>
            <w:tcBorders>
              <w:top w:val="single" w:color="auto" w:sz="4" w:space="0"/>
              <w:left w:val="single" w:color="auto" w:sz="4" w:space="0"/>
              <w:bottom w:val="single" w:color="auto" w:sz="4" w:space="0"/>
              <w:right w:val="single" w:color="auto" w:sz="4" w:space="0"/>
            </w:tcBorders>
            <w:vAlign w:val="center"/>
          </w:tcPr>
          <w:p w14:paraId="29460D3F">
            <w:pPr>
              <w:snapToGrid w:val="0"/>
              <w:spacing w:before="120" w:beforeLines="5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投标人的承诺</w:t>
            </w:r>
          </w:p>
        </w:tc>
        <w:tc>
          <w:tcPr>
            <w:tcW w:w="1468" w:type="dxa"/>
            <w:tcBorders>
              <w:top w:val="single" w:color="auto" w:sz="4" w:space="0"/>
              <w:left w:val="single" w:color="auto" w:sz="4" w:space="0"/>
              <w:bottom w:val="single" w:color="auto" w:sz="4" w:space="0"/>
              <w:right w:val="single" w:color="auto" w:sz="4" w:space="0"/>
            </w:tcBorders>
            <w:vAlign w:val="center"/>
          </w:tcPr>
          <w:p w14:paraId="2D11104E">
            <w:pPr>
              <w:snapToGrid w:val="0"/>
              <w:spacing w:before="120" w:beforeLines="5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偏离说明</w:t>
            </w:r>
          </w:p>
        </w:tc>
      </w:tr>
      <w:tr w14:paraId="0B62DA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070" w:type="dxa"/>
            <w:tcBorders>
              <w:top w:val="single" w:color="auto" w:sz="4" w:space="0"/>
              <w:left w:val="single" w:color="auto" w:sz="4" w:space="0"/>
              <w:bottom w:val="single" w:color="auto" w:sz="4" w:space="0"/>
              <w:right w:val="single" w:color="auto" w:sz="4" w:space="0"/>
            </w:tcBorders>
            <w:vAlign w:val="center"/>
          </w:tcPr>
          <w:p w14:paraId="34647B1B">
            <w:pPr>
              <w:jc w:val="center"/>
              <w:rPr>
                <w:rFonts w:ascii="宋体" w:hAnsi="宋体" w:eastAsia="宋体" w:cs="Times New Roman"/>
                <w:color w:val="auto"/>
                <w:sz w:val="24"/>
                <w:szCs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45FA0DD0">
            <w:pPr>
              <w:snapToGrid w:val="0"/>
              <w:spacing w:before="120" w:beforeLines="50"/>
              <w:jc w:val="center"/>
              <w:rPr>
                <w:rFonts w:ascii="宋体" w:hAnsi="宋体" w:eastAsia="宋体" w:cs="Times New Roman"/>
                <w:color w:val="auto"/>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vAlign w:val="center"/>
          </w:tcPr>
          <w:p w14:paraId="67FB2CEB">
            <w:pPr>
              <w:snapToGrid w:val="0"/>
              <w:spacing w:before="120" w:beforeLines="50"/>
              <w:jc w:val="center"/>
              <w:rPr>
                <w:rFonts w:ascii="宋体" w:hAnsi="宋体" w:eastAsia="宋体" w:cs="Times New Roman"/>
                <w:color w:val="auto"/>
                <w:sz w:val="24"/>
                <w:szCs w:val="24"/>
                <w:highlight w:val="none"/>
              </w:rPr>
            </w:pPr>
          </w:p>
        </w:tc>
        <w:tc>
          <w:tcPr>
            <w:tcW w:w="1468" w:type="dxa"/>
            <w:tcBorders>
              <w:top w:val="single" w:color="auto" w:sz="4" w:space="0"/>
              <w:left w:val="single" w:color="auto" w:sz="4" w:space="0"/>
              <w:bottom w:val="single" w:color="auto" w:sz="4" w:space="0"/>
              <w:right w:val="single" w:color="auto" w:sz="4" w:space="0"/>
            </w:tcBorders>
            <w:vAlign w:val="center"/>
          </w:tcPr>
          <w:p w14:paraId="08FF3969">
            <w:pPr>
              <w:snapToGrid w:val="0"/>
              <w:spacing w:before="120" w:beforeLines="50"/>
              <w:jc w:val="center"/>
              <w:rPr>
                <w:rFonts w:ascii="宋体" w:hAnsi="宋体" w:eastAsia="宋体" w:cs="Times New Roman"/>
                <w:color w:val="auto"/>
                <w:sz w:val="24"/>
                <w:szCs w:val="24"/>
                <w:highlight w:val="none"/>
              </w:rPr>
            </w:pPr>
          </w:p>
        </w:tc>
      </w:tr>
      <w:tr w14:paraId="7A9970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070" w:type="dxa"/>
            <w:tcBorders>
              <w:top w:val="single" w:color="auto" w:sz="4" w:space="0"/>
              <w:left w:val="single" w:color="auto" w:sz="4" w:space="0"/>
              <w:bottom w:val="single" w:color="auto" w:sz="4" w:space="0"/>
              <w:right w:val="single" w:color="auto" w:sz="4" w:space="0"/>
            </w:tcBorders>
            <w:vAlign w:val="center"/>
          </w:tcPr>
          <w:p w14:paraId="5D1B9B8C">
            <w:pPr>
              <w:jc w:val="center"/>
              <w:rPr>
                <w:rFonts w:ascii="宋体" w:hAnsi="宋体" w:eastAsia="宋体" w:cs="Times New Roman"/>
                <w:color w:val="auto"/>
                <w:sz w:val="24"/>
                <w:szCs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6A1714E5">
            <w:pPr>
              <w:snapToGrid w:val="0"/>
              <w:spacing w:before="120" w:beforeLines="50"/>
              <w:jc w:val="center"/>
              <w:rPr>
                <w:rFonts w:ascii="宋体" w:hAnsi="宋体" w:eastAsia="宋体" w:cs="Times New Roman"/>
                <w:color w:val="auto"/>
                <w:sz w:val="24"/>
                <w:szCs w:val="24"/>
                <w:highlight w:val="none"/>
                <w:u w:val="single"/>
              </w:rPr>
            </w:pPr>
          </w:p>
        </w:tc>
        <w:tc>
          <w:tcPr>
            <w:tcW w:w="2126" w:type="dxa"/>
            <w:tcBorders>
              <w:top w:val="single" w:color="auto" w:sz="4" w:space="0"/>
              <w:left w:val="single" w:color="auto" w:sz="4" w:space="0"/>
              <w:bottom w:val="single" w:color="auto" w:sz="4" w:space="0"/>
              <w:right w:val="single" w:color="auto" w:sz="4" w:space="0"/>
            </w:tcBorders>
            <w:vAlign w:val="center"/>
          </w:tcPr>
          <w:p w14:paraId="2DB12D64">
            <w:pPr>
              <w:snapToGrid w:val="0"/>
              <w:spacing w:before="120" w:beforeLines="50"/>
              <w:ind w:left="43"/>
              <w:jc w:val="center"/>
              <w:rPr>
                <w:rFonts w:ascii="宋体" w:hAnsi="宋体" w:eastAsia="宋体" w:cs="Times New Roman"/>
                <w:color w:val="auto"/>
                <w:sz w:val="24"/>
                <w:szCs w:val="24"/>
                <w:highlight w:val="none"/>
              </w:rPr>
            </w:pPr>
          </w:p>
        </w:tc>
        <w:tc>
          <w:tcPr>
            <w:tcW w:w="1468" w:type="dxa"/>
            <w:tcBorders>
              <w:top w:val="single" w:color="auto" w:sz="4" w:space="0"/>
              <w:left w:val="single" w:color="auto" w:sz="4" w:space="0"/>
              <w:bottom w:val="single" w:color="auto" w:sz="4" w:space="0"/>
              <w:right w:val="single" w:color="auto" w:sz="4" w:space="0"/>
            </w:tcBorders>
            <w:vAlign w:val="center"/>
          </w:tcPr>
          <w:p w14:paraId="3990AD44">
            <w:pPr>
              <w:snapToGrid w:val="0"/>
              <w:spacing w:before="120" w:beforeLines="50"/>
              <w:ind w:left="43"/>
              <w:jc w:val="center"/>
              <w:rPr>
                <w:rFonts w:ascii="宋体" w:hAnsi="宋体" w:eastAsia="宋体" w:cs="Times New Roman"/>
                <w:color w:val="auto"/>
                <w:sz w:val="24"/>
                <w:szCs w:val="24"/>
                <w:highlight w:val="none"/>
              </w:rPr>
            </w:pPr>
          </w:p>
        </w:tc>
      </w:tr>
      <w:tr w14:paraId="602F81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070" w:type="dxa"/>
            <w:tcBorders>
              <w:top w:val="single" w:color="auto" w:sz="4" w:space="0"/>
              <w:left w:val="single" w:color="auto" w:sz="4" w:space="0"/>
              <w:bottom w:val="single" w:color="auto" w:sz="4" w:space="0"/>
              <w:right w:val="single" w:color="auto" w:sz="4" w:space="0"/>
            </w:tcBorders>
            <w:vAlign w:val="center"/>
          </w:tcPr>
          <w:p w14:paraId="7164C740">
            <w:pPr>
              <w:jc w:val="center"/>
              <w:rPr>
                <w:rFonts w:ascii="宋体" w:hAnsi="宋体" w:eastAsia="宋体" w:cs="Times New Roman"/>
                <w:color w:val="auto"/>
                <w:sz w:val="24"/>
                <w:szCs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071D138A">
            <w:pPr>
              <w:snapToGrid w:val="0"/>
              <w:spacing w:before="120" w:beforeLines="50"/>
              <w:jc w:val="center"/>
              <w:rPr>
                <w:rFonts w:ascii="宋体" w:hAnsi="宋体" w:eastAsia="宋体" w:cs="Times New Roman"/>
                <w:color w:val="auto"/>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vAlign w:val="center"/>
          </w:tcPr>
          <w:p w14:paraId="7C35B7CC">
            <w:pPr>
              <w:snapToGrid w:val="0"/>
              <w:spacing w:before="120" w:beforeLines="50"/>
              <w:jc w:val="center"/>
              <w:rPr>
                <w:rFonts w:ascii="宋体" w:hAnsi="宋体" w:eastAsia="宋体" w:cs="Times New Roman"/>
                <w:color w:val="auto"/>
                <w:sz w:val="24"/>
                <w:szCs w:val="24"/>
                <w:highlight w:val="none"/>
              </w:rPr>
            </w:pPr>
          </w:p>
        </w:tc>
        <w:tc>
          <w:tcPr>
            <w:tcW w:w="1468" w:type="dxa"/>
            <w:tcBorders>
              <w:top w:val="single" w:color="auto" w:sz="4" w:space="0"/>
              <w:left w:val="single" w:color="auto" w:sz="4" w:space="0"/>
              <w:bottom w:val="single" w:color="auto" w:sz="4" w:space="0"/>
              <w:right w:val="single" w:color="auto" w:sz="4" w:space="0"/>
            </w:tcBorders>
            <w:vAlign w:val="center"/>
          </w:tcPr>
          <w:p w14:paraId="55983CEE">
            <w:pPr>
              <w:snapToGrid w:val="0"/>
              <w:spacing w:before="120" w:beforeLines="50"/>
              <w:jc w:val="center"/>
              <w:rPr>
                <w:rFonts w:ascii="宋体" w:hAnsi="宋体" w:eastAsia="宋体" w:cs="Times New Roman"/>
                <w:color w:val="auto"/>
                <w:sz w:val="24"/>
                <w:szCs w:val="24"/>
                <w:highlight w:val="none"/>
              </w:rPr>
            </w:pPr>
          </w:p>
        </w:tc>
      </w:tr>
      <w:tr w14:paraId="1F51D3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070" w:type="dxa"/>
            <w:tcBorders>
              <w:top w:val="single" w:color="auto" w:sz="4" w:space="0"/>
              <w:left w:val="single" w:color="auto" w:sz="4" w:space="0"/>
              <w:bottom w:val="single" w:color="auto" w:sz="4" w:space="0"/>
              <w:right w:val="single" w:color="auto" w:sz="4" w:space="0"/>
            </w:tcBorders>
            <w:vAlign w:val="center"/>
          </w:tcPr>
          <w:p w14:paraId="5C83C3E0">
            <w:pPr>
              <w:jc w:val="center"/>
              <w:rPr>
                <w:rFonts w:ascii="宋体" w:hAnsi="宋体" w:eastAsia="宋体" w:cs="Times New Roman"/>
                <w:color w:val="auto"/>
                <w:sz w:val="24"/>
                <w:szCs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009CC06E">
            <w:pPr>
              <w:snapToGrid w:val="0"/>
              <w:spacing w:before="120" w:beforeLines="50"/>
              <w:jc w:val="center"/>
              <w:rPr>
                <w:rFonts w:ascii="宋体" w:hAnsi="宋体" w:eastAsia="宋体" w:cs="Times New Roman"/>
                <w:color w:val="auto"/>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vAlign w:val="center"/>
          </w:tcPr>
          <w:p w14:paraId="3C8EF563">
            <w:pPr>
              <w:snapToGrid w:val="0"/>
              <w:spacing w:before="120" w:beforeLines="50"/>
              <w:jc w:val="center"/>
              <w:rPr>
                <w:rFonts w:ascii="宋体" w:hAnsi="宋体" w:eastAsia="宋体" w:cs="Times New Roman"/>
                <w:color w:val="auto"/>
                <w:sz w:val="24"/>
                <w:szCs w:val="24"/>
                <w:highlight w:val="none"/>
              </w:rPr>
            </w:pPr>
          </w:p>
        </w:tc>
        <w:tc>
          <w:tcPr>
            <w:tcW w:w="1468" w:type="dxa"/>
            <w:tcBorders>
              <w:top w:val="single" w:color="auto" w:sz="4" w:space="0"/>
              <w:left w:val="single" w:color="auto" w:sz="4" w:space="0"/>
              <w:bottom w:val="single" w:color="auto" w:sz="4" w:space="0"/>
              <w:right w:val="single" w:color="auto" w:sz="4" w:space="0"/>
            </w:tcBorders>
            <w:vAlign w:val="center"/>
          </w:tcPr>
          <w:p w14:paraId="440D6E26">
            <w:pPr>
              <w:snapToGrid w:val="0"/>
              <w:spacing w:before="120" w:beforeLines="50"/>
              <w:jc w:val="center"/>
              <w:rPr>
                <w:rFonts w:ascii="宋体" w:hAnsi="宋体" w:eastAsia="宋体" w:cs="Times New Roman"/>
                <w:color w:val="auto"/>
                <w:sz w:val="24"/>
                <w:szCs w:val="24"/>
                <w:highlight w:val="none"/>
              </w:rPr>
            </w:pPr>
          </w:p>
        </w:tc>
      </w:tr>
      <w:tr w14:paraId="763BD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070" w:type="dxa"/>
            <w:tcBorders>
              <w:top w:val="single" w:color="auto" w:sz="4" w:space="0"/>
              <w:left w:val="single" w:color="auto" w:sz="4" w:space="0"/>
              <w:bottom w:val="single" w:color="auto" w:sz="4" w:space="0"/>
              <w:right w:val="single" w:color="auto" w:sz="4" w:space="0"/>
            </w:tcBorders>
            <w:vAlign w:val="center"/>
          </w:tcPr>
          <w:p w14:paraId="7CBB65E1">
            <w:pPr>
              <w:jc w:val="center"/>
              <w:rPr>
                <w:rFonts w:ascii="宋体" w:hAnsi="宋体" w:eastAsia="宋体" w:cs="Times New Roman"/>
                <w:color w:val="auto"/>
                <w:sz w:val="24"/>
                <w:szCs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2F2B1219">
            <w:pPr>
              <w:snapToGrid w:val="0"/>
              <w:spacing w:before="120" w:beforeLines="50"/>
              <w:jc w:val="center"/>
              <w:rPr>
                <w:rFonts w:ascii="宋体" w:hAnsi="宋体" w:eastAsia="宋体" w:cs="Times New Roman"/>
                <w:color w:val="auto"/>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vAlign w:val="center"/>
          </w:tcPr>
          <w:p w14:paraId="021963B9">
            <w:pPr>
              <w:snapToGrid w:val="0"/>
              <w:spacing w:before="120" w:beforeLines="50"/>
              <w:jc w:val="center"/>
              <w:rPr>
                <w:rFonts w:ascii="宋体" w:hAnsi="宋体" w:eastAsia="宋体" w:cs="Times New Roman"/>
                <w:color w:val="auto"/>
                <w:sz w:val="24"/>
                <w:szCs w:val="24"/>
                <w:highlight w:val="none"/>
              </w:rPr>
            </w:pPr>
          </w:p>
        </w:tc>
        <w:tc>
          <w:tcPr>
            <w:tcW w:w="1468" w:type="dxa"/>
            <w:tcBorders>
              <w:top w:val="single" w:color="auto" w:sz="4" w:space="0"/>
              <w:left w:val="single" w:color="auto" w:sz="4" w:space="0"/>
              <w:bottom w:val="single" w:color="auto" w:sz="4" w:space="0"/>
              <w:right w:val="single" w:color="auto" w:sz="4" w:space="0"/>
            </w:tcBorders>
            <w:vAlign w:val="center"/>
          </w:tcPr>
          <w:p w14:paraId="1E2DCA96">
            <w:pPr>
              <w:snapToGrid w:val="0"/>
              <w:spacing w:before="120" w:beforeLines="50"/>
              <w:jc w:val="center"/>
              <w:rPr>
                <w:rFonts w:ascii="宋体" w:hAnsi="宋体" w:eastAsia="宋体" w:cs="Times New Roman"/>
                <w:color w:val="auto"/>
                <w:sz w:val="24"/>
                <w:szCs w:val="24"/>
                <w:highlight w:val="none"/>
              </w:rPr>
            </w:pPr>
          </w:p>
        </w:tc>
      </w:tr>
      <w:tr w14:paraId="2C3054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070" w:type="dxa"/>
            <w:tcBorders>
              <w:top w:val="single" w:color="auto" w:sz="4" w:space="0"/>
              <w:left w:val="single" w:color="auto" w:sz="4" w:space="0"/>
              <w:bottom w:val="single" w:color="auto" w:sz="4" w:space="0"/>
              <w:right w:val="single" w:color="auto" w:sz="4" w:space="0"/>
            </w:tcBorders>
            <w:vAlign w:val="center"/>
          </w:tcPr>
          <w:p w14:paraId="186C5024">
            <w:pPr>
              <w:jc w:val="center"/>
              <w:rPr>
                <w:rFonts w:ascii="宋体" w:hAnsi="宋体" w:eastAsia="宋体" w:cs="Times New Roman"/>
                <w:color w:val="auto"/>
                <w:sz w:val="24"/>
                <w:szCs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459057BF">
            <w:pPr>
              <w:snapToGrid w:val="0"/>
              <w:spacing w:before="120" w:beforeLines="50"/>
              <w:jc w:val="center"/>
              <w:rPr>
                <w:rFonts w:ascii="宋体" w:hAnsi="宋体" w:eastAsia="宋体" w:cs="Times New Roman"/>
                <w:color w:val="auto"/>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vAlign w:val="center"/>
          </w:tcPr>
          <w:p w14:paraId="7FFAE757">
            <w:pPr>
              <w:snapToGrid w:val="0"/>
              <w:spacing w:before="120" w:beforeLines="50"/>
              <w:jc w:val="center"/>
              <w:rPr>
                <w:rFonts w:ascii="宋体" w:hAnsi="宋体" w:eastAsia="宋体" w:cs="Times New Roman"/>
                <w:color w:val="auto"/>
                <w:sz w:val="24"/>
                <w:szCs w:val="24"/>
                <w:highlight w:val="none"/>
              </w:rPr>
            </w:pPr>
          </w:p>
        </w:tc>
        <w:tc>
          <w:tcPr>
            <w:tcW w:w="1468" w:type="dxa"/>
            <w:tcBorders>
              <w:top w:val="single" w:color="auto" w:sz="4" w:space="0"/>
              <w:left w:val="single" w:color="auto" w:sz="4" w:space="0"/>
              <w:bottom w:val="single" w:color="auto" w:sz="4" w:space="0"/>
              <w:right w:val="single" w:color="auto" w:sz="4" w:space="0"/>
            </w:tcBorders>
            <w:vAlign w:val="center"/>
          </w:tcPr>
          <w:p w14:paraId="7BC24E52">
            <w:pPr>
              <w:snapToGrid w:val="0"/>
              <w:spacing w:before="120" w:beforeLines="50"/>
              <w:jc w:val="center"/>
              <w:rPr>
                <w:rFonts w:ascii="宋体" w:hAnsi="宋体" w:eastAsia="宋体" w:cs="Times New Roman"/>
                <w:color w:val="auto"/>
                <w:sz w:val="24"/>
                <w:szCs w:val="24"/>
                <w:highlight w:val="none"/>
              </w:rPr>
            </w:pPr>
          </w:p>
        </w:tc>
      </w:tr>
      <w:tr w14:paraId="27EBCA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70" w:type="dxa"/>
            <w:tcBorders>
              <w:top w:val="single" w:color="auto" w:sz="4" w:space="0"/>
              <w:left w:val="single" w:color="auto" w:sz="4" w:space="0"/>
              <w:bottom w:val="single" w:color="auto" w:sz="4" w:space="0"/>
              <w:right w:val="single" w:color="auto" w:sz="4" w:space="0"/>
            </w:tcBorders>
            <w:vAlign w:val="center"/>
          </w:tcPr>
          <w:p w14:paraId="06DDFD51">
            <w:pPr>
              <w:snapToGrid w:val="0"/>
              <w:spacing w:before="120" w:beforeLines="5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p>
        </w:tc>
        <w:tc>
          <w:tcPr>
            <w:tcW w:w="2977" w:type="dxa"/>
            <w:tcBorders>
              <w:top w:val="single" w:color="auto" w:sz="4" w:space="0"/>
              <w:left w:val="single" w:color="auto" w:sz="4" w:space="0"/>
              <w:bottom w:val="single" w:color="auto" w:sz="4" w:space="0"/>
              <w:right w:val="single" w:color="auto" w:sz="4" w:space="0"/>
            </w:tcBorders>
            <w:vAlign w:val="center"/>
          </w:tcPr>
          <w:p w14:paraId="148EE0FC">
            <w:pPr>
              <w:snapToGrid w:val="0"/>
              <w:spacing w:before="120" w:beforeLines="50"/>
              <w:jc w:val="center"/>
              <w:rPr>
                <w:rFonts w:ascii="宋体" w:hAnsi="宋体" w:eastAsia="宋体" w:cs="Times New Roman"/>
                <w:color w:val="auto"/>
                <w:sz w:val="24"/>
                <w:szCs w:val="24"/>
                <w:highlight w:val="none"/>
              </w:rPr>
            </w:pPr>
          </w:p>
        </w:tc>
        <w:tc>
          <w:tcPr>
            <w:tcW w:w="2126" w:type="dxa"/>
            <w:tcBorders>
              <w:top w:val="single" w:color="auto" w:sz="4" w:space="0"/>
              <w:left w:val="single" w:color="auto" w:sz="4" w:space="0"/>
              <w:bottom w:val="single" w:color="auto" w:sz="4" w:space="0"/>
              <w:right w:val="single" w:color="auto" w:sz="4" w:space="0"/>
            </w:tcBorders>
            <w:vAlign w:val="center"/>
          </w:tcPr>
          <w:p w14:paraId="7BAFCECA">
            <w:pPr>
              <w:snapToGrid w:val="0"/>
              <w:spacing w:before="120" w:beforeLines="50"/>
              <w:jc w:val="center"/>
              <w:rPr>
                <w:rFonts w:ascii="宋体" w:hAnsi="宋体" w:eastAsia="宋体" w:cs="Times New Roman"/>
                <w:color w:val="auto"/>
                <w:sz w:val="24"/>
                <w:szCs w:val="24"/>
                <w:highlight w:val="none"/>
              </w:rPr>
            </w:pPr>
          </w:p>
        </w:tc>
        <w:tc>
          <w:tcPr>
            <w:tcW w:w="1468" w:type="dxa"/>
            <w:tcBorders>
              <w:top w:val="single" w:color="auto" w:sz="4" w:space="0"/>
              <w:left w:val="single" w:color="auto" w:sz="4" w:space="0"/>
              <w:bottom w:val="single" w:color="auto" w:sz="4" w:space="0"/>
              <w:right w:val="single" w:color="auto" w:sz="4" w:space="0"/>
            </w:tcBorders>
            <w:vAlign w:val="center"/>
          </w:tcPr>
          <w:p w14:paraId="6D581E15">
            <w:pPr>
              <w:snapToGrid w:val="0"/>
              <w:spacing w:before="120" w:beforeLines="50"/>
              <w:jc w:val="center"/>
              <w:rPr>
                <w:rFonts w:ascii="宋体" w:hAnsi="宋体" w:eastAsia="宋体" w:cs="Times New Roman"/>
                <w:color w:val="auto"/>
                <w:sz w:val="24"/>
                <w:szCs w:val="24"/>
                <w:highlight w:val="none"/>
              </w:rPr>
            </w:pPr>
          </w:p>
        </w:tc>
      </w:tr>
      <w:bookmarkEnd w:id="155"/>
    </w:tbl>
    <w:p w14:paraId="0DDF23C8">
      <w:pPr>
        <w:spacing w:line="500" w:lineRule="exact"/>
        <w:rPr>
          <w:rFonts w:ascii="宋体" w:hAnsi="宋体" w:eastAsia="宋体" w:cs="Times New Roman"/>
          <w:b/>
          <w:bCs/>
          <w:color w:val="auto"/>
          <w:kern w:val="0"/>
          <w:sz w:val="24"/>
          <w:szCs w:val="24"/>
          <w:highlight w:val="none"/>
          <w:lang w:val="zh-CN"/>
        </w:rPr>
      </w:pPr>
      <w:r>
        <w:rPr>
          <w:rFonts w:hint="eastAsia" w:ascii="宋体" w:hAnsi="宋体" w:eastAsia="宋体" w:cs="Times New Roman"/>
          <w:b/>
          <w:bCs/>
          <w:color w:val="auto"/>
          <w:kern w:val="0"/>
          <w:sz w:val="24"/>
          <w:szCs w:val="24"/>
          <w:highlight w:val="none"/>
          <w:lang w:val="zh-CN"/>
        </w:rPr>
        <w:t>注：</w:t>
      </w:r>
    </w:p>
    <w:p w14:paraId="4B6BE147">
      <w:pPr>
        <w:spacing w:line="520" w:lineRule="exact"/>
        <w:rPr>
          <w:rFonts w:ascii="仿宋_GB2312" w:hAnsi="仿宋_GB2312" w:eastAsia="仿宋_GB2312" w:cs="仿宋_GB2312"/>
          <w:color w:val="auto"/>
          <w:kern w:val="0"/>
          <w:sz w:val="32"/>
          <w:szCs w:val="32"/>
          <w:highlight w:val="none"/>
          <w:lang w:val="zh-CN"/>
        </w:rPr>
      </w:pPr>
      <w:r>
        <w:rPr>
          <w:rFonts w:hint="eastAsia" w:ascii="宋体" w:hAnsi="宋体" w:eastAsia="宋体" w:cs="Times New Roman"/>
          <w:color w:val="auto"/>
          <w:kern w:val="0"/>
          <w:sz w:val="24"/>
          <w:szCs w:val="24"/>
          <w:highlight w:val="none"/>
          <w:lang w:val="zh-CN"/>
        </w:rPr>
        <w:t>1. 说明：应对照招标文件“第二章 采购需求”中的“一、商务条款”逐条明确的响应，并作出偏离说明。</w:t>
      </w:r>
    </w:p>
    <w:p w14:paraId="12169C3F">
      <w:pPr>
        <w:spacing w:line="500" w:lineRule="exact"/>
        <w:rPr>
          <w:rFonts w:ascii="宋体" w:hAnsi="宋体" w:eastAsia="宋体" w:cs="Times New Roman"/>
          <w:color w:val="auto"/>
          <w:kern w:val="0"/>
          <w:sz w:val="24"/>
          <w:szCs w:val="24"/>
          <w:highlight w:val="none"/>
          <w:lang w:val="zh-CN"/>
        </w:rPr>
      </w:pPr>
      <w:r>
        <w:rPr>
          <w:rFonts w:ascii="宋体" w:hAnsi="宋体" w:eastAsia="宋体" w:cs="Times New Roman"/>
          <w:color w:val="auto"/>
          <w:kern w:val="0"/>
          <w:sz w:val="24"/>
          <w:szCs w:val="24"/>
          <w:highlight w:val="none"/>
          <w:lang w:val="zh-CN"/>
        </w:rPr>
        <w:t>2.</w:t>
      </w:r>
      <w:r>
        <w:rPr>
          <w:rFonts w:hint="eastAsia" w:ascii="宋体" w:hAnsi="宋体" w:eastAsia="宋体" w:cs="Times New Roman"/>
          <w:color w:val="auto"/>
          <w:kern w:val="0"/>
          <w:sz w:val="24"/>
          <w:szCs w:val="24"/>
          <w:highlight w:val="none"/>
          <w:lang w:val="zh-CN"/>
        </w:rPr>
        <w:t>投标人应根据自身的承诺，对照招标文件要求在“偏离说明”中注明“</w:t>
      </w:r>
      <w:r>
        <w:rPr>
          <w:rFonts w:hint="eastAsia" w:ascii="宋体" w:hAnsi="宋体" w:eastAsia="宋体" w:cs="Times New Roman"/>
          <w:b/>
          <w:bCs/>
          <w:color w:val="auto"/>
          <w:kern w:val="0"/>
          <w:sz w:val="24"/>
          <w:szCs w:val="24"/>
          <w:highlight w:val="none"/>
          <w:lang w:val="zh-CN"/>
        </w:rPr>
        <w:t>正偏离</w:t>
      </w:r>
      <w:r>
        <w:rPr>
          <w:rFonts w:hint="eastAsia" w:ascii="宋体" w:hAnsi="宋体" w:eastAsia="宋体" w:cs="Times New Roman"/>
          <w:color w:val="auto"/>
          <w:kern w:val="0"/>
          <w:sz w:val="24"/>
          <w:szCs w:val="24"/>
          <w:highlight w:val="none"/>
          <w:lang w:val="zh-CN"/>
        </w:rPr>
        <w:t>”、“</w:t>
      </w:r>
      <w:r>
        <w:rPr>
          <w:rFonts w:hint="eastAsia" w:ascii="宋体" w:hAnsi="宋体" w:eastAsia="宋体" w:cs="Times New Roman"/>
          <w:b/>
          <w:bCs/>
          <w:color w:val="auto"/>
          <w:kern w:val="0"/>
          <w:sz w:val="24"/>
          <w:szCs w:val="24"/>
          <w:highlight w:val="none"/>
          <w:lang w:val="zh-CN"/>
        </w:rPr>
        <w:t>负偏离</w:t>
      </w:r>
      <w:r>
        <w:rPr>
          <w:rFonts w:hint="eastAsia" w:ascii="宋体" w:hAnsi="宋体" w:eastAsia="宋体" w:cs="Times New Roman"/>
          <w:color w:val="auto"/>
          <w:kern w:val="0"/>
          <w:sz w:val="24"/>
          <w:szCs w:val="24"/>
          <w:highlight w:val="none"/>
          <w:lang w:val="zh-CN"/>
        </w:rPr>
        <w:t>”或者“</w:t>
      </w:r>
      <w:r>
        <w:rPr>
          <w:rFonts w:hint="eastAsia" w:ascii="宋体" w:hAnsi="宋体" w:eastAsia="宋体" w:cs="Times New Roman"/>
          <w:b/>
          <w:bCs/>
          <w:color w:val="auto"/>
          <w:kern w:val="0"/>
          <w:sz w:val="24"/>
          <w:szCs w:val="24"/>
          <w:highlight w:val="none"/>
          <w:lang w:val="zh-CN"/>
        </w:rPr>
        <w:t>无偏离</w:t>
      </w:r>
      <w:r>
        <w:rPr>
          <w:rFonts w:hint="eastAsia" w:ascii="宋体" w:hAnsi="宋体" w:eastAsia="宋体" w:cs="Times New Roman"/>
          <w:color w:val="auto"/>
          <w:kern w:val="0"/>
          <w:sz w:val="24"/>
          <w:szCs w:val="24"/>
          <w:highlight w:val="none"/>
          <w:lang w:val="zh-CN"/>
        </w:rPr>
        <w:t>”。既不属于“</w:t>
      </w:r>
      <w:r>
        <w:rPr>
          <w:rFonts w:hint="eastAsia" w:ascii="宋体" w:hAnsi="宋体" w:eastAsia="宋体" w:cs="Times New Roman"/>
          <w:b/>
          <w:bCs/>
          <w:color w:val="auto"/>
          <w:kern w:val="0"/>
          <w:sz w:val="24"/>
          <w:szCs w:val="24"/>
          <w:highlight w:val="none"/>
          <w:lang w:val="zh-CN"/>
        </w:rPr>
        <w:t>正偏离</w:t>
      </w:r>
      <w:r>
        <w:rPr>
          <w:rFonts w:hint="eastAsia" w:ascii="宋体" w:hAnsi="宋体" w:eastAsia="宋体" w:cs="Times New Roman"/>
          <w:color w:val="auto"/>
          <w:kern w:val="0"/>
          <w:sz w:val="24"/>
          <w:szCs w:val="24"/>
          <w:highlight w:val="none"/>
          <w:lang w:val="zh-CN"/>
        </w:rPr>
        <w:t>”也不属于“</w:t>
      </w:r>
      <w:r>
        <w:rPr>
          <w:rFonts w:hint="eastAsia" w:ascii="宋体" w:hAnsi="宋体" w:eastAsia="宋体" w:cs="Times New Roman"/>
          <w:b/>
          <w:bCs/>
          <w:color w:val="auto"/>
          <w:kern w:val="0"/>
          <w:sz w:val="24"/>
          <w:szCs w:val="24"/>
          <w:highlight w:val="none"/>
          <w:lang w:val="zh-CN"/>
        </w:rPr>
        <w:t>负偏离</w:t>
      </w:r>
      <w:r>
        <w:rPr>
          <w:rFonts w:hint="eastAsia" w:ascii="宋体" w:hAnsi="宋体" w:eastAsia="宋体" w:cs="Times New Roman"/>
          <w:color w:val="auto"/>
          <w:kern w:val="0"/>
          <w:sz w:val="24"/>
          <w:szCs w:val="24"/>
          <w:highlight w:val="none"/>
          <w:lang w:val="zh-CN"/>
        </w:rPr>
        <w:t>”即为“</w:t>
      </w:r>
      <w:r>
        <w:rPr>
          <w:rFonts w:hint="eastAsia" w:ascii="宋体" w:hAnsi="宋体" w:eastAsia="宋体" w:cs="Times New Roman"/>
          <w:b/>
          <w:bCs/>
          <w:color w:val="auto"/>
          <w:kern w:val="0"/>
          <w:sz w:val="24"/>
          <w:szCs w:val="24"/>
          <w:highlight w:val="none"/>
          <w:lang w:val="zh-CN"/>
        </w:rPr>
        <w:t>无偏离</w:t>
      </w:r>
      <w:r>
        <w:rPr>
          <w:rFonts w:hint="eastAsia" w:ascii="宋体" w:hAnsi="宋体" w:eastAsia="宋体" w:cs="Times New Roman"/>
          <w:color w:val="auto"/>
          <w:kern w:val="0"/>
          <w:sz w:val="24"/>
          <w:szCs w:val="24"/>
          <w:highlight w:val="none"/>
          <w:lang w:val="zh-CN"/>
        </w:rPr>
        <w:t>”。</w:t>
      </w:r>
    </w:p>
    <w:p w14:paraId="49835915">
      <w:pPr>
        <w:snapToGrid w:val="0"/>
        <w:spacing w:before="50" w:after="50"/>
        <w:rPr>
          <w:rFonts w:ascii="宋体" w:hAnsi="宋体" w:eastAsia="宋体" w:cs="Times New Roman"/>
          <w:color w:val="auto"/>
          <w:sz w:val="24"/>
          <w:szCs w:val="24"/>
          <w:highlight w:val="none"/>
        </w:rPr>
      </w:pPr>
    </w:p>
    <w:p w14:paraId="01BEF8C9">
      <w:pPr>
        <w:snapToGrid w:val="0"/>
        <w:spacing w:before="50" w:after="50"/>
        <w:rPr>
          <w:rFonts w:ascii="宋体" w:hAnsi="宋体" w:eastAsia="宋体" w:cs="Times New Roman"/>
          <w:color w:val="auto"/>
          <w:sz w:val="24"/>
          <w:szCs w:val="24"/>
          <w:highlight w:val="none"/>
        </w:rPr>
      </w:pPr>
    </w:p>
    <w:p w14:paraId="5C8BD3E8">
      <w:pPr>
        <w:snapToGrid w:val="0"/>
        <w:spacing w:before="50" w:after="50"/>
        <w:rPr>
          <w:rFonts w:ascii="宋体" w:hAnsi="宋体" w:eastAsia="宋体" w:cs="Times New Roman"/>
          <w:color w:val="auto"/>
          <w:spacing w:val="20"/>
          <w:sz w:val="24"/>
          <w:szCs w:val="24"/>
          <w:highlight w:val="none"/>
          <w:u w:val="single"/>
        </w:rPr>
      </w:pPr>
      <w:r>
        <w:rPr>
          <w:rFonts w:hint="eastAsia" w:ascii="宋体" w:hAnsi="宋体" w:eastAsia="宋体" w:cs="Times New Roman"/>
          <w:color w:val="auto"/>
          <w:sz w:val="24"/>
          <w:szCs w:val="24"/>
          <w:highlight w:val="none"/>
        </w:rPr>
        <w:t>法定代表人或者委托代理人</w:t>
      </w:r>
      <w:r>
        <w:rPr>
          <w:rFonts w:hint="eastAsia" w:ascii="宋体" w:hAnsi="宋体" w:eastAsia="宋体" w:cs="Times New Roman"/>
          <w:color w:val="auto"/>
          <w:spacing w:val="20"/>
          <w:sz w:val="24"/>
          <w:szCs w:val="24"/>
          <w:highlight w:val="none"/>
        </w:rPr>
        <w:t>（签字）：</w:t>
      </w:r>
      <w:r>
        <w:rPr>
          <w:rFonts w:hint="eastAsia" w:ascii="宋体" w:hAnsi="宋体" w:eastAsia="宋体" w:cs="Times New Roman"/>
          <w:color w:val="auto"/>
          <w:spacing w:val="20"/>
          <w:sz w:val="24"/>
          <w:szCs w:val="24"/>
          <w:highlight w:val="none"/>
          <w:u w:val="single"/>
        </w:rPr>
        <w:t xml:space="preserve">        </w:t>
      </w:r>
    </w:p>
    <w:p w14:paraId="2918CEF5">
      <w:pPr>
        <w:snapToGrid w:val="0"/>
        <w:spacing w:before="120" w:beforeLines="50"/>
        <w:rPr>
          <w:rFonts w:ascii="宋体" w:hAnsi="宋体" w:eastAsia="宋体" w:cs="Times New Roman"/>
          <w:color w:val="auto"/>
          <w:spacing w:val="20"/>
          <w:sz w:val="24"/>
          <w:szCs w:val="24"/>
          <w:highlight w:val="none"/>
        </w:rPr>
      </w:pPr>
      <w:r>
        <w:rPr>
          <w:rFonts w:hint="eastAsia" w:ascii="宋体" w:hAnsi="宋体" w:eastAsia="宋体" w:cs="Times New Roman"/>
          <w:color w:val="auto"/>
          <w:spacing w:val="20"/>
          <w:sz w:val="24"/>
          <w:szCs w:val="24"/>
          <w:highlight w:val="none"/>
        </w:rPr>
        <w:t>投标人盖公章：</w:t>
      </w:r>
      <w:r>
        <w:rPr>
          <w:rFonts w:hint="eastAsia" w:ascii="宋体" w:hAnsi="宋体" w:eastAsia="宋体" w:cs="Times New Roman"/>
          <w:color w:val="auto"/>
          <w:spacing w:val="20"/>
          <w:sz w:val="24"/>
          <w:szCs w:val="24"/>
          <w:highlight w:val="none"/>
          <w:u w:val="single"/>
        </w:rPr>
        <w:t xml:space="preserve">            </w:t>
      </w:r>
      <w:r>
        <w:rPr>
          <w:rFonts w:hint="eastAsia" w:ascii="宋体" w:hAnsi="宋体" w:eastAsia="宋体" w:cs="Times New Roman"/>
          <w:color w:val="auto"/>
          <w:spacing w:val="20"/>
          <w:sz w:val="24"/>
          <w:szCs w:val="24"/>
          <w:highlight w:val="none"/>
        </w:rPr>
        <w:t xml:space="preserve">   </w:t>
      </w:r>
    </w:p>
    <w:p w14:paraId="3CE2E0E3">
      <w:pPr>
        <w:snapToGrid w:val="0"/>
        <w:spacing w:before="120" w:beforeLines="50"/>
        <w:rPr>
          <w:rFonts w:ascii="宋体" w:hAnsi="宋体" w:eastAsia="宋体" w:cs="Times New Roman"/>
          <w:color w:val="auto"/>
          <w:sz w:val="24"/>
          <w:szCs w:val="20"/>
          <w:highlight w:val="none"/>
        </w:rPr>
      </w:pPr>
      <w:r>
        <w:rPr>
          <w:rFonts w:hint="eastAsia" w:ascii="宋体" w:hAnsi="宋体" w:eastAsia="宋体" w:cs="Times New Roman"/>
          <w:color w:val="auto"/>
          <w:spacing w:val="20"/>
          <w:sz w:val="24"/>
          <w:szCs w:val="24"/>
          <w:highlight w:val="none"/>
        </w:rPr>
        <w:t>日  期：</w:t>
      </w:r>
      <w:r>
        <w:rPr>
          <w:rFonts w:hint="eastAsia" w:ascii="宋体" w:hAnsi="宋体" w:eastAsia="宋体" w:cs="Times New Roman"/>
          <w:color w:val="auto"/>
          <w:spacing w:val="20"/>
          <w:sz w:val="24"/>
          <w:szCs w:val="24"/>
          <w:highlight w:val="none"/>
          <w:u w:val="single"/>
        </w:rPr>
        <w:t xml:space="preserve">         </w:t>
      </w:r>
    </w:p>
    <w:p w14:paraId="568A0D2D">
      <w:pPr>
        <w:snapToGrid w:val="0"/>
        <w:spacing w:before="120" w:beforeLines="50"/>
        <w:rPr>
          <w:rFonts w:ascii="宋体" w:hAnsi="宋体" w:eastAsia="宋体" w:cs="Times New Roman"/>
          <w:color w:val="auto"/>
          <w:sz w:val="24"/>
          <w:szCs w:val="20"/>
          <w:highlight w:val="none"/>
        </w:rPr>
      </w:pPr>
    </w:p>
    <w:p w14:paraId="0B94FFDC">
      <w:pPr>
        <w:snapToGrid w:val="0"/>
        <w:spacing w:before="120" w:beforeLines="50" w:after="50"/>
        <w:jc w:val="left"/>
        <w:rPr>
          <w:rFonts w:ascii="宋体" w:hAnsi="宋体" w:eastAsia="宋体" w:cs="Times New Roman"/>
          <w:color w:val="auto"/>
          <w:sz w:val="24"/>
          <w:szCs w:val="20"/>
          <w:highlight w:val="none"/>
        </w:rPr>
        <w:sectPr>
          <w:footerReference r:id="rId10" w:type="first"/>
          <w:headerReference r:id="rId7" w:type="default"/>
          <w:footerReference r:id="rId8" w:type="default"/>
          <w:footerReference r:id="rId9" w:type="even"/>
          <w:pgSz w:w="11910" w:h="16840"/>
          <w:pgMar w:top="1520" w:right="1503" w:bottom="278" w:left="1678" w:header="851" w:footer="992" w:gutter="0"/>
          <w:pgNumType w:fmt="decimal"/>
          <w:cols w:space="720" w:num="1"/>
          <w:docGrid w:linePitch="312" w:charSpace="0"/>
        </w:sectPr>
      </w:pPr>
    </w:p>
    <w:p w14:paraId="2211C8D7">
      <w:pPr>
        <w:rPr>
          <w:rFonts w:ascii="Times New Roman" w:hAnsi="Times New Roman" w:eastAsia="宋体" w:cs="Times New Roman"/>
          <w:b/>
          <w:color w:val="auto"/>
          <w:sz w:val="28"/>
          <w:szCs w:val="28"/>
          <w:highlight w:val="none"/>
        </w:rPr>
      </w:pPr>
      <w:bookmarkStart w:id="156" w:name="_Toc19686839"/>
      <w:r>
        <w:rPr>
          <w:rFonts w:hint="eastAsia" w:ascii="Times New Roman" w:hAnsi="Times New Roman" w:eastAsia="宋体" w:cs="Times New Roman"/>
          <w:b/>
          <w:color w:val="auto"/>
          <w:sz w:val="28"/>
          <w:szCs w:val="28"/>
          <w:highlight w:val="none"/>
        </w:rPr>
        <w:t>五、技术文件格式</w:t>
      </w:r>
      <w:bookmarkEnd w:id="156"/>
    </w:p>
    <w:p w14:paraId="36263BEC">
      <w:pPr>
        <w:snapToGrid w:val="0"/>
        <w:spacing w:before="120" w:beforeLines="50" w:after="50"/>
        <w:ind w:left="142"/>
        <w:jc w:val="left"/>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 xml:space="preserve">1. 技术文件封面格式： </w:t>
      </w:r>
    </w:p>
    <w:p w14:paraId="190B1381">
      <w:pPr>
        <w:snapToGrid w:val="0"/>
        <w:spacing w:before="120" w:beforeLines="50" w:after="50"/>
        <w:rPr>
          <w:rFonts w:ascii="宋体" w:hAnsi="宋体" w:eastAsia="宋体" w:cs="Times New Roman"/>
          <w:b/>
          <w:bCs/>
          <w:color w:val="auto"/>
          <w:sz w:val="32"/>
          <w:szCs w:val="20"/>
          <w:highlight w:val="none"/>
        </w:r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b/>
          <w:bCs/>
          <w:color w:val="auto"/>
          <w:szCs w:val="24"/>
          <w:highlight w:val="none"/>
        </w:rPr>
        <w:t>正本</w:t>
      </w:r>
    </w:p>
    <w:p w14:paraId="34088712">
      <w:pPr>
        <w:snapToGrid w:val="0"/>
        <w:spacing w:before="120" w:beforeLines="50" w:after="50"/>
        <w:rPr>
          <w:rFonts w:ascii="宋体" w:hAnsi="宋体" w:eastAsia="宋体" w:cs="Times New Roman"/>
          <w:color w:val="auto"/>
          <w:sz w:val="24"/>
          <w:szCs w:val="20"/>
          <w:highlight w:val="none"/>
        </w:rPr>
      </w:pPr>
    </w:p>
    <w:p w14:paraId="3ABFB44A">
      <w:pPr>
        <w:snapToGrid w:val="0"/>
        <w:spacing w:before="120" w:beforeLines="50" w:after="50"/>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技术文件</w:t>
      </w:r>
    </w:p>
    <w:p w14:paraId="564A3532">
      <w:pPr>
        <w:snapToGrid w:val="0"/>
        <w:spacing w:before="120" w:beforeLines="50" w:after="50"/>
        <w:rPr>
          <w:rFonts w:ascii="宋体" w:hAnsi="宋体" w:eastAsia="宋体" w:cs="Times New Roman"/>
          <w:bCs/>
          <w:color w:val="auto"/>
          <w:sz w:val="24"/>
          <w:szCs w:val="20"/>
          <w:highlight w:val="none"/>
        </w:rPr>
      </w:pPr>
    </w:p>
    <w:p w14:paraId="71040793">
      <w:pPr>
        <w:snapToGrid w:val="0"/>
        <w:spacing w:before="120" w:beforeLines="50" w:after="50" w:line="400" w:lineRule="exact"/>
        <w:ind w:firstLine="360" w:firstLineChars="150"/>
        <w:rPr>
          <w:rFonts w:ascii="宋体" w:hAnsi="宋体" w:eastAsia="宋体" w:cs="Times New Roman"/>
          <w:bCs/>
          <w:color w:val="auto"/>
          <w:sz w:val="24"/>
          <w:szCs w:val="20"/>
          <w:highlight w:val="none"/>
        </w:rPr>
      </w:pPr>
      <w:r>
        <w:rPr>
          <w:rFonts w:hint="eastAsia" w:ascii="宋体" w:hAnsi="宋体" w:eastAsia="宋体" w:cs="Times New Roman"/>
          <w:bCs/>
          <w:color w:val="auto"/>
          <w:sz w:val="24"/>
          <w:szCs w:val="24"/>
          <w:highlight w:val="none"/>
        </w:rPr>
        <w:t xml:space="preserve">项目名称： </w:t>
      </w:r>
    </w:p>
    <w:p w14:paraId="500C5693">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 xml:space="preserve">项目编号： </w:t>
      </w:r>
    </w:p>
    <w:p w14:paraId="318398DE">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投标人名称：</w:t>
      </w:r>
    </w:p>
    <w:p w14:paraId="21EBF195">
      <w:pPr>
        <w:snapToGrid w:val="0"/>
        <w:spacing w:before="120" w:beforeLines="50" w:after="50" w:line="400" w:lineRule="exact"/>
        <w:ind w:firstLine="360" w:firstLineChars="15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投标人地址：</w:t>
      </w:r>
    </w:p>
    <w:p w14:paraId="43259DBB">
      <w:pPr>
        <w:snapToGrid w:val="0"/>
        <w:spacing w:before="120" w:beforeLines="50" w:after="50"/>
        <w:ind w:firstLine="645"/>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年    月    日</w:t>
      </w:r>
    </w:p>
    <w:p w14:paraId="2D4CDA03">
      <w:pPr>
        <w:snapToGrid w:val="0"/>
        <w:spacing w:before="120" w:beforeLines="50" w:after="50"/>
        <w:ind w:firstLine="645"/>
        <w:jc w:val="center"/>
        <w:rPr>
          <w:rFonts w:ascii="宋体" w:hAnsi="宋体" w:eastAsia="宋体" w:cs="Times New Roman"/>
          <w:color w:val="auto"/>
          <w:sz w:val="24"/>
          <w:szCs w:val="20"/>
          <w:highlight w:val="none"/>
        </w:rPr>
      </w:pPr>
    </w:p>
    <w:p w14:paraId="3E2E68F8">
      <w:pPr>
        <w:snapToGrid w:val="0"/>
        <w:spacing w:before="120" w:beforeLines="50" w:after="50"/>
        <w:ind w:left="142"/>
        <w:jc w:val="left"/>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br w:type="page"/>
      </w:r>
      <w:r>
        <w:rPr>
          <w:rFonts w:hint="eastAsia" w:ascii="宋体" w:hAnsi="宋体" w:eastAsia="宋体" w:cs="Times New Roman"/>
          <w:b/>
          <w:bCs/>
          <w:color w:val="auto"/>
          <w:sz w:val="24"/>
          <w:szCs w:val="24"/>
          <w:highlight w:val="none"/>
        </w:rPr>
        <w:t>2.技术文件目录</w:t>
      </w:r>
    </w:p>
    <w:p w14:paraId="03804970">
      <w:pPr>
        <w:snapToGrid w:val="0"/>
        <w:spacing w:before="50" w:after="120" w:afterLines="50" w:line="280" w:lineRule="exact"/>
        <w:ind w:left="283" w:leftChars="135"/>
        <w:jc w:val="left"/>
        <w:rPr>
          <w:rFonts w:ascii="宋体" w:hAnsi="宋体" w:eastAsia="宋体" w:cs="Times New Roman"/>
          <w:color w:val="auto"/>
          <w:sz w:val="24"/>
          <w:szCs w:val="20"/>
          <w:highlight w:val="none"/>
        </w:rPr>
      </w:pPr>
      <w:r>
        <w:rPr>
          <w:rFonts w:hint="eastAsia" w:ascii="宋体" w:hAnsi="宋体" w:eastAsia="宋体" w:cs="Times New Roman"/>
          <w:color w:val="auto"/>
          <w:szCs w:val="21"/>
          <w:highlight w:val="none"/>
        </w:rPr>
        <w:t>根据招标文件规定及投标人提供的材料自行编写目录。</w:t>
      </w:r>
    </w:p>
    <w:p w14:paraId="6F1AAFDD">
      <w:pPr>
        <w:snapToGrid w:val="0"/>
        <w:spacing w:before="120" w:beforeLines="50" w:after="50"/>
        <w:ind w:firstLine="241" w:firstLineChars="100"/>
        <w:jc w:val="left"/>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3.</w:t>
      </w:r>
      <w:r>
        <w:rPr>
          <w:rFonts w:hint="eastAsia"/>
          <w:color w:val="auto"/>
          <w:highlight w:val="none"/>
        </w:rPr>
        <w:t xml:space="preserve"> </w:t>
      </w:r>
      <w:r>
        <w:rPr>
          <w:rFonts w:hint="eastAsia" w:ascii="宋体" w:hAnsi="宋体" w:eastAsia="宋体" w:cs="Times New Roman"/>
          <w:b/>
          <w:color w:val="auto"/>
          <w:sz w:val="24"/>
          <w:szCs w:val="24"/>
          <w:highlight w:val="none"/>
        </w:rPr>
        <w:t>技术响应表表格式</w:t>
      </w:r>
    </w:p>
    <w:p w14:paraId="01BDA22F">
      <w:pPr>
        <w:snapToGrid w:val="0"/>
        <w:spacing w:before="120" w:beforeLines="50" w:after="50"/>
        <w:ind w:left="142"/>
        <w:jc w:val="left"/>
        <w:rPr>
          <w:rFonts w:ascii="宋体" w:hAnsi="宋体" w:eastAsia="宋体" w:cs="Times New Roman"/>
          <w:b/>
          <w:color w:val="auto"/>
          <w:sz w:val="24"/>
          <w:szCs w:val="24"/>
          <w:highlight w:val="none"/>
        </w:rPr>
      </w:pPr>
    </w:p>
    <w:p w14:paraId="035D90BF">
      <w:pPr>
        <w:snapToGrid w:val="0"/>
        <w:spacing w:before="120" w:beforeLines="50" w:after="50"/>
        <w:ind w:left="142"/>
        <w:jc w:val="center"/>
        <w:rPr>
          <w:rFonts w:ascii="宋体" w:hAnsi="宋体" w:eastAsia="宋体" w:cs="Times New Roman"/>
          <w:b/>
          <w:color w:val="auto"/>
          <w:sz w:val="32"/>
          <w:szCs w:val="32"/>
          <w:highlight w:val="none"/>
        </w:rPr>
      </w:pPr>
      <w:r>
        <w:rPr>
          <w:rFonts w:hint="eastAsia" w:ascii="宋体" w:hAnsi="宋体" w:eastAsia="宋体" w:cs="Times New Roman"/>
          <w:b/>
          <w:color w:val="auto"/>
          <w:sz w:val="32"/>
          <w:szCs w:val="32"/>
          <w:highlight w:val="none"/>
        </w:rPr>
        <w:t>技术响应表</w:t>
      </w:r>
    </w:p>
    <w:tbl>
      <w:tblPr>
        <w:tblStyle w:val="37"/>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70"/>
        <w:gridCol w:w="2977"/>
        <w:gridCol w:w="2693"/>
        <w:gridCol w:w="901"/>
      </w:tblGrid>
      <w:tr w14:paraId="32F66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070" w:type="dxa"/>
            <w:tcBorders>
              <w:top w:val="single" w:color="auto" w:sz="4" w:space="0"/>
              <w:left w:val="single" w:color="auto" w:sz="4" w:space="0"/>
              <w:bottom w:val="single" w:color="auto" w:sz="4" w:space="0"/>
              <w:right w:val="single" w:color="auto" w:sz="4" w:space="0"/>
            </w:tcBorders>
            <w:vAlign w:val="center"/>
          </w:tcPr>
          <w:p w14:paraId="126B40D7">
            <w:pPr>
              <w:snapToGrid w:val="0"/>
              <w:spacing w:before="120" w:beforeLines="5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w:t>
            </w:r>
          </w:p>
        </w:tc>
        <w:tc>
          <w:tcPr>
            <w:tcW w:w="2977" w:type="dxa"/>
            <w:tcBorders>
              <w:top w:val="single" w:color="auto" w:sz="4" w:space="0"/>
              <w:left w:val="single" w:color="auto" w:sz="4" w:space="0"/>
              <w:bottom w:val="single" w:color="auto" w:sz="4" w:space="0"/>
              <w:right w:val="single" w:color="auto" w:sz="4" w:space="0"/>
            </w:tcBorders>
            <w:vAlign w:val="center"/>
          </w:tcPr>
          <w:p w14:paraId="660DF7D6">
            <w:pPr>
              <w:snapToGrid w:val="0"/>
              <w:spacing w:before="120" w:beforeLines="5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招标文件技术参数要求</w:t>
            </w:r>
          </w:p>
        </w:tc>
        <w:tc>
          <w:tcPr>
            <w:tcW w:w="2693" w:type="dxa"/>
            <w:tcBorders>
              <w:top w:val="single" w:color="auto" w:sz="4" w:space="0"/>
              <w:left w:val="single" w:color="auto" w:sz="4" w:space="0"/>
              <w:bottom w:val="single" w:color="auto" w:sz="4" w:space="0"/>
              <w:right w:val="single" w:color="auto" w:sz="4" w:space="0"/>
            </w:tcBorders>
            <w:vAlign w:val="center"/>
          </w:tcPr>
          <w:p w14:paraId="4F532BE5">
            <w:pPr>
              <w:snapToGrid w:val="0"/>
              <w:spacing w:before="120" w:beforeLines="5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投标人投标内容描述</w:t>
            </w:r>
          </w:p>
        </w:tc>
        <w:tc>
          <w:tcPr>
            <w:tcW w:w="901" w:type="dxa"/>
            <w:tcBorders>
              <w:top w:val="single" w:color="auto" w:sz="4" w:space="0"/>
              <w:left w:val="single" w:color="auto" w:sz="4" w:space="0"/>
              <w:bottom w:val="single" w:color="auto" w:sz="4" w:space="0"/>
              <w:right w:val="single" w:color="auto" w:sz="4" w:space="0"/>
            </w:tcBorders>
            <w:vAlign w:val="center"/>
          </w:tcPr>
          <w:p w14:paraId="308030FE">
            <w:pPr>
              <w:snapToGrid w:val="0"/>
              <w:spacing w:before="120" w:beforeLines="5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偏离说明</w:t>
            </w:r>
          </w:p>
        </w:tc>
      </w:tr>
      <w:tr w14:paraId="604526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070" w:type="dxa"/>
            <w:tcBorders>
              <w:top w:val="single" w:color="auto" w:sz="4" w:space="0"/>
              <w:left w:val="single" w:color="auto" w:sz="4" w:space="0"/>
              <w:bottom w:val="single" w:color="auto" w:sz="4" w:space="0"/>
              <w:right w:val="single" w:color="auto" w:sz="4" w:space="0"/>
            </w:tcBorders>
            <w:vAlign w:val="center"/>
          </w:tcPr>
          <w:p w14:paraId="4BD8E3CA">
            <w:pPr>
              <w:jc w:val="center"/>
              <w:rPr>
                <w:rFonts w:ascii="宋体" w:hAnsi="宋体" w:eastAsia="宋体" w:cs="Times New Roman"/>
                <w:color w:val="auto"/>
                <w:sz w:val="24"/>
                <w:szCs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49567D48">
            <w:pPr>
              <w:snapToGrid w:val="0"/>
              <w:spacing w:before="120" w:beforeLines="50"/>
              <w:jc w:val="center"/>
              <w:rPr>
                <w:rFonts w:ascii="宋体" w:hAnsi="宋体" w:eastAsia="宋体" w:cs="Times New Roman"/>
                <w:color w:val="auto"/>
                <w:sz w:val="24"/>
                <w:szCs w:val="24"/>
                <w:highlight w:val="none"/>
              </w:rPr>
            </w:pPr>
          </w:p>
        </w:tc>
        <w:tc>
          <w:tcPr>
            <w:tcW w:w="2693" w:type="dxa"/>
            <w:tcBorders>
              <w:top w:val="single" w:color="auto" w:sz="4" w:space="0"/>
              <w:left w:val="single" w:color="auto" w:sz="4" w:space="0"/>
              <w:bottom w:val="single" w:color="auto" w:sz="4" w:space="0"/>
              <w:right w:val="single" w:color="auto" w:sz="4" w:space="0"/>
            </w:tcBorders>
            <w:vAlign w:val="center"/>
          </w:tcPr>
          <w:p w14:paraId="26128D00">
            <w:pPr>
              <w:snapToGrid w:val="0"/>
              <w:spacing w:before="120" w:beforeLines="50"/>
              <w:jc w:val="center"/>
              <w:rPr>
                <w:rFonts w:ascii="宋体" w:hAnsi="宋体" w:eastAsia="宋体" w:cs="Times New Roman"/>
                <w:color w:val="auto"/>
                <w:sz w:val="24"/>
                <w:szCs w:val="24"/>
                <w:highlight w:val="none"/>
              </w:rPr>
            </w:pPr>
          </w:p>
        </w:tc>
        <w:tc>
          <w:tcPr>
            <w:tcW w:w="901" w:type="dxa"/>
            <w:tcBorders>
              <w:top w:val="single" w:color="auto" w:sz="4" w:space="0"/>
              <w:left w:val="single" w:color="auto" w:sz="4" w:space="0"/>
              <w:bottom w:val="single" w:color="auto" w:sz="4" w:space="0"/>
              <w:right w:val="single" w:color="auto" w:sz="4" w:space="0"/>
            </w:tcBorders>
            <w:vAlign w:val="center"/>
          </w:tcPr>
          <w:p w14:paraId="3A011F9D">
            <w:pPr>
              <w:snapToGrid w:val="0"/>
              <w:spacing w:before="120" w:beforeLines="50"/>
              <w:jc w:val="center"/>
              <w:rPr>
                <w:rFonts w:ascii="宋体" w:hAnsi="宋体" w:eastAsia="宋体" w:cs="Times New Roman"/>
                <w:color w:val="auto"/>
                <w:sz w:val="24"/>
                <w:szCs w:val="24"/>
                <w:highlight w:val="none"/>
              </w:rPr>
            </w:pPr>
          </w:p>
        </w:tc>
      </w:tr>
      <w:tr w14:paraId="77994E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070" w:type="dxa"/>
            <w:tcBorders>
              <w:top w:val="single" w:color="auto" w:sz="4" w:space="0"/>
              <w:left w:val="single" w:color="auto" w:sz="4" w:space="0"/>
              <w:bottom w:val="single" w:color="auto" w:sz="4" w:space="0"/>
              <w:right w:val="single" w:color="auto" w:sz="4" w:space="0"/>
            </w:tcBorders>
            <w:vAlign w:val="center"/>
          </w:tcPr>
          <w:p w14:paraId="5E081E49">
            <w:pPr>
              <w:jc w:val="center"/>
              <w:rPr>
                <w:rFonts w:ascii="宋体" w:hAnsi="宋体" w:eastAsia="宋体" w:cs="Times New Roman"/>
                <w:color w:val="auto"/>
                <w:sz w:val="24"/>
                <w:szCs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6AF1F689">
            <w:pPr>
              <w:snapToGrid w:val="0"/>
              <w:spacing w:before="120" w:beforeLines="50"/>
              <w:jc w:val="center"/>
              <w:rPr>
                <w:rFonts w:ascii="宋体" w:hAnsi="宋体" w:eastAsia="宋体" w:cs="Times New Roman"/>
                <w:color w:val="auto"/>
                <w:sz w:val="24"/>
                <w:szCs w:val="24"/>
                <w:highlight w:val="none"/>
                <w:u w:val="single"/>
              </w:rPr>
            </w:pPr>
          </w:p>
        </w:tc>
        <w:tc>
          <w:tcPr>
            <w:tcW w:w="2693" w:type="dxa"/>
            <w:tcBorders>
              <w:top w:val="single" w:color="auto" w:sz="4" w:space="0"/>
              <w:left w:val="single" w:color="auto" w:sz="4" w:space="0"/>
              <w:bottom w:val="single" w:color="auto" w:sz="4" w:space="0"/>
              <w:right w:val="single" w:color="auto" w:sz="4" w:space="0"/>
            </w:tcBorders>
            <w:vAlign w:val="center"/>
          </w:tcPr>
          <w:p w14:paraId="0091114D">
            <w:pPr>
              <w:snapToGrid w:val="0"/>
              <w:spacing w:before="120" w:beforeLines="50"/>
              <w:ind w:left="43"/>
              <w:jc w:val="center"/>
              <w:rPr>
                <w:rFonts w:ascii="宋体" w:hAnsi="宋体" w:eastAsia="宋体" w:cs="Times New Roman"/>
                <w:color w:val="auto"/>
                <w:sz w:val="24"/>
                <w:szCs w:val="24"/>
                <w:highlight w:val="none"/>
              </w:rPr>
            </w:pPr>
          </w:p>
        </w:tc>
        <w:tc>
          <w:tcPr>
            <w:tcW w:w="901" w:type="dxa"/>
            <w:tcBorders>
              <w:top w:val="single" w:color="auto" w:sz="4" w:space="0"/>
              <w:left w:val="single" w:color="auto" w:sz="4" w:space="0"/>
              <w:bottom w:val="single" w:color="auto" w:sz="4" w:space="0"/>
              <w:right w:val="single" w:color="auto" w:sz="4" w:space="0"/>
            </w:tcBorders>
            <w:vAlign w:val="center"/>
          </w:tcPr>
          <w:p w14:paraId="4EDB53CF">
            <w:pPr>
              <w:snapToGrid w:val="0"/>
              <w:spacing w:before="120" w:beforeLines="50"/>
              <w:ind w:left="43"/>
              <w:jc w:val="center"/>
              <w:rPr>
                <w:rFonts w:ascii="宋体" w:hAnsi="宋体" w:eastAsia="宋体" w:cs="Times New Roman"/>
                <w:color w:val="auto"/>
                <w:sz w:val="24"/>
                <w:szCs w:val="24"/>
                <w:highlight w:val="none"/>
              </w:rPr>
            </w:pPr>
          </w:p>
        </w:tc>
      </w:tr>
      <w:tr w14:paraId="0978FF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070" w:type="dxa"/>
            <w:tcBorders>
              <w:top w:val="single" w:color="auto" w:sz="4" w:space="0"/>
              <w:left w:val="single" w:color="auto" w:sz="4" w:space="0"/>
              <w:bottom w:val="single" w:color="auto" w:sz="4" w:space="0"/>
              <w:right w:val="single" w:color="auto" w:sz="4" w:space="0"/>
            </w:tcBorders>
            <w:vAlign w:val="center"/>
          </w:tcPr>
          <w:p w14:paraId="7FC40065">
            <w:pPr>
              <w:jc w:val="center"/>
              <w:rPr>
                <w:rFonts w:ascii="宋体" w:hAnsi="宋体" w:eastAsia="宋体" w:cs="Times New Roman"/>
                <w:color w:val="auto"/>
                <w:sz w:val="24"/>
                <w:szCs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06F82024">
            <w:pPr>
              <w:snapToGrid w:val="0"/>
              <w:spacing w:before="120" w:beforeLines="50"/>
              <w:jc w:val="center"/>
              <w:rPr>
                <w:rFonts w:ascii="宋体" w:hAnsi="宋体" w:eastAsia="宋体" w:cs="Times New Roman"/>
                <w:color w:val="auto"/>
                <w:sz w:val="24"/>
                <w:szCs w:val="24"/>
                <w:highlight w:val="none"/>
              </w:rPr>
            </w:pPr>
          </w:p>
        </w:tc>
        <w:tc>
          <w:tcPr>
            <w:tcW w:w="2693" w:type="dxa"/>
            <w:tcBorders>
              <w:top w:val="single" w:color="auto" w:sz="4" w:space="0"/>
              <w:left w:val="single" w:color="auto" w:sz="4" w:space="0"/>
              <w:bottom w:val="single" w:color="auto" w:sz="4" w:space="0"/>
              <w:right w:val="single" w:color="auto" w:sz="4" w:space="0"/>
            </w:tcBorders>
            <w:vAlign w:val="center"/>
          </w:tcPr>
          <w:p w14:paraId="09E9832E">
            <w:pPr>
              <w:snapToGrid w:val="0"/>
              <w:spacing w:before="120" w:beforeLines="50"/>
              <w:jc w:val="center"/>
              <w:rPr>
                <w:rFonts w:ascii="宋体" w:hAnsi="宋体" w:eastAsia="宋体" w:cs="Times New Roman"/>
                <w:color w:val="auto"/>
                <w:sz w:val="24"/>
                <w:szCs w:val="24"/>
                <w:highlight w:val="none"/>
              </w:rPr>
            </w:pPr>
          </w:p>
        </w:tc>
        <w:tc>
          <w:tcPr>
            <w:tcW w:w="901" w:type="dxa"/>
            <w:tcBorders>
              <w:top w:val="single" w:color="auto" w:sz="4" w:space="0"/>
              <w:left w:val="single" w:color="auto" w:sz="4" w:space="0"/>
              <w:bottom w:val="single" w:color="auto" w:sz="4" w:space="0"/>
              <w:right w:val="single" w:color="auto" w:sz="4" w:space="0"/>
            </w:tcBorders>
            <w:vAlign w:val="center"/>
          </w:tcPr>
          <w:p w14:paraId="07A74169">
            <w:pPr>
              <w:snapToGrid w:val="0"/>
              <w:spacing w:before="120" w:beforeLines="50"/>
              <w:jc w:val="center"/>
              <w:rPr>
                <w:rFonts w:ascii="宋体" w:hAnsi="宋体" w:eastAsia="宋体" w:cs="Times New Roman"/>
                <w:color w:val="auto"/>
                <w:sz w:val="24"/>
                <w:szCs w:val="24"/>
                <w:highlight w:val="none"/>
              </w:rPr>
            </w:pPr>
          </w:p>
        </w:tc>
      </w:tr>
      <w:tr w14:paraId="2EC0CD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70" w:type="dxa"/>
            <w:tcBorders>
              <w:top w:val="single" w:color="auto" w:sz="4" w:space="0"/>
              <w:left w:val="single" w:color="auto" w:sz="4" w:space="0"/>
              <w:bottom w:val="single" w:color="auto" w:sz="4" w:space="0"/>
              <w:right w:val="single" w:color="auto" w:sz="4" w:space="0"/>
            </w:tcBorders>
            <w:vAlign w:val="center"/>
          </w:tcPr>
          <w:p w14:paraId="0E516D12">
            <w:pPr>
              <w:snapToGrid w:val="0"/>
              <w:spacing w:before="120" w:beforeLines="5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p>
        </w:tc>
        <w:tc>
          <w:tcPr>
            <w:tcW w:w="2977" w:type="dxa"/>
            <w:tcBorders>
              <w:top w:val="single" w:color="auto" w:sz="4" w:space="0"/>
              <w:left w:val="single" w:color="auto" w:sz="4" w:space="0"/>
              <w:bottom w:val="single" w:color="auto" w:sz="4" w:space="0"/>
              <w:right w:val="single" w:color="auto" w:sz="4" w:space="0"/>
            </w:tcBorders>
            <w:vAlign w:val="center"/>
          </w:tcPr>
          <w:p w14:paraId="00848E88">
            <w:pPr>
              <w:snapToGrid w:val="0"/>
              <w:spacing w:before="120" w:beforeLines="50"/>
              <w:jc w:val="center"/>
              <w:rPr>
                <w:rFonts w:ascii="宋体" w:hAnsi="宋体" w:eastAsia="宋体" w:cs="Times New Roman"/>
                <w:color w:val="auto"/>
                <w:sz w:val="24"/>
                <w:szCs w:val="24"/>
                <w:highlight w:val="none"/>
              </w:rPr>
            </w:pPr>
          </w:p>
        </w:tc>
        <w:tc>
          <w:tcPr>
            <w:tcW w:w="2693" w:type="dxa"/>
            <w:tcBorders>
              <w:top w:val="single" w:color="auto" w:sz="4" w:space="0"/>
              <w:left w:val="single" w:color="auto" w:sz="4" w:space="0"/>
              <w:bottom w:val="single" w:color="auto" w:sz="4" w:space="0"/>
              <w:right w:val="single" w:color="auto" w:sz="4" w:space="0"/>
            </w:tcBorders>
            <w:vAlign w:val="center"/>
          </w:tcPr>
          <w:p w14:paraId="311D687E">
            <w:pPr>
              <w:snapToGrid w:val="0"/>
              <w:spacing w:before="120" w:beforeLines="50"/>
              <w:jc w:val="center"/>
              <w:rPr>
                <w:rFonts w:ascii="宋体" w:hAnsi="宋体" w:eastAsia="宋体" w:cs="Times New Roman"/>
                <w:color w:val="auto"/>
                <w:sz w:val="24"/>
                <w:szCs w:val="24"/>
                <w:highlight w:val="none"/>
              </w:rPr>
            </w:pPr>
          </w:p>
        </w:tc>
        <w:tc>
          <w:tcPr>
            <w:tcW w:w="901" w:type="dxa"/>
            <w:tcBorders>
              <w:top w:val="single" w:color="auto" w:sz="4" w:space="0"/>
              <w:left w:val="single" w:color="auto" w:sz="4" w:space="0"/>
              <w:bottom w:val="single" w:color="auto" w:sz="4" w:space="0"/>
              <w:right w:val="single" w:color="auto" w:sz="4" w:space="0"/>
            </w:tcBorders>
            <w:vAlign w:val="center"/>
          </w:tcPr>
          <w:p w14:paraId="4067D5DE">
            <w:pPr>
              <w:snapToGrid w:val="0"/>
              <w:spacing w:before="120" w:beforeLines="50"/>
              <w:jc w:val="center"/>
              <w:rPr>
                <w:rFonts w:ascii="宋体" w:hAnsi="宋体" w:eastAsia="宋体" w:cs="Times New Roman"/>
                <w:color w:val="auto"/>
                <w:sz w:val="24"/>
                <w:szCs w:val="24"/>
                <w:highlight w:val="none"/>
              </w:rPr>
            </w:pPr>
          </w:p>
        </w:tc>
      </w:tr>
    </w:tbl>
    <w:p w14:paraId="3D15E9DC">
      <w:pPr>
        <w:rPr>
          <w:rFonts w:ascii="宋体" w:hAnsi="Courier New" w:eastAsia="宋体" w:cs="Times New Roman"/>
          <w:color w:val="auto"/>
          <w:kern w:val="0"/>
          <w:sz w:val="24"/>
          <w:szCs w:val="24"/>
          <w:highlight w:val="none"/>
        </w:rPr>
      </w:pPr>
    </w:p>
    <w:p w14:paraId="76367C31">
      <w:pPr>
        <w:snapToGrid w:val="0"/>
        <w:spacing w:before="50" w:after="120" w:afterLines="50"/>
        <w:jc w:val="left"/>
        <w:rPr>
          <w:rFonts w:ascii="宋体" w:hAnsi="宋体" w:eastAsia="宋体" w:cs="Times New Roman"/>
          <w:color w:val="auto"/>
          <w:sz w:val="24"/>
          <w:szCs w:val="20"/>
          <w:highlight w:val="none"/>
        </w:rPr>
      </w:pPr>
    </w:p>
    <w:p w14:paraId="1FC83422">
      <w:pPr>
        <w:spacing w:line="360" w:lineRule="auto"/>
        <w:contextualSpacing/>
        <w:jc w:val="left"/>
        <w:rPr>
          <w:rFonts w:ascii="宋体" w:hAnsi="宋体" w:eastAsia="宋体" w:cs="Times New Roman"/>
          <w:color w:val="auto"/>
          <w:sz w:val="24"/>
          <w:szCs w:val="20"/>
          <w:highlight w:val="none"/>
        </w:rPr>
      </w:pPr>
      <w:r>
        <w:rPr>
          <w:rFonts w:hint="eastAsia" w:ascii="宋体" w:hAnsi="宋体" w:eastAsia="宋体" w:cs="Times New Roman"/>
          <w:color w:val="auto"/>
          <w:sz w:val="24"/>
          <w:szCs w:val="20"/>
          <w:highlight w:val="none"/>
        </w:rPr>
        <w:t>注：在填写时，如本表格不适合投标单位的实际情况，可根据本表格式自行制表填写。</w:t>
      </w:r>
    </w:p>
    <w:p w14:paraId="5091EED8">
      <w:pPr>
        <w:spacing w:line="360" w:lineRule="auto"/>
        <w:contextualSpacing/>
        <w:rPr>
          <w:rFonts w:ascii="宋体" w:hAnsi="宋体" w:eastAsia="宋体" w:cs="Times New Roman"/>
          <w:color w:val="auto"/>
          <w:spacing w:val="20"/>
          <w:sz w:val="24"/>
          <w:szCs w:val="20"/>
          <w:highlight w:val="none"/>
          <w:u w:val="single"/>
        </w:rPr>
      </w:pPr>
      <w:r>
        <w:rPr>
          <w:rFonts w:hint="eastAsia" w:ascii="宋体" w:hAnsi="宋体" w:eastAsia="宋体" w:cs="Times New Roman"/>
          <w:color w:val="auto"/>
          <w:sz w:val="24"/>
          <w:szCs w:val="24"/>
          <w:highlight w:val="none"/>
        </w:rPr>
        <w:t>法定代表人或者委托代理人</w:t>
      </w:r>
      <w:r>
        <w:rPr>
          <w:rFonts w:hint="eastAsia" w:ascii="宋体" w:hAnsi="宋体" w:eastAsia="宋体" w:cs="Times New Roman"/>
          <w:color w:val="auto"/>
          <w:spacing w:val="20"/>
          <w:sz w:val="24"/>
          <w:szCs w:val="24"/>
          <w:highlight w:val="none"/>
        </w:rPr>
        <w:t>（签字）：</w:t>
      </w:r>
      <w:r>
        <w:rPr>
          <w:rFonts w:hint="eastAsia" w:ascii="宋体" w:hAnsi="宋体" w:eastAsia="宋体" w:cs="Times New Roman"/>
          <w:color w:val="auto"/>
          <w:spacing w:val="20"/>
          <w:sz w:val="24"/>
          <w:szCs w:val="24"/>
          <w:highlight w:val="none"/>
          <w:u w:val="single"/>
        </w:rPr>
        <w:t xml:space="preserve">        </w:t>
      </w:r>
    </w:p>
    <w:p w14:paraId="1C07E97F">
      <w:pPr>
        <w:spacing w:line="360" w:lineRule="auto"/>
        <w:contextualSpacing/>
        <w:jc w:val="left"/>
        <w:rPr>
          <w:rFonts w:ascii="宋体" w:hAnsi="宋体" w:eastAsia="宋体" w:cs="Times New Roman"/>
          <w:color w:val="auto"/>
          <w:sz w:val="24"/>
          <w:szCs w:val="20"/>
          <w:highlight w:val="none"/>
        </w:rPr>
      </w:pPr>
      <w:r>
        <w:rPr>
          <w:rFonts w:hint="eastAsia" w:ascii="宋体" w:hAnsi="宋体" w:eastAsia="宋体" w:cs="Times New Roman"/>
          <w:color w:val="auto"/>
          <w:spacing w:val="20"/>
          <w:sz w:val="24"/>
          <w:szCs w:val="24"/>
          <w:highlight w:val="none"/>
        </w:rPr>
        <w:t>投标人（盖公章）：</w:t>
      </w:r>
      <w:r>
        <w:rPr>
          <w:rFonts w:hint="eastAsia" w:ascii="宋体" w:hAnsi="宋体" w:eastAsia="宋体" w:cs="Times New Roman"/>
          <w:color w:val="auto"/>
          <w:spacing w:val="20"/>
          <w:sz w:val="24"/>
          <w:szCs w:val="24"/>
          <w:highlight w:val="none"/>
          <w:u w:val="single"/>
        </w:rPr>
        <w:t xml:space="preserve">            </w:t>
      </w:r>
      <w:r>
        <w:rPr>
          <w:rFonts w:hint="eastAsia" w:ascii="宋体" w:hAnsi="宋体" w:eastAsia="宋体" w:cs="Times New Roman"/>
          <w:color w:val="auto"/>
          <w:spacing w:val="20"/>
          <w:sz w:val="24"/>
          <w:szCs w:val="24"/>
          <w:highlight w:val="none"/>
        </w:rPr>
        <w:t xml:space="preserve">              日 期：</w:t>
      </w:r>
      <w:r>
        <w:rPr>
          <w:rFonts w:hint="eastAsia" w:ascii="宋体" w:hAnsi="宋体" w:eastAsia="宋体" w:cs="Times New Roman"/>
          <w:color w:val="auto"/>
          <w:spacing w:val="20"/>
          <w:sz w:val="24"/>
          <w:szCs w:val="24"/>
          <w:highlight w:val="none"/>
          <w:u w:val="single"/>
        </w:rPr>
        <w:t xml:space="preserve">         </w:t>
      </w:r>
    </w:p>
    <w:p w14:paraId="0C62CF9C">
      <w:pPr>
        <w:snapToGrid w:val="0"/>
        <w:spacing w:before="50" w:after="120" w:afterLines="50"/>
        <w:jc w:val="left"/>
        <w:rPr>
          <w:rFonts w:ascii="宋体" w:hAnsi="宋体" w:eastAsia="宋体" w:cs="Times New Roman"/>
          <w:color w:val="auto"/>
          <w:sz w:val="24"/>
          <w:szCs w:val="20"/>
          <w:highlight w:val="none"/>
        </w:rPr>
      </w:pPr>
    </w:p>
    <w:p w14:paraId="6E265073">
      <w:pPr>
        <w:rPr>
          <w:rFonts w:ascii="Times New Roman" w:hAnsi="Times New Roman" w:eastAsia="宋体" w:cs="Times New Roman"/>
          <w:b/>
          <w:color w:val="auto"/>
          <w:sz w:val="28"/>
          <w:szCs w:val="28"/>
          <w:highlight w:val="none"/>
        </w:rPr>
      </w:pPr>
      <w:r>
        <w:rPr>
          <w:rFonts w:ascii="宋体" w:hAnsi="宋体" w:eastAsia="宋体" w:cs="Times New Roman"/>
          <w:b/>
          <w:bCs/>
          <w:color w:val="auto"/>
          <w:sz w:val="24"/>
          <w:szCs w:val="24"/>
          <w:highlight w:val="none"/>
        </w:rPr>
        <w:br w:type="page"/>
      </w:r>
      <w:bookmarkStart w:id="157" w:name="_Toc19686840"/>
      <w:r>
        <w:rPr>
          <w:rFonts w:hint="eastAsia" w:ascii="Times New Roman" w:hAnsi="Times New Roman" w:eastAsia="宋体" w:cs="Times New Roman"/>
          <w:b/>
          <w:color w:val="auto"/>
          <w:sz w:val="28"/>
          <w:szCs w:val="28"/>
          <w:highlight w:val="none"/>
        </w:rPr>
        <w:t>六、其他文书、文件格式</w:t>
      </w:r>
      <w:bookmarkEnd w:id="157"/>
    </w:p>
    <w:p w14:paraId="3BD9E248">
      <w:pPr>
        <w:spacing w:before="120" w:beforeLines="50" w:after="120" w:afterLines="50" w:line="400" w:lineRule="exact"/>
        <w:rPr>
          <w:rFonts w:ascii="宋体" w:hAnsi="宋体" w:eastAsia="宋体" w:cs="Times New Roman"/>
          <w:color w:val="auto"/>
          <w:sz w:val="24"/>
          <w:szCs w:val="24"/>
          <w:highlight w:val="none"/>
        </w:rPr>
      </w:pPr>
    </w:p>
    <w:p w14:paraId="0D8B77B2">
      <w:pPr>
        <w:snapToGrid w:val="0"/>
        <w:spacing w:before="120" w:beforeLines="50" w:after="50"/>
        <w:jc w:val="left"/>
        <w:rPr>
          <w:rFonts w:ascii="Times New Roman" w:hAnsi="Times New Roman" w:eastAsia="宋体" w:cs="Times New Roman"/>
          <w:color w:val="auto"/>
          <w:szCs w:val="24"/>
          <w:highlight w:val="none"/>
        </w:rPr>
      </w:pPr>
      <w:r>
        <w:rPr>
          <w:rFonts w:hint="eastAsia" w:ascii="宋体" w:hAnsi="宋体" w:eastAsia="宋体" w:cs="Times New Roman"/>
          <w:b/>
          <w:color w:val="auto"/>
          <w:sz w:val="24"/>
          <w:szCs w:val="24"/>
          <w:highlight w:val="none"/>
        </w:rPr>
        <w:t xml:space="preserve"> 1.中小企业声明函格式（如有）</w:t>
      </w:r>
    </w:p>
    <w:p w14:paraId="3AB7A150">
      <w:pPr>
        <w:rPr>
          <w:rFonts w:ascii="Times New Roman" w:hAnsi="Times New Roman" w:eastAsia="宋体" w:cs="Times New Roman"/>
          <w:color w:val="auto"/>
          <w:szCs w:val="24"/>
          <w:highlight w:val="none"/>
        </w:rPr>
      </w:pPr>
    </w:p>
    <w:p w14:paraId="64C0CBD3">
      <w:pPr>
        <w:adjustRightInd w:val="0"/>
        <w:snapToGrid w:val="0"/>
        <w:spacing w:line="300" w:lineRule="auto"/>
        <w:jc w:val="center"/>
        <w:rPr>
          <w:rFonts w:ascii="方正小标宋简体" w:hAnsi="方正小标宋简体" w:eastAsia="方正小标宋简体" w:cs="方正小标宋简体"/>
          <w:bCs/>
          <w:color w:val="auto"/>
          <w:sz w:val="44"/>
          <w:szCs w:val="44"/>
          <w:highlight w:val="none"/>
        </w:rPr>
      </w:pPr>
      <w:bookmarkStart w:id="158" w:name="_Toc71365383"/>
      <w:bookmarkStart w:id="159" w:name="_Toc71366061"/>
      <w:r>
        <w:rPr>
          <w:rFonts w:hint="eastAsia" w:ascii="方正小标宋简体" w:hAnsi="方正小标宋简体" w:eastAsia="方正小标宋简体" w:cs="方正小标宋简体"/>
          <w:bCs/>
          <w:color w:val="auto"/>
          <w:sz w:val="44"/>
          <w:szCs w:val="44"/>
          <w:highlight w:val="none"/>
        </w:rPr>
        <w:t>中小企业声明函（货物）</w:t>
      </w:r>
      <w:bookmarkEnd w:id="158"/>
      <w:bookmarkEnd w:id="159"/>
    </w:p>
    <w:p w14:paraId="51A5F4AB">
      <w:pPr>
        <w:rPr>
          <w:rFonts w:ascii="Times New Roman" w:hAnsi="Times New Roman" w:eastAsia="宋体" w:cs="Times New Roman"/>
          <w:color w:val="auto"/>
          <w:szCs w:val="24"/>
          <w:highlight w:val="none"/>
        </w:rPr>
      </w:pPr>
    </w:p>
    <w:p w14:paraId="12AA54D6">
      <w:pPr>
        <w:spacing w:line="360" w:lineRule="auto"/>
        <w:ind w:left="-426" w:right="142" w:firstLine="640"/>
        <w:contextualSpacing/>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本公司（联合体）郑重声明，本公司（联合体）参加</w:t>
      </w:r>
      <w:r>
        <w:rPr>
          <w:rFonts w:ascii="宋体" w:hAnsi="宋体" w:eastAsia="宋体" w:cs="Times New Roman"/>
          <w:color w:val="auto"/>
          <w:sz w:val="24"/>
          <w:szCs w:val="24"/>
          <w:highlight w:val="none"/>
          <w:u w:val="single"/>
        </w:rPr>
        <w:t>（单位名称）</w:t>
      </w:r>
      <w:r>
        <w:rPr>
          <w:rFonts w:ascii="宋体" w:hAnsi="宋体" w:eastAsia="宋体" w:cs="Times New Roman"/>
          <w:color w:val="auto"/>
          <w:sz w:val="24"/>
          <w:szCs w:val="24"/>
          <w:highlight w:val="none"/>
        </w:rPr>
        <w:t>的</w:t>
      </w:r>
      <w:r>
        <w:rPr>
          <w:rFonts w:ascii="宋体" w:hAnsi="宋体" w:eastAsia="宋体" w:cs="Times New Roman"/>
          <w:color w:val="auto"/>
          <w:sz w:val="24"/>
          <w:szCs w:val="24"/>
          <w:highlight w:val="none"/>
          <w:u w:val="single"/>
        </w:rPr>
        <w:t>（项目名称）</w:t>
      </w:r>
      <w:r>
        <w:rPr>
          <w:rFonts w:ascii="宋体" w:hAnsi="宋体" w:eastAsia="宋体" w:cs="Times New Roman"/>
          <w:color w:val="auto"/>
          <w:sz w:val="24"/>
          <w:szCs w:val="24"/>
          <w:highlight w:val="none"/>
        </w:rPr>
        <w:t>采购活动，提供的货物全部由符合政策要求的中小企业制造。相关企业（含联合体中的中小企业、签订分包意向协议的中小企业）的具体情况如下：</w:t>
      </w:r>
    </w:p>
    <w:p w14:paraId="07473B06">
      <w:pPr>
        <w:tabs>
          <w:tab w:val="left" w:pos="1384"/>
          <w:tab w:val="left" w:pos="4562"/>
          <w:tab w:val="left" w:pos="6803"/>
        </w:tabs>
        <w:spacing w:line="360" w:lineRule="auto"/>
        <w:ind w:left="-426" w:right="-58" w:firstLine="655"/>
        <w:contextualSpacing/>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ascii="宋体" w:hAnsi="宋体" w:eastAsia="宋体" w:cs="Times New Roman"/>
          <w:color w:val="auto"/>
          <w:sz w:val="24"/>
          <w:szCs w:val="24"/>
          <w:highlight w:val="none"/>
          <w:u w:val="single"/>
        </w:rPr>
        <w:t>（标的名称）</w:t>
      </w:r>
      <w:r>
        <w:rPr>
          <w:rFonts w:ascii="宋体" w:hAnsi="宋体" w:eastAsia="宋体" w:cs="Times New Roman"/>
          <w:color w:val="auto"/>
          <w:sz w:val="24"/>
          <w:szCs w:val="24"/>
          <w:highlight w:val="none"/>
        </w:rPr>
        <w:t>，属于</w:t>
      </w:r>
      <w:r>
        <w:rPr>
          <w:rFonts w:ascii="宋体" w:hAnsi="宋体" w:eastAsia="宋体" w:cs="Times New Roman"/>
          <w:color w:val="auto"/>
          <w:sz w:val="24"/>
          <w:szCs w:val="24"/>
          <w:highlight w:val="none"/>
          <w:u w:val="single"/>
        </w:rPr>
        <w:t>（采购文件中明确的所属行业）</w:t>
      </w:r>
      <w:r>
        <w:rPr>
          <w:rFonts w:ascii="宋体" w:hAnsi="宋体" w:eastAsia="宋体" w:cs="Times New Roman"/>
          <w:color w:val="auto"/>
          <w:sz w:val="24"/>
          <w:szCs w:val="24"/>
          <w:highlight w:val="none"/>
        </w:rPr>
        <w:t>行业；制造商为</w:t>
      </w:r>
      <w:r>
        <w:rPr>
          <w:rFonts w:ascii="宋体" w:hAnsi="宋体" w:eastAsia="宋体" w:cs="Times New Roman"/>
          <w:color w:val="auto"/>
          <w:sz w:val="24"/>
          <w:szCs w:val="24"/>
          <w:highlight w:val="none"/>
          <w:u w:val="single"/>
        </w:rPr>
        <w:t>（企业名称）</w:t>
      </w:r>
      <w:r>
        <w:rPr>
          <w:rFonts w:ascii="宋体" w:hAnsi="宋体" w:eastAsia="宋体" w:cs="Times New Roman"/>
          <w:color w:val="auto"/>
          <w:sz w:val="24"/>
          <w:szCs w:val="24"/>
          <w:highlight w:val="none"/>
        </w:rPr>
        <w:t>，从业人员</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人，营业收入为</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万元，资产总额为</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万元，属于</w:t>
      </w:r>
      <w:r>
        <w:rPr>
          <w:rFonts w:ascii="宋体" w:hAnsi="宋体" w:eastAsia="宋体" w:cs="Times New Roman"/>
          <w:color w:val="auto"/>
          <w:sz w:val="24"/>
          <w:szCs w:val="24"/>
          <w:highlight w:val="none"/>
          <w:u w:val="single"/>
        </w:rPr>
        <w:t>（中型企业、小型企业、微型企业）</w:t>
      </w:r>
      <w:r>
        <w:rPr>
          <w:rFonts w:ascii="宋体" w:hAnsi="宋体" w:eastAsia="宋体" w:cs="Times New Roman"/>
          <w:color w:val="auto"/>
          <w:sz w:val="24"/>
          <w:szCs w:val="24"/>
          <w:highlight w:val="none"/>
        </w:rPr>
        <w:t>；</w:t>
      </w:r>
    </w:p>
    <w:p w14:paraId="0BA78DAF">
      <w:pPr>
        <w:tabs>
          <w:tab w:val="left" w:pos="1065"/>
          <w:tab w:val="left" w:pos="6477"/>
        </w:tabs>
        <w:spacing w:line="360" w:lineRule="auto"/>
        <w:ind w:left="-426" w:right="-58" w:firstLine="655"/>
        <w:contextualSpacing/>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ascii="宋体" w:hAnsi="宋体" w:eastAsia="宋体" w:cs="Times New Roman"/>
          <w:color w:val="auto"/>
          <w:sz w:val="24"/>
          <w:szCs w:val="24"/>
          <w:highlight w:val="none"/>
          <w:u w:val="single"/>
        </w:rPr>
        <w:t>（标的名称）</w:t>
      </w:r>
      <w:r>
        <w:rPr>
          <w:rFonts w:ascii="宋体" w:hAnsi="宋体" w:eastAsia="宋体" w:cs="Times New Roman"/>
          <w:color w:val="auto"/>
          <w:sz w:val="24"/>
          <w:szCs w:val="24"/>
          <w:highlight w:val="none"/>
        </w:rPr>
        <w:t>，属于</w:t>
      </w:r>
      <w:r>
        <w:rPr>
          <w:rFonts w:ascii="宋体" w:hAnsi="宋体" w:eastAsia="宋体" w:cs="Times New Roman"/>
          <w:color w:val="auto"/>
          <w:sz w:val="24"/>
          <w:szCs w:val="24"/>
          <w:highlight w:val="none"/>
          <w:u w:val="single"/>
        </w:rPr>
        <w:t>（采购文件中明确的所属行业）</w:t>
      </w:r>
      <w:r>
        <w:rPr>
          <w:rFonts w:ascii="宋体" w:hAnsi="宋体" w:eastAsia="宋体" w:cs="Times New Roman"/>
          <w:color w:val="auto"/>
          <w:sz w:val="24"/>
          <w:szCs w:val="24"/>
          <w:highlight w:val="none"/>
        </w:rPr>
        <w:t>行业；制造商为</w:t>
      </w:r>
      <w:r>
        <w:rPr>
          <w:rFonts w:ascii="宋体" w:hAnsi="宋体" w:eastAsia="宋体" w:cs="Times New Roman"/>
          <w:color w:val="auto"/>
          <w:sz w:val="24"/>
          <w:szCs w:val="24"/>
          <w:highlight w:val="none"/>
          <w:u w:val="single"/>
        </w:rPr>
        <w:t>（企业名称）</w:t>
      </w:r>
      <w:r>
        <w:rPr>
          <w:rFonts w:ascii="宋体" w:hAnsi="宋体" w:eastAsia="宋体" w:cs="Times New Roman"/>
          <w:color w:val="auto"/>
          <w:sz w:val="24"/>
          <w:szCs w:val="24"/>
          <w:highlight w:val="none"/>
        </w:rPr>
        <w:t>，从业人员</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人，营业收入为</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万元，资产总额为</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万元，属于</w:t>
      </w:r>
      <w:r>
        <w:rPr>
          <w:rFonts w:ascii="宋体" w:hAnsi="宋体" w:eastAsia="宋体" w:cs="Times New Roman"/>
          <w:color w:val="auto"/>
          <w:sz w:val="24"/>
          <w:szCs w:val="24"/>
          <w:highlight w:val="none"/>
          <w:u w:val="single"/>
        </w:rPr>
        <w:t>（中型企业、小型企业、微型企业）</w:t>
      </w:r>
      <w:r>
        <w:rPr>
          <w:rFonts w:ascii="宋体" w:hAnsi="宋体" w:eastAsia="宋体" w:cs="Times New Roman"/>
          <w:color w:val="auto"/>
          <w:sz w:val="24"/>
          <w:szCs w:val="24"/>
          <w:highlight w:val="none"/>
        </w:rPr>
        <w:t>；</w:t>
      </w:r>
    </w:p>
    <w:p w14:paraId="1F784105">
      <w:pPr>
        <w:spacing w:line="360" w:lineRule="auto"/>
        <w:ind w:left="142" w:right="142"/>
        <w:contextualSpacing/>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28632FFE">
      <w:pPr>
        <w:spacing w:line="360" w:lineRule="auto"/>
        <w:ind w:left="-405" w:leftChars="-193" w:right="142" w:firstLine="453" w:firstLineChars="189"/>
        <w:contextualSpacing/>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以上企业，不属于大企业的分支机构，不存在控股股东为大企业的情形，也不存在与大企业的负责人为同一人的情形。</w:t>
      </w:r>
    </w:p>
    <w:p w14:paraId="2EB8F44A">
      <w:pPr>
        <w:spacing w:before="34" w:line="500" w:lineRule="exact"/>
        <w:ind w:right="142" w:firstLine="480" w:firstLineChars="200"/>
        <w:rPr>
          <w:rFonts w:ascii="宋体" w:hAnsi="宋体" w:eastAsia="宋体" w:cs="Times New Roman"/>
          <w:color w:val="auto"/>
          <w:kern w:val="0"/>
          <w:sz w:val="24"/>
          <w:szCs w:val="24"/>
          <w:highlight w:val="none"/>
          <w:lang w:val="zh-CN"/>
        </w:rPr>
      </w:pPr>
      <w:r>
        <w:rPr>
          <w:rFonts w:ascii="宋体" w:hAnsi="宋体" w:eastAsia="宋体" w:cs="Times New Roman"/>
          <w:color w:val="auto"/>
          <w:sz w:val="24"/>
          <w:szCs w:val="24"/>
          <w:highlight w:val="none"/>
        </w:rPr>
        <w:t>本企业对上述声明内容的真实性负责。如有虚假，将依法承担相应责任。</w:t>
      </w:r>
      <w:r>
        <w:rPr>
          <w:rFonts w:ascii="宋体" w:hAnsi="宋体" w:eastAsia="宋体" w:cs="Times New Roman"/>
          <w:color w:val="auto"/>
          <w:kern w:val="0"/>
          <w:sz w:val="24"/>
          <w:szCs w:val="24"/>
          <w:highlight w:val="none"/>
          <w:lang w:val="zh-CN"/>
        </w:rPr>
        <w:t>。</w:t>
      </w:r>
    </w:p>
    <w:p w14:paraId="7289C02C">
      <w:pPr>
        <w:spacing w:before="56" w:line="500" w:lineRule="exact"/>
        <w:ind w:left="3960" w:right="1808"/>
        <w:rPr>
          <w:rFonts w:ascii="宋体" w:hAnsi="宋体" w:eastAsia="宋体" w:cs="Times New Roman"/>
          <w:color w:val="auto"/>
          <w:kern w:val="0"/>
          <w:sz w:val="24"/>
          <w:szCs w:val="24"/>
          <w:highlight w:val="none"/>
          <w:lang w:val="zh-CN"/>
        </w:rPr>
      </w:pPr>
      <w:r>
        <w:rPr>
          <w:rFonts w:ascii="宋体" w:hAnsi="宋体" w:eastAsia="宋体" w:cs="Times New Roman"/>
          <w:color w:val="auto"/>
          <w:kern w:val="0"/>
          <w:sz w:val="24"/>
          <w:szCs w:val="24"/>
          <w:highlight w:val="none"/>
          <w:lang w:val="zh-CN"/>
        </w:rPr>
        <w:t xml:space="preserve">企业名称（章）： </w:t>
      </w:r>
    </w:p>
    <w:p w14:paraId="417466E6">
      <w:pPr>
        <w:spacing w:before="56" w:line="500" w:lineRule="exact"/>
        <w:ind w:left="3960" w:right="1808"/>
        <w:rPr>
          <w:rFonts w:ascii="宋体" w:hAnsi="宋体" w:eastAsia="宋体" w:cs="Times New Roman"/>
          <w:color w:val="auto"/>
          <w:kern w:val="0"/>
          <w:sz w:val="24"/>
          <w:szCs w:val="24"/>
          <w:highlight w:val="none"/>
          <w:lang w:val="zh-CN"/>
        </w:rPr>
      </w:pPr>
      <w:r>
        <w:rPr>
          <w:rFonts w:ascii="宋体" w:hAnsi="宋体" w:eastAsia="宋体" w:cs="Times New Roman"/>
          <w:color w:val="auto"/>
          <w:kern w:val="0"/>
          <w:sz w:val="24"/>
          <w:szCs w:val="24"/>
          <w:highlight w:val="none"/>
          <w:lang w:val="zh-CN"/>
        </w:rPr>
        <w:t>日 期：</w:t>
      </w:r>
    </w:p>
    <w:p w14:paraId="4F112ACA">
      <w:pPr>
        <w:rPr>
          <w:rFonts w:ascii="宋体" w:hAnsi="宋体" w:eastAsia="宋体" w:cs="Times New Roman"/>
          <w:color w:val="auto"/>
          <w:sz w:val="24"/>
          <w:szCs w:val="24"/>
          <w:highlight w:val="none"/>
        </w:rPr>
      </w:pPr>
      <w:r>
        <w:rPr>
          <w:rFonts w:hint="eastAsia" w:ascii="宋体" w:hAnsi="宋体" w:eastAsia="宋体" w:cs="Times New Roman"/>
          <w:color w:val="auto"/>
          <w:spacing w:val="6"/>
          <w:sz w:val="24"/>
          <w:szCs w:val="24"/>
          <w:highlight w:val="none"/>
        </w:rPr>
        <w:t xml:space="preserve"> </w:t>
      </w:r>
    </w:p>
    <w:p w14:paraId="77FE905A">
      <w:pPr>
        <w:rPr>
          <w:rFonts w:ascii="宋体" w:hAnsi="宋体" w:eastAsia="宋体" w:cs="Times New Roman"/>
          <w:b/>
          <w:color w:val="auto"/>
          <w:sz w:val="24"/>
          <w:szCs w:val="24"/>
          <w:highlight w:val="none"/>
        </w:rPr>
      </w:pPr>
      <w:r>
        <w:rPr>
          <w:rFonts w:hint="eastAsia" w:ascii="宋体" w:hAnsi="宋体" w:eastAsia="宋体" w:cs="Times New Roman"/>
          <w:color w:val="auto"/>
          <w:sz w:val="24"/>
          <w:szCs w:val="24"/>
          <w:highlight w:val="none"/>
        </w:rPr>
        <w:t>注：享受《政府采购促进中小企业发展管理办法》（财库〔2020〕46号）规定的中小企业扶持政策的，招标人、采购代理机构应当随中标结果公开中标供应商的《中小企业声明函》。从业人员、营业收入、资产总额填报上一年度数据，无上一年度数据的新成立企业可不填报。</w:t>
      </w:r>
      <w:r>
        <w:rPr>
          <w:rFonts w:ascii="Times New Roman" w:hAnsi="Times New Roman" w:eastAsia="宋体" w:cs="Times New Roman"/>
          <w:color w:val="auto"/>
          <w:szCs w:val="24"/>
          <w:highlight w:val="none"/>
        </w:rPr>
        <w:br w:type="page"/>
      </w:r>
      <w:r>
        <w:rPr>
          <w:rFonts w:hint="eastAsia" w:ascii="宋体" w:hAnsi="宋体" w:eastAsia="宋体" w:cs="Times New Roman"/>
          <w:b/>
          <w:color w:val="auto"/>
          <w:sz w:val="24"/>
          <w:szCs w:val="24"/>
          <w:highlight w:val="none"/>
        </w:rPr>
        <w:t>2.残疾人福利性单位声明函格式（如有）</w:t>
      </w:r>
    </w:p>
    <w:p w14:paraId="558704AA">
      <w:pPr>
        <w:spacing w:line="588" w:lineRule="exact"/>
        <w:jc w:val="center"/>
        <w:rPr>
          <w:rFonts w:ascii="仿宋_GB2312" w:hAnsi="Times New Roman" w:eastAsia="仿宋_GB2312" w:cs="Times New Roman"/>
          <w:b/>
          <w:color w:val="auto"/>
          <w:spacing w:val="6"/>
          <w:sz w:val="32"/>
          <w:szCs w:val="32"/>
          <w:highlight w:val="none"/>
        </w:rPr>
      </w:pPr>
      <w:bookmarkStart w:id="160" w:name="OLE_LINK14"/>
      <w:bookmarkStart w:id="161" w:name="OLE_LINK13"/>
    </w:p>
    <w:p w14:paraId="03A28700">
      <w:pPr>
        <w:spacing w:line="588" w:lineRule="exact"/>
        <w:jc w:val="center"/>
        <w:rPr>
          <w:rFonts w:ascii="方正小标宋简体" w:hAnsi="方正小标宋简体" w:eastAsia="方正小标宋简体" w:cs="方正小标宋简体"/>
          <w:bCs/>
          <w:color w:val="auto"/>
          <w:spacing w:val="6"/>
          <w:sz w:val="44"/>
          <w:szCs w:val="44"/>
          <w:highlight w:val="none"/>
        </w:rPr>
      </w:pPr>
      <w:r>
        <w:rPr>
          <w:rFonts w:hint="eastAsia" w:ascii="方正小标宋简体" w:hAnsi="方正小标宋简体" w:eastAsia="方正小标宋简体" w:cs="方正小标宋简体"/>
          <w:bCs/>
          <w:color w:val="auto"/>
          <w:spacing w:val="6"/>
          <w:sz w:val="44"/>
          <w:szCs w:val="44"/>
          <w:highlight w:val="none"/>
        </w:rPr>
        <w:t>残疾人福利性单位声明函</w:t>
      </w:r>
    </w:p>
    <w:bookmarkEnd w:id="160"/>
    <w:bookmarkEnd w:id="161"/>
    <w:p w14:paraId="2461E9F7">
      <w:pPr>
        <w:spacing w:line="588" w:lineRule="exact"/>
        <w:rPr>
          <w:rFonts w:ascii="仿宋_GB2312" w:hAnsi="Times New Roman" w:eastAsia="仿宋_GB2312" w:cs="Times New Roman"/>
          <w:b/>
          <w:color w:val="auto"/>
          <w:spacing w:val="6"/>
          <w:sz w:val="30"/>
          <w:szCs w:val="30"/>
          <w:highlight w:val="none"/>
        </w:rPr>
      </w:pPr>
    </w:p>
    <w:p w14:paraId="34FEFE4A">
      <w:pPr>
        <w:spacing w:line="360" w:lineRule="auto"/>
        <w:ind w:firstLine="504" w:firstLineChars="200"/>
        <w:contextualSpacing/>
        <w:rPr>
          <w:rFonts w:ascii="宋体" w:hAnsi="宋体" w:eastAsia="宋体" w:cs="Times New Roman"/>
          <w:color w:val="auto"/>
          <w:spacing w:val="6"/>
          <w:sz w:val="24"/>
          <w:szCs w:val="24"/>
          <w:highlight w:val="none"/>
        </w:rPr>
      </w:pPr>
      <w:r>
        <w:rPr>
          <w:rFonts w:hint="eastAsia" w:ascii="宋体" w:hAnsi="宋体" w:eastAsia="宋体" w:cs="Times New Roman"/>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Times New Roman"/>
          <w:color w:val="auto"/>
          <w:sz w:val="24"/>
          <w:szCs w:val="24"/>
          <w:highlight w:val="none"/>
        </w:rPr>
        <w:t>〔2017〕 141</w:t>
      </w:r>
      <w:r>
        <w:rPr>
          <w:rFonts w:hint="eastAsia" w:ascii="宋体" w:hAnsi="宋体" w:eastAsia="宋体" w:cs="Times New Roman"/>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eastAsia="宋体" w:cs="Times New Roman"/>
          <w:color w:val="auto"/>
          <w:spacing w:val="-6"/>
          <w:sz w:val="24"/>
          <w:szCs w:val="24"/>
          <w:highlight w:val="none"/>
        </w:rPr>
        <w:t>疾人福利性单位制造的货物（不包括使用非残疾人福利性单位注册商标的货物）。</w:t>
      </w:r>
    </w:p>
    <w:p w14:paraId="34DB9E54">
      <w:pPr>
        <w:spacing w:line="360" w:lineRule="auto"/>
        <w:ind w:firstLine="504" w:firstLineChars="200"/>
        <w:contextualSpacing/>
        <w:rPr>
          <w:rFonts w:ascii="宋体" w:hAnsi="宋体" w:eastAsia="宋体" w:cs="Times New Roman"/>
          <w:color w:val="auto"/>
          <w:spacing w:val="6"/>
          <w:sz w:val="24"/>
          <w:szCs w:val="24"/>
          <w:highlight w:val="none"/>
        </w:rPr>
      </w:pPr>
      <w:r>
        <w:rPr>
          <w:rFonts w:hint="eastAsia" w:ascii="宋体" w:hAnsi="宋体" w:eastAsia="宋体" w:cs="Times New Roman"/>
          <w:color w:val="auto"/>
          <w:spacing w:val="6"/>
          <w:sz w:val="24"/>
          <w:szCs w:val="24"/>
          <w:highlight w:val="none"/>
        </w:rPr>
        <w:t>本单位对上述声明的真实性负责。如有虚假，将依法承担相应责任。</w:t>
      </w:r>
    </w:p>
    <w:p w14:paraId="709BDB18">
      <w:pPr>
        <w:spacing w:line="360" w:lineRule="auto"/>
        <w:ind w:firstLine="504" w:firstLineChars="200"/>
        <w:contextualSpacing/>
        <w:rPr>
          <w:rFonts w:ascii="宋体" w:hAnsi="宋体" w:eastAsia="宋体" w:cs="Times New Roman"/>
          <w:color w:val="auto"/>
          <w:spacing w:val="6"/>
          <w:sz w:val="24"/>
          <w:szCs w:val="24"/>
          <w:highlight w:val="none"/>
        </w:rPr>
      </w:pPr>
    </w:p>
    <w:p w14:paraId="5A14C406">
      <w:pPr>
        <w:spacing w:line="360" w:lineRule="auto"/>
        <w:ind w:firstLine="504" w:firstLineChars="200"/>
        <w:contextualSpacing/>
        <w:rPr>
          <w:rFonts w:ascii="宋体" w:hAnsi="宋体" w:eastAsia="宋体" w:cs="Times New Roman"/>
          <w:color w:val="auto"/>
          <w:spacing w:val="6"/>
          <w:sz w:val="24"/>
          <w:szCs w:val="24"/>
          <w:highlight w:val="none"/>
        </w:rPr>
      </w:pPr>
    </w:p>
    <w:p w14:paraId="16133E62">
      <w:pPr>
        <w:tabs>
          <w:tab w:val="left" w:pos="4860"/>
        </w:tabs>
        <w:spacing w:line="360" w:lineRule="auto"/>
        <w:ind w:right="1560" w:firstLine="504" w:firstLineChars="200"/>
        <w:contextualSpacing/>
        <w:jc w:val="center"/>
        <w:rPr>
          <w:rFonts w:ascii="宋体" w:hAnsi="宋体" w:eastAsia="宋体" w:cs="Times New Roman"/>
          <w:color w:val="auto"/>
          <w:spacing w:val="6"/>
          <w:sz w:val="24"/>
          <w:szCs w:val="24"/>
          <w:highlight w:val="none"/>
        </w:rPr>
      </w:pPr>
      <w:r>
        <w:rPr>
          <w:rFonts w:hint="eastAsia" w:ascii="宋体" w:hAnsi="宋体" w:eastAsia="宋体" w:cs="Times New Roman"/>
          <w:color w:val="auto"/>
          <w:spacing w:val="6"/>
          <w:sz w:val="24"/>
          <w:szCs w:val="24"/>
          <w:highlight w:val="none"/>
        </w:rPr>
        <w:t>单位名称（盖公章）：</w:t>
      </w:r>
    </w:p>
    <w:p w14:paraId="5BAB7D31">
      <w:pPr>
        <w:tabs>
          <w:tab w:val="left" w:pos="4860"/>
        </w:tabs>
        <w:spacing w:line="360" w:lineRule="auto"/>
        <w:ind w:right="1560" w:firstLine="504" w:firstLineChars="200"/>
        <w:contextualSpacing/>
        <w:jc w:val="center"/>
        <w:rPr>
          <w:rFonts w:ascii="宋体" w:hAnsi="宋体" w:eastAsia="宋体" w:cs="Times New Roman"/>
          <w:color w:val="auto"/>
          <w:spacing w:val="6"/>
          <w:sz w:val="24"/>
          <w:szCs w:val="24"/>
          <w:highlight w:val="none"/>
        </w:rPr>
      </w:pPr>
      <w:r>
        <w:rPr>
          <w:rFonts w:hint="eastAsia" w:ascii="宋体" w:hAnsi="宋体" w:eastAsia="宋体" w:cs="Times New Roman"/>
          <w:color w:val="auto"/>
          <w:spacing w:val="6"/>
          <w:sz w:val="24"/>
          <w:szCs w:val="24"/>
          <w:highlight w:val="none"/>
        </w:rPr>
        <w:t>日  期：</w:t>
      </w:r>
    </w:p>
    <w:p w14:paraId="06B70EDB">
      <w:pPr>
        <w:spacing w:line="360" w:lineRule="auto"/>
        <w:contextualSpacing/>
        <w:rPr>
          <w:rFonts w:ascii="宋体" w:hAnsi="宋体" w:eastAsia="宋体" w:cs="Times New Roman"/>
          <w:color w:val="auto"/>
          <w:sz w:val="24"/>
          <w:szCs w:val="24"/>
          <w:highlight w:val="none"/>
        </w:rPr>
      </w:pPr>
    </w:p>
    <w:p w14:paraId="153D3966">
      <w:pPr>
        <w:spacing w:line="360" w:lineRule="auto"/>
        <w:contextualSpacing/>
        <w:rPr>
          <w:rFonts w:ascii="宋体" w:hAnsi="宋体" w:eastAsia="宋体" w:cs="Times New Roman"/>
          <w:color w:val="auto"/>
          <w:sz w:val="24"/>
          <w:szCs w:val="24"/>
          <w:highlight w:val="none"/>
        </w:rPr>
      </w:pPr>
    </w:p>
    <w:p w14:paraId="1C3F4F44">
      <w:pPr>
        <w:spacing w:line="360" w:lineRule="auto"/>
        <w:contextualSpacing/>
        <w:rPr>
          <w:rFonts w:ascii="宋体" w:hAnsi="宋体" w:eastAsia="宋体" w:cs="Times New Roman"/>
          <w:color w:val="auto"/>
          <w:sz w:val="24"/>
          <w:szCs w:val="24"/>
          <w:highlight w:val="none"/>
        </w:rPr>
      </w:pPr>
    </w:p>
    <w:p w14:paraId="23C40970">
      <w:pPr>
        <w:spacing w:line="360" w:lineRule="auto"/>
        <w:contextualSpacing/>
        <w:rPr>
          <w:rFonts w:ascii="Times New Roman" w:hAnsi="宋体" w:eastAsia="宋体" w:cs="Times New Roman"/>
          <w:b/>
          <w:color w:val="auto"/>
          <w:szCs w:val="24"/>
          <w:highlight w:val="none"/>
        </w:rPr>
      </w:pPr>
      <w:r>
        <w:rPr>
          <w:rFonts w:hint="eastAsia" w:ascii="宋体" w:hAnsi="宋体" w:eastAsia="宋体" w:cs="Times New Roman"/>
          <w:color w:val="auto"/>
          <w:sz w:val="24"/>
          <w:szCs w:val="24"/>
          <w:highlight w:val="none"/>
        </w:rPr>
        <w:t>注：请根据自己的真实情况出具《残疾人福利性单位声明函》。依法享受中小企业优惠政策的，招标人或者采购代理机构在公告中标结果时，同时公告其《残疾人福利性单位声明函》，接受社会监督。</w:t>
      </w:r>
    </w:p>
    <w:p w14:paraId="6A90AF2E">
      <w:pPr>
        <w:rPr>
          <w:color w:val="auto"/>
          <w:highlight w:val="none"/>
        </w:rPr>
      </w:pPr>
    </w:p>
    <w:sectPr>
      <w:footerReference r:id="rId14" w:type="first"/>
      <w:headerReference r:id="rId11" w:type="default"/>
      <w:footerReference r:id="rId12" w:type="default"/>
      <w:footerReference r:id="rId13" w:type="even"/>
      <w:pgSz w:w="11910" w:h="16840"/>
      <w:pgMar w:top="1520" w:right="1503" w:bottom="278" w:left="1678" w:header="851" w:footer="992"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ED3F686-E541-4CBD-9C81-12F567BF65F7}"/>
  </w:font>
  <w:font w:name="Arial">
    <w:panose1 w:val="020B0604020202020204"/>
    <w:charset w:val="01"/>
    <w:family w:val="swiss"/>
    <w:pitch w:val="default"/>
    <w:sig w:usb0="E0002EFF" w:usb1="C000785B" w:usb2="00000009" w:usb3="00000000" w:csb0="400001FF" w:csb1="FFFF0000"/>
    <w:embedRegular r:id="rId2" w:fontKey="{35483DF5-A947-46B8-B183-C8E79498A0DD}"/>
  </w:font>
  <w:font w:name="黑体">
    <w:panose1 w:val="02010609060101010101"/>
    <w:charset w:val="86"/>
    <w:family w:val="auto"/>
    <w:pitch w:val="default"/>
    <w:sig w:usb0="800002BF" w:usb1="38CF7CFA" w:usb2="00000016" w:usb3="00000000" w:csb0="00040001" w:csb1="00000000"/>
    <w:embedRegular r:id="rId3" w:fontKey="{8B2CFB0B-DBFC-4019-B473-6766F6D29561}"/>
  </w:font>
  <w:font w:name="Courier New">
    <w:panose1 w:val="02070309020205020404"/>
    <w:charset w:val="01"/>
    <w:family w:val="modern"/>
    <w:pitch w:val="default"/>
    <w:sig w:usb0="E0002EFF" w:usb1="C0007843" w:usb2="00000009" w:usb3="00000000" w:csb0="400001FF" w:csb1="FFFF0000"/>
    <w:embedRegular r:id="rId4" w:fontKey="{FF7BA6B0-955B-4C71-B12A-C729A15C308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4D6A59A7-967E-43AD-AFD9-EB1A4C0FEE7B}"/>
  </w:font>
  <w:font w:name="等线">
    <w:panose1 w:val="02010600030101010101"/>
    <w:charset w:val="86"/>
    <w:family w:val="auto"/>
    <w:pitch w:val="default"/>
    <w:sig w:usb0="A00002BF" w:usb1="38CF7CFA" w:usb2="00000016" w:usb3="00000000" w:csb0="0004000F" w:csb1="00000000"/>
    <w:embedRegular r:id="rId6" w:fontKey="{65A2D258-367F-40F6-9AF1-3EB4AB3442B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7" w:fontKey="{331EED2E-848F-430C-A7A7-CE5879BE4360}"/>
  </w:font>
  <w:font w:name="等线 Light">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003F01FF" w:csb1="00000000"/>
  </w:font>
  <w:font w:name="Century">
    <w:panose1 w:val="020406040505050203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8" w:fontKey="{58E631E5-4CF8-4697-BDBF-AC1F0B0C4D07}"/>
  </w:font>
  <w:font w:name="Wingdings 2">
    <w:panose1 w:val="05020102010507070707"/>
    <w:charset w:val="02"/>
    <w:family w:val="roman"/>
    <w:pitch w:val="default"/>
    <w:sig w:usb0="00000000" w:usb1="00000000" w:usb2="00000000" w:usb3="00000000" w:csb0="80000000" w:csb1="00000000"/>
    <w:embedRegular r:id="rId9" w:fontKey="{9EA8B216-7BAC-43A9-B9CB-FB6E61EE01AD}"/>
  </w:font>
  <w:font w:name="Helvetica">
    <w:altName w:val="Arial"/>
    <w:panose1 w:val="020B0604020202020204"/>
    <w:charset w:val="00"/>
    <w:family w:val="swiss"/>
    <w:pitch w:val="default"/>
    <w:sig w:usb0="00000000" w:usb1="00000000" w:usb2="00000009" w:usb3="00000000" w:csb0="000001FF" w:csb1="00000000"/>
    <w:embedRegular r:id="rId10" w:fontKey="{C7A0EDCA-4A79-4A4B-BC65-9D0287C6284B}"/>
  </w:font>
  <w:font w:name="华文中宋">
    <w:panose1 w:val="02010600040101010101"/>
    <w:charset w:val="86"/>
    <w:family w:val="auto"/>
    <w:pitch w:val="default"/>
    <w:sig w:usb0="00000287" w:usb1="080F0000" w:usb2="00000000" w:usb3="00000000" w:csb0="0004009F" w:csb1="DFD70000"/>
    <w:embedRegular r:id="rId11" w:fontKey="{9223BEC2-4A58-4E5C-89E8-A4F9EB631C94}"/>
  </w:font>
  <w:font w:name="方正小标宋简体">
    <w:panose1 w:val="02000000000000000000"/>
    <w:charset w:val="86"/>
    <w:family w:val="script"/>
    <w:pitch w:val="default"/>
    <w:sig w:usb0="00000001" w:usb1="08000000" w:usb2="00000000" w:usb3="00000000" w:csb0="00040000" w:csb1="00000000"/>
    <w:embedRegular r:id="rId12" w:fontKey="{BAB4FD39-B865-4197-B3C0-582363C247A1}"/>
  </w:font>
  <w:font w:nam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embedRegular r:id="rId13" w:fontKey="{FB5C58AC-04A1-4A7E-B5FB-A43123F0BB26}"/>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701B">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534E4">
    <w:pPr>
      <w:pStyle w:val="2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23CAF0">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223CAF0">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708E2">
    <w:pPr>
      <w:pStyle w:val="2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ECD80">
                          <w:pPr>
                            <w:pStyle w:val="26"/>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0EECD80">
                    <w:pPr>
                      <w:pStyle w:val="26"/>
                    </w:pPr>
                    <w:r>
                      <w:fldChar w:fldCharType="begin"/>
                    </w:r>
                    <w:r>
                      <w:instrText xml:space="preserve"> PAGE  \* MERGEFORMAT </w:instrText>
                    </w:r>
                    <w:r>
                      <w:fldChar w:fldCharType="separate"/>
                    </w:r>
                    <w:r>
                      <w:t>12</w:t>
                    </w:r>
                    <w:r>
                      <w:fldChar w:fldCharType="end"/>
                    </w:r>
                  </w:p>
                </w:txbxContent>
              </v:textbox>
            </v:shape>
          </w:pict>
        </mc:Fallback>
      </mc:AlternateContent>
    </w:r>
  </w:p>
  <w:p w14:paraId="3FE96DBC">
    <w:pPr>
      <w:pStyle w:val="2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CDFFF">
    <w:pPr>
      <w:pStyle w:val="26"/>
      <w:framePr w:wrap="around" w:vAnchor="text" w:hAnchor="margin" w:xAlign="center" w:y="1"/>
      <w:rPr>
        <w:rStyle w:val="41"/>
      </w:rPr>
    </w:pPr>
    <w:r>
      <w:fldChar w:fldCharType="begin"/>
    </w:r>
    <w:r>
      <w:rPr>
        <w:rStyle w:val="41"/>
      </w:rPr>
      <w:instrText xml:space="preserve">PAGE  </w:instrText>
    </w:r>
    <w:r>
      <w:fldChar w:fldCharType="end"/>
    </w:r>
  </w:p>
  <w:p w14:paraId="324D7049">
    <w:pPr>
      <w:pStyle w:val="2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362BC">
    <w:pPr>
      <w:pStyle w:val="26"/>
      <w:framePr w:wrap="around" w:vAnchor="text" w:hAnchor="margin" w:xAlign="right" w:y="1"/>
      <w:rPr>
        <w:rStyle w:val="41"/>
      </w:rPr>
    </w:pPr>
    <w:r>
      <w:fldChar w:fldCharType="begin"/>
    </w:r>
    <w:r>
      <w:rPr>
        <w:rStyle w:val="41"/>
      </w:rPr>
      <w:instrText xml:space="preserve">PAGE  </w:instrText>
    </w:r>
    <w:r>
      <w:fldChar w:fldCharType="separate"/>
    </w:r>
    <w:r>
      <w:rPr>
        <w:rStyle w:val="41"/>
      </w:rPr>
      <w:t>122</w:t>
    </w:r>
    <w:r>
      <w:fldChar w:fldCharType="end"/>
    </w:r>
  </w:p>
  <w:p w14:paraId="1C029C2E">
    <w:pPr>
      <w:pStyle w:val="26"/>
      <w:ind w:right="360"/>
      <w:jc w:val="both"/>
    </w:pPr>
    <w:r>
      <w:rPr>
        <w:rFonts w:hint="eastAsia"/>
      </w:rPr>
      <w:t>121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4B692">
    <w:pPr>
      <w:pStyle w:val="2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28E5F">
                          <w:pPr>
                            <w:pStyle w:val="26"/>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4328E5F">
                    <w:pPr>
                      <w:pStyle w:val="26"/>
                    </w:pPr>
                    <w:r>
                      <w:fldChar w:fldCharType="begin"/>
                    </w:r>
                    <w:r>
                      <w:instrText xml:space="preserve"> PAGE  \* MERGEFORMAT </w:instrText>
                    </w:r>
                    <w:r>
                      <w:fldChar w:fldCharType="separate"/>
                    </w:r>
                    <w:r>
                      <w:t>84</w:t>
                    </w:r>
                    <w:r>
                      <w:fldChar w:fldCharType="end"/>
                    </w:r>
                  </w:p>
                </w:txbxContent>
              </v:textbox>
            </v:shape>
          </w:pict>
        </mc:Fallback>
      </mc:AlternateContent>
    </w:r>
  </w:p>
  <w:p w14:paraId="3EEC788E">
    <w:pPr>
      <w:pStyle w:val="2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F3D1E">
    <w:pPr>
      <w:pStyle w:val="26"/>
      <w:framePr w:wrap="around" w:vAnchor="text" w:hAnchor="margin" w:xAlign="center" w:y="1"/>
      <w:rPr>
        <w:rStyle w:val="41"/>
      </w:rPr>
    </w:pPr>
    <w:r>
      <w:fldChar w:fldCharType="begin"/>
    </w:r>
    <w:r>
      <w:rPr>
        <w:rStyle w:val="41"/>
      </w:rPr>
      <w:instrText xml:space="preserve">PAGE  </w:instrText>
    </w:r>
    <w:r>
      <w:fldChar w:fldCharType="end"/>
    </w:r>
  </w:p>
  <w:p w14:paraId="637C4201">
    <w:pPr>
      <w:pStyle w:val="2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5EBE7">
    <w:pPr>
      <w:pStyle w:val="26"/>
      <w:ind w:right="360"/>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164FE">
                          <w:pPr>
                            <w:pStyle w:val="26"/>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44164FE">
                    <w:pPr>
                      <w:pStyle w:val="26"/>
                    </w:pPr>
                    <w:r>
                      <w:fldChar w:fldCharType="begin"/>
                    </w:r>
                    <w:r>
                      <w:instrText xml:space="preserve"> PAGE  \* MERGEFORMAT </w:instrText>
                    </w:r>
                    <w:r>
                      <w:fldChar w:fldCharType="separate"/>
                    </w:r>
                    <w:r>
                      <w:t>81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13EBF">
    <w:pPr>
      <w:pStyle w:val="2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315EB">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CE3F0">
    <w:pPr>
      <w:pStyle w:val="2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2FC47">
    <w:pPr>
      <w:pStyle w:val="2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524B3D"/>
    <w:multiLevelType w:val="singleLevel"/>
    <w:tmpl w:val="92524B3D"/>
    <w:lvl w:ilvl="0" w:tentative="0">
      <w:start w:val="3"/>
      <w:numFmt w:val="chineseCounting"/>
      <w:suff w:val="nothing"/>
      <w:lvlText w:val="（%1）"/>
      <w:lvlJc w:val="left"/>
      <w:rPr>
        <w:rFonts w:hint="eastAsia"/>
      </w:rPr>
    </w:lvl>
  </w:abstractNum>
  <w:abstractNum w:abstractNumId="1">
    <w:nsid w:val="B144D58F"/>
    <w:multiLevelType w:val="singleLevel"/>
    <w:tmpl w:val="B144D58F"/>
    <w:lvl w:ilvl="0" w:tentative="0">
      <w:start w:val="6"/>
      <w:numFmt w:val="chineseCounting"/>
      <w:suff w:val="nothing"/>
      <w:lvlText w:val="%1、"/>
      <w:lvlJc w:val="left"/>
      <w:rPr>
        <w:rFonts w:hint="eastAsia"/>
      </w:rPr>
    </w:lvl>
  </w:abstractNum>
  <w:abstractNum w:abstractNumId="2">
    <w:nsid w:val="FFFFFF7E"/>
    <w:multiLevelType w:val="singleLevel"/>
    <w:tmpl w:val="FFFFFF7E"/>
    <w:lvl w:ilvl="0" w:tentative="0">
      <w:start w:val="1"/>
      <w:numFmt w:val="decimal"/>
      <w:pStyle w:val="19"/>
      <w:lvlText w:val="%1."/>
      <w:lvlJc w:val="left"/>
      <w:pPr>
        <w:tabs>
          <w:tab w:val="left" w:pos="1200"/>
        </w:tabs>
        <w:ind w:left="1200" w:hanging="360"/>
      </w:pPr>
    </w:lvl>
  </w:abstractNum>
  <w:abstractNum w:abstractNumId="3">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pStyle w:val="9"/>
      <w:suff w:val="nothing"/>
      <w:lvlText w:val=""/>
      <w:lvlJc w:val="left"/>
      <w:pPr>
        <w:ind w:left="0" w:firstLine="0"/>
      </w:pPr>
      <w:rPr>
        <w:rFonts w:hint="eastAsia"/>
      </w:rPr>
    </w:lvl>
    <w:lvl w:ilvl="6" w:tentative="0">
      <w:start w:val="1"/>
      <w:numFmt w:val="none"/>
      <w:pStyle w:val="10"/>
      <w:suff w:val="nothing"/>
      <w:lvlText w:val=""/>
      <w:lvlJc w:val="left"/>
      <w:pPr>
        <w:ind w:left="0" w:firstLine="0"/>
      </w:pPr>
      <w:rPr>
        <w:rFonts w:hint="eastAsia"/>
      </w:rPr>
    </w:lvl>
    <w:lvl w:ilvl="7" w:tentative="0">
      <w:start w:val="1"/>
      <w:numFmt w:val="none"/>
      <w:pStyle w:val="11"/>
      <w:suff w:val="nothing"/>
      <w:lvlText w:val=""/>
      <w:lvlJc w:val="left"/>
      <w:pPr>
        <w:ind w:left="0" w:firstLine="0"/>
      </w:pPr>
      <w:rPr>
        <w:rFonts w:hint="eastAsia"/>
      </w:rPr>
    </w:lvl>
    <w:lvl w:ilvl="8" w:tentative="0">
      <w:start w:val="1"/>
      <w:numFmt w:val="none"/>
      <w:pStyle w:val="12"/>
      <w:suff w:val="nothing"/>
      <w:lvlText w:val=""/>
      <w:lvlJc w:val="left"/>
      <w:pPr>
        <w:ind w:left="0" w:firstLine="0"/>
      </w:pPr>
      <w:rPr>
        <w:rFonts w:hint="eastAsia"/>
      </w:rPr>
    </w:lvl>
  </w:abstractNum>
  <w:abstractNum w:abstractNumId="4">
    <w:nsid w:val="42405056"/>
    <w:multiLevelType w:val="multilevel"/>
    <w:tmpl w:val="42405056"/>
    <w:lvl w:ilvl="0" w:tentative="0">
      <w:start w:val="1"/>
      <w:numFmt w:val="decimal"/>
      <w:lvlText w:val="%1."/>
      <w:lvlJc w:val="left"/>
      <w:pPr>
        <w:ind w:left="773" w:hanging="360"/>
      </w:pPr>
      <w:rPr>
        <w:rFonts w:hint="default"/>
        <w:b/>
        <w:sz w:val="24"/>
        <w:szCs w:val="24"/>
      </w:r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abstractNum w:abstractNumId="5">
    <w:nsid w:val="4C601917"/>
    <w:multiLevelType w:val="singleLevel"/>
    <w:tmpl w:val="4C601917"/>
    <w:lvl w:ilvl="0" w:tentative="0">
      <w:start w:val="1"/>
      <w:numFmt w:val="decimal"/>
      <w:suff w:val="nothing"/>
      <w:lvlText w:val="（%1）"/>
      <w:lvlJc w:val="left"/>
    </w:lvl>
  </w:abstractNum>
  <w:abstractNum w:abstractNumId="6">
    <w:nsid w:val="5FABD14B"/>
    <w:multiLevelType w:val="singleLevel"/>
    <w:tmpl w:val="5FABD14B"/>
    <w:lvl w:ilvl="0" w:tentative="0">
      <w:start w:val="1"/>
      <w:numFmt w:val="decimal"/>
      <w:suff w:val="nothing"/>
      <w:lvlText w:val="（%1）"/>
      <w:lvlJc w:val="left"/>
    </w:lvl>
  </w:abstractNum>
  <w:abstractNum w:abstractNumId="7">
    <w:nsid w:val="6D299E24"/>
    <w:multiLevelType w:val="singleLevel"/>
    <w:tmpl w:val="6D299E24"/>
    <w:lvl w:ilvl="0" w:tentative="0">
      <w:start w:val="1"/>
      <w:numFmt w:val="decimal"/>
      <w:lvlText w:val="%1."/>
      <w:lvlJc w:val="left"/>
      <w:pPr>
        <w:tabs>
          <w:tab w:val="left" w:pos="312"/>
        </w:tabs>
      </w:pPr>
    </w:lvl>
  </w:abstractNum>
  <w:abstractNum w:abstractNumId="8">
    <w:nsid w:val="70BD51E6"/>
    <w:multiLevelType w:val="multilevel"/>
    <w:tmpl w:val="70BD51E6"/>
    <w:lvl w:ilvl="0" w:tentative="0">
      <w:start w:val="1"/>
      <w:numFmt w:val="decimal"/>
      <w:lvlText w:val="%1."/>
      <w:lvlJc w:val="left"/>
      <w:pPr>
        <w:ind w:left="840" w:hanging="420"/>
      </w:pPr>
      <w:rPr>
        <w:rFonts w:hint="default"/>
        <w:sz w:val="24"/>
        <w:szCs w:val="24"/>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63060DB"/>
    <w:multiLevelType w:val="multilevel"/>
    <w:tmpl w:val="763060DB"/>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3"/>
  </w:num>
  <w:num w:numId="2">
    <w:abstractNumId w:val="2"/>
  </w:num>
  <w:num w:numId="3">
    <w:abstractNumId w:val="1"/>
  </w:num>
  <w:num w:numId="4">
    <w:abstractNumId w:val="7"/>
  </w:num>
  <w:num w:numId="5">
    <w:abstractNumId w:val="8"/>
  </w:num>
  <w:num w:numId="6">
    <w:abstractNumId w:val="4"/>
  </w:num>
  <w:num w:numId="7">
    <w:abstractNumId w:val="5"/>
  </w:num>
  <w:num w:numId="8">
    <w:abstractNumId w:val="6"/>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wZGZlZTg0OTgwMTg3ZDBjZmRhMGFhOThhOGVlOGEifQ=="/>
  </w:docVars>
  <w:rsids>
    <w:rsidRoot w:val="001D1E9C"/>
    <w:rsid w:val="00065435"/>
    <w:rsid w:val="0009128C"/>
    <w:rsid w:val="000C1D5C"/>
    <w:rsid w:val="000D1A6F"/>
    <w:rsid w:val="000D5361"/>
    <w:rsid w:val="000F00A1"/>
    <w:rsid w:val="00113148"/>
    <w:rsid w:val="00127F19"/>
    <w:rsid w:val="001452FB"/>
    <w:rsid w:val="00186F2B"/>
    <w:rsid w:val="00190E46"/>
    <w:rsid w:val="00192776"/>
    <w:rsid w:val="001B6FB7"/>
    <w:rsid w:val="001C34D8"/>
    <w:rsid w:val="001D1E9C"/>
    <w:rsid w:val="0021030B"/>
    <w:rsid w:val="0021588A"/>
    <w:rsid w:val="00222CF7"/>
    <w:rsid w:val="00243D07"/>
    <w:rsid w:val="0027398C"/>
    <w:rsid w:val="002A4B62"/>
    <w:rsid w:val="002B230B"/>
    <w:rsid w:val="002C7F3C"/>
    <w:rsid w:val="002D0708"/>
    <w:rsid w:val="0035198A"/>
    <w:rsid w:val="00351A07"/>
    <w:rsid w:val="00353F68"/>
    <w:rsid w:val="003D7318"/>
    <w:rsid w:val="004169A6"/>
    <w:rsid w:val="00423629"/>
    <w:rsid w:val="00426231"/>
    <w:rsid w:val="00455024"/>
    <w:rsid w:val="00455025"/>
    <w:rsid w:val="004636F5"/>
    <w:rsid w:val="0048082F"/>
    <w:rsid w:val="004A4D3E"/>
    <w:rsid w:val="004C1930"/>
    <w:rsid w:val="004C49CE"/>
    <w:rsid w:val="004C6F12"/>
    <w:rsid w:val="005305DB"/>
    <w:rsid w:val="00534563"/>
    <w:rsid w:val="005440D9"/>
    <w:rsid w:val="0057591D"/>
    <w:rsid w:val="005E10B2"/>
    <w:rsid w:val="005F6D8E"/>
    <w:rsid w:val="00625AC9"/>
    <w:rsid w:val="00635FB7"/>
    <w:rsid w:val="006450D5"/>
    <w:rsid w:val="00651C3F"/>
    <w:rsid w:val="00662C0A"/>
    <w:rsid w:val="00674242"/>
    <w:rsid w:val="0067740E"/>
    <w:rsid w:val="006969ED"/>
    <w:rsid w:val="006A2E8E"/>
    <w:rsid w:val="006B4621"/>
    <w:rsid w:val="006E4C5E"/>
    <w:rsid w:val="006F60B3"/>
    <w:rsid w:val="00717BE3"/>
    <w:rsid w:val="00726BB3"/>
    <w:rsid w:val="00726E6C"/>
    <w:rsid w:val="0075194C"/>
    <w:rsid w:val="00754354"/>
    <w:rsid w:val="00760AA9"/>
    <w:rsid w:val="00770AC6"/>
    <w:rsid w:val="00782683"/>
    <w:rsid w:val="007B2FB8"/>
    <w:rsid w:val="007B3119"/>
    <w:rsid w:val="007B6588"/>
    <w:rsid w:val="007D4F76"/>
    <w:rsid w:val="007E3E4D"/>
    <w:rsid w:val="008055CA"/>
    <w:rsid w:val="00807B54"/>
    <w:rsid w:val="00830575"/>
    <w:rsid w:val="00840BC0"/>
    <w:rsid w:val="00843D54"/>
    <w:rsid w:val="008832AA"/>
    <w:rsid w:val="00891EBD"/>
    <w:rsid w:val="008A16EF"/>
    <w:rsid w:val="009065DB"/>
    <w:rsid w:val="0091732E"/>
    <w:rsid w:val="009410DD"/>
    <w:rsid w:val="00961CEC"/>
    <w:rsid w:val="0097401A"/>
    <w:rsid w:val="00981CAA"/>
    <w:rsid w:val="0099062C"/>
    <w:rsid w:val="009935C6"/>
    <w:rsid w:val="0099404E"/>
    <w:rsid w:val="00997A3E"/>
    <w:rsid w:val="009B4E5D"/>
    <w:rsid w:val="009F2735"/>
    <w:rsid w:val="009F78F8"/>
    <w:rsid w:val="00A16CE8"/>
    <w:rsid w:val="00A17F9A"/>
    <w:rsid w:val="00A44809"/>
    <w:rsid w:val="00A4574E"/>
    <w:rsid w:val="00A556DE"/>
    <w:rsid w:val="00A677AB"/>
    <w:rsid w:val="00A837C6"/>
    <w:rsid w:val="00AA3501"/>
    <w:rsid w:val="00AA394B"/>
    <w:rsid w:val="00AC39AE"/>
    <w:rsid w:val="00AE7AFB"/>
    <w:rsid w:val="00B036AC"/>
    <w:rsid w:val="00B043CB"/>
    <w:rsid w:val="00B108A8"/>
    <w:rsid w:val="00B132A8"/>
    <w:rsid w:val="00B5732B"/>
    <w:rsid w:val="00B66CB8"/>
    <w:rsid w:val="00B77178"/>
    <w:rsid w:val="00B8090F"/>
    <w:rsid w:val="00BC1483"/>
    <w:rsid w:val="00BE4B65"/>
    <w:rsid w:val="00C33F09"/>
    <w:rsid w:val="00C542B1"/>
    <w:rsid w:val="00C6351E"/>
    <w:rsid w:val="00C85962"/>
    <w:rsid w:val="00C972FF"/>
    <w:rsid w:val="00CC33F2"/>
    <w:rsid w:val="00D02395"/>
    <w:rsid w:val="00D077BD"/>
    <w:rsid w:val="00D201A0"/>
    <w:rsid w:val="00D3052E"/>
    <w:rsid w:val="00D44BB9"/>
    <w:rsid w:val="00D51368"/>
    <w:rsid w:val="00D55E82"/>
    <w:rsid w:val="00D7121F"/>
    <w:rsid w:val="00D71BD4"/>
    <w:rsid w:val="00D7548E"/>
    <w:rsid w:val="00D8265F"/>
    <w:rsid w:val="00D84C29"/>
    <w:rsid w:val="00D951F0"/>
    <w:rsid w:val="00DD1649"/>
    <w:rsid w:val="00E43412"/>
    <w:rsid w:val="00E93F00"/>
    <w:rsid w:val="00EC219B"/>
    <w:rsid w:val="00EE4DC7"/>
    <w:rsid w:val="00EF7303"/>
    <w:rsid w:val="00F06E03"/>
    <w:rsid w:val="00F350C0"/>
    <w:rsid w:val="00F44118"/>
    <w:rsid w:val="00F534C8"/>
    <w:rsid w:val="00F74547"/>
    <w:rsid w:val="00F95FD4"/>
    <w:rsid w:val="00FC31E2"/>
    <w:rsid w:val="00FC79E1"/>
    <w:rsid w:val="01323CE1"/>
    <w:rsid w:val="01B3097E"/>
    <w:rsid w:val="01EB7E72"/>
    <w:rsid w:val="025A0035"/>
    <w:rsid w:val="0270686F"/>
    <w:rsid w:val="033267EB"/>
    <w:rsid w:val="0362507C"/>
    <w:rsid w:val="04CD0AD3"/>
    <w:rsid w:val="04E377CC"/>
    <w:rsid w:val="05E732EC"/>
    <w:rsid w:val="06452A0B"/>
    <w:rsid w:val="066647AF"/>
    <w:rsid w:val="067600D4"/>
    <w:rsid w:val="068C79F0"/>
    <w:rsid w:val="06A37C3B"/>
    <w:rsid w:val="072916E2"/>
    <w:rsid w:val="08430582"/>
    <w:rsid w:val="08760957"/>
    <w:rsid w:val="0885633B"/>
    <w:rsid w:val="08E41D65"/>
    <w:rsid w:val="097148FC"/>
    <w:rsid w:val="0A337059"/>
    <w:rsid w:val="0A96708F"/>
    <w:rsid w:val="0B666A61"/>
    <w:rsid w:val="0D814026"/>
    <w:rsid w:val="0F7A2ADB"/>
    <w:rsid w:val="0F985657"/>
    <w:rsid w:val="10C63860"/>
    <w:rsid w:val="115A4B7A"/>
    <w:rsid w:val="11603F53"/>
    <w:rsid w:val="11A958FA"/>
    <w:rsid w:val="13776943"/>
    <w:rsid w:val="139452E1"/>
    <w:rsid w:val="148166BA"/>
    <w:rsid w:val="14A80E36"/>
    <w:rsid w:val="14BB4FFE"/>
    <w:rsid w:val="14FD6A36"/>
    <w:rsid w:val="162B4B9C"/>
    <w:rsid w:val="17A32F8B"/>
    <w:rsid w:val="1AAD6471"/>
    <w:rsid w:val="1AB5530F"/>
    <w:rsid w:val="1B133F78"/>
    <w:rsid w:val="1B1464DA"/>
    <w:rsid w:val="1B4F5F60"/>
    <w:rsid w:val="1B6E2FE3"/>
    <w:rsid w:val="1BBE7284"/>
    <w:rsid w:val="1DA70534"/>
    <w:rsid w:val="1DC87107"/>
    <w:rsid w:val="1EE30EA4"/>
    <w:rsid w:val="20110995"/>
    <w:rsid w:val="201D512F"/>
    <w:rsid w:val="204C132C"/>
    <w:rsid w:val="21352D06"/>
    <w:rsid w:val="21354AB4"/>
    <w:rsid w:val="21D02A2F"/>
    <w:rsid w:val="21EB1616"/>
    <w:rsid w:val="25F5595C"/>
    <w:rsid w:val="26610446"/>
    <w:rsid w:val="2665408D"/>
    <w:rsid w:val="266B4922"/>
    <w:rsid w:val="27B54ED1"/>
    <w:rsid w:val="288B4EC5"/>
    <w:rsid w:val="29113F3D"/>
    <w:rsid w:val="29675F9B"/>
    <w:rsid w:val="2AB10A90"/>
    <w:rsid w:val="2B3D5BF4"/>
    <w:rsid w:val="2E206AEC"/>
    <w:rsid w:val="2F844B71"/>
    <w:rsid w:val="2FD858D0"/>
    <w:rsid w:val="2FEA4E9F"/>
    <w:rsid w:val="319C2EEC"/>
    <w:rsid w:val="31D200FD"/>
    <w:rsid w:val="32655E7C"/>
    <w:rsid w:val="32745D3A"/>
    <w:rsid w:val="36550B11"/>
    <w:rsid w:val="36C61CB8"/>
    <w:rsid w:val="36F323D2"/>
    <w:rsid w:val="375F6774"/>
    <w:rsid w:val="378325C5"/>
    <w:rsid w:val="37C52BDE"/>
    <w:rsid w:val="38786CAE"/>
    <w:rsid w:val="38A16FC1"/>
    <w:rsid w:val="38B36EDA"/>
    <w:rsid w:val="38F74A8F"/>
    <w:rsid w:val="3A192D6D"/>
    <w:rsid w:val="3AEF12E7"/>
    <w:rsid w:val="3AFF17C2"/>
    <w:rsid w:val="3BFA097C"/>
    <w:rsid w:val="3C5C1637"/>
    <w:rsid w:val="3CC648C7"/>
    <w:rsid w:val="3DA37745"/>
    <w:rsid w:val="3DCE5F8D"/>
    <w:rsid w:val="3E6C1F71"/>
    <w:rsid w:val="4033417D"/>
    <w:rsid w:val="40864ED4"/>
    <w:rsid w:val="40893F95"/>
    <w:rsid w:val="41472661"/>
    <w:rsid w:val="416E14D8"/>
    <w:rsid w:val="41DB4DAC"/>
    <w:rsid w:val="427B0117"/>
    <w:rsid w:val="454964D0"/>
    <w:rsid w:val="45C53B11"/>
    <w:rsid w:val="46B50A37"/>
    <w:rsid w:val="46F506BE"/>
    <w:rsid w:val="46FA5CD4"/>
    <w:rsid w:val="47D22D7C"/>
    <w:rsid w:val="48474A35"/>
    <w:rsid w:val="484F781F"/>
    <w:rsid w:val="49755B0C"/>
    <w:rsid w:val="49861AA1"/>
    <w:rsid w:val="4AAB6C73"/>
    <w:rsid w:val="4B642058"/>
    <w:rsid w:val="4B894691"/>
    <w:rsid w:val="4BD479C2"/>
    <w:rsid w:val="4C995F8F"/>
    <w:rsid w:val="4C9E7102"/>
    <w:rsid w:val="4D42700E"/>
    <w:rsid w:val="4D636650"/>
    <w:rsid w:val="4DB32635"/>
    <w:rsid w:val="4E217FEA"/>
    <w:rsid w:val="50DF4D77"/>
    <w:rsid w:val="510936E3"/>
    <w:rsid w:val="52716B96"/>
    <w:rsid w:val="52F3217C"/>
    <w:rsid w:val="53065B65"/>
    <w:rsid w:val="538D0431"/>
    <w:rsid w:val="53E43F94"/>
    <w:rsid w:val="54EA382C"/>
    <w:rsid w:val="54FB77E7"/>
    <w:rsid w:val="553C395C"/>
    <w:rsid w:val="561873AF"/>
    <w:rsid w:val="571E77BD"/>
    <w:rsid w:val="57574A7D"/>
    <w:rsid w:val="583059FA"/>
    <w:rsid w:val="58472D43"/>
    <w:rsid w:val="59201399"/>
    <w:rsid w:val="59563B77"/>
    <w:rsid w:val="5A6F06B1"/>
    <w:rsid w:val="5B955B74"/>
    <w:rsid w:val="5BD76A6C"/>
    <w:rsid w:val="5C042129"/>
    <w:rsid w:val="5DEC23C3"/>
    <w:rsid w:val="5F230066"/>
    <w:rsid w:val="606243B5"/>
    <w:rsid w:val="60DF1D6B"/>
    <w:rsid w:val="610152A3"/>
    <w:rsid w:val="61073070"/>
    <w:rsid w:val="616D381B"/>
    <w:rsid w:val="618B761B"/>
    <w:rsid w:val="63104E6C"/>
    <w:rsid w:val="63BA45EF"/>
    <w:rsid w:val="64754700"/>
    <w:rsid w:val="64E35BA2"/>
    <w:rsid w:val="655B7E2E"/>
    <w:rsid w:val="68817BAC"/>
    <w:rsid w:val="68866387"/>
    <w:rsid w:val="68A04FB4"/>
    <w:rsid w:val="692C5D69"/>
    <w:rsid w:val="69C153B0"/>
    <w:rsid w:val="6A193FC8"/>
    <w:rsid w:val="6AC01764"/>
    <w:rsid w:val="6B2A6220"/>
    <w:rsid w:val="6BB72BFB"/>
    <w:rsid w:val="6DC03A96"/>
    <w:rsid w:val="6E843F52"/>
    <w:rsid w:val="6F9E1043"/>
    <w:rsid w:val="726F6CC7"/>
    <w:rsid w:val="72CB65F3"/>
    <w:rsid w:val="733D66E3"/>
    <w:rsid w:val="73A01533"/>
    <w:rsid w:val="75085B35"/>
    <w:rsid w:val="75DD3070"/>
    <w:rsid w:val="76961B3B"/>
    <w:rsid w:val="76C058E1"/>
    <w:rsid w:val="781E6FB1"/>
    <w:rsid w:val="78C25DA2"/>
    <w:rsid w:val="797671FC"/>
    <w:rsid w:val="7A0F3269"/>
    <w:rsid w:val="7B020043"/>
    <w:rsid w:val="7BD1454E"/>
    <w:rsid w:val="7BF00E78"/>
    <w:rsid w:val="7D5D18DC"/>
    <w:rsid w:val="7E355268"/>
    <w:rsid w:val="7F1E5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60"/>
    <w:qFormat/>
    <w:uiPriority w:val="0"/>
    <w:pPr>
      <w:keepNext/>
      <w:keepLines/>
      <w:spacing w:before="340" w:after="330" w:line="578" w:lineRule="auto"/>
      <w:outlineLvl w:val="0"/>
    </w:pPr>
    <w:rPr>
      <w:rFonts w:ascii="Times New Roman" w:hAnsi="Times New Roman" w:eastAsia="宋体" w:cs="Times New Roman"/>
      <w:b/>
      <w:bCs/>
      <w:kern w:val="44"/>
      <w:sz w:val="44"/>
      <w:szCs w:val="44"/>
      <w:lang w:val="zh-CN"/>
    </w:rPr>
  </w:style>
  <w:style w:type="paragraph" w:styleId="3">
    <w:name w:val="heading 2"/>
    <w:basedOn w:val="1"/>
    <w:next w:val="1"/>
    <w:link w:val="61"/>
    <w:qFormat/>
    <w:uiPriority w:val="0"/>
    <w:pPr>
      <w:keepNext/>
      <w:keepLines/>
      <w:spacing w:before="260" w:after="260" w:line="416" w:lineRule="auto"/>
      <w:outlineLvl w:val="1"/>
    </w:pPr>
    <w:rPr>
      <w:rFonts w:ascii="Arial" w:hAnsi="Arial" w:eastAsia="黑体" w:cs="Times New Roman"/>
      <w:b/>
      <w:bCs/>
      <w:kern w:val="0"/>
      <w:sz w:val="32"/>
      <w:szCs w:val="32"/>
      <w:lang w:val="zh-CN"/>
    </w:rPr>
  </w:style>
  <w:style w:type="paragraph" w:styleId="5">
    <w:name w:val="heading 3"/>
    <w:basedOn w:val="1"/>
    <w:next w:val="1"/>
    <w:link w:val="62"/>
    <w:qFormat/>
    <w:uiPriority w:val="0"/>
    <w:pPr>
      <w:keepNext/>
      <w:keepLines/>
      <w:spacing w:before="260" w:after="260" w:line="416" w:lineRule="auto"/>
      <w:outlineLvl w:val="2"/>
    </w:pPr>
    <w:rPr>
      <w:rFonts w:ascii="Times New Roman" w:hAnsi="Times New Roman" w:eastAsia="宋体" w:cs="Times New Roman"/>
      <w:b/>
      <w:bCs/>
      <w:kern w:val="0"/>
      <w:sz w:val="32"/>
      <w:szCs w:val="32"/>
      <w:lang w:val="zh-CN"/>
    </w:rPr>
  </w:style>
  <w:style w:type="paragraph" w:styleId="6">
    <w:name w:val="heading 4"/>
    <w:basedOn w:val="1"/>
    <w:next w:val="1"/>
    <w:link w:val="52"/>
    <w:qFormat/>
    <w:uiPriority w:val="0"/>
    <w:pPr>
      <w:keepNext/>
      <w:keepLines/>
      <w:spacing w:before="280" w:after="290" w:line="376" w:lineRule="auto"/>
      <w:outlineLvl w:val="3"/>
    </w:pPr>
    <w:rPr>
      <w:rFonts w:ascii="Cambria" w:hAnsi="Cambria" w:eastAsia="宋体" w:cs="Times New Roman"/>
      <w:b/>
      <w:bCs/>
      <w:sz w:val="28"/>
      <w:szCs w:val="28"/>
    </w:rPr>
  </w:style>
  <w:style w:type="paragraph" w:styleId="7">
    <w:name w:val="heading 5"/>
    <w:basedOn w:val="1"/>
    <w:next w:val="8"/>
    <w:link w:val="63"/>
    <w:qFormat/>
    <w:uiPriority w:val="0"/>
    <w:pPr>
      <w:keepNext/>
      <w:keepLines/>
      <w:numPr>
        <w:ilvl w:val="4"/>
        <w:numId w:val="1"/>
      </w:numPr>
      <w:spacing w:before="280" w:after="290" w:line="376" w:lineRule="auto"/>
      <w:outlineLvl w:val="4"/>
    </w:pPr>
    <w:rPr>
      <w:rFonts w:ascii="Times New Roman" w:hAnsi="Times New Roman" w:eastAsia="宋体" w:cs="Times New Roman"/>
      <w:b/>
      <w:sz w:val="28"/>
      <w:szCs w:val="24"/>
      <w:lang w:val="zh-CN"/>
    </w:rPr>
  </w:style>
  <w:style w:type="paragraph" w:styleId="9">
    <w:name w:val="heading 6"/>
    <w:basedOn w:val="1"/>
    <w:next w:val="8"/>
    <w:link w:val="64"/>
    <w:qFormat/>
    <w:uiPriority w:val="0"/>
    <w:pPr>
      <w:keepNext/>
      <w:keepLines/>
      <w:numPr>
        <w:ilvl w:val="5"/>
        <w:numId w:val="1"/>
      </w:numPr>
      <w:spacing w:before="240" w:after="64" w:line="320" w:lineRule="auto"/>
      <w:outlineLvl w:val="5"/>
    </w:pPr>
    <w:rPr>
      <w:rFonts w:ascii="Arial" w:hAnsi="Arial" w:eastAsia="黑体" w:cs="Times New Roman"/>
      <w:b/>
      <w:sz w:val="24"/>
      <w:szCs w:val="24"/>
      <w:lang w:val="zh-CN"/>
    </w:rPr>
  </w:style>
  <w:style w:type="paragraph" w:styleId="10">
    <w:name w:val="heading 7"/>
    <w:basedOn w:val="1"/>
    <w:next w:val="8"/>
    <w:link w:val="65"/>
    <w:qFormat/>
    <w:uiPriority w:val="0"/>
    <w:pPr>
      <w:keepNext/>
      <w:keepLines/>
      <w:numPr>
        <w:ilvl w:val="6"/>
        <w:numId w:val="1"/>
      </w:numPr>
      <w:spacing w:before="240" w:after="64" w:line="320" w:lineRule="auto"/>
      <w:outlineLvl w:val="6"/>
    </w:pPr>
    <w:rPr>
      <w:rFonts w:ascii="Times New Roman" w:hAnsi="Times New Roman" w:eastAsia="宋体" w:cs="Times New Roman"/>
      <w:b/>
      <w:sz w:val="24"/>
      <w:szCs w:val="24"/>
      <w:lang w:val="zh-CN"/>
    </w:rPr>
  </w:style>
  <w:style w:type="paragraph" w:styleId="11">
    <w:name w:val="heading 8"/>
    <w:basedOn w:val="1"/>
    <w:next w:val="8"/>
    <w:link w:val="66"/>
    <w:qFormat/>
    <w:uiPriority w:val="0"/>
    <w:pPr>
      <w:keepNext/>
      <w:keepLines/>
      <w:numPr>
        <w:ilvl w:val="7"/>
        <w:numId w:val="1"/>
      </w:numPr>
      <w:spacing w:before="240" w:after="64" w:line="320" w:lineRule="auto"/>
      <w:outlineLvl w:val="7"/>
    </w:pPr>
    <w:rPr>
      <w:rFonts w:ascii="Arial" w:hAnsi="Arial" w:eastAsia="黑体" w:cs="Times New Roman"/>
      <w:sz w:val="24"/>
      <w:szCs w:val="24"/>
      <w:lang w:val="zh-CN"/>
    </w:rPr>
  </w:style>
  <w:style w:type="paragraph" w:styleId="12">
    <w:name w:val="heading 9"/>
    <w:basedOn w:val="1"/>
    <w:next w:val="8"/>
    <w:link w:val="67"/>
    <w:qFormat/>
    <w:uiPriority w:val="0"/>
    <w:pPr>
      <w:keepNext/>
      <w:keepLines/>
      <w:numPr>
        <w:ilvl w:val="8"/>
        <w:numId w:val="1"/>
      </w:numPr>
      <w:spacing w:before="240" w:after="64" w:line="320" w:lineRule="auto"/>
      <w:outlineLvl w:val="8"/>
    </w:pPr>
    <w:rPr>
      <w:rFonts w:ascii="Arial" w:hAnsi="Arial" w:eastAsia="黑体" w:cs="Times New Roman"/>
      <w:szCs w:val="24"/>
      <w:lang w:val="zh-CN"/>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customStyle="1" w:styleId="2">
    <w:name w:val="样式 标题 2 + 宋体"/>
    <w:basedOn w:val="3"/>
    <w:qFormat/>
    <w:uiPriority w:val="99"/>
    <w:rPr>
      <w:rFonts w:ascii="宋体" w:hAnsi="宋体"/>
      <w:sz w:val="30"/>
    </w:rPr>
  </w:style>
  <w:style w:type="paragraph" w:styleId="8">
    <w:name w:val="Normal Indent"/>
    <w:basedOn w:val="1"/>
    <w:next w:val="1"/>
    <w:qFormat/>
    <w:uiPriority w:val="0"/>
    <w:pPr>
      <w:ind w:firstLine="420"/>
    </w:pPr>
    <w:rPr>
      <w:rFonts w:ascii="Times New Roman" w:hAnsi="Times New Roman" w:eastAsia="宋体" w:cs="Times New Roman"/>
      <w:szCs w:val="20"/>
    </w:rPr>
  </w:style>
  <w:style w:type="paragraph" w:styleId="13">
    <w:name w:val="List Number"/>
    <w:basedOn w:val="1"/>
    <w:qFormat/>
    <w:uiPriority w:val="0"/>
    <w:pPr>
      <w:widowControl/>
      <w:tabs>
        <w:tab w:val="left" w:pos="454"/>
        <w:tab w:val="left" w:pos="720"/>
        <w:tab w:val="left" w:pos="840"/>
      </w:tabs>
      <w:spacing w:after="50" w:afterLines="50"/>
      <w:ind w:left="454" w:hanging="284"/>
      <w:jc w:val="left"/>
    </w:pPr>
    <w:rPr>
      <w:rFonts w:ascii="Times New Roman" w:hAnsi="Times New Roman" w:eastAsia="宋体" w:cs="Times New Roman"/>
      <w:kern w:val="0"/>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annotation text"/>
    <w:basedOn w:val="1"/>
    <w:link w:val="71"/>
    <w:unhideWhenUsed/>
    <w:qFormat/>
    <w:uiPriority w:val="99"/>
    <w:pPr>
      <w:jc w:val="left"/>
    </w:pPr>
    <w:rPr>
      <w:rFonts w:ascii="Times New Roman" w:hAnsi="Times New Roman" w:eastAsia="宋体" w:cs="Times New Roman"/>
      <w:szCs w:val="24"/>
      <w:lang w:val="zh-CN"/>
    </w:rPr>
  </w:style>
  <w:style w:type="paragraph" w:styleId="16">
    <w:name w:val="Body Text 3"/>
    <w:basedOn w:val="1"/>
    <w:link w:val="73"/>
    <w:qFormat/>
    <w:uiPriority w:val="0"/>
    <w:pPr>
      <w:spacing w:line="500" w:lineRule="exact"/>
    </w:pPr>
    <w:rPr>
      <w:rFonts w:ascii="Times New Roman" w:hAnsi="Times New Roman" w:eastAsia="宋体" w:cs="Times New Roman"/>
      <w:b/>
      <w:bCs/>
      <w:kern w:val="0"/>
      <w:sz w:val="24"/>
      <w:szCs w:val="24"/>
      <w:lang w:val="zh-CN"/>
    </w:rPr>
  </w:style>
  <w:style w:type="paragraph" w:styleId="17">
    <w:name w:val="Body Text"/>
    <w:basedOn w:val="1"/>
    <w:link w:val="59"/>
    <w:qFormat/>
    <w:uiPriority w:val="99"/>
    <w:pPr>
      <w:spacing w:line="380" w:lineRule="exact"/>
    </w:pPr>
    <w:rPr>
      <w:rFonts w:ascii="Times New Roman" w:hAnsi="Times New Roman" w:eastAsia="宋体" w:cs="Times New Roman"/>
      <w:kern w:val="0"/>
      <w:sz w:val="24"/>
      <w:szCs w:val="24"/>
      <w:lang w:val="zh-CN"/>
    </w:rPr>
  </w:style>
  <w:style w:type="paragraph" w:styleId="18">
    <w:name w:val="Body Text Indent"/>
    <w:basedOn w:val="1"/>
    <w:link w:val="75"/>
    <w:qFormat/>
    <w:uiPriority w:val="0"/>
    <w:pPr>
      <w:ind w:firstLine="830" w:firstLineChars="352"/>
    </w:pPr>
    <w:rPr>
      <w:rFonts w:ascii="仿宋_GB2312" w:hAnsi="Times New Roman" w:eastAsia="仿宋_GB2312" w:cs="Times New Roman"/>
      <w:kern w:val="0"/>
      <w:sz w:val="32"/>
      <w:szCs w:val="20"/>
      <w:lang w:val="zh-CN"/>
    </w:rPr>
  </w:style>
  <w:style w:type="paragraph" w:styleId="19">
    <w:name w:val="List Number 3"/>
    <w:basedOn w:val="1"/>
    <w:qFormat/>
    <w:uiPriority w:val="0"/>
    <w:pPr>
      <w:numPr>
        <w:ilvl w:val="0"/>
        <w:numId w:val="2"/>
      </w:numPr>
    </w:pPr>
    <w:rPr>
      <w:rFonts w:ascii="Times New Roman" w:hAnsi="Times New Roman" w:eastAsia="宋体" w:cs="Times New Roman"/>
      <w:szCs w:val="24"/>
    </w:rPr>
  </w:style>
  <w:style w:type="paragraph" w:styleId="20">
    <w:name w:val="List 2"/>
    <w:basedOn w:val="1"/>
    <w:qFormat/>
    <w:uiPriority w:val="0"/>
    <w:pPr>
      <w:ind w:left="100" w:leftChars="200" w:hanging="200" w:hangingChars="200"/>
    </w:pPr>
    <w:rPr>
      <w:rFonts w:ascii="Times New Roman" w:hAnsi="Times New Roman" w:eastAsia="宋体" w:cs="Times New Roman"/>
      <w:sz w:val="28"/>
      <w:szCs w:val="24"/>
    </w:rPr>
  </w:style>
  <w:style w:type="paragraph" w:styleId="21">
    <w:name w:val="Plain Text"/>
    <w:basedOn w:val="1"/>
    <w:link w:val="77"/>
    <w:qFormat/>
    <w:uiPriority w:val="0"/>
    <w:rPr>
      <w:rFonts w:ascii="宋体" w:hAnsi="Courier New" w:eastAsia="宋体" w:cs="Times New Roman"/>
      <w:kern w:val="0"/>
      <w:sz w:val="20"/>
      <w:szCs w:val="21"/>
      <w:lang w:val="zh-CN"/>
    </w:rPr>
  </w:style>
  <w:style w:type="paragraph" w:styleId="22">
    <w:name w:val="Date"/>
    <w:basedOn w:val="1"/>
    <w:next w:val="1"/>
    <w:link w:val="79"/>
    <w:qFormat/>
    <w:uiPriority w:val="0"/>
    <w:pPr>
      <w:ind w:left="100" w:leftChars="2500"/>
    </w:pPr>
    <w:rPr>
      <w:rFonts w:ascii="宋体" w:hAnsi="Courier New" w:eastAsia="宋体" w:cs="Times New Roman"/>
      <w:kern w:val="0"/>
      <w:sz w:val="20"/>
      <w:szCs w:val="21"/>
      <w:lang w:val="zh-CN"/>
    </w:rPr>
  </w:style>
  <w:style w:type="paragraph" w:styleId="23">
    <w:name w:val="Body Text Indent 2"/>
    <w:basedOn w:val="1"/>
    <w:link w:val="81"/>
    <w:qFormat/>
    <w:uiPriority w:val="0"/>
    <w:pPr>
      <w:ind w:firstLine="630"/>
    </w:pPr>
    <w:rPr>
      <w:rFonts w:ascii="Times New Roman" w:hAnsi="Times New Roman" w:eastAsia="宋体" w:cs="Times New Roman"/>
      <w:kern w:val="0"/>
      <w:sz w:val="32"/>
      <w:szCs w:val="20"/>
      <w:lang w:val="zh-CN"/>
    </w:rPr>
  </w:style>
  <w:style w:type="paragraph" w:styleId="24">
    <w:name w:val="endnote text"/>
    <w:basedOn w:val="1"/>
    <w:link w:val="83"/>
    <w:unhideWhenUsed/>
    <w:qFormat/>
    <w:uiPriority w:val="99"/>
    <w:pPr>
      <w:snapToGrid w:val="0"/>
      <w:jc w:val="left"/>
    </w:pPr>
    <w:rPr>
      <w:rFonts w:ascii="Times New Roman" w:hAnsi="Times New Roman" w:eastAsia="宋体" w:cs="Times New Roman"/>
      <w:szCs w:val="24"/>
      <w:lang w:val="zh-CN"/>
    </w:rPr>
  </w:style>
  <w:style w:type="paragraph" w:styleId="25">
    <w:name w:val="Balloon Text"/>
    <w:basedOn w:val="1"/>
    <w:link w:val="85"/>
    <w:qFormat/>
    <w:uiPriority w:val="99"/>
    <w:rPr>
      <w:rFonts w:ascii="Times New Roman" w:hAnsi="Times New Roman" w:eastAsia="宋体" w:cs="Times New Roman"/>
      <w:kern w:val="0"/>
      <w:sz w:val="18"/>
      <w:szCs w:val="18"/>
      <w:lang w:val="zh-CN"/>
    </w:rPr>
  </w:style>
  <w:style w:type="paragraph" w:styleId="26">
    <w:name w:val="footer"/>
    <w:basedOn w:val="1"/>
    <w:link w:val="48"/>
    <w:unhideWhenUsed/>
    <w:qFormat/>
    <w:uiPriority w:val="99"/>
    <w:pPr>
      <w:tabs>
        <w:tab w:val="center" w:pos="4153"/>
        <w:tab w:val="right" w:pos="8306"/>
      </w:tabs>
      <w:snapToGrid w:val="0"/>
      <w:jc w:val="left"/>
    </w:pPr>
    <w:rPr>
      <w:sz w:val="18"/>
      <w:szCs w:val="18"/>
    </w:rPr>
  </w:style>
  <w:style w:type="paragraph" w:styleId="27">
    <w:name w:val="header"/>
    <w:basedOn w:val="1"/>
    <w:link w:val="47"/>
    <w:unhideWhenUsed/>
    <w:qFormat/>
    <w:uiPriority w:val="99"/>
    <w:pPr>
      <w:pBdr>
        <w:bottom w:val="single" w:color="auto" w:sz="6" w:space="1"/>
      </w:pBdr>
      <w:tabs>
        <w:tab w:val="center" w:pos="4153"/>
        <w:tab w:val="right" w:pos="8306"/>
      </w:tabs>
      <w:snapToGrid w:val="0"/>
      <w:jc w:val="center"/>
    </w:pPr>
    <w:rPr>
      <w:sz w:val="18"/>
      <w:szCs w:val="18"/>
    </w:rPr>
  </w:style>
  <w:style w:type="paragraph" w:styleId="28">
    <w:name w:val="List"/>
    <w:basedOn w:val="1"/>
    <w:qFormat/>
    <w:uiPriority w:val="0"/>
    <w:pPr>
      <w:ind w:left="200" w:hanging="200" w:hangingChars="200"/>
    </w:pPr>
    <w:rPr>
      <w:rFonts w:ascii="Times New Roman" w:hAnsi="Times New Roman" w:eastAsia="宋体" w:cs="Times New Roman"/>
      <w:sz w:val="28"/>
      <w:szCs w:val="24"/>
    </w:rPr>
  </w:style>
  <w:style w:type="paragraph" w:styleId="29">
    <w:name w:val="footnote text"/>
    <w:basedOn w:val="1"/>
    <w:link w:val="89"/>
    <w:unhideWhenUsed/>
    <w:qFormat/>
    <w:uiPriority w:val="99"/>
    <w:pPr>
      <w:snapToGrid w:val="0"/>
      <w:jc w:val="left"/>
    </w:pPr>
    <w:rPr>
      <w:rFonts w:ascii="Times New Roman" w:hAnsi="Times New Roman" w:eastAsia="宋体" w:cs="Times New Roman"/>
      <w:sz w:val="18"/>
      <w:szCs w:val="18"/>
      <w:lang w:val="zh-CN"/>
    </w:rPr>
  </w:style>
  <w:style w:type="paragraph" w:styleId="30">
    <w:name w:val="Body Text Indent 3"/>
    <w:basedOn w:val="1"/>
    <w:link w:val="91"/>
    <w:qFormat/>
    <w:uiPriority w:val="0"/>
    <w:pPr>
      <w:spacing w:after="120"/>
      <w:ind w:left="420" w:leftChars="200"/>
    </w:pPr>
    <w:rPr>
      <w:rFonts w:ascii="Times New Roman" w:hAnsi="Times New Roman" w:eastAsia="宋体" w:cs="Times New Roman"/>
      <w:kern w:val="0"/>
      <w:sz w:val="16"/>
      <w:szCs w:val="16"/>
      <w:lang w:val="zh-CN"/>
    </w:rPr>
  </w:style>
  <w:style w:type="paragraph" w:styleId="31">
    <w:name w:val="Body Text 2"/>
    <w:basedOn w:val="1"/>
    <w:link w:val="93"/>
    <w:qFormat/>
    <w:uiPriority w:val="0"/>
    <w:pPr>
      <w:spacing w:after="120" w:line="480" w:lineRule="auto"/>
    </w:pPr>
    <w:rPr>
      <w:rFonts w:ascii="Times New Roman" w:hAnsi="Times New Roman" w:eastAsia="宋体" w:cs="Times New Roman"/>
      <w:kern w:val="0"/>
      <w:sz w:val="20"/>
      <w:szCs w:val="24"/>
      <w:lang w:val="zh-CN"/>
    </w:rPr>
  </w:style>
  <w:style w:type="paragraph" w:styleId="32">
    <w:name w:val="HTML Preformatted"/>
    <w:basedOn w:val="1"/>
    <w:link w:val="1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3">
    <w:name w:val="Normal (Web)"/>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styleId="34">
    <w:name w:val="index 1"/>
    <w:basedOn w:val="1"/>
    <w:next w:val="1"/>
    <w:semiHidden/>
    <w:qFormat/>
    <w:uiPriority w:val="0"/>
    <w:pPr>
      <w:spacing w:line="400" w:lineRule="exact"/>
      <w:ind w:firstLine="420" w:firstLineChars="200"/>
    </w:pPr>
    <w:rPr>
      <w:rFonts w:ascii="宋体" w:hAnsi="Courier New" w:eastAsia="宋体" w:cs="Times New Roman"/>
      <w:b/>
      <w:szCs w:val="20"/>
    </w:rPr>
  </w:style>
  <w:style w:type="paragraph" w:styleId="35">
    <w:name w:val="Title"/>
    <w:basedOn w:val="1"/>
    <w:next w:val="1"/>
    <w:link w:val="95"/>
    <w:qFormat/>
    <w:uiPriority w:val="10"/>
    <w:pPr>
      <w:spacing w:before="240" w:after="60"/>
      <w:jc w:val="center"/>
      <w:outlineLvl w:val="0"/>
    </w:pPr>
    <w:rPr>
      <w:rFonts w:ascii="Cambria" w:hAnsi="Cambria" w:eastAsia="宋体" w:cs="Times New Roman"/>
      <w:b/>
      <w:bCs/>
      <w:sz w:val="32"/>
      <w:szCs w:val="32"/>
      <w:lang w:val="zh-CN"/>
    </w:rPr>
  </w:style>
  <w:style w:type="paragraph" w:styleId="36">
    <w:name w:val="annotation subject"/>
    <w:basedOn w:val="15"/>
    <w:next w:val="15"/>
    <w:link w:val="97"/>
    <w:unhideWhenUsed/>
    <w:qFormat/>
    <w:uiPriority w:val="99"/>
    <w:rPr>
      <w:b/>
      <w:bCs/>
    </w:rPr>
  </w:style>
  <w:style w:type="table" w:styleId="38">
    <w:name w:val="Table Grid"/>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endnote reference"/>
    <w:unhideWhenUsed/>
    <w:qFormat/>
    <w:uiPriority w:val="99"/>
    <w:rPr>
      <w:vertAlign w:val="superscript"/>
    </w:rPr>
  </w:style>
  <w:style w:type="character" w:styleId="41">
    <w:name w:val="page number"/>
    <w:qFormat/>
    <w:uiPriority w:val="0"/>
  </w:style>
  <w:style w:type="character" w:styleId="42">
    <w:name w:val="FollowedHyperlink"/>
    <w:basedOn w:val="39"/>
    <w:semiHidden/>
    <w:unhideWhenUsed/>
    <w:qFormat/>
    <w:uiPriority w:val="99"/>
    <w:rPr>
      <w:color w:val="954F72" w:themeColor="followedHyperlink"/>
      <w:u w:val="single"/>
      <w14:textFill>
        <w14:solidFill>
          <w14:schemeClr w14:val="folHlink"/>
        </w14:solidFill>
      </w14:textFill>
    </w:rPr>
  </w:style>
  <w:style w:type="character" w:styleId="43">
    <w:name w:val="Emphasis"/>
    <w:basedOn w:val="39"/>
    <w:qFormat/>
    <w:uiPriority w:val="0"/>
    <w:rPr>
      <w:i/>
    </w:rPr>
  </w:style>
  <w:style w:type="character" w:styleId="44">
    <w:name w:val="Hyperlink"/>
    <w:qFormat/>
    <w:uiPriority w:val="99"/>
    <w:rPr>
      <w:color w:val="0000FF"/>
      <w:u w:val="single"/>
    </w:rPr>
  </w:style>
  <w:style w:type="character" w:styleId="45">
    <w:name w:val="annotation reference"/>
    <w:unhideWhenUsed/>
    <w:qFormat/>
    <w:uiPriority w:val="99"/>
    <w:rPr>
      <w:sz w:val="21"/>
      <w:szCs w:val="21"/>
    </w:rPr>
  </w:style>
  <w:style w:type="character" w:styleId="46">
    <w:name w:val="footnote reference"/>
    <w:unhideWhenUsed/>
    <w:qFormat/>
    <w:uiPriority w:val="99"/>
    <w:rPr>
      <w:vertAlign w:val="superscript"/>
    </w:rPr>
  </w:style>
  <w:style w:type="character" w:customStyle="1" w:styleId="47">
    <w:name w:val="页眉 Char1"/>
    <w:basedOn w:val="39"/>
    <w:link w:val="27"/>
    <w:qFormat/>
    <w:uiPriority w:val="99"/>
    <w:rPr>
      <w:sz w:val="18"/>
      <w:szCs w:val="18"/>
    </w:rPr>
  </w:style>
  <w:style w:type="character" w:customStyle="1" w:styleId="48">
    <w:name w:val="页脚 Char1"/>
    <w:basedOn w:val="39"/>
    <w:link w:val="26"/>
    <w:qFormat/>
    <w:uiPriority w:val="99"/>
    <w:rPr>
      <w:sz w:val="18"/>
      <w:szCs w:val="18"/>
    </w:rPr>
  </w:style>
  <w:style w:type="character" w:customStyle="1" w:styleId="49">
    <w:name w:val="标题 1 字符"/>
    <w:basedOn w:val="39"/>
    <w:qFormat/>
    <w:uiPriority w:val="9"/>
    <w:rPr>
      <w:b/>
      <w:bCs/>
      <w:kern w:val="44"/>
      <w:sz w:val="44"/>
      <w:szCs w:val="44"/>
    </w:rPr>
  </w:style>
  <w:style w:type="character" w:customStyle="1" w:styleId="50">
    <w:name w:val="标题 2 字符"/>
    <w:basedOn w:val="39"/>
    <w:semiHidden/>
    <w:qFormat/>
    <w:uiPriority w:val="9"/>
    <w:rPr>
      <w:rFonts w:asciiTheme="majorHAnsi" w:hAnsiTheme="majorHAnsi" w:eastAsiaTheme="majorEastAsia" w:cstheme="majorBidi"/>
      <w:b/>
      <w:bCs/>
      <w:sz w:val="32"/>
      <w:szCs w:val="32"/>
    </w:rPr>
  </w:style>
  <w:style w:type="character" w:customStyle="1" w:styleId="51">
    <w:name w:val="标题 3 字符"/>
    <w:basedOn w:val="39"/>
    <w:semiHidden/>
    <w:qFormat/>
    <w:uiPriority w:val="9"/>
    <w:rPr>
      <w:b/>
      <w:bCs/>
      <w:sz w:val="32"/>
      <w:szCs w:val="32"/>
    </w:rPr>
  </w:style>
  <w:style w:type="character" w:customStyle="1" w:styleId="52">
    <w:name w:val="标题 4 Char"/>
    <w:basedOn w:val="39"/>
    <w:link w:val="6"/>
    <w:qFormat/>
    <w:uiPriority w:val="0"/>
    <w:rPr>
      <w:rFonts w:ascii="Cambria" w:hAnsi="Cambria" w:eastAsia="宋体" w:cs="Times New Roman"/>
      <w:b/>
      <w:bCs/>
      <w:sz w:val="28"/>
      <w:szCs w:val="28"/>
    </w:rPr>
  </w:style>
  <w:style w:type="character" w:customStyle="1" w:styleId="53">
    <w:name w:val="标题 5 字符"/>
    <w:basedOn w:val="39"/>
    <w:qFormat/>
    <w:uiPriority w:val="0"/>
    <w:rPr>
      <w:b/>
      <w:bCs/>
      <w:sz w:val="28"/>
      <w:szCs w:val="28"/>
    </w:rPr>
  </w:style>
  <w:style w:type="character" w:customStyle="1" w:styleId="54">
    <w:name w:val="标题 6 字符"/>
    <w:basedOn w:val="39"/>
    <w:semiHidden/>
    <w:qFormat/>
    <w:uiPriority w:val="9"/>
    <w:rPr>
      <w:rFonts w:asciiTheme="majorHAnsi" w:hAnsiTheme="majorHAnsi" w:eastAsiaTheme="majorEastAsia" w:cstheme="majorBidi"/>
      <w:b/>
      <w:bCs/>
      <w:sz w:val="24"/>
      <w:szCs w:val="24"/>
    </w:rPr>
  </w:style>
  <w:style w:type="character" w:customStyle="1" w:styleId="55">
    <w:name w:val="标题 7 字符"/>
    <w:basedOn w:val="39"/>
    <w:semiHidden/>
    <w:qFormat/>
    <w:uiPriority w:val="9"/>
    <w:rPr>
      <w:b/>
      <w:bCs/>
      <w:sz w:val="24"/>
      <w:szCs w:val="24"/>
    </w:rPr>
  </w:style>
  <w:style w:type="character" w:customStyle="1" w:styleId="56">
    <w:name w:val="标题 8 字符"/>
    <w:basedOn w:val="39"/>
    <w:semiHidden/>
    <w:qFormat/>
    <w:uiPriority w:val="9"/>
    <w:rPr>
      <w:rFonts w:asciiTheme="majorHAnsi" w:hAnsiTheme="majorHAnsi" w:eastAsiaTheme="majorEastAsia" w:cstheme="majorBidi"/>
      <w:sz w:val="24"/>
      <w:szCs w:val="24"/>
    </w:rPr>
  </w:style>
  <w:style w:type="character" w:customStyle="1" w:styleId="57">
    <w:name w:val="标题 9 字符"/>
    <w:basedOn w:val="39"/>
    <w:semiHidden/>
    <w:qFormat/>
    <w:uiPriority w:val="9"/>
    <w:rPr>
      <w:rFonts w:asciiTheme="majorHAnsi" w:hAnsiTheme="majorHAnsi" w:eastAsiaTheme="majorEastAsia" w:cstheme="majorBidi"/>
      <w:szCs w:val="21"/>
    </w:rPr>
  </w:style>
  <w:style w:type="character" w:customStyle="1" w:styleId="58">
    <w:name w:val="正文文本 字符"/>
    <w:basedOn w:val="39"/>
    <w:semiHidden/>
    <w:qFormat/>
    <w:uiPriority w:val="99"/>
  </w:style>
  <w:style w:type="character" w:customStyle="1" w:styleId="59">
    <w:name w:val="正文文本 Char"/>
    <w:link w:val="17"/>
    <w:qFormat/>
    <w:uiPriority w:val="99"/>
    <w:rPr>
      <w:rFonts w:ascii="Times New Roman" w:hAnsi="Times New Roman" w:eastAsia="宋体" w:cs="Times New Roman"/>
      <w:kern w:val="0"/>
      <w:sz w:val="24"/>
      <w:szCs w:val="24"/>
      <w:lang w:val="zh-CN" w:eastAsia="zh-CN"/>
    </w:rPr>
  </w:style>
  <w:style w:type="character" w:customStyle="1" w:styleId="60">
    <w:name w:val="标题 1 Char"/>
    <w:link w:val="4"/>
    <w:qFormat/>
    <w:uiPriority w:val="0"/>
    <w:rPr>
      <w:rFonts w:ascii="Times New Roman" w:hAnsi="Times New Roman" w:eastAsia="宋体" w:cs="Times New Roman"/>
      <w:b/>
      <w:bCs/>
      <w:kern w:val="44"/>
      <w:sz w:val="44"/>
      <w:szCs w:val="44"/>
      <w:lang w:val="zh-CN" w:eastAsia="zh-CN"/>
    </w:rPr>
  </w:style>
  <w:style w:type="character" w:customStyle="1" w:styleId="61">
    <w:name w:val="标题 2 Char"/>
    <w:link w:val="3"/>
    <w:qFormat/>
    <w:uiPriority w:val="0"/>
    <w:rPr>
      <w:rFonts w:ascii="Arial" w:hAnsi="Arial" w:eastAsia="黑体" w:cs="Times New Roman"/>
      <w:b/>
      <w:bCs/>
      <w:kern w:val="0"/>
      <w:sz w:val="32"/>
      <w:szCs w:val="32"/>
      <w:lang w:val="zh-CN" w:eastAsia="zh-CN"/>
    </w:rPr>
  </w:style>
  <w:style w:type="character" w:customStyle="1" w:styleId="62">
    <w:name w:val="标题 3 Char"/>
    <w:link w:val="5"/>
    <w:qFormat/>
    <w:uiPriority w:val="0"/>
    <w:rPr>
      <w:rFonts w:ascii="Times New Roman" w:hAnsi="Times New Roman" w:eastAsia="宋体" w:cs="Times New Roman"/>
      <w:b/>
      <w:bCs/>
      <w:kern w:val="0"/>
      <w:sz w:val="32"/>
      <w:szCs w:val="32"/>
      <w:lang w:val="zh-CN" w:eastAsia="zh-CN"/>
    </w:rPr>
  </w:style>
  <w:style w:type="character" w:customStyle="1" w:styleId="63">
    <w:name w:val="标题 5 Char2"/>
    <w:link w:val="7"/>
    <w:qFormat/>
    <w:uiPriority w:val="0"/>
    <w:rPr>
      <w:rFonts w:ascii="Times New Roman" w:hAnsi="Times New Roman" w:eastAsia="宋体" w:cs="Times New Roman"/>
      <w:b/>
      <w:sz w:val="28"/>
      <w:szCs w:val="24"/>
      <w:lang w:val="zh-CN" w:eastAsia="zh-CN"/>
    </w:rPr>
  </w:style>
  <w:style w:type="character" w:customStyle="1" w:styleId="64">
    <w:name w:val="标题 6 Char"/>
    <w:link w:val="9"/>
    <w:qFormat/>
    <w:uiPriority w:val="0"/>
    <w:rPr>
      <w:rFonts w:ascii="Arial" w:hAnsi="Arial" w:eastAsia="黑体" w:cs="Times New Roman"/>
      <w:b/>
      <w:sz w:val="24"/>
      <w:szCs w:val="24"/>
      <w:lang w:val="zh-CN" w:eastAsia="zh-CN"/>
    </w:rPr>
  </w:style>
  <w:style w:type="character" w:customStyle="1" w:styleId="65">
    <w:name w:val="标题 7 Char"/>
    <w:link w:val="10"/>
    <w:qFormat/>
    <w:uiPriority w:val="0"/>
    <w:rPr>
      <w:rFonts w:ascii="Times New Roman" w:hAnsi="Times New Roman" w:eastAsia="宋体" w:cs="Times New Roman"/>
      <w:b/>
      <w:sz w:val="24"/>
      <w:szCs w:val="24"/>
      <w:lang w:val="zh-CN" w:eastAsia="zh-CN"/>
    </w:rPr>
  </w:style>
  <w:style w:type="character" w:customStyle="1" w:styleId="66">
    <w:name w:val="标题 8 Char"/>
    <w:link w:val="11"/>
    <w:qFormat/>
    <w:uiPriority w:val="0"/>
    <w:rPr>
      <w:rFonts w:ascii="Arial" w:hAnsi="Arial" w:eastAsia="黑体" w:cs="Times New Roman"/>
      <w:sz w:val="24"/>
      <w:szCs w:val="24"/>
      <w:lang w:val="zh-CN" w:eastAsia="zh-CN"/>
    </w:rPr>
  </w:style>
  <w:style w:type="character" w:customStyle="1" w:styleId="67">
    <w:name w:val="标题 9 Char"/>
    <w:link w:val="12"/>
    <w:qFormat/>
    <w:uiPriority w:val="0"/>
    <w:rPr>
      <w:rFonts w:ascii="Arial" w:hAnsi="Arial" w:eastAsia="黑体" w:cs="Times New Roman"/>
      <w:szCs w:val="24"/>
      <w:lang w:val="zh-CN" w:eastAsia="zh-CN"/>
    </w:rPr>
  </w:style>
  <w:style w:type="paragraph" w:customStyle="1" w:styleId="68">
    <w:name w:val="1"/>
    <w:basedOn w:val="1"/>
    <w:next w:val="69"/>
    <w:qFormat/>
    <w:uiPriority w:val="34"/>
    <w:pPr>
      <w:ind w:firstLine="420" w:firstLineChars="200"/>
    </w:pPr>
    <w:rPr>
      <w:rFonts w:ascii="Times New Roman" w:hAnsi="Times New Roman" w:eastAsia="宋体" w:cs="Times New Roman"/>
      <w:szCs w:val="24"/>
    </w:rPr>
  </w:style>
  <w:style w:type="paragraph" w:styleId="69">
    <w:name w:val="List Paragraph"/>
    <w:basedOn w:val="1"/>
    <w:qFormat/>
    <w:uiPriority w:val="0"/>
    <w:pPr>
      <w:ind w:firstLine="420" w:firstLineChars="200"/>
    </w:pPr>
  </w:style>
  <w:style w:type="character" w:customStyle="1" w:styleId="70">
    <w:name w:val="批注文字 字符"/>
    <w:basedOn w:val="39"/>
    <w:qFormat/>
    <w:uiPriority w:val="99"/>
  </w:style>
  <w:style w:type="character" w:customStyle="1" w:styleId="71">
    <w:name w:val="批注文字 Char2"/>
    <w:link w:val="15"/>
    <w:qFormat/>
    <w:uiPriority w:val="0"/>
    <w:rPr>
      <w:rFonts w:ascii="Times New Roman" w:hAnsi="Times New Roman" w:eastAsia="宋体" w:cs="Times New Roman"/>
      <w:szCs w:val="24"/>
      <w:lang w:val="zh-CN" w:eastAsia="zh-CN"/>
    </w:rPr>
  </w:style>
  <w:style w:type="character" w:customStyle="1" w:styleId="72">
    <w:name w:val="正文文本 3 字符"/>
    <w:basedOn w:val="39"/>
    <w:semiHidden/>
    <w:qFormat/>
    <w:uiPriority w:val="99"/>
    <w:rPr>
      <w:sz w:val="16"/>
      <w:szCs w:val="16"/>
    </w:rPr>
  </w:style>
  <w:style w:type="character" w:customStyle="1" w:styleId="73">
    <w:name w:val="正文文本 3 Char"/>
    <w:link w:val="16"/>
    <w:qFormat/>
    <w:uiPriority w:val="0"/>
    <w:rPr>
      <w:rFonts w:ascii="Times New Roman" w:hAnsi="Times New Roman" w:eastAsia="宋体" w:cs="Times New Roman"/>
      <w:b/>
      <w:bCs/>
      <w:kern w:val="0"/>
      <w:sz w:val="24"/>
      <w:szCs w:val="24"/>
      <w:lang w:val="zh-CN" w:eastAsia="zh-CN"/>
    </w:rPr>
  </w:style>
  <w:style w:type="character" w:customStyle="1" w:styleId="74">
    <w:name w:val="正文文本缩进 字符"/>
    <w:basedOn w:val="39"/>
    <w:qFormat/>
    <w:uiPriority w:val="0"/>
  </w:style>
  <w:style w:type="character" w:customStyle="1" w:styleId="75">
    <w:name w:val="正文文本缩进 Char"/>
    <w:link w:val="18"/>
    <w:qFormat/>
    <w:uiPriority w:val="0"/>
    <w:rPr>
      <w:rFonts w:ascii="仿宋_GB2312" w:hAnsi="Times New Roman" w:eastAsia="仿宋_GB2312" w:cs="Times New Roman"/>
      <w:kern w:val="0"/>
      <w:sz w:val="32"/>
      <w:szCs w:val="20"/>
      <w:lang w:val="zh-CN" w:eastAsia="zh-CN"/>
    </w:rPr>
  </w:style>
  <w:style w:type="character" w:customStyle="1" w:styleId="76">
    <w:name w:val="纯文本 字符"/>
    <w:basedOn w:val="39"/>
    <w:qFormat/>
    <w:uiPriority w:val="0"/>
    <w:rPr>
      <w:rFonts w:hAnsi="Courier New" w:cs="Courier New" w:asciiTheme="minorEastAsia"/>
    </w:rPr>
  </w:style>
  <w:style w:type="character" w:customStyle="1" w:styleId="77">
    <w:name w:val="纯文本 Char2"/>
    <w:link w:val="21"/>
    <w:qFormat/>
    <w:uiPriority w:val="0"/>
    <w:rPr>
      <w:rFonts w:ascii="宋体" w:hAnsi="Courier New" w:eastAsia="宋体" w:cs="Times New Roman"/>
      <w:kern w:val="0"/>
      <w:sz w:val="20"/>
      <w:szCs w:val="21"/>
      <w:lang w:val="zh-CN" w:eastAsia="zh-CN"/>
    </w:rPr>
  </w:style>
  <w:style w:type="character" w:customStyle="1" w:styleId="78">
    <w:name w:val="日期 字符"/>
    <w:basedOn w:val="39"/>
    <w:semiHidden/>
    <w:qFormat/>
    <w:uiPriority w:val="99"/>
  </w:style>
  <w:style w:type="character" w:customStyle="1" w:styleId="79">
    <w:name w:val="日期 Char"/>
    <w:link w:val="22"/>
    <w:qFormat/>
    <w:uiPriority w:val="0"/>
    <w:rPr>
      <w:rFonts w:ascii="宋体" w:hAnsi="Courier New" w:eastAsia="宋体" w:cs="Times New Roman"/>
      <w:kern w:val="0"/>
      <w:sz w:val="20"/>
      <w:szCs w:val="21"/>
      <w:lang w:val="zh-CN" w:eastAsia="zh-CN"/>
    </w:rPr>
  </w:style>
  <w:style w:type="character" w:customStyle="1" w:styleId="80">
    <w:name w:val="正文文本缩进 2 字符"/>
    <w:basedOn w:val="39"/>
    <w:semiHidden/>
    <w:qFormat/>
    <w:uiPriority w:val="99"/>
  </w:style>
  <w:style w:type="character" w:customStyle="1" w:styleId="81">
    <w:name w:val="正文文本缩进 2 Char"/>
    <w:link w:val="23"/>
    <w:qFormat/>
    <w:uiPriority w:val="0"/>
    <w:rPr>
      <w:rFonts w:ascii="Times New Roman" w:hAnsi="Times New Roman" w:eastAsia="宋体" w:cs="Times New Roman"/>
      <w:kern w:val="0"/>
      <w:sz w:val="32"/>
      <w:szCs w:val="20"/>
      <w:lang w:val="zh-CN" w:eastAsia="zh-CN"/>
    </w:rPr>
  </w:style>
  <w:style w:type="character" w:customStyle="1" w:styleId="82">
    <w:name w:val="尾注文本 字符"/>
    <w:basedOn w:val="39"/>
    <w:semiHidden/>
    <w:qFormat/>
    <w:uiPriority w:val="99"/>
  </w:style>
  <w:style w:type="character" w:customStyle="1" w:styleId="83">
    <w:name w:val="尾注文本 Char"/>
    <w:link w:val="24"/>
    <w:qFormat/>
    <w:uiPriority w:val="99"/>
    <w:rPr>
      <w:rFonts w:ascii="Times New Roman" w:hAnsi="Times New Roman" w:eastAsia="宋体" w:cs="Times New Roman"/>
      <w:szCs w:val="24"/>
      <w:lang w:val="zh-CN" w:eastAsia="zh-CN"/>
    </w:rPr>
  </w:style>
  <w:style w:type="character" w:customStyle="1" w:styleId="84">
    <w:name w:val="批注框文本 字符"/>
    <w:basedOn w:val="39"/>
    <w:qFormat/>
    <w:uiPriority w:val="99"/>
    <w:rPr>
      <w:sz w:val="18"/>
      <w:szCs w:val="18"/>
    </w:rPr>
  </w:style>
  <w:style w:type="character" w:customStyle="1" w:styleId="85">
    <w:name w:val="批注框文本 Char"/>
    <w:link w:val="25"/>
    <w:qFormat/>
    <w:uiPriority w:val="99"/>
    <w:rPr>
      <w:rFonts w:ascii="Times New Roman" w:hAnsi="Times New Roman" w:eastAsia="宋体" w:cs="Times New Roman"/>
      <w:kern w:val="0"/>
      <w:sz w:val="18"/>
      <w:szCs w:val="18"/>
      <w:lang w:val="zh-CN" w:eastAsia="zh-CN"/>
    </w:rPr>
  </w:style>
  <w:style w:type="character" w:customStyle="1" w:styleId="86">
    <w:name w:val="页脚 Char"/>
    <w:qFormat/>
    <w:uiPriority w:val="99"/>
    <w:rPr>
      <w:sz w:val="18"/>
      <w:szCs w:val="18"/>
    </w:rPr>
  </w:style>
  <w:style w:type="character" w:customStyle="1" w:styleId="87">
    <w:name w:val="页眉 Char"/>
    <w:qFormat/>
    <w:uiPriority w:val="99"/>
    <w:rPr>
      <w:rFonts w:ascii="Times New Roman" w:hAnsi="Times New Roman"/>
      <w:kern w:val="2"/>
      <w:sz w:val="18"/>
      <w:szCs w:val="18"/>
    </w:rPr>
  </w:style>
  <w:style w:type="character" w:customStyle="1" w:styleId="88">
    <w:name w:val="脚注文本 字符"/>
    <w:basedOn w:val="39"/>
    <w:semiHidden/>
    <w:qFormat/>
    <w:uiPriority w:val="99"/>
    <w:rPr>
      <w:sz w:val="18"/>
      <w:szCs w:val="18"/>
    </w:rPr>
  </w:style>
  <w:style w:type="character" w:customStyle="1" w:styleId="89">
    <w:name w:val="脚注文本 Char"/>
    <w:link w:val="29"/>
    <w:qFormat/>
    <w:uiPriority w:val="99"/>
    <w:rPr>
      <w:rFonts w:ascii="Times New Roman" w:hAnsi="Times New Roman" w:eastAsia="宋体" w:cs="Times New Roman"/>
      <w:sz w:val="18"/>
      <w:szCs w:val="18"/>
      <w:lang w:val="zh-CN" w:eastAsia="zh-CN"/>
    </w:rPr>
  </w:style>
  <w:style w:type="character" w:customStyle="1" w:styleId="90">
    <w:name w:val="正文文本缩进 3 字符"/>
    <w:basedOn w:val="39"/>
    <w:semiHidden/>
    <w:qFormat/>
    <w:uiPriority w:val="99"/>
    <w:rPr>
      <w:sz w:val="16"/>
      <w:szCs w:val="16"/>
    </w:rPr>
  </w:style>
  <w:style w:type="character" w:customStyle="1" w:styleId="91">
    <w:name w:val="正文文本缩进 3 Char"/>
    <w:link w:val="30"/>
    <w:qFormat/>
    <w:uiPriority w:val="0"/>
    <w:rPr>
      <w:rFonts w:ascii="Times New Roman" w:hAnsi="Times New Roman" w:eastAsia="宋体" w:cs="Times New Roman"/>
      <w:kern w:val="0"/>
      <w:sz w:val="16"/>
      <w:szCs w:val="16"/>
      <w:lang w:val="zh-CN" w:eastAsia="zh-CN"/>
    </w:rPr>
  </w:style>
  <w:style w:type="character" w:customStyle="1" w:styleId="92">
    <w:name w:val="正文文本 2 字符"/>
    <w:basedOn w:val="39"/>
    <w:semiHidden/>
    <w:qFormat/>
    <w:uiPriority w:val="99"/>
  </w:style>
  <w:style w:type="character" w:customStyle="1" w:styleId="93">
    <w:name w:val="正文文本 2 Char"/>
    <w:link w:val="31"/>
    <w:qFormat/>
    <w:uiPriority w:val="0"/>
    <w:rPr>
      <w:rFonts w:ascii="Times New Roman" w:hAnsi="Times New Roman" w:eastAsia="宋体" w:cs="Times New Roman"/>
      <w:kern w:val="0"/>
      <w:sz w:val="20"/>
      <w:szCs w:val="24"/>
      <w:lang w:val="zh-CN" w:eastAsia="zh-CN"/>
    </w:rPr>
  </w:style>
  <w:style w:type="character" w:customStyle="1" w:styleId="94">
    <w:name w:val="标题 字符"/>
    <w:basedOn w:val="39"/>
    <w:qFormat/>
    <w:uiPriority w:val="10"/>
    <w:rPr>
      <w:rFonts w:asciiTheme="majorHAnsi" w:hAnsiTheme="majorHAnsi" w:eastAsiaTheme="majorEastAsia" w:cstheme="majorBidi"/>
      <w:b/>
      <w:bCs/>
      <w:sz w:val="32"/>
      <w:szCs w:val="32"/>
    </w:rPr>
  </w:style>
  <w:style w:type="character" w:customStyle="1" w:styleId="95">
    <w:name w:val="标题 Char"/>
    <w:link w:val="35"/>
    <w:qFormat/>
    <w:uiPriority w:val="10"/>
    <w:rPr>
      <w:rFonts w:ascii="Cambria" w:hAnsi="Cambria" w:eastAsia="宋体" w:cs="Times New Roman"/>
      <w:b/>
      <w:bCs/>
      <w:sz w:val="32"/>
      <w:szCs w:val="32"/>
      <w:lang w:val="zh-CN" w:eastAsia="zh-CN"/>
    </w:rPr>
  </w:style>
  <w:style w:type="character" w:customStyle="1" w:styleId="96">
    <w:name w:val="批注主题 字符"/>
    <w:basedOn w:val="70"/>
    <w:semiHidden/>
    <w:qFormat/>
    <w:uiPriority w:val="99"/>
    <w:rPr>
      <w:b/>
      <w:bCs/>
    </w:rPr>
  </w:style>
  <w:style w:type="character" w:customStyle="1" w:styleId="97">
    <w:name w:val="批注主题 Char"/>
    <w:link w:val="36"/>
    <w:qFormat/>
    <w:uiPriority w:val="99"/>
    <w:rPr>
      <w:rFonts w:ascii="Times New Roman" w:hAnsi="Times New Roman" w:eastAsia="宋体" w:cs="Times New Roman"/>
      <w:b/>
      <w:bCs/>
      <w:szCs w:val="24"/>
      <w:lang w:val="zh-CN" w:eastAsia="zh-CN"/>
    </w:rPr>
  </w:style>
  <w:style w:type="character" w:customStyle="1" w:styleId="98">
    <w:name w:val="批注文字 Char"/>
    <w:qFormat/>
    <w:uiPriority w:val="99"/>
    <w:rPr>
      <w:rFonts w:ascii="Times New Roman" w:hAnsi="Times New Roman"/>
      <w:kern w:val="2"/>
      <w:sz w:val="21"/>
      <w:szCs w:val="24"/>
    </w:rPr>
  </w:style>
  <w:style w:type="character" w:customStyle="1" w:styleId="99">
    <w:name w:val="纯文本 Char1"/>
    <w:qFormat/>
    <w:uiPriority w:val="0"/>
    <w:rPr>
      <w:rFonts w:ascii="宋体" w:hAnsi="Courier New" w:eastAsia="宋体" w:cs="Courier New"/>
      <w:szCs w:val="21"/>
    </w:rPr>
  </w:style>
  <w:style w:type="character" w:customStyle="1" w:styleId="100">
    <w:name w:val="textcontents"/>
    <w:qFormat/>
    <w:uiPriority w:val="0"/>
  </w:style>
  <w:style w:type="character" w:customStyle="1" w:styleId="101">
    <w:name w:val="标题 5 Char"/>
    <w:qFormat/>
    <w:uiPriority w:val="0"/>
    <w:rPr>
      <w:b/>
      <w:kern w:val="2"/>
      <w:sz w:val="28"/>
      <w:szCs w:val="24"/>
    </w:rPr>
  </w:style>
  <w:style w:type="character" w:customStyle="1" w:styleId="102">
    <w:name w:val="headline-content4"/>
    <w:qFormat/>
    <w:uiPriority w:val="0"/>
  </w:style>
  <w:style w:type="character" w:customStyle="1" w:styleId="103">
    <w:name w:val="apple-style-span"/>
    <w:qFormat/>
    <w:uiPriority w:val="0"/>
  </w:style>
  <w:style w:type="character" w:customStyle="1" w:styleId="104">
    <w:name w:val="批注文字 字符2"/>
    <w:qFormat/>
    <w:uiPriority w:val="0"/>
    <w:rPr>
      <w:rFonts w:ascii="Times New Roman" w:hAnsi="Times New Roman"/>
      <w:kern w:val="2"/>
      <w:sz w:val="21"/>
      <w:szCs w:val="24"/>
    </w:rPr>
  </w:style>
  <w:style w:type="character" w:customStyle="1" w:styleId="105">
    <w:name w:val="纯文本 Char"/>
    <w:qFormat/>
    <w:uiPriority w:val="99"/>
    <w:rPr>
      <w:rFonts w:ascii="宋体" w:hAnsi="Courier New" w:eastAsia="宋体" w:cs="Courier New"/>
      <w:szCs w:val="21"/>
    </w:rPr>
  </w:style>
  <w:style w:type="character" w:customStyle="1" w:styleId="106">
    <w:name w:val="纯文本 字符1"/>
    <w:qFormat/>
    <w:uiPriority w:val="0"/>
    <w:rPr>
      <w:rFonts w:ascii="宋体" w:hAnsi="Courier New"/>
    </w:rPr>
  </w:style>
  <w:style w:type="character" w:customStyle="1" w:styleId="107">
    <w:name w:val="批注文字 Char1"/>
    <w:semiHidden/>
    <w:qFormat/>
    <w:locked/>
    <w:uiPriority w:val="0"/>
    <w:rPr>
      <w:rFonts w:ascii="Times New Roman" w:hAnsi="Times New Roman"/>
      <w:kern w:val="2"/>
      <w:sz w:val="21"/>
      <w:szCs w:val="24"/>
    </w:rPr>
  </w:style>
  <w:style w:type="character" w:customStyle="1" w:styleId="10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09">
    <w:name w:val="case31"/>
    <w:qFormat/>
    <w:uiPriority w:val="0"/>
    <w:rPr>
      <w:rFonts w:hint="default"/>
      <w:sz w:val="21"/>
      <w:szCs w:val="21"/>
    </w:rPr>
  </w:style>
  <w:style w:type="character" w:customStyle="1" w:styleId="110">
    <w:name w:val="普通文字 Char Char2"/>
    <w:qFormat/>
    <w:uiPriority w:val="0"/>
    <w:rPr>
      <w:rFonts w:ascii="宋体" w:hAnsi="Courier New" w:eastAsia="宋体"/>
      <w:kern w:val="2"/>
      <w:sz w:val="21"/>
      <w:lang w:val="en-US" w:eastAsia="zh-CN" w:bidi="ar-SA"/>
    </w:rPr>
  </w:style>
  <w:style w:type="character" w:customStyle="1" w:styleId="111">
    <w:name w:val="标题 5 Char1"/>
    <w:qFormat/>
    <w:uiPriority w:val="0"/>
    <w:rPr>
      <w:b/>
      <w:kern w:val="2"/>
      <w:sz w:val="28"/>
      <w:szCs w:val="24"/>
    </w:rPr>
  </w:style>
  <w:style w:type="paragraph" w:customStyle="1" w:styleId="112">
    <w:name w:val="样式 首行缩进:  2 字符"/>
    <w:basedOn w:val="1"/>
    <w:qFormat/>
    <w:uiPriority w:val="0"/>
    <w:pPr>
      <w:spacing w:line="400" w:lineRule="exact"/>
      <w:ind w:firstLine="200" w:firstLineChars="200"/>
    </w:pPr>
    <w:rPr>
      <w:rFonts w:ascii="Times New Roman" w:hAnsi="Times New Roman" w:eastAsia="宋体" w:cs="宋体"/>
      <w:sz w:val="24"/>
      <w:szCs w:val="24"/>
    </w:rPr>
  </w:style>
  <w:style w:type="paragraph" w:customStyle="1" w:styleId="113">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14">
    <w:name w:val="正文段"/>
    <w:basedOn w:val="1"/>
    <w:qFormat/>
    <w:uiPriority w:val="0"/>
    <w:pPr>
      <w:widowControl/>
      <w:snapToGrid w:val="0"/>
      <w:spacing w:after="50" w:afterLines="50"/>
      <w:ind w:firstLine="200" w:firstLineChars="200"/>
    </w:pPr>
    <w:rPr>
      <w:rFonts w:ascii="Times New Roman" w:hAnsi="Times New Roman" w:eastAsia="宋体" w:cs="Times New Roman"/>
      <w:kern w:val="0"/>
      <w:sz w:val="24"/>
      <w:szCs w:val="20"/>
    </w:rPr>
  </w:style>
  <w:style w:type="paragraph" w:customStyle="1" w:styleId="115">
    <w:name w:val="Char1"/>
    <w:basedOn w:val="1"/>
    <w:qFormat/>
    <w:uiPriority w:val="0"/>
    <w:rPr>
      <w:rFonts w:ascii="Times New Roman" w:hAnsi="Times New Roman" w:eastAsia="宋体" w:cs="Times New Roman"/>
      <w:szCs w:val="21"/>
    </w:rPr>
  </w:style>
  <w:style w:type="paragraph" w:customStyle="1" w:styleId="116">
    <w:name w:val="表内文字"/>
    <w:basedOn w:val="1"/>
    <w:qFormat/>
    <w:uiPriority w:val="0"/>
    <w:pPr>
      <w:snapToGrid w:val="0"/>
      <w:spacing w:before="50" w:after="50"/>
      <w:jc w:val="center"/>
    </w:pPr>
    <w:rPr>
      <w:rFonts w:ascii="仿宋_GB2312" w:hAnsi="宋体" w:eastAsia="仿宋_GB2312" w:cs="Times New Roman"/>
      <w:b/>
      <w:color w:val="000000"/>
      <w:sz w:val="32"/>
      <w:szCs w:val="32"/>
    </w:rPr>
  </w:style>
  <w:style w:type="paragraph" w:customStyle="1" w:styleId="117">
    <w:name w:val="纯文本1"/>
    <w:basedOn w:val="1"/>
    <w:qFormat/>
    <w:uiPriority w:val="0"/>
    <w:rPr>
      <w:rFonts w:ascii="宋体" w:hAnsi="Courier New" w:eastAsia="宋体" w:cs="Century"/>
      <w:szCs w:val="21"/>
    </w:rPr>
  </w:style>
  <w:style w:type="paragraph" w:customStyle="1" w:styleId="118">
    <w:name w:val="默认段落字体 Para Char Char Char Char Char Char Char Char Char1 Char Char Char Char"/>
    <w:basedOn w:val="1"/>
    <w:qFormat/>
    <w:uiPriority w:val="0"/>
    <w:rPr>
      <w:rFonts w:ascii="Tahoma" w:hAnsi="Tahoma" w:eastAsia="宋体" w:cs="Times New Roman"/>
      <w:sz w:val="24"/>
      <w:szCs w:val="20"/>
    </w:rPr>
  </w:style>
  <w:style w:type="paragraph" w:customStyle="1" w:styleId="119">
    <w:name w:val="表格"/>
    <w:basedOn w:val="1"/>
    <w:qFormat/>
    <w:uiPriority w:val="0"/>
    <w:pPr>
      <w:spacing w:line="400" w:lineRule="exact"/>
    </w:pPr>
    <w:rPr>
      <w:rFonts w:ascii="Times New Roman" w:hAnsi="Times New Roman" w:eastAsia="宋体" w:cs="Times New Roman"/>
      <w:sz w:val="24"/>
      <w:szCs w:val="24"/>
    </w:rPr>
  </w:style>
  <w:style w:type="paragraph" w:customStyle="1" w:styleId="120">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21">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22">
    <w:name w:val="Table Paragraph"/>
    <w:basedOn w:val="1"/>
    <w:qFormat/>
    <w:uiPriority w:val="1"/>
    <w:pPr>
      <w:jc w:val="left"/>
    </w:pPr>
    <w:rPr>
      <w:rFonts w:ascii="Calibri" w:hAnsi="Calibri" w:eastAsia="宋体" w:cs="Times New Roman"/>
      <w:kern w:val="0"/>
      <w:sz w:val="22"/>
      <w:lang w:eastAsia="en-US"/>
    </w:rPr>
  </w:style>
  <w:style w:type="paragraph" w:customStyle="1" w:styleId="123">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24">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table" w:customStyle="1" w:styleId="125">
    <w:name w:val="Table Normal1"/>
    <w:semiHidden/>
    <w:qFormat/>
    <w:uiPriority w:val="2"/>
    <w:pPr>
      <w:widowControl w:val="0"/>
    </w:pPr>
    <w:rPr>
      <w:rFonts w:ascii="Calibri" w:hAnsi="Calibri" w:eastAsia="Times New Roman"/>
      <w:sz w:val="22"/>
      <w:lang w:eastAsia="en-US"/>
    </w:rPr>
    <w:tblPr>
      <w:tblCellMar>
        <w:top w:w="0" w:type="dxa"/>
        <w:left w:w="0" w:type="dxa"/>
        <w:bottom w:w="0" w:type="dxa"/>
        <w:right w:w="0" w:type="dxa"/>
      </w:tblCellMar>
    </w:tblPr>
  </w:style>
  <w:style w:type="character" w:customStyle="1" w:styleId="126">
    <w:name w:val="纯文本 Char3"/>
    <w:qFormat/>
    <w:uiPriority w:val="99"/>
    <w:rPr>
      <w:rFonts w:ascii="宋体" w:hAnsi="Courier New" w:eastAsia="宋体" w:cs="Courier New"/>
      <w:kern w:val="2"/>
      <w:sz w:val="21"/>
      <w:szCs w:val="21"/>
      <w:lang w:val="en-US" w:eastAsia="zh-CN" w:bidi="ar-SA"/>
    </w:rPr>
  </w:style>
  <w:style w:type="character" w:customStyle="1" w:styleId="127">
    <w:name w:val="列出段落 Char"/>
    <w:link w:val="128"/>
    <w:qFormat/>
    <w:locked/>
    <w:uiPriority w:val="0"/>
    <w:rPr>
      <w:szCs w:val="24"/>
    </w:rPr>
  </w:style>
  <w:style w:type="paragraph" w:customStyle="1" w:styleId="128">
    <w:name w:val="列表段落1"/>
    <w:basedOn w:val="1"/>
    <w:link w:val="127"/>
    <w:qFormat/>
    <w:uiPriority w:val="0"/>
    <w:pPr>
      <w:ind w:firstLine="420" w:firstLineChars="200"/>
    </w:pPr>
    <w:rPr>
      <w:szCs w:val="24"/>
    </w:rPr>
  </w:style>
  <w:style w:type="character" w:customStyle="1" w:styleId="129">
    <w:name w:val="普通文字 Char Char3"/>
    <w:qFormat/>
    <w:uiPriority w:val="0"/>
    <w:rPr>
      <w:rFonts w:ascii="宋体" w:eastAsia="宋体"/>
      <w:szCs w:val="21"/>
      <w:lang w:bidi="ar-SA"/>
    </w:rPr>
  </w:style>
  <w:style w:type="character" w:customStyle="1" w:styleId="130">
    <w:name w:val="apple-converted-space"/>
    <w:qFormat/>
    <w:uiPriority w:val="0"/>
  </w:style>
  <w:style w:type="character" w:customStyle="1" w:styleId="131">
    <w:name w:val="font21"/>
    <w:qFormat/>
    <w:uiPriority w:val="0"/>
    <w:rPr>
      <w:rFonts w:hint="eastAsia" w:ascii="宋体" w:hAnsi="宋体" w:eastAsia="宋体" w:cs="宋体"/>
      <w:color w:val="000000"/>
      <w:sz w:val="20"/>
      <w:szCs w:val="20"/>
      <w:u w:val="none"/>
    </w:rPr>
  </w:style>
  <w:style w:type="paragraph" w:customStyle="1" w:styleId="132">
    <w:name w:val="Normal_0_1"/>
    <w:qFormat/>
    <w:uiPriority w:val="0"/>
    <w:rPr>
      <w:rFonts w:ascii="Times New Roman" w:hAnsi="Times New Roman" w:eastAsia="Times New Roman" w:cs="Times New Roman"/>
      <w:sz w:val="24"/>
      <w:szCs w:val="24"/>
      <w:lang w:val="en-US" w:eastAsia="zh-CN" w:bidi="ar-SA"/>
    </w:rPr>
  </w:style>
  <w:style w:type="character" w:customStyle="1" w:styleId="133">
    <w:name w:val="font01"/>
    <w:basedOn w:val="39"/>
    <w:qFormat/>
    <w:uiPriority w:val="0"/>
    <w:rPr>
      <w:rFonts w:hint="eastAsia" w:ascii="宋体" w:hAnsi="宋体" w:eastAsia="宋体" w:cs="宋体"/>
      <w:color w:val="000000"/>
      <w:sz w:val="22"/>
      <w:szCs w:val="22"/>
      <w:u w:val="none"/>
    </w:rPr>
  </w:style>
  <w:style w:type="character" w:customStyle="1" w:styleId="134">
    <w:name w:val="font31"/>
    <w:basedOn w:val="39"/>
    <w:qFormat/>
    <w:uiPriority w:val="0"/>
    <w:rPr>
      <w:rFonts w:hint="eastAsia" w:ascii="宋体" w:hAnsi="宋体" w:eastAsia="宋体" w:cs="宋体"/>
      <w:color w:val="FF0000"/>
      <w:sz w:val="22"/>
      <w:szCs w:val="22"/>
      <w:u w:val="none"/>
    </w:rPr>
  </w:style>
  <w:style w:type="paragraph" w:customStyle="1" w:styleId="135">
    <w:name w:val="修订1"/>
    <w:hidden/>
    <w:unhideWhenUsed/>
    <w:qFormat/>
    <w:uiPriority w:val="99"/>
    <w:rPr>
      <w:rFonts w:ascii="Times New Roman" w:hAnsi="Times New Roman" w:eastAsia="宋体" w:cs="Times New Roman"/>
      <w:kern w:val="2"/>
      <w:sz w:val="21"/>
      <w:szCs w:val="24"/>
      <w:lang w:val="en-US" w:eastAsia="zh-CN" w:bidi="ar-SA"/>
    </w:rPr>
  </w:style>
  <w:style w:type="table" w:customStyle="1" w:styleId="136">
    <w:name w:val="网格型1"/>
    <w:basedOn w:val="3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7">
    <w:name w:val="纯文本11"/>
    <w:basedOn w:val="1"/>
    <w:qFormat/>
    <w:uiPriority w:val="0"/>
    <w:rPr>
      <w:rFonts w:ascii="宋体" w:hAnsi="Courier New" w:eastAsia="宋体" w:cs="Times New Roman"/>
      <w:szCs w:val="24"/>
    </w:rPr>
  </w:style>
  <w:style w:type="paragraph" w:customStyle="1" w:styleId="138">
    <w:name w:val="正文-2字符首行缩进"/>
    <w:basedOn w:val="1"/>
    <w:link w:val="139"/>
    <w:qFormat/>
    <w:uiPriority w:val="0"/>
    <w:pPr>
      <w:widowControl/>
      <w:spacing w:line="360" w:lineRule="auto"/>
      <w:ind w:firstLine="200" w:firstLineChars="200"/>
    </w:pPr>
    <w:rPr>
      <w:rFonts w:ascii="仿宋_GB2312" w:hAnsi="Calibri" w:eastAsia="仿宋_GB2312" w:cs="Times New Roman"/>
      <w:kern w:val="0"/>
      <w:sz w:val="28"/>
    </w:rPr>
  </w:style>
  <w:style w:type="character" w:customStyle="1" w:styleId="139">
    <w:name w:val="正文-2字符首行缩进 Char"/>
    <w:link w:val="138"/>
    <w:qFormat/>
    <w:uiPriority w:val="0"/>
    <w:rPr>
      <w:rFonts w:ascii="仿宋_GB2312" w:hAnsi="Calibri" w:eastAsia="仿宋_GB2312" w:cs="Times New Roman"/>
      <w:kern w:val="0"/>
      <w:sz w:val="28"/>
    </w:rPr>
  </w:style>
  <w:style w:type="paragraph" w:customStyle="1" w:styleId="140">
    <w:name w:val="列出段落1"/>
    <w:basedOn w:val="1"/>
    <w:qFormat/>
    <w:uiPriority w:val="34"/>
    <w:pPr>
      <w:ind w:firstLine="420" w:firstLineChars="200"/>
    </w:pPr>
    <w:rPr>
      <w:rFonts w:ascii="等线" w:hAnsi="等线" w:eastAsia="等线" w:cs="Times New Roman"/>
    </w:rPr>
  </w:style>
  <w:style w:type="character" w:customStyle="1" w:styleId="141">
    <w:name w:val="fontstyle01"/>
    <w:qFormat/>
    <w:uiPriority w:val="0"/>
    <w:rPr>
      <w:rFonts w:hint="eastAsia" w:ascii="宋体" w:hAnsi="宋体" w:eastAsia="宋体"/>
      <w:color w:val="000000"/>
      <w:sz w:val="22"/>
      <w:szCs w:val="22"/>
    </w:rPr>
  </w:style>
  <w:style w:type="table" w:customStyle="1" w:styleId="142">
    <w:name w:val="网格型2"/>
    <w:basedOn w:val="37"/>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43">
    <w:name w:val="HTML 预设格式 Char"/>
    <w:basedOn w:val="39"/>
    <w:link w:val="32"/>
    <w:qFormat/>
    <w:uiPriority w:val="0"/>
    <w:rPr>
      <w:rFonts w:ascii="黑体" w:hAnsi="Courier New" w:eastAsia="黑体" w:cs="Courier New"/>
    </w:rPr>
  </w:style>
  <w:style w:type="paragraph" w:customStyle="1" w:styleId="14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5">
    <w:name w:val="bookmark-item uuid-1588129635457 code-23007 addword single-line-text-input-box-cls readonly"/>
    <w:qFormat/>
    <w:uiPriority w:val="0"/>
  </w:style>
  <w:style w:type="character" w:customStyle="1" w:styleId="146">
    <w:name w:val="bookmark-item uuid-1589194982864 code-31006 addword multi-line-text-input-box-cls"/>
    <w:basedOn w:val="39"/>
    <w:qFormat/>
    <w:uiPriority w:val="0"/>
  </w:style>
  <w:style w:type="character" w:customStyle="1" w:styleId="147">
    <w:name w:val="15"/>
    <w:qFormat/>
    <w:uiPriority w:val="0"/>
    <w:rPr>
      <w:rFonts w:hint="default" w:ascii="Times New Roman" w:hAnsi="Times New Roman" w:cs="Times New Roman"/>
      <w:color w:val="0000FF"/>
      <w:u w:val="single"/>
    </w:rPr>
  </w:style>
  <w:style w:type="paragraph" w:customStyle="1" w:styleId="148">
    <w:name w:val="p0"/>
    <w:basedOn w:val="1"/>
    <w:qFormat/>
    <w:uiPriority w:val="0"/>
    <w:pPr>
      <w:widowControl/>
    </w:pPr>
    <w:rPr>
      <w:kern w:val="0"/>
      <w:szCs w:val="21"/>
    </w:rPr>
  </w:style>
  <w:style w:type="paragraph" w:customStyle="1" w:styleId="149">
    <w:name w:val="p15"/>
    <w:basedOn w:val="1"/>
    <w:qFormat/>
    <w:uiPriority w:val="99"/>
    <w:pPr>
      <w:widowControl/>
    </w:pPr>
    <w:rPr>
      <w:rFonts w:ascii="宋体" w:hAnsi="宋体"/>
      <w:kern w:val="0"/>
      <w:szCs w:val="21"/>
    </w:rPr>
  </w:style>
  <w:style w:type="character" w:customStyle="1" w:styleId="150">
    <w:name w:val="17"/>
    <w:qFormat/>
    <w:uiPriority w:val="0"/>
    <w:rPr>
      <w:rFonts w:hint="default" w:ascii="Times New Roman" w:hAnsi="Times New Roman" w:eastAsia="宋体" w:cs="Times New Roman"/>
      <w:color w:val="CC000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2477</Words>
  <Characters>2903</Characters>
  <Lines>417</Lines>
  <Paragraphs>117</Paragraphs>
  <TotalTime>470</TotalTime>
  <ScaleCrop>false</ScaleCrop>
  <LinksUpToDate>false</LinksUpToDate>
  <CharactersWithSpaces>3022</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2026-03-18T08:50:00Z</dcterms:created>
  <dc:creator>中经 梁</dc:creator>
  <cp:lastModifiedBy>宇宙超人</cp:lastModifiedBy>
  <cp:lastPrinted>2026-03-19T01:54:00Z</cp:lastPrinted>
  <dcterms:modified xsi:type="dcterms:W3CDTF">2026-08-28T03:06:22Z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8E5CD8A9D4074EDEB4434D5C38BEB679_13</vt:lpwstr>
  </property>
  <property fmtid="{D5CDD505-2E9C-101B-9397-08002B2CF9AE}" pid="4" name="MSIP_Label_97735299-2a7d-4f7d-99cc-db352b8b5a9b_Enabled">
    <vt:lpwstr>True</vt:lpwstr>
  </property>
  <property fmtid="{D5CDD505-2E9C-101B-9397-08002B2CF9AE}" pid="5" name="MSIP_Label_97735299-2a7d-4f7d-99cc-db352b8b5a9b_SiteId">
    <vt:lpwstr>15d1bef2-0a6a-46f9-be4c-023279325e51</vt:lpwstr>
  </property>
  <property fmtid="{D5CDD505-2E9C-101B-9397-08002B2CF9AE}" pid="6" name="MSIP_Label_97735299-2a7d-4f7d-99cc-db352b8b5a9b_Owner">
    <vt:lpwstr>peter.yang@bbraun.com</vt:lpwstr>
  </property>
  <property fmtid="{D5CDD505-2E9C-101B-9397-08002B2CF9AE}" pid="7" name="MSIP_Label_97735299-2a7d-4f7d-99cc-db352b8b5a9b_SetDate">
    <vt:lpwstr>2022-03-18T04:20:47.7982555Z</vt:lpwstr>
  </property>
  <property fmtid="{D5CDD505-2E9C-101B-9397-08002B2CF9AE}" pid="8" name="MSIP_Label_97735299-2a7d-4f7d-99cc-db352b8b5a9b_Name">
    <vt:lpwstr>Confidential</vt:lpwstr>
  </property>
  <property fmtid="{D5CDD505-2E9C-101B-9397-08002B2CF9AE}" pid="9" name="MSIP_Label_97735299-2a7d-4f7d-99cc-db352b8b5a9b_Application">
    <vt:lpwstr>Microsoft Azure Information Protection</vt:lpwstr>
  </property>
  <property fmtid="{D5CDD505-2E9C-101B-9397-08002B2CF9AE}" pid="10" name="MSIP_Label_97735299-2a7d-4f7d-99cc-db352b8b5a9b_ActionId">
    <vt:lpwstr>df38d089-e70c-42af-8b59-a36dc0cf594e</vt:lpwstr>
  </property>
  <property fmtid="{D5CDD505-2E9C-101B-9397-08002B2CF9AE}" pid="11" name="MSIP_Label_97735299-2a7d-4f7d-99cc-db352b8b5a9b_Extended_MSFT_Method">
    <vt:lpwstr>Automatic</vt:lpwstr>
  </property>
  <property fmtid="{D5CDD505-2E9C-101B-9397-08002B2CF9AE}" pid="12" name="MSIP_Label_fd058493-e43f-432e-b8cc-adb7daa46640_Enabled">
    <vt:lpwstr>True</vt:lpwstr>
  </property>
  <property fmtid="{D5CDD505-2E9C-101B-9397-08002B2CF9AE}" pid="13" name="MSIP_Label_fd058493-e43f-432e-b8cc-adb7daa46640_SiteId">
    <vt:lpwstr>15d1bef2-0a6a-46f9-be4c-023279325e51</vt:lpwstr>
  </property>
  <property fmtid="{D5CDD505-2E9C-101B-9397-08002B2CF9AE}" pid="14" name="MSIP_Label_fd058493-e43f-432e-b8cc-adb7daa46640_Owner">
    <vt:lpwstr>peter.yang@bbraun.com</vt:lpwstr>
  </property>
  <property fmtid="{D5CDD505-2E9C-101B-9397-08002B2CF9AE}" pid="15" name="MSIP_Label_fd058493-e43f-432e-b8cc-adb7daa46640_SetDate">
    <vt:lpwstr>2022-03-18T04:20:47.7982555Z</vt:lpwstr>
  </property>
  <property fmtid="{D5CDD505-2E9C-101B-9397-08002B2CF9AE}" pid="16" name="MSIP_Label_fd058493-e43f-432e-b8cc-adb7daa46640_Name">
    <vt:lpwstr>Unprotected</vt:lpwstr>
  </property>
  <property fmtid="{D5CDD505-2E9C-101B-9397-08002B2CF9AE}" pid="17" name="MSIP_Label_fd058493-e43f-432e-b8cc-adb7daa46640_Application">
    <vt:lpwstr>Microsoft Azure Information Protection</vt:lpwstr>
  </property>
  <property fmtid="{D5CDD505-2E9C-101B-9397-08002B2CF9AE}" pid="18" name="MSIP_Label_fd058493-e43f-432e-b8cc-adb7daa46640_ActionId">
    <vt:lpwstr>df38d089-e70c-42af-8b59-a36dc0cf594e</vt:lpwstr>
  </property>
  <property fmtid="{D5CDD505-2E9C-101B-9397-08002B2CF9AE}" pid="19" name="MSIP_Label_fd058493-e43f-432e-b8cc-adb7daa46640_Parent">
    <vt:lpwstr>97735299-2a7d-4f7d-99cc-db352b8b5a9b</vt:lpwstr>
  </property>
  <property fmtid="{D5CDD505-2E9C-101B-9397-08002B2CF9AE}" pid="20" name="MSIP_Label_fd058493-e43f-432e-b8cc-adb7daa46640_Extended_MSFT_Method">
    <vt:lpwstr>Automatic</vt:lpwstr>
  </property>
  <property fmtid="{D5CDD505-2E9C-101B-9397-08002B2CF9AE}" pid="21" name="Sensitivity">
    <vt:lpwstr>Confidential Unprotected</vt:lpwstr>
  </property>
  <property fmtid="{D5CDD505-2E9C-101B-9397-08002B2CF9AE}" pid="22" name="KSOTemplateDocerSaveRecord">
    <vt:lpwstr>eyJoZGlkIjoiZjVhNGJiMWVmZTg4ZjFhYWZhYWFiMzBkODkwYWRkZmUiLCJ1c2VySWQiOiIxMDUyMTkzNjI1In0=</vt:lpwstr>
  </property>
</Properties>
</file>