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09973D">
      <w:pPr>
        <w:keepNext/>
        <w:keepLines/>
        <w:widowControl w:val="0"/>
        <w:spacing w:before="120" w:after="120" w:line="380" w:lineRule="exact"/>
        <w:jc w:val="center"/>
        <w:outlineLvl w:val="1"/>
        <w:rPr>
          <w:rFonts w:hint="eastAsia" w:ascii="Arial" w:hAnsi="Arial" w:eastAsia="黑体" w:cs="Times New Roman"/>
          <w:b/>
          <w:bCs/>
          <w:color w:val="auto"/>
          <w:kern w:val="0"/>
          <w:sz w:val="32"/>
          <w:szCs w:val="32"/>
          <w:highlight w:val="none"/>
          <w:lang w:val="en-US" w:eastAsia="zh-CN" w:bidi="ar-SA"/>
        </w:rPr>
      </w:pPr>
      <w:bookmarkStart w:id="0" w:name="_Toc113546406"/>
      <w:bookmarkStart w:id="1" w:name="_Toc254970490"/>
      <w:bookmarkStart w:id="2" w:name="_Toc254970631"/>
      <w:r>
        <w:rPr>
          <w:rFonts w:hint="eastAsia" w:ascii="Arial" w:hAnsi="Arial" w:eastAsia="黑体" w:cs="Times New Roman"/>
          <w:b/>
          <w:bCs/>
          <w:color w:val="auto"/>
          <w:kern w:val="0"/>
          <w:sz w:val="32"/>
          <w:szCs w:val="32"/>
          <w:highlight w:val="none"/>
          <w:lang w:val="en-US" w:eastAsia="zh-CN" w:bidi="ar-SA"/>
        </w:rPr>
        <w:t>采购需求</w:t>
      </w:r>
      <w:bookmarkEnd w:id="0"/>
    </w:p>
    <w:p w14:paraId="1A17A724">
      <w:pPr>
        <w:rPr>
          <w:rFonts w:hint="eastAsia"/>
          <w:color w:val="auto"/>
          <w:highlight w:val="none"/>
        </w:rPr>
      </w:pPr>
      <w:bookmarkStart w:id="3" w:name="_GoBack"/>
      <w:bookmarkEnd w:id="3"/>
    </w:p>
    <w:bookmarkEnd w:id="1"/>
    <w:bookmarkEnd w:id="2"/>
    <w:p w14:paraId="6A316A56">
      <w:pPr>
        <w:widowControl w:val="0"/>
        <w:autoSpaceDE w:val="0"/>
        <w:autoSpaceDN w:val="0"/>
        <w:adjustRightInd w:val="0"/>
        <w:rPr>
          <w:rFonts w:ascii="宋体" w:hAnsi="Times New Roman" w:eastAsia="宋体" w:cs="宋体"/>
          <w:color w:val="auto"/>
          <w:sz w:val="24"/>
          <w:szCs w:val="24"/>
          <w:highlight w:val="none"/>
          <w:lang w:val="en-US" w:eastAsia="zh-CN" w:bidi="ar-SA"/>
        </w:rPr>
      </w:pPr>
    </w:p>
    <w:p w14:paraId="437F89A2">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一、总体要求</w:t>
      </w:r>
    </w:p>
    <w:p w14:paraId="4EB41CEA">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1</w:t>
      </w:r>
      <w:r>
        <w:rPr>
          <w:rFonts w:hint="eastAsia" w:ascii="宋体" w:hAnsi="宋体" w:eastAsia="宋体" w:cs="宋体"/>
          <w:b/>
          <w:color w:val="auto"/>
          <w:sz w:val="21"/>
          <w:szCs w:val="21"/>
          <w:highlight w:val="none"/>
        </w:rPr>
        <w:t>.标的所属行业：其他未列明行业</w:t>
      </w:r>
    </w:p>
    <w:p w14:paraId="2BD4A05E">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2.</w:t>
      </w:r>
      <w:r>
        <w:rPr>
          <w:rFonts w:hint="eastAsia" w:ascii="宋体" w:hAnsi="宋体" w:eastAsia="宋体" w:cs="宋体"/>
          <w:b/>
          <w:color w:val="auto"/>
          <w:sz w:val="21"/>
          <w:szCs w:val="21"/>
          <w:highlight w:val="none"/>
        </w:rPr>
        <w:t xml:space="preserve">采购需求未尽事宜由委托方与成交供应商在采购合同中约定。 </w:t>
      </w:r>
    </w:p>
    <w:p w14:paraId="3C647BC9">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3</w:t>
      </w:r>
      <w:r>
        <w:rPr>
          <w:rFonts w:hint="eastAsia" w:ascii="宋体" w:hAnsi="宋体" w:eastAsia="宋体" w:cs="宋体"/>
          <w:b/>
          <w:color w:val="auto"/>
          <w:sz w:val="21"/>
          <w:szCs w:val="21"/>
          <w:highlight w:val="none"/>
        </w:rPr>
        <w:t>.采购需求必须满足，如存在负偏离将导致响应被否决。</w:t>
      </w:r>
    </w:p>
    <w:p w14:paraId="7B43278D">
      <w:pPr>
        <w:keepNext w:val="0"/>
        <w:keepLines w:val="0"/>
        <w:pageBreakBefore w:val="0"/>
        <w:widowControl w:val="0"/>
        <w:kinsoku/>
        <w:wordWrap/>
        <w:overflowPunct/>
        <w:topLinePunct w:val="0"/>
        <w:autoSpaceDE/>
        <w:autoSpaceDN/>
        <w:bidi w:val="0"/>
        <w:adjustRightInd/>
        <w:snapToGrid w:val="0"/>
        <w:spacing w:line="360" w:lineRule="auto"/>
        <w:ind w:firstLine="402"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二、技术要求</w:t>
      </w:r>
    </w:p>
    <w:p w14:paraId="1D62BCBA">
      <w:pPr>
        <w:keepNext w:val="0"/>
        <w:keepLines w:val="0"/>
        <w:pageBreakBefore w:val="0"/>
        <w:widowControl w:val="0"/>
        <w:kinsoku/>
        <w:wordWrap/>
        <w:overflowPunct/>
        <w:topLinePunct w:val="0"/>
        <w:autoSpaceDE/>
        <w:autoSpaceDN/>
        <w:bidi w:val="0"/>
        <w:adjustRightInd/>
        <w:spacing w:before="30" w:line="360" w:lineRule="auto"/>
        <w:ind w:firstLine="400" w:firstLineChars="200"/>
        <w:textAlignment w:val="auto"/>
        <w:rPr>
          <w:rFonts w:hint="eastAsia" w:ascii="宋体" w:hAnsi="宋体" w:eastAsia="宋体" w:cs="宋体"/>
          <w:bCs/>
          <w:color w:val="auto"/>
          <w:spacing w:val="-5"/>
          <w:sz w:val="21"/>
          <w:szCs w:val="21"/>
          <w:highlight w:val="none"/>
        </w:rPr>
      </w:pPr>
      <w:r>
        <w:rPr>
          <w:rFonts w:hint="eastAsia" w:ascii="宋体" w:hAnsi="宋体" w:eastAsia="宋体" w:cs="宋体"/>
          <w:bCs/>
          <w:color w:val="auto"/>
          <w:spacing w:val="-5"/>
          <w:sz w:val="21"/>
          <w:szCs w:val="21"/>
          <w:highlight w:val="none"/>
        </w:rPr>
        <w:t>财政投资评审不同于一般市场主体的项目审核。本项目需要服务于财政预算管理，协助财政部门对财政支出项目、政府投资项目进行技术性审核与评价，入围供应商应熟悉财政监督或审计监督政策，具备服务财政支出项目、政府投资项目审核的技术能力。</w:t>
      </w:r>
    </w:p>
    <w:p w14:paraId="75A16461">
      <w:pPr>
        <w:keepNext w:val="0"/>
        <w:keepLines w:val="0"/>
        <w:pageBreakBefore w:val="0"/>
        <w:widowControl w:val="0"/>
        <w:kinsoku/>
        <w:wordWrap/>
        <w:overflowPunct/>
        <w:topLinePunct w:val="0"/>
        <w:autoSpaceDE/>
        <w:autoSpaceDN/>
        <w:bidi w:val="0"/>
        <w:adjustRightInd/>
        <w:spacing w:before="30" w:line="360" w:lineRule="auto"/>
        <w:ind w:firstLine="40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（一）服务内容</w:t>
      </w:r>
    </w:p>
    <w:p w14:paraId="78FE35B1">
      <w:pPr>
        <w:keepNext w:val="0"/>
        <w:keepLines w:val="0"/>
        <w:pageBreakBefore w:val="0"/>
        <w:widowControl w:val="0"/>
        <w:kinsoku/>
        <w:wordWrap/>
        <w:overflowPunct/>
        <w:topLinePunct w:val="0"/>
        <w:autoSpaceDE/>
        <w:autoSpaceDN/>
        <w:bidi w:val="0"/>
        <w:adjustRightInd/>
        <w:snapToGrid w:val="0"/>
        <w:spacing w:line="360" w:lineRule="auto"/>
        <w:ind w:firstLine="412"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z w:val="21"/>
          <w:szCs w:val="21"/>
          <w:highlight w:val="none"/>
        </w:rPr>
        <w:t>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-202</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年度柳州市本级政府投资审核服务框架协议采购采用封闭式框架协议采购方式采购，通过公开征集程序，确定第一阶段入围供应商并订立框架协议，征集人按照框架协议约定规则，在入围供应商范围内直接选定第二阶段成交供应商并按项目签订合同。</w:t>
      </w:r>
    </w:p>
    <w:p w14:paraId="2098198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服务对象范围：柳州市财政投资评审中心，鱼峰区财政局，城中区财政局，阳和工业新区财政局，柳江区财政局，柳东新区财政局，柳北区财政局。  </w:t>
      </w:r>
    </w:p>
    <w:p w14:paraId="4F4EC8D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2.本项目采购标的分为三个分标，供应商可选择单个或全部分标进行响应。</w:t>
      </w:r>
    </w:p>
    <w:p w14:paraId="590C8772">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分标1（参与建设项目财务决算工作）：选择不多于6家会计师事务所，参与审核建设项目竣工财务决算、征地拆迁结算、成本核算等工作。</w:t>
      </w:r>
    </w:p>
    <w:p w14:paraId="4BEA1997">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入围供应商须在广西柳州市设立服务机构（含投入人员、固定场所、相关办公设备）；如未在广西柳州市设立服务机构的，响应文件中须出具发布入围结果公告之日起30日内设立服务机构且人员到位，注册会计师注册</w:t>
      </w:r>
      <w:r>
        <w:rPr>
          <w:rFonts w:hint="eastAsia" w:ascii="宋体" w:hAnsi="宋体" w:eastAsia="宋体" w:cs="宋体"/>
          <w:b/>
          <w:color w:val="auto"/>
          <w:sz w:val="21"/>
          <w:szCs w:val="21"/>
          <w:highlight w:val="none"/>
        </w:rPr>
        <w:t>到入围</w:t>
      </w:r>
      <w:r>
        <w:rPr>
          <w:rFonts w:hint="eastAsia" w:ascii="宋体" w:hAnsi="宋体" w:eastAsia="宋体" w:cs="宋体"/>
          <w:b/>
          <w:bCs/>
          <w:color w:val="auto"/>
          <w:sz w:val="21"/>
          <w:szCs w:val="21"/>
          <w:highlight w:val="none"/>
        </w:rPr>
        <w:t>供应商本单位，</w:t>
      </w:r>
      <w:r>
        <w:rPr>
          <w:rFonts w:hint="eastAsia" w:ascii="宋体" w:hAnsi="宋体" w:eastAsia="宋体" w:cs="宋体"/>
          <w:b/>
          <w:color w:val="auto"/>
          <w:sz w:val="21"/>
          <w:szCs w:val="21"/>
          <w:highlight w:val="none"/>
        </w:rPr>
        <w:t>入围</w:t>
      </w:r>
      <w:r>
        <w:rPr>
          <w:rFonts w:hint="eastAsia" w:ascii="宋体" w:hAnsi="宋体" w:eastAsia="宋体" w:cs="宋体"/>
          <w:b/>
          <w:bCs/>
          <w:color w:val="auto"/>
          <w:sz w:val="21"/>
          <w:szCs w:val="21"/>
          <w:highlight w:val="none"/>
        </w:rPr>
        <w:t>供应商为投入人员缴纳社保的证明、达到办公条件即有相应固定办公场所的承诺书，否则响应无效。</w:t>
      </w:r>
    </w:p>
    <w:p w14:paraId="76456CA2">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分标2</w:t>
      </w:r>
      <w:r>
        <w:rPr>
          <w:rFonts w:hint="eastAsia" w:ascii="宋体" w:hAnsi="宋体" w:eastAsia="宋体" w:cs="宋体"/>
          <w:b/>
          <w:color w:val="auto"/>
          <w:sz w:val="21"/>
          <w:szCs w:val="21"/>
          <w:highlight w:val="none"/>
        </w:rPr>
        <w:t>（参与信息化项目费用审核工作）</w:t>
      </w:r>
      <w:r>
        <w:rPr>
          <w:rFonts w:hint="eastAsia" w:ascii="宋体" w:hAnsi="宋体" w:eastAsia="宋体" w:cs="宋体"/>
          <w:b/>
          <w:bCs/>
          <w:color w:val="auto"/>
          <w:sz w:val="21"/>
          <w:szCs w:val="21"/>
          <w:highlight w:val="none"/>
        </w:rPr>
        <w:t>：选择不多于5家从事信息网络工程或审核电子信息工程</w:t>
      </w:r>
      <w:r>
        <w:rPr>
          <w:rFonts w:hint="eastAsia" w:ascii="宋体" w:hAnsi="宋体" w:eastAsia="宋体" w:cs="宋体"/>
          <w:b/>
          <w:bCs/>
          <w:color w:val="auto"/>
          <w:sz w:val="21"/>
          <w:szCs w:val="21"/>
          <w:highlight w:val="none"/>
          <w:lang w:val="en-US" w:eastAsia="zh-CN"/>
        </w:rPr>
        <w:t>或软件工程</w:t>
      </w:r>
      <w:r>
        <w:rPr>
          <w:rFonts w:hint="eastAsia" w:ascii="宋体" w:hAnsi="宋体" w:eastAsia="宋体" w:cs="宋体"/>
          <w:b/>
          <w:bCs/>
          <w:color w:val="auto"/>
          <w:sz w:val="21"/>
          <w:szCs w:val="21"/>
          <w:highlight w:val="none"/>
        </w:rPr>
        <w:t>造价的单位，</w:t>
      </w:r>
      <w:r>
        <w:rPr>
          <w:rFonts w:hint="eastAsia" w:ascii="宋体" w:hAnsi="宋体" w:eastAsia="宋体" w:cs="宋体"/>
          <w:b/>
          <w:bCs/>
          <w:color w:val="auto"/>
          <w:kern w:val="0"/>
          <w:sz w:val="21"/>
          <w:szCs w:val="21"/>
          <w:highlight w:val="none"/>
          <w:lang w:bidi="ar"/>
        </w:rPr>
        <w:t>参与信息化项目费用审核工作</w:t>
      </w:r>
      <w:r>
        <w:rPr>
          <w:rFonts w:hint="eastAsia" w:ascii="宋体" w:hAnsi="宋体" w:eastAsia="宋体" w:cs="宋体"/>
          <w:b/>
          <w:bCs/>
          <w:color w:val="auto"/>
          <w:sz w:val="21"/>
          <w:szCs w:val="21"/>
          <w:highlight w:val="none"/>
        </w:rPr>
        <w:t>。</w:t>
      </w:r>
    </w:p>
    <w:p w14:paraId="3F246707">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入围供应商须在广西区域内</w:t>
      </w:r>
      <w:r>
        <w:rPr>
          <w:rFonts w:hint="eastAsia" w:ascii="宋体" w:hAnsi="宋体" w:eastAsia="宋体" w:cs="宋体"/>
          <w:b/>
          <w:bCs/>
          <w:color w:val="auto"/>
          <w:sz w:val="21"/>
          <w:szCs w:val="21"/>
          <w:highlight w:val="none"/>
        </w:rPr>
        <w:t>设立服务机构</w:t>
      </w:r>
      <w:r>
        <w:rPr>
          <w:rFonts w:hint="eastAsia" w:ascii="宋体" w:hAnsi="宋体" w:eastAsia="宋体" w:cs="宋体"/>
          <w:b/>
          <w:color w:val="auto"/>
          <w:sz w:val="21"/>
          <w:szCs w:val="21"/>
          <w:highlight w:val="none"/>
        </w:rPr>
        <w:t>（含投入人员、固定场所、相关办公设备）；如未在广西区域内</w:t>
      </w:r>
      <w:r>
        <w:rPr>
          <w:rFonts w:hint="eastAsia" w:ascii="宋体" w:hAnsi="宋体" w:eastAsia="宋体" w:cs="宋体"/>
          <w:b/>
          <w:bCs/>
          <w:color w:val="auto"/>
          <w:sz w:val="21"/>
          <w:szCs w:val="21"/>
          <w:highlight w:val="none"/>
        </w:rPr>
        <w:t>设立服务机构</w:t>
      </w:r>
      <w:r>
        <w:rPr>
          <w:rFonts w:hint="eastAsia" w:ascii="宋体" w:hAnsi="宋体" w:eastAsia="宋体" w:cs="宋体"/>
          <w:b/>
          <w:color w:val="auto"/>
          <w:sz w:val="21"/>
          <w:szCs w:val="21"/>
          <w:highlight w:val="none"/>
        </w:rPr>
        <w:t>的，响应文件中</w:t>
      </w:r>
      <w:r>
        <w:rPr>
          <w:rFonts w:hint="eastAsia" w:ascii="宋体" w:hAnsi="宋体" w:eastAsia="宋体" w:cs="宋体"/>
          <w:b/>
          <w:bCs/>
          <w:color w:val="auto"/>
          <w:sz w:val="21"/>
          <w:szCs w:val="21"/>
          <w:highlight w:val="none"/>
        </w:rPr>
        <w:t>须</w:t>
      </w:r>
      <w:r>
        <w:rPr>
          <w:rFonts w:hint="eastAsia" w:ascii="宋体" w:hAnsi="宋体" w:eastAsia="宋体" w:cs="宋体"/>
          <w:b/>
          <w:color w:val="auto"/>
          <w:sz w:val="21"/>
          <w:szCs w:val="21"/>
          <w:highlight w:val="none"/>
        </w:rPr>
        <w:t>出具发布入围结果公告之日起30日内</w:t>
      </w:r>
      <w:r>
        <w:rPr>
          <w:rFonts w:hint="eastAsia" w:ascii="宋体" w:hAnsi="宋体" w:eastAsia="宋体" w:cs="宋体"/>
          <w:b/>
          <w:bCs/>
          <w:color w:val="auto"/>
          <w:sz w:val="21"/>
          <w:szCs w:val="21"/>
          <w:highlight w:val="none"/>
        </w:rPr>
        <w:t>设立服务机构</w:t>
      </w:r>
      <w:r>
        <w:rPr>
          <w:rFonts w:hint="eastAsia" w:ascii="宋体" w:hAnsi="宋体" w:eastAsia="宋体" w:cs="宋体"/>
          <w:b/>
          <w:color w:val="auto"/>
          <w:sz w:val="21"/>
          <w:szCs w:val="21"/>
          <w:highlight w:val="none"/>
        </w:rPr>
        <w:t>且人员到位，入围</w:t>
      </w:r>
      <w:r>
        <w:rPr>
          <w:rFonts w:hint="eastAsia" w:ascii="宋体" w:hAnsi="宋体" w:eastAsia="宋体" w:cs="宋体"/>
          <w:b/>
          <w:bCs/>
          <w:color w:val="auto"/>
          <w:sz w:val="21"/>
          <w:szCs w:val="21"/>
          <w:highlight w:val="none"/>
        </w:rPr>
        <w:t>供应商为投入人员缴纳社保的证明、</w:t>
      </w:r>
      <w:r>
        <w:rPr>
          <w:rFonts w:hint="eastAsia" w:ascii="宋体" w:hAnsi="宋体" w:eastAsia="宋体" w:cs="宋体"/>
          <w:b/>
          <w:color w:val="auto"/>
          <w:sz w:val="21"/>
          <w:szCs w:val="21"/>
          <w:highlight w:val="none"/>
        </w:rPr>
        <w:t>达到办公条件即有相应固定办公场所的承诺书，否则响应无效。</w:t>
      </w:r>
    </w:p>
    <w:p w14:paraId="7A95A22A">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分标3</w:t>
      </w:r>
      <w:r>
        <w:rPr>
          <w:rFonts w:hint="eastAsia" w:ascii="宋体" w:hAnsi="宋体" w:eastAsia="宋体" w:cs="宋体"/>
          <w:b/>
          <w:color w:val="auto"/>
          <w:sz w:val="21"/>
          <w:szCs w:val="21"/>
          <w:highlight w:val="none"/>
        </w:rPr>
        <w:t>（参与工程项目造价审核工作）</w:t>
      </w:r>
      <w:r>
        <w:rPr>
          <w:rFonts w:hint="eastAsia" w:ascii="宋体" w:hAnsi="宋体" w:eastAsia="宋体" w:cs="宋体"/>
          <w:b/>
          <w:bCs/>
          <w:color w:val="auto"/>
          <w:sz w:val="21"/>
          <w:szCs w:val="21"/>
          <w:highlight w:val="none"/>
        </w:rPr>
        <w:t>：选择不多于30家工程造价咨询机构，</w:t>
      </w:r>
      <w:r>
        <w:rPr>
          <w:rFonts w:hint="eastAsia" w:ascii="宋体" w:hAnsi="宋体" w:eastAsia="宋体" w:cs="宋体"/>
          <w:b/>
          <w:bCs/>
          <w:color w:val="auto"/>
          <w:kern w:val="0"/>
          <w:sz w:val="21"/>
          <w:szCs w:val="21"/>
          <w:highlight w:val="none"/>
          <w:lang w:bidi="ar"/>
        </w:rPr>
        <w:t>参与柳州市本级政府投资项目及市属国有企业投资项目的部门项目支出预算、工程概（预）算、工程量清单和预算控制价、工程进度计量计价、竣工结算、工程造价分析等审核工作</w:t>
      </w:r>
      <w:r>
        <w:rPr>
          <w:rFonts w:hint="eastAsia" w:ascii="宋体" w:hAnsi="宋体" w:eastAsia="宋体" w:cs="宋体"/>
          <w:b/>
          <w:bCs/>
          <w:color w:val="auto"/>
          <w:sz w:val="21"/>
          <w:szCs w:val="21"/>
          <w:highlight w:val="none"/>
        </w:rPr>
        <w:t>。</w:t>
      </w:r>
    </w:p>
    <w:p w14:paraId="56576C11">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入围供应商须在广西柳州市</w:t>
      </w:r>
      <w:r>
        <w:rPr>
          <w:rFonts w:hint="eastAsia" w:ascii="宋体" w:hAnsi="宋体" w:eastAsia="宋体" w:cs="宋体"/>
          <w:b/>
          <w:bCs/>
          <w:color w:val="auto"/>
          <w:sz w:val="21"/>
          <w:szCs w:val="21"/>
          <w:highlight w:val="none"/>
        </w:rPr>
        <w:t>设立服务机构</w:t>
      </w:r>
      <w:r>
        <w:rPr>
          <w:rFonts w:hint="eastAsia" w:ascii="宋体" w:hAnsi="宋体" w:eastAsia="宋体" w:cs="宋体"/>
          <w:b/>
          <w:color w:val="auto"/>
          <w:sz w:val="21"/>
          <w:szCs w:val="21"/>
          <w:highlight w:val="none"/>
        </w:rPr>
        <w:t>（含投入人员、固定场所、相关办公设备）；如未在广西柳州市</w:t>
      </w:r>
      <w:r>
        <w:rPr>
          <w:rFonts w:hint="eastAsia" w:ascii="宋体" w:hAnsi="宋体" w:eastAsia="宋体" w:cs="宋体"/>
          <w:b/>
          <w:bCs/>
          <w:color w:val="auto"/>
          <w:sz w:val="21"/>
          <w:szCs w:val="21"/>
          <w:highlight w:val="none"/>
        </w:rPr>
        <w:t>设立服务机构</w:t>
      </w:r>
      <w:r>
        <w:rPr>
          <w:rFonts w:hint="eastAsia" w:ascii="宋体" w:hAnsi="宋体" w:eastAsia="宋体" w:cs="宋体"/>
          <w:b/>
          <w:color w:val="auto"/>
          <w:sz w:val="21"/>
          <w:szCs w:val="21"/>
          <w:highlight w:val="none"/>
        </w:rPr>
        <w:t>的，响应文件中</w:t>
      </w:r>
      <w:r>
        <w:rPr>
          <w:rFonts w:hint="eastAsia" w:ascii="宋体" w:hAnsi="宋体" w:eastAsia="宋体" w:cs="宋体"/>
          <w:b/>
          <w:bCs/>
          <w:color w:val="auto"/>
          <w:sz w:val="21"/>
          <w:szCs w:val="21"/>
          <w:highlight w:val="none"/>
        </w:rPr>
        <w:t>须</w:t>
      </w:r>
      <w:r>
        <w:rPr>
          <w:rFonts w:hint="eastAsia" w:ascii="宋体" w:hAnsi="宋体" w:eastAsia="宋体" w:cs="宋体"/>
          <w:b/>
          <w:color w:val="auto"/>
          <w:sz w:val="21"/>
          <w:szCs w:val="21"/>
          <w:highlight w:val="none"/>
        </w:rPr>
        <w:t>出具发布入围结果公告之日起30日内</w:t>
      </w:r>
      <w:r>
        <w:rPr>
          <w:rFonts w:hint="eastAsia" w:ascii="宋体" w:hAnsi="宋体" w:eastAsia="宋体" w:cs="宋体"/>
          <w:b/>
          <w:bCs/>
          <w:color w:val="auto"/>
          <w:sz w:val="21"/>
          <w:szCs w:val="21"/>
          <w:highlight w:val="none"/>
        </w:rPr>
        <w:t>设立服务机构</w:t>
      </w:r>
      <w:r>
        <w:rPr>
          <w:rFonts w:hint="eastAsia" w:ascii="宋体" w:hAnsi="宋体" w:eastAsia="宋体" w:cs="宋体"/>
          <w:b/>
          <w:color w:val="auto"/>
          <w:sz w:val="21"/>
          <w:szCs w:val="21"/>
          <w:highlight w:val="none"/>
        </w:rPr>
        <w:t>且人员到位，投入人员注册到入围供应商本单位，入围</w:t>
      </w:r>
      <w:r>
        <w:rPr>
          <w:rFonts w:hint="eastAsia" w:ascii="宋体" w:hAnsi="宋体" w:eastAsia="宋体" w:cs="宋体"/>
          <w:b/>
          <w:bCs/>
          <w:color w:val="auto"/>
          <w:sz w:val="21"/>
          <w:szCs w:val="21"/>
          <w:highlight w:val="none"/>
        </w:rPr>
        <w:t>供应商为投入人员缴纳社保的证明、</w:t>
      </w:r>
      <w:r>
        <w:rPr>
          <w:rFonts w:hint="eastAsia" w:ascii="宋体" w:hAnsi="宋体" w:eastAsia="宋体" w:cs="宋体"/>
          <w:b/>
          <w:color w:val="auto"/>
          <w:sz w:val="21"/>
          <w:szCs w:val="21"/>
          <w:highlight w:val="none"/>
        </w:rPr>
        <w:t>达到办公条件即有相应固定办公场所的承诺书，否则响应无效。</w:t>
      </w:r>
    </w:p>
    <w:p w14:paraId="64D259B5">
      <w:pPr>
        <w:keepNext w:val="0"/>
        <w:keepLines w:val="0"/>
        <w:pageBreakBefore w:val="0"/>
        <w:widowControl w:val="0"/>
        <w:kinsoku/>
        <w:wordWrap w:val="0"/>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入围供应商在发布入围结果公告之日起30日内到柳州市建设工程数字造价智慧管理系统（http://lzzj.guangxi.hunanjianyan.com/login）进行信息登记，并接受柳州市建设监督主管部门的监督。供应商须在响应文件中承诺，否则响应无效。</w:t>
      </w:r>
    </w:p>
    <w:p w14:paraId="6A55B3D0">
      <w:pPr>
        <w:keepNext w:val="0"/>
        <w:keepLines w:val="0"/>
        <w:pageBreakBefore w:val="0"/>
        <w:widowControl w:val="0"/>
        <w:tabs>
          <w:tab w:val="left" w:pos="8445"/>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3.框架协议有效期：自本期框架协议约定生效之日起至下一期框架协议生效之日止，原则上不超过2年。 </w:t>
      </w:r>
    </w:p>
    <w:p w14:paraId="69C5721A">
      <w:pPr>
        <w:keepNext w:val="0"/>
        <w:keepLines w:val="0"/>
        <w:pageBreakBefore w:val="0"/>
        <w:widowControl w:val="0"/>
        <w:tabs>
          <w:tab w:val="left" w:pos="8445"/>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具体项目服务期限：</w:t>
      </w:r>
    </w:p>
    <w:p w14:paraId="27A6DBEE">
      <w:pPr>
        <w:keepNext w:val="0"/>
        <w:keepLines w:val="0"/>
        <w:pageBreakBefore w:val="0"/>
        <w:widowControl w:val="0"/>
        <w:tabs>
          <w:tab w:val="left" w:pos="8445"/>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标1：至征集人出具最终审核/评审报告时间止（包含自供应商签收项目资料至出具项目竣工财务决算、征地拆迁结算、成本核算成果文件时间，同时还包含供应商出具审核成果文件后配合征集人复核、组织审核会议、复核修改等至征集人出具最终审核/评审报告时间。）</w:t>
      </w:r>
    </w:p>
    <w:p w14:paraId="4FA33A6D">
      <w:pPr>
        <w:keepNext w:val="0"/>
        <w:keepLines w:val="0"/>
        <w:pageBreakBefore w:val="0"/>
        <w:widowControl w:val="0"/>
        <w:tabs>
          <w:tab w:val="left" w:pos="8445"/>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标2、分标3：至征集人出具最终审核/评审报告时间止（包含自供应商签收项目审核资料至出具项目造价审核成果文件时间，同时还包含供应商出具审核成果文件后配合征集人复核、组织审核会议、复核修改等至征集人出具最终审核/评审报告时间。）</w:t>
      </w:r>
    </w:p>
    <w:p w14:paraId="0AE78B3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4.供应商可承接的项目具体数量及投资额以实际签订合同为准。</w:t>
      </w:r>
    </w:p>
    <w:p w14:paraId="61B6F2AC">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5.回避原则：</w:t>
      </w:r>
    </w:p>
    <w:p w14:paraId="4FCF9C4E">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入围供应商及其控股股东所属企业（单位）不得参与所审核项目的咨询、设计、监理、施工等相关业务。入围供应商及其控股股东所属企业（单位）不得参与建设单位委托其全过程跟踪的项目审核工作。</w:t>
      </w:r>
    </w:p>
    <w:p w14:paraId="0DB18C9C">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入围供应商与项目申报单位有利益关联关系，或审核项目可能影响成交供应商利益的，应主动回避，不得参与相关项目审核。入围供应商参与相关项目审核后，不得向项目申报单位承揽设计、造价、招标代理、监理、审计等有利益关联关系的业务。同一入围供应商不得接受不同主体委托开展对同一项目的论证、审核等工作。</w:t>
      </w:r>
    </w:p>
    <w:p w14:paraId="42C44904">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入围供应商投入审核人员与所审核项目存在直接或间接利益关系的，应主动回避，不得参与该项目审核工作。</w:t>
      </w:r>
    </w:p>
    <w:p w14:paraId="408F09AD">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若有违反上述规定行为，一经发现，立即</w:t>
      </w:r>
      <w:r>
        <w:rPr>
          <w:rFonts w:hint="eastAsia" w:ascii="宋体" w:hAnsi="宋体" w:eastAsia="宋体" w:cs="宋体"/>
          <w:b/>
          <w:color w:val="auto"/>
          <w:sz w:val="21"/>
          <w:szCs w:val="21"/>
          <w:highlight w:val="none"/>
          <w:lang w:val="en-US" w:eastAsia="zh-CN"/>
        </w:rPr>
        <w:t>解除</w:t>
      </w:r>
      <w:r>
        <w:rPr>
          <w:rFonts w:hint="eastAsia" w:ascii="宋体" w:hAnsi="宋体" w:eastAsia="宋体" w:cs="宋体"/>
          <w:b/>
          <w:color w:val="auto"/>
          <w:sz w:val="21"/>
          <w:szCs w:val="21"/>
          <w:highlight w:val="none"/>
        </w:rPr>
        <w:t>协议，且不能参与后续年度采购事项，同时，征集人保留向相关部门推送其不良信息的权利。</w:t>
      </w:r>
    </w:p>
    <w:p w14:paraId="5E4E5930">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6.入围供应商不得将委托的审核工作转交或分包给第三方完成。</w:t>
      </w:r>
    </w:p>
    <w:p w14:paraId="4BB2B71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入围供应商被委托方直接选定后，无正当理由不得拒绝委托方各类审核项目的委托。入围供应商接到项目通知后应按时响应并安排人员作资料接收等相关工作，应严格按国家有关标准提供相关审核服务，并在接收资料后按时递交成果文件。</w:t>
      </w:r>
    </w:p>
    <w:p w14:paraId="6365EC6B">
      <w:pPr>
        <w:keepNext w:val="0"/>
        <w:keepLines w:val="0"/>
        <w:pageBreakBefore w:val="0"/>
        <w:widowControl w:val="0"/>
        <w:tabs>
          <w:tab w:val="left" w:pos="8445"/>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8.入围</w:t>
      </w:r>
      <w:r>
        <w:rPr>
          <w:rFonts w:hint="eastAsia" w:ascii="宋体" w:hAnsi="宋体" w:eastAsia="宋体" w:cs="宋体"/>
          <w:color w:val="auto"/>
          <w:sz w:val="21"/>
          <w:szCs w:val="21"/>
          <w:highlight w:val="none"/>
          <w:lang w:val="zh-CN"/>
        </w:rPr>
        <w:t>供应商出具的成果资料须按要求加盖供应商本单位公章和执业章。</w:t>
      </w:r>
    </w:p>
    <w:p w14:paraId="1B0FCA2A">
      <w:pPr>
        <w:keepNext w:val="0"/>
        <w:keepLines w:val="0"/>
        <w:pageBreakBefore w:val="0"/>
        <w:widowControl w:val="0"/>
        <w:tabs>
          <w:tab w:val="left" w:pos="8445"/>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9.严格按照征集人提出的审核时限及审核工作流程细则要求，确保在委托方要求的时限内完成审核任务，按时按质将审核资料归档。</w:t>
      </w:r>
      <w:r>
        <w:rPr>
          <w:rFonts w:hint="eastAsia" w:ascii="宋体" w:hAnsi="宋体" w:eastAsia="宋体" w:cs="宋体"/>
          <w:color w:val="auto"/>
          <w:sz w:val="21"/>
          <w:szCs w:val="21"/>
          <w:highlight w:val="none"/>
          <w:lang w:val="zh-CN"/>
        </w:rPr>
        <w:t>重大项目或特殊要求的项目以委托方与入围供应商协商后确定。入围供应商未按承诺的时间完成各阶段工作，不属于入围供应商原因造成延期的，入围供应商应以书面形式向委托方申请并说明原因，征得委托方同意后方可延期。</w:t>
      </w:r>
    </w:p>
    <w:p w14:paraId="536209C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具体如下：</w:t>
      </w:r>
    </w:p>
    <w:p w14:paraId="68CD5941">
      <w:pPr>
        <w:keepNext w:val="0"/>
        <w:keepLines w:val="0"/>
        <w:pageBreakBefore w:val="0"/>
        <w:widowControl w:val="0"/>
        <w:tabs>
          <w:tab w:val="left" w:pos="8445"/>
        </w:tabs>
        <w:kinsoku/>
        <w:wordWrap/>
        <w:overflowPunct/>
        <w:topLinePunct w:val="0"/>
        <w:autoSpaceDE/>
        <w:autoSpaceDN/>
        <w:bidi w:val="0"/>
        <w:adjustRightInd/>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分标1（参与建设项目财务决算工作）</w:t>
      </w:r>
    </w:p>
    <w:tbl>
      <w:tblPr>
        <w:tblStyle w:val="5"/>
        <w:tblpPr w:leftFromText="180" w:rightFromText="180" w:vertAnchor="text" w:horzAnchor="margin" w:tblpX="180" w:tblpY="118"/>
        <w:tblOverlap w:val="never"/>
        <w:tblW w:w="95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2"/>
        <w:gridCol w:w="3015"/>
        <w:gridCol w:w="2970"/>
      </w:tblGrid>
      <w:tr w14:paraId="216AE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3542" w:type="dxa"/>
            <w:noWrap w:val="0"/>
            <w:vAlign w:val="top"/>
          </w:tcPr>
          <w:p w14:paraId="6403568C">
            <w:pPr>
              <w:keepNext w:val="0"/>
              <w:keepLines w:val="0"/>
              <w:pageBreakBefore w:val="0"/>
              <w:widowControl w:val="0"/>
              <w:tabs>
                <w:tab w:val="left" w:pos="8445"/>
              </w:tabs>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入围供应商资料审查、现场踏勘、对数、出具</w:t>
            </w:r>
            <w:r>
              <w:rPr>
                <w:rFonts w:hint="eastAsia" w:ascii="宋体" w:hAnsi="宋体" w:eastAsia="宋体" w:cs="宋体"/>
                <w:color w:val="auto"/>
                <w:sz w:val="21"/>
                <w:szCs w:val="21"/>
                <w:highlight w:val="none"/>
              </w:rPr>
              <w:t>审核/评审</w:t>
            </w:r>
            <w:r>
              <w:rPr>
                <w:rFonts w:hint="eastAsia" w:ascii="宋体" w:hAnsi="宋体" w:eastAsia="宋体" w:cs="宋体"/>
                <w:color w:val="auto"/>
                <w:sz w:val="21"/>
                <w:szCs w:val="21"/>
                <w:highlight w:val="none"/>
                <w:lang w:val="zh-CN"/>
              </w:rPr>
              <w:t>报告的完成时限。</w:t>
            </w:r>
          </w:p>
        </w:tc>
        <w:tc>
          <w:tcPr>
            <w:tcW w:w="3015" w:type="dxa"/>
            <w:noWrap w:val="0"/>
            <w:vAlign w:val="top"/>
          </w:tcPr>
          <w:p w14:paraId="4E8DDDFC">
            <w:pPr>
              <w:keepNext w:val="0"/>
              <w:keepLines w:val="0"/>
              <w:pageBreakBefore w:val="0"/>
              <w:widowControl w:val="0"/>
              <w:tabs>
                <w:tab w:val="left" w:pos="8445"/>
              </w:tabs>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入围供应商收到征集人复核意见后修改的完成时限。</w:t>
            </w:r>
          </w:p>
        </w:tc>
        <w:tc>
          <w:tcPr>
            <w:tcW w:w="2970" w:type="dxa"/>
            <w:noWrap w:val="0"/>
            <w:vAlign w:val="top"/>
          </w:tcPr>
          <w:p w14:paraId="187804A3">
            <w:pPr>
              <w:keepNext w:val="0"/>
              <w:keepLines w:val="0"/>
              <w:pageBreakBefore w:val="0"/>
              <w:widowControl w:val="0"/>
              <w:tabs>
                <w:tab w:val="left" w:pos="8445"/>
              </w:tabs>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入围供应商提交项目收集、整理、装订归档资料的完成时限。</w:t>
            </w:r>
          </w:p>
        </w:tc>
      </w:tr>
      <w:tr w14:paraId="57633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3542" w:type="dxa"/>
            <w:noWrap w:val="0"/>
            <w:vAlign w:val="center"/>
          </w:tcPr>
          <w:p w14:paraId="3C0553FC">
            <w:pPr>
              <w:keepNext w:val="0"/>
              <w:keepLines w:val="0"/>
              <w:pageBreakBefore w:val="0"/>
              <w:widowControl w:val="0"/>
              <w:tabs>
                <w:tab w:val="left" w:pos="8445"/>
              </w:tabs>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20个</w:t>
            </w:r>
            <w:r>
              <w:rPr>
                <w:rFonts w:hint="eastAsia" w:ascii="宋体" w:hAnsi="宋体" w:eastAsia="宋体" w:cs="宋体"/>
                <w:color w:val="auto"/>
                <w:sz w:val="21"/>
                <w:szCs w:val="21"/>
                <w:highlight w:val="none"/>
                <w:lang w:val="zh-CN"/>
              </w:rPr>
              <w:t>工作日</w:t>
            </w:r>
          </w:p>
        </w:tc>
        <w:tc>
          <w:tcPr>
            <w:tcW w:w="3015" w:type="dxa"/>
            <w:noWrap w:val="0"/>
            <w:vAlign w:val="center"/>
          </w:tcPr>
          <w:p w14:paraId="7BF5707E">
            <w:pPr>
              <w:keepNext w:val="0"/>
              <w:keepLines w:val="0"/>
              <w:pageBreakBefore w:val="0"/>
              <w:widowControl w:val="0"/>
              <w:tabs>
                <w:tab w:val="left" w:pos="8445"/>
              </w:tabs>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5</w:t>
            </w:r>
            <w:r>
              <w:rPr>
                <w:rFonts w:hint="eastAsia" w:ascii="宋体" w:hAnsi="宋体" w:eastAsia="宋体" w:cs="宋体"/>
                <w:color w:val="auto"/>
                <w:sz w:val="21"/>
                <w:szCs w:val="21"/>
                <w:highlight w:val="none"/>
              </w:rPr>
              <w:t>个</w:t>
            </w:r>
            <w:r>
              <w:rPr>
                <w:rFonts w:hint="eastAsia" w:ascii="宋体" w:hAnsi="宋体" w:eastAsia="宋体" w:cs="宋体"/>
                <w:color w:val="auto"/>
                <w:sz w:val="21"/>
                <w:szCs w:val="21"/>
                <w:highlight w:val="none"/>
                <w:lang w:val="zh-CN"/>
              </w:rPr>
              <w:t>工作日</w:t>
            </w:r>
          </w:p>
        </w:tc>
        <w:tc>
          <w:tcPr>
            <w:tcW w:w="2970" w:type="dxa"/>
            <w:noWrap w:val="0"/>
            <w:vAlign w:val="center"/>
          </w:tcPr>
          <w:p w14:paraId="32673FCB">
            <w:pPr>
              <w:keepNext w:val="0"/>
              <w:keepLines w:val="0"/>
              <w:pageBreakBefore w:val="0"/>
              <w:widowControl w:val="0"/>
              <w:tabs>
                <w:tab w:val="left" w:pos="8445"/>
              </w:tabs>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5个</w:t>
            </w:r>
            <w:r>
              <w:rPr>
                <w:rFonts w:hint="eastAsia" w:ascii="宋体" w:hAnsi="宋体" w:eastAsia="宋体" w:cs="宋体"/>
                <w:color w:val="auto"/>
                <w:sz w:val="21"/>
                <w:szCs w:val="21"/>
                <w:highlight w:val="none"/>
                <w:lang w:val="zh-CN"/>
              </w:rPr>
              <w:t>工作日</w:t>
            </w:r>
          </w:p>
        </w:tc>
      </w:tr>
    </w:tbl>
    <w:p w14:paraId="0EA2350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p>
    <w:p w14:paraId="488940EF">
      <w:pPr>
        <w:keepNext w:val="0"/>
        <w:keepLines w:val="0"/>
        <w:pageBreakBefore w:val="0"/>
        <w:widowControl w:val="0"/>
        <w:tabs>
          <w:tab w:val="left" w:pos="8445"/>
        </w:tabs>
        <w:kinsoku/>
        <w:wordWrap/>
        <w:overflowPunct/>
        <w:topLinePunct w:val="0"/>
        <w:autoSpaceDE/>
        <w:autoSpaceDN/>
        <w:bidi w:val="0"/>
        <w:adjustRightInd/>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分标2（参与信息化项目费用审核工作）</w:t>
      </w:r>
    </w:p>
    <w:tbl>
      <w:tblPr>
        <w:tblStyle w:val="5"/>
        <w:tblpPr w:leftFromText="180" w:rightFromText="180" w:vertAnchor="text" w:horzAnchor="margin" w:tblpX="148" w:tblpY="11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3"/>
        <w:gridCol w:w="3003"/>
        <w:gridCol w:w="3027"/>
      </w:tblGrid>
      <w:tr w14:paraId="457D9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3603" w:type="dxa"/>
            <w:noWrap w:val="0"/>
            <w:vAlign w:val="top"/>
          </w:tcPr>
          <w:p w14:paraId="109F94DE">
            <w:pPr>
              <w:keepNext w:val="0"/>
              <w:keepLines w:val="0"/>
              <w:pageBreakBefore w:val="0"/>
              <w:widowControl w:val="0"/>
              <w:tabs>
                <w:tab w:val="left" w:pos="8445"/>
              </w:tabs>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入围供应商资料审查、现场踏勘、对数、出具</w:t>
            </w:r>
            <w:r>
              <w:rPr>
                <w:rFonts w:hint="eastAsia" w:ascii="宋体" w:hAnsi="宋体" w:eastAsia="宋体" w:cs="宋体"/>
                <w:color w:val="auto"/>
                <w:sz w:val="21"/>
                <w:szCs w:val="21"/>
                <w:highlight w:val="none"/>
              </w:rPr>
              <w:t>审核/评审</w:t>
            </w:r>
            <w:r>
              <w:rPr>
                <w:rFonts w:hint="eastAsia" w:ascii="宋体" w:hAnsi="宋体" w:eastAsia="宋体" w:cs="宋体"/>
                <w:color w:val="auto"/>
                <w:sz w:val="21"/>
                <w:szCs w:val="21"/>
                <w:highlight w:val="none"/>
                <w:lang w:val="zh-CN"/>
              </w:rPr>
              <w:t>报告的完成时限。</w:t>
            </w:r>
          </w:p>
        </w:tc>
        <w:tc>
          <w:tcPr>
            <w:tcW w:w="3003" w:type="dxa"/>
            <w:noWrap w:val="0"/>
            <w:vAlign w:val="top"/>
          </w:tcPr>
          <w:p w14:paraId="77B4B2A8">
            <w:pPr>
              <w:keepNext w:val="0"/>
              <w:keepLines w:val="0"/>
              <w:pageBreakBefore w:val="0"/>
              <w:widowControl w:val="0"/>
              <w:tabs>
                <w:tab w:val="left" w:pos="8445"/>
              </w:tabs>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入围供应商收到征集人复核意见后修改的完成时限。</w:t>
            </w:r>
          </w:p>
        </w:tc>
        <w:tc>
          <w:tcPr>
            <w:tcW w:w="3027" w:type="dxa"/>
            <w:noWrap w:val="0"/>
            <w:vAlign w:val="top"/>
          </w:tcPr>
          <w:p w14:paraId="4DDDF87A">
            <w:pPr>
              <w:keepNext w:val="0"/>
              <w:keepLines w:val="0"/>
              <w:pageBreakBefore w:val="0"/>
              <w:widowControl w:val="0"/>
              <w:tabs>
                <w:tab w:val="left" w:pos="8445"/>
              </w:tabs>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入围供应商提交项目收集、整理、装订归档资料的完成时限。</w:t>
            </w:r>
          </w:p>
        </w:tc>
      </w:tr>
      <w:tr w14:paraId="76F3C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3603" w:type="dxa"/>
            <w:noWrap w:val="0"/>
            <w:vAlign w:val="center"/>
          </w:tcPr>
          <w:p w14:paraId="624455C2">
            <w:pPr>
              <w:keepNext w:val="0"/>
              <w:keepLines w:val="0"/>
              <w:pageBreakBefore w:val="0"/>
              <w:widowControl w:val="0"/>
              <w:tabs>
                <w:tab w:val="left" w:pos="8445"/>
              </w:tabs>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7个工作日</w:t>
            </w:r>
          </w:p>
        </w:tc>
        <w:tc>
          <w:tcPr>
            <w:tcW w:w="3003" w:type="dxa"/>
            <w:noWrap w:val="0"/>
            <w:vAlign w:val="center"/>
          </w:tcPr>
          <w:p w14:paraId="1B054014">
            <w:pPr>
              <w:keepNext w:val="0"/>
              <w:keepLines w:val="0"/>
              <w:pageBreakBefore w:val="0"/>
              <w:widowControl w:val="0"/>
              <w:tabs>
                <w:tab w:val="left" w:pos="8445"/>
              </w:tabs>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2个工作日</w:t>
            </w:r>
          </w:p>
        </w:tc>
        <w:tc>
          <w:tcPr>
            <w:tcW w:w="3027" w:type="dxa"/>
            <w:noWrap w:val="0"/>
            <w:vAlign w:val="center"/>
          </w:tcPr>
          <w:p w14:paraId="222AE63B">
            <w:pPr>
              <w:keepNext w:val="0"/>
              <w:keepLines w:val="0"/>
              <w:pageBreakBefore w:val="0"/>
              <w:widowControl w:val="0"/>
              <w:tabs>
                <w:tab w:val="left" w:pos="8445"/>
              </w:tabs>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5个工作日</w:t>
            </w:r>
          </w:p>
        </w:tc>
      </w:tr>
    </w:tbl>
    <w:p w14:paraId="60057D1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p>
    <w:p w14:paraId="7D2E1DA5">
      <w:pPr>
        <w:keepNext w:val="0"/>
        <w:keepLines w:val="0"/>
        <w:pageBreakBefore w:val="0"/>
        <w:widowControl w:val="0"/>
        <w:tabs>
          <w:tab w:val="left" w:pos="8445"/>
        </w:tabs>
        <w:kinsoku/>
        <w:wordWrap/>
        <w:overflowPunct/>
        <w:topLinePunct w:val="0"/>
        <w:autoSpaceDE/>
        <w:autoSpaceDN/>
        <w:bidi w:val="0"/>
        <w:adjustRightInd/>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分标3（参与工程项目造价审核工作）</w:t>
      </w:r>
    </w:p>
    <w:p w14:paraId="21CB0A72">
      <w:pPr>
        <w:keepNext w:val="0"/>
        <w:keepLines w:val="0"/>
        <w:pageBreakBefore w:val="0"/>
        <w:widowControl w:val="0"/>
        <w:tabs>
          <w:tab w:val="left" w:pos="8445"/>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zh-CN"/>
        </w:rPr>
        <w:t>）竣工工程结算、工程进度计量计价、</w:t>
      </w:r>
      <w:r>
        <w:rPr>
          <w:rFonts w:hint="eastAsia" w:ascii="宋体" w:hAnsi="宋体" w:eastAsia="宋体" w:cs="宋体"/>
          <w:bCs/>
          <w:color w:val="auto"/>
          <w:sz w:val="21"/>
          <w:szCs w:val="21"/>
          <w:highlight w:val="none"/>
        </w:rPr>
        <w:t>工程造价分析</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9"/>
        <w:gridCol w:w="2193"/>
        <w:gridCol w:w="2485"/>
        <w:gridCol w:w="2162"/>
        <w:gridCol w:w="2147"/>
      </w:tblGrid>
      <w:tr w14:paraId="58843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589" w:type="dxa"/>
            <w:noWrap w:val="0"/>
            <w:vAlign w:val="center"/>
          </w:tcPr>
          <w:p w14:paraId="1731DEB8">
            <w:pPr>
              <w:keepNext w:val="0"/>
              <w:keepLines w:val="0"/>
              <w:pageBreakBefore w:val="0"/>
              <w:widowControl w:val="0"/>
              <w:tabs>
                <w:tab w:val="left" w:pos="8445"/>
              </w:tabs>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序号</w:t>
            </w:r>
          </w:p>
        </w:tc>
        <w:tc>
          <w:tcPr>
            <w:tcW w:w="2193" w:type="dxa"/>
            <w:noWrap w:val="0"/>
            <w:vAlign w:val="center"/>
          </w:tcPr>
          <w:p w14:paraId="75E0C470">
            <w:pPr>
              <w:keepNext w:val="0"/>
              <w:keepLines w:val="0"/>
              <w:pageBreakBefore w:val="0"/>
              <w:widowControl w:val="0"/>
              <w:tabs>
                <w:tab w:val="left" w:pos="8445"/>
              </w:tabs>
              <w:kinsoku/>
              <w:wordWrap/>
              <w:overflowPunct/>
              <w:topLinePunct w:val="0"/>
              <w:autoSpaceDE/>
              <w:autoSpaceDN/>
              <w:bidi w:val="0"/>
              <w:adjustRightInd/>
              <w:spacing w:line="360" w:lineRule="auto"/>
              <w:ind w:left="223" w:leftChars="93"/>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竣工结算送审金额</w:t>
            </w:r>
          </w:p>
        </w:tc>
        <w:tc>
          <w:tcPr>
            <w:tcW w:w="2485" w:type="dxa"/>
            <w:noWrap w:val="0"/>
            <w:vAlign w:val="top"/>
          </w:tcPr>
          <w:p w14:paraId="5B05556E">
            <w:pPr>
              <w:keepNext w:val="0"/>
              <w:keepLines w:val="0"/>
              <w:pageBreakBefore w:val="0"/>
              <w:widowControl w:val="0"/>
              <w:tabs>
                <w:tab w:val="left" w:pos="8445"/>
              </w:tabs>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入围供应商资料审查、现场踏勘、对数、出具</w:t>
            </w:r>
            <w:r>
              <w:rPr>
                <w:rFonts w:hint="eastAsia" w:ascii="宋体" w:hAnsi="宋体" w:eastAsia="宋体" w:cs="宋体"/>
                <w:color w:val="auto"/>
                <w:sz w:val="21"/>
                <w:szCs w:val="21"/>
                <w:highlight w:val="none"/>
              </w:rPr>
              <w:t>审核/评审</w:t>
            </w:r>
            <w:r>
              <w:rPr>
                <w:rFonts w:hint="eastAsia" w:ascii="宋体" w:hAnsi="宋体" w:eastAsia="宋体" w:cs="宋体"/>
                <w:color w:val="auto"/>
                <w:sz w:val="21"/>
                <w:szCs w:val="21"/>
                <w:highlight w:val="none"/>
                <w:lang w:val="zh-CN"/>
              </w:rPr>
              <w:t>报告的完成时限。</w:t>
            </w:r>
          </w:p>
        </w:tc>
        <w:tc>
          <w:tcPr>
            <w:tcW w:w="2162" w:type="dxa"/>
            <w:noWrap w:val="0"/>
            <w:vAlign w:val="top"/>
          </w:tcPr>
          <w:p w14:paraId="257D00A7">
            <w:pPr>
              <w:keepNext w:val="0"/>
              <w:keepLines w:val="0"/>
              <w:pageBreakBefore w:val="0"/>
              <w:widowControl w:val="0"/>
              <w:tabs>
                <w:tab w:val="left" w:pos="8445"/>
              </w:tabs>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入围供应商收到征集人复核意见后修改的完成时限。</w:t>
            </w:r>
          </w:p>
        </w:tc>
        <w:tc>
          <w:tcPr>
            <w:tcW w:w="2147" w:type="dxa"/>
            <w:noWrap w:val="0"/>
            <w:vAlign w:val="top"/>
          </w:tcPr>
          <w:p w14:paraId="401009F2">
            <w:pPr>
              <w:keepNext w:val="0"/>
              <w:keepLines w:val="0"/>
              <w:pageBreakBefore w:val="0"/>
              <w:widowControl w:val="0"/>
              <w:tabs>
                <w:tab w:val="left" w:pos="8445"/>
              </w:tabs>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入围供应商提交项目收集、整理、装订归档资料的完成时限。</w:t>
            </w:r>
          </w:p>
        </w:tc>
      </w:tr>
      <w:tr w14:paraId="3F51B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89" w:type="dxa"/>
            <w:noWrap w:val="0"/>
            <w:vAlign w:val="center"/>
          </w:tcPr>
          <w:p w14:paraId="73B7A468">
            <w:pPr>
              <w:keepNext w:val="0"/>
              <w:keepLines w:val="0"/>
              <w:pageBreakBefore w:val="0"/>
              <w:widowControl w:val="0"/>
              <w:tabs>
                <w:tab w:val="left" w:pos="8445"/>
              </w:tabs>
              <w:kinsoku/>
              <w:wordWrap/>
              <w:overflowPunct/>
              <w:topLinePunct w:val="0"/>
              <w:autoSpaceDE/>
              <w:autoSpaceDN/>
              <w:bidi w:val="0"/>
              <w:adjustRightInd/>
              <w:spacing w:line="360" w:lineRule="auto"/>
              <w:ind w:firstLine="105" w:firstLineChars="50"/>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w:t>
            </w:r>
          </w:p>
        </w:tc>
        <w:tc>
          <w:tcPr>
            <w:tcW w:w="2193" w:type="dxa"/>
            <w:noWrap w:val="0"/>
            <w:vAlign w:val="center"/>
          </w:tcPr>
          <w:p w14:paraId="47AA09AC">
            <w:pPr>
              <w:keepNext w:val="0"/>
              <w:keepLines w:val="0"/>
              <w:pageBreakBefore w:val="0"/>
              <w:widowControl w:val="0"/>
              <w:tabs>
                <w:tab w:val="left" w:pos="8445"/>
              </w:tabs>
              <w:kinsoku/>
              <w:wordWrap/>
              <w:overflowPunct/>
              <w:topLinePunct w:val="0"/>
              <w:autoSpaceDE/>
              <w:autoSpaceDN/>
              <w:bidi w:val="0"/>
              <w:adjustRightInd/>
              <w:spacing w:line="360" w:lineRule="auto"/>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500</w:t>
            </w:r>
            <w:r>
              <w:rPr>
                <w:rFonts w:hint="eastAsia" w:ascii="宋体" w:hAnsi="宋体" w:eastAsia="宋体" w:cs="宋体"/>
                <w:color w:val="auto"/>
                <w:sz w:val="21"/>
                <w:szCs w:val="21"/>
                <w:highlight w:val="none"/>
              </w:rPr>
              <w:t>0</w:t>
            </w:r>
            <w:r>
              <w:rPr>
                <w:rFonts w:hint="eastAsia" w:ascii="宋体" w:hAnsi="宋体" w:eastAsia="宋体" w:cs="宋体"/>
                <w:color w:val="auto"/>
                <w:sz w:val="21"/>
                <w:szCs w:val="21"/>
                <w:highlight w:val="none"/>
                <w:lang w:val="zh-CN"/>
              </w:rPr>
              <w:t>万元</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zh-CN"/>
              </w:rPr>
              <w:t>以下</w:t>
            </w:r>
          </w:p>
        </w:tc>
        <w:tc>
          <w:tcPr>
            <w:tcW w:w="2485" w:type="dxa"/>
            <w:noWrap w:val="0"/>
            <w:vAlign w:val="center"/>
          </w:tcPr>
          <w:p w14:paraId="6EF2D101">
            <w:pPr>
              <w:keepNext w:val="0"/>
              <w:keepLines w:val="0"/>
              <w:pageBreakBefore w:val="0"/>
              <w:widowControl w:val="0"/>
              <w:tabs>
                <w:tab w:val="left" w:pos="8445"/>
              </w:tabs>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20个</w:t>
            </w:r>
            <w:r>
              <w:rPr>
                <w:rFonts w:hint="eastAsia" w:ascii="宋体" w:hAnsi="宋体" w:eastAsia="宋体" w:cs="宋体"/>
                <w:color w:val="auto"/>
                <w:sz w:val="21"/>
                <w:szCs w:val="21"/>
                <w:highlight w:val="none"/>
                <w:lang w:val="zh-CN"/>
              </w:rPr>
              <w:t>工作日</w:t>
            </w:r>
          </w:p>
        </w:tc>
        <w:tc>
          <w:tcPr>
            <w:tcW w:w="2162" w:type="dxa"/>
            <w:noWrap w:val="0"/>
            <w:vAlign w:val="center"/>
          </w:tcPr>
          <w:p w14:paraId="12F32CDA">
            <w:pPr>
              <w:keepNext w:val="0"/>
              <w:keepLines w:val="0"/>
              <w:pageBreakBefore w:val="0"/>
              <w:widowControl w:val="0"/>
              <w:tabs>
                <w:tab w:val="left" w:pos="8445"/>
              </w:tabs>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5</w:t>
            </w:r>
            <w:r>
              <w:rPr>
                <w:rFonts w:hint="eastAsia" w:ascii="宋体" w:hAnsi="宋体" w:eastAsia="宋体" w:cs="宋体"/>
                <w:color w:val="auto"/>
                <w:sz w:val="21"/>
                <w:szCs w:val="21"/>
                <w:highlight w:val="none"/>
              </w:rPr>
              <w:t>个</w:t>
            </w:r>
            <w:r>
              <w:rPr>
                <w:rFonts w:hint="eastAsia" w:ascii="宋体" w:hAnsi="宋体" w:eastAsia="宋体" w:cs="宋体"/>
                <w:color w:val="auto"/>
                <w:sz w:val="21"/>
                <w:szCs w:val="21"/>
                <w:highlight w:val="none"/>
                <w:lang w:val="zh-CN"/>
              </w:rPr>
              <w:t>工作日</w:t>
            </w:r>
          </w:p>
        </w:tc>
        <w:tc>
          <w:tcPr>
            <w:tcW w:w="2147" w:type="dxa"/>
            <w:noWrap w:val="0"/>
            <w:vAlign w:val="center"/>
          </w:tcPr>
          <w:p w14:paraId="44382173">
            <w:pPr>
              <w:keepNext w:val="0"/>
              <w:keepLines w:val="0"/>
              <w:pageBreakBefore w:val="0"/>
              <w:widowControl w:val="0"/>
              <w:tabs>
                <w:tab w:val="left" w:pos="8445"/>
              </w:tabs>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5</w:t>
            </w:r>
            <w:r>
              <w:rPr>
                <w:rFonts w:hint="eastAsia" w:ascii="宋体" w:hAnsi="宋体" w:eastAsia="宋体" w:cs="宋体"/>
                <w:color w:val="auto"/>
                <w:sz w:val="21"/>
                <w:szCs w:val="21"/>
                <w:highlight w:val="none"/>
              </w:rPr>
              <w:t>个</w:t>
            </w:r>
            <w:r>
              <w:rPr>
                <w:rFonts w:hint="eastAsia" w:ascii="宋体" w:hAnsi="宋体" w:eastAsia="宋体" w:cs="宋体"/>
                <w:color w:val="auto"/>
                <w:sz w:val="21"/>
                <w:szCs w:val="21"/>
                <w:highlight w:val="none"/>
                <w:lang w:val="zh-CN"/>
              </w:rPr>
              <w:t>工作日</w:t>
            </w:r>
          </w:p>
        </w:tc>
      </w:tr>
      <w:tr w14:paraId="2E67A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 w:type="dxa"/>
            <w:noWrap w:val="0"/>
            <w:vAlign w:val="center"/>
          </w:tcPr>
          <w:p w14:paraId="0026D3BD">
            <w:pPr>
              <w:keepNext w:val="0"/>
              <w:keepLines w:val="0"/>
              <w:pageBreakBefore w:val="0"/>
              <w:widowControl w:val="0"/>
              <w:tabs>
                <w:tab w:val="left" w:pos="8445"/>
              </w:tabs>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w:t>
            </w:r>
          </w:p>
        </w:tc>
        <w:tc>
          <w:tcPr>
            <w:tcW w:w="2193" w:type="dxa"/>
            <w:noWrap w:val="0"/>
            <w:vAlign w:val="center"/>
          </w:tcPr>
          <w:p w14:paraId="0B967D2D">
            <w:pPr>
              <w:keepNext w:val="0"/>
              <w:keepLines w:val="0"/>
              <w:pageBreakBefore w:val="0"/>
              <w:widowControl w:val="0"/>
              <w:tabs>
                <w:tab w:val="left" w:pos="8445"/>
              </w:tabs>
              <w:kinsoku/>
              <w:wordWrap/>
              <w:overflowPunct/>
              <w:topLinePunct w:val="0"/>
              <w:autoSpaceDE/>
              <w:autoSpaceDN/>
              <w:bidi w:val="0"/>
              <w:adjustRightInd/>
              <w:spacing w:line="360" w:lineRule="auto"/>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5000万元至10000万元（含10000万元）</w:t>
            </w:r>
          </w:p>
        </w:tc>
        <w:tc>
          <w:tcPr>
            <w:tcW w:w="2485" w:type="dxa"/>
            <w:noWrap w:val="0"/>
            <w:vAlign w:val="center"/>
          </w:tcPr>
          <w:p w14:paraId="304C09C9">
            <w:pPr>
              <w:keepNext w:val="0"/>
              <w:keepLines w:val="0"/>
              <w:pageBreakBefore w:val="0"/>
              <w:widowControl w:val="0"/>
              <w:tabs>
                <w:tab w:val="left" w:pos="8445"/>
              </w:tabs>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30个工作日</w:t>
            </w:r>
          </w:p>
        </w:tc>
        <w:tc>
          <w:tcPr>
            <w:tcW w:w="2162" w:type="dxa"/>
            <w:noWrap w:val="0"/>
            <w:vAlign w:val="center"/>
          </w:tcPr>
          <w:p w14:paraId="45AE345F">
            <w:pPr>
              <w:keepNext w:val="0"/>
              <w:keepLines w:val="0"/>
              <w:pageBreakBefore w:val="0"/>
              <w:widowControl w:val="0"/>
              <w:tabs>
                <w:tab w:val="left" w:pos="8445"/>
              </w:tabs>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5个工作日</w:t>
            </w:r>
          </w:p>
        </w:tc>
        <w:tc>
          <w:tcPr>
            <w:tcW w:w="2147" w:type="dxa"/>
            <w:noWrap w:val="0"/>
            <w:vAlign w:val="center"/>
          </w:tcPr>
          <w:p w14:paraId="234FF786">
            <w:pPr>
              <w:keepNext w:val="0"/>
              <w:keepLines w:val="0"/>
              <w:pageBreakBefore w:val="0"/>
              <w:widowControl w:val="0"/>
              <w:tabs>
                <w:tab w:val="left" w:pos="8445"/>
              </w:tabs>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5个工作日</w:t>
            </w:r>
          </w:p>
        </w:tc>
      </w:tr>
      <w:tr w14:paraId="5D458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 w:type="dxa"/>
            <w:noWrap w:val="0"/>
            <w:vAlign w:val="center"/>
          </w:tcPr>
          <w:p w14:paraId="095A4893">
            <w:pPr>
              <w:keepNext w:val="0"/>
              <w:keepLines w:val="0"/>
              <w:pageBreakBefore w:val="0"/>
              <w:widowControl w:val="0"/>
              <w:tabs>
                <w:tab w:val="left" w:pos="8445"/>
              </w:tabs>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w:t>
            </w:r>
          </w:p>
        </w:tc>
        <w:tc>
          <w:tcPr>
            <w:tcW w:w="2193" w:type="dxa"/>
            <w:noWrap w:val="0"/>
            <w:vAlign w:val="center"/>
          </w:tcPr>
          <w:p w14:paraId="7C7AC408">
            <w:pPr>
              <w:keepNext w:val="0"/>
              <w:keepLines w:val="0"/>
              <w:pageBreakBefore w:val="0"/>
              <w:widowControl w:val="0"/>
              <w:tabs>
                <w:tab w:val="left" w:pos="8445"/>
              </w:tabs>
              <w:kinsoku/>
              <w:wordWrap/>
              <w:overflowPunct/>
              <w:topLinePunct w:val="0"/>
              <w:autoSpaceDE/>
              <w:autoSpaceDN/>
              <w:bidi w:val="0"/>
              <w:adjustRightInd/>
              <w:spacing w:line="360" w:lineRule="auto"/>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10000万元以上</w:t>
            </w:r>
          </w:p>
        </w:tc>
        <w:tc>
          <w:tcPr>
            <w:tcW w:w="2485" w:type="dxa"/>
            <w:noWrap w:val="0"/>
            <w:vAlign w:val="center"/>
          </w:tcPr>
          <w:p w14:paraId="7EE75ED8">
            <w:pPr>
              <w:keepNext w:val="0"/>
              <w:keepLines w:val="0"/>
              <w:pageBreakBefore w:val="0"/>
              <w:widowControl w:val="0"/>
              <w:tabs>
                <w:tab w:val="left" w:pos="8445"/>
              </w:tabs>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50个工作日</w:t>
            </w:r>
          </w:p>
        </w:tc>
        <w:tc>
          <w:tcPr>
            <w:tcW w:w="2162" w:type="dxa"/>
            <w:noWrap w:val="0"/>
            <w:vAlign w:val="center"/>
          </w:tcPr>
          <w:p w14:paraId="77CCE2C3">
            <w:pPr>
              <w:keepNext w:val="0"/>
              <w:keepLines w:val="0"/>
              <w:pageBreakBefore w:val="0"/>
              <w:widowControl w:val="0"/>
              <w:tabs>
                <w:tab w:val="left" w:pos="8445"/>
              </w:tabs>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5个工作日</w:t>
            </w:r>
          </w:p>
        </w:tc>
        <w:tc>
          <w:tcPr>
            <w:tcW w:w="2147" w:type="dxa"/>
            <w:noWrap w:val="0"/>
            <w:vAlign w:val="center"/>
          </w:tcPr>
          <w:p w14:paraId="765AF4E2">
            <w:pPr>
              <w:keepNext w:val="0"/>
              <w:keepLines w:val="0"/>
              <w:pageBreakBefore w:val="0"/>
              <w:widowControl w:val="0"/>
              <w:tabs>
                <w:tab w:val="left" w:pos="8445"/>
              </w:tabs>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5个工作日</w:t>
            </w:r>
          </w:p>
        </w:tc>
      </w:tr>
    </w:tbl>
    <w:p w14:paraId="7862E7BF">
      <w:pPr>
        <w:keepNext w:val="0"/>
        <w:keepLines w:val="0"/>
        <w:pageBreakBefore w:val="0"/>
        <w:widowControl w:val="0"/>
        <w:tabs>
          <w:tab w:val="left" w:pos="8445"/>
        </w:tabs>
        <w:kinsoku/>
        <w:wordWrap/>
        <w:overflowPunct/>
        <w:topLinePunct w:val="0"/>
        <w:autoSpaceDE/>
        <w:autoSpaceDN/>
        <w:bidi w:val="0"/>
        <w:adjustRightInd/>
        <w:snapToGrid/>
        <w:spacing w:before="157" w:beforeLines="50" w:line="360" w:lineRule="auto"/>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zh-CN"/>
        </w:rPr>
        <w:t>）预算控制价</w:t>
      </w:r>
    </w:p>
    <w:tbl>
      <w:tblPr>
        <w:tblStyle w:val="5"/>
        <w:tblpPr w:leftFromText="180" w:rightFromText="180" w:vertAnchor="text" w:horzAnchor="margin" w:tblpXSpec="center" w:tblpY="118"/>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5"/>
        <w:gridCol w:w="2747"/>
        <w:gridCol w:w="3302"/>
      </w:tblGrid>
      <w:tr w14:paraId="4D4B6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3545" w:type="dxa"/>
            <w:noWrap w:val="0"/>
            <w:vAlign w:val="top"/>
          </w:tcPr>
          <w:p w14:paraId="2FF3E7AE">
            <w:pPr>
              <w:keepNext w:val="0"/>
              <w:keepLines w:val="0"/>
              <w:pageBreakBefore w:val="0"/>
              <w:widowControl w:val="0"/>
              <w:tabs>
                <w:tab w:val="left" w:pos="8445"/>
              </w:tabs>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入围供应商资料审查、现场踏勘、对数、出具</w:t>
            </w:r>
            <w:r>
              <w:rPr>
                <w:rFonts w:hint="eastAsia" w:ascii="宋体" w:hAnsi="宋体" w:eastAsia="宋体" w:cs="宋体"/>
                <w:color w:val="auto"/>
                <w:sz w:val="21"/>
                <w:szCs w:val="21"/>
                <w:highlight w:val="none"/>
              </w:rPr>
              <w:t>审核/评审</w:t>
            </w:r>
            <w:r>
              <w:rPr>
                <w:rFonts w:hint="eastAsia" w:ascii="宋体" w:hAnsi="宋体" w:eastAsia="宋体" w:cs="宋体"/>
                <w:color w:val="auto"/>
                <w:sz w:val="21"/>
                <w:szCs w:val="21"/>
                <w:highlight w:val="none"/>
                <w:lang w:val="zh-CN"/>
              </w:rPr>
              <w:t>报告的完成时限。</w:t>
            </w:r>
          </w:p>
        </w:tc>
        <w:tc>
          <w:tcPr>
            <w:tcW w:w="2747" w:type="dxa"/>
            <w:noWrap w:val="0"/>
            <w:vAlign w:val="top"/>
          </w:tcPr>
          <w:p w14:paraId="08A3DA9B">
            <w:pPr>
              <w:keepNext w:val="0"/>
              <w:keepLines w:val="0"/>
              <w:pageBreakBefore w:val="0"/>
              <w:widowControl w:val="0"/>
              <w:tabs>
                <w:tab w:val="left" w:pos="8445"/>
              </w:tabs>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入围供应商收到征集人复核意见后修改的完成时限。</w:t>
            </w:r>
          </w:p>
        </w:tc>
        <w:tc>
          <w:tcPr>
            <w:tcW w:w="3302" w:type="dxa"/>
            <w:noWrap w:val="0"/>
            <w:vAlign w:val="top"/>
          </w:tcPr>
          <w:p w14:paraId="37BFC794">
            <w:pPr>
              <w:keepNext w:val="0"/>
              <w:keepLines w:val="0"/>
              <w:pageBreakBefore w:val="0"/>
              <w:widowControl w:val="0"/>
              <w:tabs>
                <w:tab w:val="left" w:pos="8445"/>
              </w:tabs>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入围供应商提交项目收集、整理、装订归档资料的完成时限。</w:t>
            </w:r>
          </w:p>
        </w:tc>
      </w:tr>
      <w:tr w14:paraId="5DD31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545" w:type="dxa"/>
            <w:noWrap w:val="0"/>
            <w:vAlign w:val="center"/>
          </w:tcPr>
          <w:p w14:paraId="01261078">
            <w:pPr>
              <w:keepNext w:val="0"/>
              <w:keepLines w:val="0"/>
              <w:pageBreakBefore w:val="0"/>
              <w:widowControl w:val="0"/>
              <w:tabs>
                <w:tab w:val="left" w:pos="8445"/>
              </w:tabs>
              <w:kinsoku/>
              <w:wordWrap/>
              <w:overflowPunct/>
              <w:topLinePunct w:val="0"/>
              <w:autoSpaceDE/>
              <w:autoSpaceDN/>
              <w:bidi w:val="0"/>
              <w:adjustRightInd/>
              <w:spacing w:line="360" w:lineRule="auto"/>
              <w:ind w:firstLine="420" w:firstLineChars="200"/>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zh-CN"/>
              </w:rPr>
              <w:t>0</w:t>
            </w:r>
            <w:r>
              <w:rPr>
                <w:rFonts w:hint="eastAsia" w:ascii="宋体" w:hAnsi="宋体" w:eastAsia="宋体" w:cs="宋体"/>
                <w:color w:val="auto"/>
                <w:sz w:val="21"/>
                <w:szCs w:val="21"/>
                <w:highlight w:val="none"/>
              </w:rPr>
              <w:t>个</w:t>
            </w:r>
            <w:r>
              <w:rPr>
                <w:rFonts w:hint="eastAsia" w:ascii="宋体" w:hAnsi="宋体" w:eastAsia="宋体" w:cs="宋体"/>
                <w:color w:val="auto"/>
                <w:sz w:val="21"/>
                <w:szCs w:val="21"/>
                <w:highlight w:val="none"/>
                <w:lang w:val="zh-CN"/>
              </w:rPr>
              <w:t>工作日</w:t>
            </w:r>
          </w:p>
        </w:tc>
        <w:tc>
          <w:tcPr>
            <w:tcW w:w="2747" w:type="dxa"/>
            <w:noWrap w:val="0"/>
            <w:vAlign w:val="center"/>
          </w:tcPr>
          <w:p w14:paraId="1AD23383">
            <w:pPr>
              <w:keepNext w:val="0"/>
              <w:keepLines w:val="0"/>
              <w:pageBreakBefore w:val="0"/>
              <w:widowControl w:val="0"/>
              <w:tabs>
                <w:tab w:val="left" w:pos="8445"/>
              </w:tabs>
              <w:kinsoku/>
              <w:wordWrap/>
              <w:overflowPunct/>
              <w:topLinePunct w:val="0"/>
              <w:autoSpaceDE/>
              <w:autoSpaceDN/>
              <w:bidi w:val="0"/>
              <w:adjustRightInd/>
              <w:spacing w:line="360" w:lineRule="auto"/>
              <w:ind w:firstLine="420" w:firstLineChars="200"/>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2个</w:t>
            </w:r>
            <w:r>
              <w:rPr>
                <w:rFonts w:hint="eastAsia" w:ascii="宋体" w:hAnsi="宋体" w:eastAsia="宋体" w:cs="宋体"/>
                <w:color w:val="auto"/>
                <w:sz w:val="21"/>
                <w:szCs w:val="21"/>
                <w:highlight w:val="none"/>
                <w:lang w:val="zh-CN"/>
              </w:rPr>
              <w:t>工作日</w:t>
            </w:r>
          </w:p>
        </w:tc>
        <w:tc>
          <w:tcPr>
            <w:tcW w:w="3302" w:type="dxa"/>
            <w:noWrap w:val="0"/>
            <w:vAlign w:val="center"/>
          </w:tcPr>
          <w:p w14:paraId="45089B1B">
            <w:pPr>
              <w:keepNext w:val="0"/>
              <w:keepLines w:val="0"/>
              <w:pageBreakBefore w:val="0"/>
              <w:widowControl w:val="0"/>
              <w:tabs>
                <w:tab w:val="left" w:pos="8445"/>
              </w:tabs>
              <w:kinsoku/>
              <w:wordWrap/>
              <w:overflowPunct/>
              <w:topLinePunct w:val="0"/>
              <w:autoSpaceDE/>
              <w:autoSpaceDN/>
              <w:bidi w:val="0"/>
              <w:adjustRightInd/>
              <w:spacing w:line="360" w:lineRule="auto"/>
              <w:ind w:firstLine="420" w:firstLineChars="200"/>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5个</w:t>
            </w:r>
            <w:r>
              <w:rPr>
                <w:rFonts w:hint="eastAsia" w:ascii="宋体" w:hAnsi="宋体" w:eastAsia="宋体" w:cs="宋体"/>
                <w:color w:val="auto"/>
                <w:sz w:val="21"/>
                <w:szCs w:val="21"/>
                <w:highlight w:val="none"/>
                <w:lang w:val="zh-CN"/>
              </w:rPr>
              <w:t>工作日</w:t>
            </w:r>
          </w:p>
        </w:tc>
      </w:tr>
    </w:tbl>
    <w:p w14:paraId="6B5D5EC7">
      <w:pPr>
        <w:keepNext w:val="0"/>
        <w:keepLines w:val="0"/>
        <w:pageBreakBefore w:val="0"/>
        <w:widowControl w:val="0"/>
        <w:tabs>
          <w:tab w:val="left" w:pos="8445"/>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zh-CN"/>
        </w:rPr>
        <w:t>）水利概算、电力迁改预算</w:t>
      </w:r>
    </w:p>
    <w:tbl>
      <w:tblPr>
        <w:tblStyle w:val="5"/>
        <w:tblpPr w:leftFromText="180" w:rightFromText="180" w:vertAnchor="text" w:horzAnchor="margin" w:tblpXSpec="center" w:tblpY="118"/>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5"/>
        <w:gridCol w:w="2747"/>
        <w:gridCol w:w="3307"/>
      </w:tblGrid>
      <w:tr w14:paraId="0C27E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3545" w:type="dxa"/>
            <w:noWrap w:val="0"/>
            <w:vAlign w:val="top"/>
          </w:tcPr>
          <w:p w14:paraId="11F80316">
            <w:pPr>
              <w:keepNext w:val="0"/>
              <w:keepLines w:val="0"/>
              <w:pageBreakBefore w:val="0"/>
              <w:widowControl w:val="0"/>
              <w:tabs>
                <w:tab w:val="left" w:pos="8445"/>
              </w:tabs>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入围供应商资料审查、现场踏勘、对数、出具</w:t>
            </w:r>
            <w:r>
              <w:rPr>
                <w:rFonts w:hint="eastAsia" w:ascii="宋体" w:hAnsi="宋体" w:eastAsia="宋体" w:cs="宋体"/>
                <w:color w:val="auto"/>
                <w:sz w:val="21"/>
                <w:szCs w:val="21"/>
                <w:highlight w:val="none"/>
              </w:rPr>
              <w:t>审核/评审</w:t>
            </w:r>
            <w:r>
              <w:rPr>
                <w:rFonts w:hint="eastAsia" w:ascii="宋体" w:hAnsi="宋体" w:eastAsia="宋体" w:cs="宋体"/>
                <w:color w:val="auto"/>
                <w:sz w:val="21"/>
                <w:szCs w:val="21"/>
                <w:highlight w:val="none"/>
                <w:lang w:val="zh-CN"/>
              </w:rPr>
              <w:t>报告的完成时限。</w:t>
            </w:r>
          </w:p>
        </w:tc>
        <w:tc>
          <w:tcPr>
            <w:tcW w:w="2747" w:type="dxa"/>
            <w:noWrap w:val="0"/>
            <w:vAlign w:val="top"/>
          </w:tcPr>
          <w:p w14:paraId="4BB89272">
            <w:pPr>
              <w:keepNext w:val="0"/>
              <w:keepLines w:val="0"/>
              <w:pageBreakBefore w:val="0"/>
              <w:widowControl w:val="0"/>
              <w:tabs>
                <w:tab w:val="left" w:pos="8445"/>
              </w:tabs>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入围供应商收到征集人复核意见后修改的完成时限。</w:t>
            </w:r>
          </w:p>
        </w:tc>
        <w:tc>
          <w:tcPr>
            <w:tcW w:w="3307" w:type="dxa"/>
            <w:noWrap w:val="0"/>
            <w:vAlign w:val="top"/>
          </w:tcPr>
          <w:p w14:paraId="0F801A04">
            <w:pPr>
              <w:keepNext w:val="0"/>
              <w:keepLines w:val="0"/>
              <w:pageBreakBefore w:val="0"/>
              <w:widowControl w:val="0"/>
              <w:tabs>
                <w:tab w:val="left" w:pos="8445"/>
              </w:tabs>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入围供应商提交项目收集、整理、装订归档资料的完成时限。</w:t>
            </w:r>
          </w:p>
        </w:tc>
      </w:tr>
      <w:tr w14:paraId="45AAC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545" w:type="dxa"/>
            <w:noWrap w:val="0"/>
            <w:vAlign w:val="center"/>
          </w:tcPr>
          <w:p w14:paraId="29CDE73F">
            <w:pPr>
              <w:keepNext w:val="0"/>
              <w:keepLines w:val="0"/>
              <w:pageBreakBefore w:val="0"/>
              <w:widowControl w:val="0"/>
              <w:tabs>
                <w:tab w:val="left" w:pos="8445"/>
              </w:tabs>
              <w:kinsoku/>
              <w:wordWrap/>
              <w:overflowPunct/>
              <w:topLinePunct w:val="0"/>
              <w:autoSpaceDE/>
              <w:autoSpaceDN/>
              <w:bidi w:val="0"/>
              <w:adjustRightInd/>
              <w:spacing w:line="360" w:lineRule="auto"/>
              <w:ind w:firstLine="420" w:firstLineChars="200"/>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7个</w:t>
            </w:r>
            <w:r>
              <w:rPr>
                <w:rFonts w:hint="eastAsia" w:ascii="宋体" w:hAnsi="宋体" w:eastAsia="宋体" w:cs="宋体"/>
                <w:color w:val="auto"/>
                <w:sz w:val="21"/>
                <w:szCs w:val="21"/>
                <w:highlight w:val="none"/>
                <w:lang w:val="zh-CN"/>
              </w:rPr>
              <w:t>工作日</w:t>
            </w:r>
          </w:p>
        </w:tc>
        <w:tc>
          <w:tcPr>
            <w:tcW w:w="2747" w:type="dxa"/>
            <w:noWrap w:val="0"/>
            <w:vAlign w:val="center"/>
          </w:tcPr>
          <w:p w14:paraId="065C6F50">
            <w:pPr>
              <w:keepNext w:val="0"/>
              <w:keepLines w:val="0"/>
              <w:pageBreakBefore w:val="0"/>
              <w:widowControl w:val="0"/>
              <w:tabs>
                <w:tab w:val="left" w:pos="8445"/>
              </w:tabs>
              <w:kinsoku/>
              <w:wordWrap/>
              <w:overflowPunct/>
              <w:topLinePunct w:val="0"/>
              <w:autoSpaceDE/>
              <w:autoSpaceDN/>
              <w:bidi w:val="0"/>
              <w:adjustRightInd/>
              <w:spacing w:line="360" w:lineRule="auto"/>
              <w:ind w:firstLine="420" w:firstLineChars="200"/>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2个</w:t>
            </w:r>
            <w:r>
              <w:rPr>
                <w:rFonts w:hint="eastAsia" w:ascii="宋体" w:hAnsi="宋体" w:eastAsia="宋体" w:cs="宋体"/>
                <w:color w:val="auto"/>
                <w:sz w:val="21"/>
                <w:szCs w:val="21"/>
                <w:highlight w:val="none"/>
                <w:lang w:val="zh-CN"/>
              </w:rPr>
              <w:t>工作日</w:t>
            </w:r>
          </w:p>
        </w:tc>
        <w:tc>
          <w:tcPr>
            <w:tcW w:w="3307" w:type="dxa"/>
            <w:noWrap w:val="0"/>
            <w:vAlign w:val="center"/>
          </w:tcPr>
          <w:p w14:paraId="672AC283">
            <w:pPr>
              <w:keepNext w:val="0"/>
              <w:keepLines w:val="0"/>
              <w:pageBreakBefore w:val="0"/>
              <w:widowControl w:val="0"/>
              <w:tabs>
                <w:tab w:val="left" w:pos="8445"/>
              </w:tabs>
              <w:kinsoku/>
              <w:wordWrap/>
              <w:overflowPunct/>
              <w:topLinePunct w:val="0"/>
              <w:autoSpaceDE/>
              <w:autoSpaceDN/>
              <w:bidi w:val="0"/>
              <w:adjustRightInd/>
              <w:spacing w:line="360" w:lineRule="auto"/>
              <w:ind w:firstLine="420" w:firstLineChars="200"/>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5个</w:t>
            </w:r>
            <w:r>
              <w:rPr>
                <w:rFonts w:hint="eastAsia" w:ascii="宋体" w:hAnsi="宋体" w:eastAsia="宋体" w:cs="宋体"/>
                <w:color w:val="auto"/>
                <w:sz w:val="21"/>
                <w:szCs w:val="21"/>
                <w:highlight w:val="none"/>
                <w:lang w:val="zh-CN"/>
              </w:rPr>
              <w:t>工作日</w:t>
            </w:r>
          </w:p>
        </w:tc>
      </w:tr>
    </w:tbl>
    <w:p w14:paraId="59F306FF">
      <w:pPr>
        <w:keepNext w:val="0"/>
        <w:keepLines w:val="0"/>
        <w:pageBreakBefore w:val="0"/>
        <w:widowControl w:val="0"/>
        <w:tabs>
          <w:tab w:val="left" w:pos="8445"/>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PPP项目施工图</w:t>
      </w:r>
      <w:r>
        <w:rPr>
          <w:rFonts w:hint="eastAsia" w:ascii="宋体" w:hAnsi="宋体" w:eastAsia="宋体" w:cs="宋体"/>
          <w:color w:val="auto"/>
          <w:sz w:val="21"/>
          <w:szCs w:val="21"/>
          <w:highlight w:val="none"/>
          <w:lang w:val="zh-CN"/>
        </w:rPr>
        <w:t>预算</w:t>
      </w:r>
    </w:p>
    <w:tbl>
      <w:tblPr>
        <w:tblStyle w:val="5"/>
        <w:tblpPr w:leftFromText="180" w:rightFromText="180" w:vertAnchor="text" w:horzAnchor="margin" w:tblpXSpec="center" w:tblpY="118"/>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5"/>
        <w:gridCol w:w="2747"/>
        <w:gridCol w:w="3263"/>
      </w:tblGrid>
      <w:tr w14:paraId="5819C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3545" w:type="dxa"/>
            <w:noWrap w:val="0"/>
            <w:vAlign w:val="top"/>
          </w:tcPr>
          <w:p w14:paraId="3CC9C60A">
            <w:pPr>
              <w:keepNext w:val="0"/>
              <w:keepLines w:val="0"/>
              <w:pageBreakBefore w:val="0"/>
              <w:widowControl w:val="0"/>
              <w:tabs>
                <w:tab w:val="left" w:pos="8445"/>
              </w:tabs>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入围供应商资料审查、现场踏勘、对数、出具</w:t>
            </w:r>
            <w:r>
              <w:rPr>
                <w:rFonts w:hint="eastAsia" w:ascii="宋体" w:hAnsi="宋体" w:eastAsia="宋体" w:cs="宋体"/>
                <w:color w:val="auto"/>
                <w:sz w:val="21"/>
                <w:szCs w:val="21"/>
                <w:highlight w:val="none"/>
              </w:rPr>
              <w:t>审核/评审</w:t>
            </w:r>
            <w:r>
              <w:rPr>
                <w:rFonts w:hint="eastAsia" w:ascii="宋体" w:hAnsi="宋体" w:eastAsia="宋体" w:cs="宋体"/>
                <w:color w:val="auto"/>
                <w:sz w:val="21"/>
                <w:szCs w:val="21"/>
                <w:highlight w:val="none"/>
                <w:lang w:val="zh-CN"/>
              </w:rPr>
              <w:t>报告的完成时限。</w:t>
            </w:r>
          </w:p>
        </w:tc>
        <w:tc>
          <w:tcPr>
            <w:tcW w:w="2747" w:type="dxa"/>
            <w:noWrap w:val="0"/>
            <w:vAlign w:val="top"/>
          </w:tcPr>
          <w:p w14:paraId="2E6CCF83">
            <w:pPr>
              <w:keepNext w:val="0"/>
              <w:keepLines w:val="0"/>
              <w:pageBreakBefore w:val="0"/>
              <w:widowControl w:val="0"/>
              <w:tabs>
                <w:tab w:val="left" w:pos="8445"/>
              </w:tabs>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入围供应商收到征集人复核意见后修改的完成时限。</w:t>
            </w:r>
          </w:p>
        </w:tc>
        <w:tc>
          <w:tcPr>
            <w:tcW w:w="3263" w:type="dxa"/>
            <w:noWrap w:val="0"/>
            <w:vAlign w:val="top"/>
          </w:tcPr>
          <w:p w14:paraId="45EE8001">
            <w:pPr>
              <w:keepNext w:val="0"/>
              <w:keepLines w:val="0"/>
              <w:pageBreakBefore w:val="0"/>
              <w:widowControl w:val="0"/>
              <w:tabs>
                <w:tab w:val="left" w:pos="8445"/>
              </w:tabs>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入围供应商提交项目收集、整理、装订归档资料的完成时限。</w:t>
            </w:r>
          </w:p>
        </w:tc>
      </w:tr>
      <w:tr w14:paraId="58A17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545" w:type="dxa"/>
            <w:noWrap w:val="0"/>
            <w:vAlign w:val="center"/>
          </w:tcPr>
          <w:p w14:paraId="5BF2A0A7">
            <w:pPr>
              <w:keepNext w:val="0"/>
              <w:keepLines w:val="0"/>
              <w:pageBreakBefore w:val="0"/>
              <w:widowControl w:val="0"/>
              <w:tabs>
                <w:tab w:val="left" w:pos="8445"/>
              </w:tabs>
              <w:kinsoku/>
              <w:wordWrap/>
              <w:overflowPunct/>
              <w:topLinePunct w:val="0"/>
              <w:autoSpaceDE/>
              <w:autoSpaceDN/>
              <w:bidi w:val="0"/>
              <w:adjustRightInd/>
              <w:spacing w:line="360" w:lineRule="auto"/>
              <w:ind w:firstLine="420" w:firstLineChars="200"/>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30个</w:t>
            </w:r>
            <w:r>
              <w:rPr>
                <w:rFonts w:hint="eastAsia" w:ascii="宋体" w:hAnsi="宋体" w:eastAsia="宋体" w:cs="宋体"/>
                <w:color w:val="auto"/>
                <w:sz w:val="21"/>
                <w:szCs w:val="21"/>
                <w:highlight w:val="none"/>
                <w:lang w:val="zh-CN"/>
              </w:rPr>
              <w:t>工作日</w:t>
            </w:r>
          </w:p>
        </w:tc>
        <w:tc>
          <w:tcPr>
            <w:tcW w:w="2747" w:type="dxa"/>
            <w:noWrap w:val="0"/>
            <w:vAlign w:val="center"/>
          </w:tcPr>
          <w:p w14:paraId="4B51B59C">
            <w:pPr>
              <w:keepNext w:val="0"/>
              <w:keepLines w:val="0"/>
              <w:pageBreakBefore w:val="0"/>
              <w:widowControl w:val="0"/>
              <w:tabs>
                <w:tab w:val="left" w:pos="8445"/>
              </w:tabs>
              <w:kinsoku/>
              <w:wordWrap/>
              <w:overflowPunct/>
              <w:topLinePunct w:val="0"/>
              <w:autoSpaceDE/>
              <w:autoSpaceDN/>
              <w:bidi w:val="0"/>
              <w:adjustRightInd/>
              <w:spacing w:line="360" w:lineRule="auto"/>
              <w:ind w:firstLine="420" w:firstLineChars="200"/>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10个</w:t>
            </w:r>
            <w:r>
              <w:rPr>
                <w:rFonts w:hint="eastAsia" w:ascii="宋体" w:hAnsi="宋体" w:eastAsia="宋体" w:cs="宋体"/>
                <w:color w:val="auto"/>
                <w:sz w:val="21"/>
                <w:szCs w:val="21"/>
                <w:highlight w:val="none"/>
                <w:lang w:val="zh-CN"/>
              </w:rPr>
              <w:t>工作日</w:t>
            </w:r>
          </w:p>
        </w:tc>
        <w:tc>
          <w:tcPr>
            <w:tcW w:w="3263" w:type="dxa"/>
            <w:noWrap w:val="0"/>
            <w:vAlign w:val="center"/>
          </w:tcPr>
          <w:p w14:paraId="553A0E70">
            <w:pPr>
              <w:keepNext w:val="0"/>
              <w:keepLines w:val="0"/>
              <w:pageBreakBefore w:val="0"/>
              <w:widowControl w:val="0"/>
              <w:tabs>
                <w:tab w:val="left" w:pos="8445"/>
              </w:tabs>
              <w:kinsoku/>
              <w:wordWrap/>
              <w:overflowPunct/>
              <w:topLinePunct w:val="0"/>
              <w:autoSpaceDE/>
              <w:autoSpaceDN/>
              <w:bidi w:val="0"/>
              <w:adjustRightInd/>
              <w:spacing w:line="360" w:lineRule="auto"/>
              <w:ind w:firstLine="420" w:firstLineChars="200"/>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5个</w:t>
            </w:r>
            <w:r>
              <w:rPr>
                <w:rFonts w:hint="eastAsia" w:ascii="宋体" w:hAnsi="宋体" w:eastAsia="宋体" w:cs="宋体"/>
                <w:color w:val="auto"/>
                <w:sz w:val="21"/>
                <w:szCs w:val="21"/>
                <w:highlight w:val="none"/>
                <w:lang w:val="zh-CN"/>
              </w:rPr>
              <w:t>工作日</w:t>
            </w:r>
          </w:p>
        </w:tc>
      </w:tr>
    </w:tbl>
    <w:p w14:paraId="1A46217C">
      <w:pPr>
        <w:keepNext w:val="0"/>
        <w:keepLines w:val="0"/>
        <w:pageBreakBefore w:val="0"/>
        <w:widowControl w:val="0"/>
        <w:kinsoku/>
        <w:wordWrap/>
        <w:overflowPunct/>
        <w:topLinePunct w:val="0"/>
        <w:autoSpaceDE/>
        <w:autoSpaceDN/>
        <w:bidi w:val="0"/>
        <w:adjustRightInd/>
        <w:snapToGrid w:val="0"/>
        <w:spacing w:before="157" w:beforeLines="50" w:line="360" w:lineRule="auto"/>
        <w:ind w:firstLine="422" w:firstLineChars="200"/>
        <w:jc w:val="left"/>
        <w:textAlignment w:val="auto"/>
        <w:outlineLvl w:val="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（二）服务标准</w:t>
      </w:r>
    </w:p>
    <w:p w14:paraId="296D500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1.供应商要严格遵守国家的法律、法规和有关规章制度，严格遵守行为准则和职业道德，按现行的财政投资项目审核操作规程及质量控制办法规定的执行。</w:t>
      </w:r>
    </w:p>
    <w:p w14:paraId="345C470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b/>
          <w:bCs/>
          <w:color w:val="auto"/>
          <w:sz w:val="21"/>
          <w:szCs w:val="21"/>
          <w:highlight w:val="none"/>
        </w:rPr>
        <w:t>分标1（参与建设项目财务决算工作）：</w:t>
      </w:r>
      <w:r>
        <w:rPr>
          <w:rFonts w:hint="eastAsia" w:ascii="宋体" w:hAnsi="宋体" w:eastAsia="宋体" w:cs="宋体"/>
          <w:color w:val="auto"/>
          <w:sz w:val="21"/>
          <w:szCs w:val="21"/>
          <w:highlight w:val="none"/>
        </w:rPr>
        <w:t>严格按照现行的基本建设财务规则要求进行审核工作，依照相关依据发表专业意见出具成果文件，并对成果的真实性、完整性、准确性负责。</w:t>
      </w:r>
    </w:p>
    <w:p w14:paraId="70033A71">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分标2（参与信息化项目费用审核工作）：</w:t>
      </w:r>
      <w:r>
        <w:rPr>
          <w:rFonts w:hint="eastAsia" w:ascii="宋体" w:hAnsi="宋体" w:eastAsia="宋体" w:cs="宋体"/>
          <w:color w:val="auto"/>
          <w:sz w:val="21"/>
          <w:szCs w:val="21"/>
          <w:highlight w:val="none"/>
        </w:rPr>
        <w:t>严格按照现行国家标准以及相关规范，如《软件工程软件开发成本度量规范》（GB/T36964-2018） 等文件要求开展定制软件开发、信息系统集成、信息系统硬件等造价审核工作，依照相关依据发表专业意见出具成果文件，并对成果的真实性、完整性、准确性负责。</w:t>
      </w:r>
    </w:p>
    <w:p w14:paraId="3DAAF282">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分标3（参与工程项目造价审核工作）：</w:t>
      </w:r>
      <w:r>
        <w:rPr>
          <w:rFonts w:hint="eastAsia" w:ascii="宋体" w:hAnsi="宋体" w:eastAsia="宋体" w:cs="宋体"/>
          <w:color w:val="auto"/>
          <w:sz w:val="21"/>
          <w:szCs w:val="21"/>
          <w:highlight w:val="none"/>
        </w:rPr>
        <w:t>严格按照现行的工程造价管理办法、工程结算编审规程等文件要求进行审核工作，依照相关依据发表专业意见出具成果文件，并对成果的真实性、完整性、准确性负责。</w:t>
      </w:r>
    </w:p>
    <w:p w14:paraId="68BC82B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3.审核人员在项目审核工程中，应该恪守客观公正、实事求是的原则，确保审核工作的真实完整和准确，保证审核质量。</w:t>
      </w:r>
    </w:p>
    <w:p w14:paraId="0299E7D6">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4.审核报告编制标准</w:t>
      </w:r>
    </w:p>
    <w:p w14:paraId="74A5B1A1">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审核内容完整、数据准确、依据充分，审核结论定性客观、定量准确、依据充分，核增核减原因定性准确、条理清晰，披露审核问题有理有据、分析透彻，提出审核建议措施具体、针对性强。</w:t>
      </w:r>
    </w:p>
    <w:p w14:paraId="070B0016">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5.供应商不得泄露委托方及所承接项目的任何商业机密，不得未经委托方同意擅自对外公开审核结论。</w:t>
      </w:r>
    </w:p>
    <w:p w14:paraId="7F6CB488">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6.审核人员应严格遵守廉洁自律的有关规定，坚决抵制各种可能影响客观公正审核的商业贿赂，坚决不搞人情审核，避免和杜绝吃拿卡要的不良行为。如因审核人员原因出现违规违纪行为，应及时处理并承担相应法律责任，委托方有权追究其相关责任。</w:t>
      </w:r>
    </w:p>
    <w:p w14:paraId="17461D59">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（三）拟投入人员组成</w:t>
      </w:r>
    </w:p>
    <w:p w14:paraId="2BFE14C5">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1.拟投入</w:t>
      </w:r>
      <w:r>
        <w:rPr>
          <w:rFonts w:hint="eastAsia" w:ascii="宋体" w:hAnsi="宋体" w:eastAsia="宋体" w:cs="宋体"/>
          <w:b/>
          <w:bCs/>
          <w:color w:val="auto"/>
          <w:sz w:val="21"/>
          <w:szCs w:val="21"/>
          <w:highlight w:val="none"/>
          <w:lang w:val="zh-CN"/>
        </w:rPr>
        <w:t>管理及技术负责人</w:t>
      </w:r>
      <w:r>
        <w:rPr>
          <w:rFonts w:hint="eastAsia" w:ascii="宋体" w:hAnsi="宋体" w:eastAsia="宋体" w:cs="宋体"/>
          <w:b/>
          <w:bCs/>
          <w:color w:val="auto"/>
          <w:sz w:val="21"/>
          <w:szCs w:val="21"/>
          <w:highlight w:val="none"/>
        </w:rPr>
        <w:t>要求</w:t>
      </w:r>
    </w:p>
    <w:p w14:paraId="1E356769">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color w:val="auto"/>
          <w:sz w:val="21"/>
          <w:szCs w:val="21"/>
          <w:highlight w:val="none"/>
          <w:lang w:val="zh-CN"/>
        </w:rPr>
      </w:pPr>
      <w:r>
        <w:rPr>
          <w:rFonts w:hint="eastAsia" w:ascii="宋体" w:hAnsi="宋体" w:eastAsia="宋体" w:cs="宋体"/>
          <w:b/>
          <w:bCs/>
          <w:color w:val="auto"/>
          <w:sz w:val="21"/>
          <w:szCs w:val="21"/>
          <w:highlight w:val="none"/>
          <w:lang w:val="zh-CN"/>
        </w:rPr>
        <w:t>分标</w:t>
      </w:r>
      <w:r>
        <w:rPr>
          <w:rFonts w:hint="eastAsia" w:ascii="宋体" w:hAnsi="宋体" w:eastAsia="宋体" w:cs="宋体"/>
          <w:b/>
          <w:bCs/>
          <w:color w:val="auto"/>
          <w:sz w:val="21"/>
          <w:szCs w:val="21"/>
          <w:highlight w:val="none"/>
        </w:rPr>
        <w:t>1（参与建设项目财务决算工作）：</w:t>
      </w:r>
      <w:r>
        <w:rPr>
          <w:rFonts w:hint="eastAsia" w:ascii="宋体" w:hAnsi="宋体" w:eastAsia="宋体" w:cs="宋体"/>
          <w:color w:val="auto"/>
          <w:sz w:val="21"/>
          <w:szCs w:val="21"/>
          <w:highlight w:val="none"/>
          <w:lang w:val="zh-CN"/>
        </w:rPr>
        <w:t>拟投入</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人担任本项目的管理及技术负责人；</w:t>
      </w:r>
    </w:p>
    <w:p w14:paraId="6366B086">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color w:val="auto"/>
          <w:sz w:val="21"/>
          <w:szCs w:val="21"/>
          <w:highlight w:val="none"/>
          <w:lang w:val="zh-CN"/>
        </w:rPr>
      </w:pPr>
      <w:r>
        <w:rPr>
          <w:rFonts w:hint="eastAsia" w:ascii="宋体" w:hAnsi="宋体" w:eastAsia="宋体" w:cs="宋体"/>
          <w:b/>
          <w:bCs/>
          <w:color w:val="auto"/>
          <w:sz w:val="21"/>
          <w:szCs w:val="21"/>
          <w:highlight w:val="none"/>
          <w:lang w:val="zh-CN"/>
        </w:rPr>
        <w:t>分标</w:t>
      </w:r>
      <w:r>
        <w:rPr>
          <w:rFonts w:hint="eastAsia" w:ascii="宋体" w:hAnsi="宋体" w:eastAsia="宋体" w:cs="宋体"/>
          <w:b/>
          <w:bCs/>
          <w:color w:val="auto"/>
          <w:sz w:val="21"/>
          <w:szCs w:val="21"/>
          <w:highlight w:val="none"/>
        </w:rPr>
        <w:t>2（参与信息化项目费用审核工作）</w:t>
      </w:r>
      <w:r>
        <w:rPr>
          <w:rFonts w:hint="eastAsia" w:ascii="宋体" w:hAnsi="宋体" w:eastAsia="宋体" w:cs="宋体"/>
          <w:b/>
          <w:bCs/>
          <w:color w:val="auto"/>
          <w:sz w:val="21"/>
          <w:szCs w:val="21"/>
          <w:highlight w:val="none"/>
          <w:lang w:val="zh-CN"/>
        </w:rPr>
        <w:t>：</w:t>
      </w:r>
      <w:r>
        <w:rPr>
          <w:rFonts w:hint="eastAsia" w:ascii="宋体" w:hAnsi="宋体" w:eastAsia="宋体" w:cs="宋体"/>
          <w:color w:val="auto"/>
          <w:sz w:val="21"/>
          <w:szCs w:val="21"/>
          <w:highlight w:val="none"/>
          <w:lang w:val="zh-CN"/>
        </w:rPr>
        <w:t>拟投入</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zh-CN"/>
        </w:rPr>
        <w:t>人担任本项目的管理及技术负责人；</w:t>
      </w:r>
    </w:p>
    <w:p w14:paraId="234EFCDB">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color w:val="auto"/>
          <w:sz w:val="21"/>
          <w:szCs w:val="21"/>
          <w:highlight w:val="none"/>
          <w:lang w:val="zh-CN"/>
        </w:rPr>
      </w:pPr>
      <w:r>
        <w:rPr>
          <w:rFonts w:hint="eastAsia" w:ascii="宋体" w:hAnsi="宋体" w:eastAsia="宋体" w:cs="宋体"/>
          <w:b/>
          <w:bCs/>
          <w:color w:val="auto"/>
          <w:sz w:val="21"/>
          <w:szCs w:val="21"/>
          <w:highlight w:val="none"/>
          <w:lang w:val="zh-CN"/>
        </w:rPr>
        <w:t>分标</w:t>
      </w:r>
      <w:r>
        <w:rPr>
          <w:rFonts w:hint="eastAsia" w:ascii="宋体" w:hAnsi="宋体" w:eastAsia="宋体" w:cs="宋体"/>
          <w:b/>
          <w:bCs/>
          <w:color w:val="auto"/>
          <w:sz w:val="21"/>
          <w:szCs w:val="21"/>
          <w:highlight w:val="none"/>
        </w:rPr>
        <w:t>3（参与工程项目造价审核工作）：</w:t>
      </w:r>
      <w:r>
        <w:rPr>
          <w:rFonts w:hint="eastAsia" w:ascii="宋体" w:hAnsi="宋体" w:eastAsia="宋体" w:cs="宋体"/>
          <w:color w:val="auto"/>
          <w:sz w:val="21"/>
          <w:szCs w:val="21"/>
          <w:highlight w:val="none"/>
          <w:lang w:val="zh-CN"/>
        </w:rPr>
        <w:t>拟投入</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人担任本项目的管理及技术负责人。</w:t>
      </w:r>
    </w:p>
    <w:p w14:paraId="349B7AA6">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入围供应商拟投入的</w:t>
      </w:r>
      <w:r>
        <w:rPr>
          <w:rFonts w:hint="eastAsia" w:ascii="宋体" w:hAnsi="宋体" w:eastAsia="宋体" w:cs="宋体"/>
          <w:color w:val="auto"/>
          <w:sz w:val="21"/>
          <w:szCs w:val="21"/>
          <w:highlight w:val="none"/>
          <w:lang w:val="zh-CN"/>
        </w:rPr>
        <w:t>管理及技术负责人，对项目审核</w:t>
      </w:r>
      <w:r>
        <w:rPr>
          <w:rFonts w:hint="eastAsia" w:ascii="宋体" w:hAnsi="宋体" w:eastAsia="宋体" w:cs="宋体"/>
          <w:color w:val="auto"/>
          <w:sz w:val="21"/>
          <w:szCs w:val="21"/>
          <w:highlight w:val="none"/>
        </w:rPr>
        <w:t>进度、审核质量总体把关，确保审核质量并承担相应责任。能够就审核中的重大技术问题、重大争议提出处理建议，按规定提交委托方要求的审核报告。</w:t>
      </w:r>
    </w:p>
    <w:p w14:paraId="443F6F25">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 xml:space="preserve"> 2.拟投入审核人员（项目主审和审核人员）要求</w:t>
      </w:r>
    </w:p>
    <w:p w14:paraId="5B409C5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审人员：业务能力强，能与委托方及相关单位进行有效沟通，计划执行能力强，工作效率高，随时向委托方汇报工作；具备团队领导能力，熟悉审核工作流程，组织相关审核工作，能独立完成项目主审职责，能够就审核中的重大技术问题、重大争议提出处理建议，负责项目审核对接、组织、综合复核、进度控制、质量控制、会议纪要及审核报告的编写。</w:t>
      </w:r>
    </w:p>
    <w:p w14:paraId="4E8F6B8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审核人员：具有良好的沟通能力和团队精神，具备岗位匹配专业技术，配合项目主审做好审核工作。</w:t>
      </w:r>
    </w:p>
    <w:p w14:paraId="4D837512">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3.拟投入坐班人员要求（仅针对分标1和分标3）</w:t>
      </w:r>
    </w:p>
    <w:p w14:paraId="6FC777E0">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分标1（参与建设项目财务决算工作）入围供应商应拟派坐班人员至少1人，分标3（参与工程项目造价审核工作）入围供应商应拟派坐班人员至少2人：</w:t>
      </w:r>
    </w:p>
    <w:p w14:paraId="598DB1B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人员须具备委托方要求的专业技术能力、沟通能力、学习能力、组织协调能力，并具有较强的服务意识，同意到委托方指定的地点坐班，参与审核并提供日常咨询业务。委托方根据入围供应商在响应时承诺的坐班人员中，经委托方面试认可后择优选择派驻坐班人员。委托方将根据入围供应商提供的具体服务，由委托方与入围供应商协商一致，签订技术咨询服务合同并支付费用。原则上坐班人员在合同期内不予更换，如需更换，须经委托方审核同意。如不能按要求派驻坐班人员，委托方有权不向其委派审核项目</w:t>
      </w:r>
      <w:r>
        <w:rPr>
          <w:rFonts w:hint="eastAsia" w:ascii="宋体" w:hAnsi="宋体" w:eastAsia="宋体" w:cs="宋体"/>
          <w:color w:val="auto"/>
          <w:sz w:val="21"/>
          <w:szCs w:val="21"/>
          <w:highlight w:val="none"/>
          <w:lang w:eastAsia="zh-CN"/>
        </w:rPr>
        <w:t>。</w:t>
      </w:r>
    </w:p>
    <w:p w14:paraId="33C26D63">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w:t>
      </w:r>
      <w:r>
        <w:rPr>
          <w:rFonts w:hint="eastAsia" w:ascii="宋体" w:hAnsi="宋体" w:eastAsia="宋体" w:cs="宋体"/>
          <w:b/>
          <w:bCs/>
          <w:color w:val="auto"/>
          <w:sz w:val="21"/>
          <w:szCs w:val="21"/>
          <w:highlight w:val="none"/>
          <w:lang w:val="zh-CN"/>
        </w:rPr>
        <w:t>人员登记备案管理</w:t>
      </w:r>
    </w:p>
    <w:p w14:paraId="3B11F75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 征集人对入围供应商投入的人员实行登记备案管理。</w:t>
      </w:r>
      <w:r>
        <w:rPr>
          <w:rFonts w:hint="eastAsia" w:ascii="宋体" w:hAnsi="宋体" w:eastAsia="宋体" w:cs="宋体"/>
          <w:color w:val="auto"/>
          <w:sz w:val="21"/>
          <w:szCs w:val="21"/>
          <w:highlight w:val="none"/>
          <w:lang w:val="zh-CN"/>
        </w:rPr>
        <w:t>供应商入围后，签订框架协议时</w:t>
      </w:r>
      <w:r>
        <w:rPr>
          <w:rFonts w:hint="eastAsia" w:ascii="宋体" w:hAnsi="宋体" w:eastAsia="宋体" w:cs="宋体"/>
          <w:color w:val="auto"/>
          <w:sz w:val="21"/>
          <w:szCs w:val="21"/>
          <w:highlight w:val="none"/>
        </w:rPr>
        <w:t>，须将本单位投入的所有人员（包括</w:t>
      </w:r>
      <w:r>
        <w:rPr>
          <w:rFonts w:hint="eastAsia" w:ascii="宋体" w:hAnsi="宋体" w:eastAsia="宋体" w:cs="宋体"/>
          <w:color w:val="auto"/>
          <w:sz w:val="21"/>
          <w:szCs w:val="21"/>
          <w:highlight w:val="none"/>
          <w:lang w:val="zh-CN"/>
        </w:rPr>
        <w:t>管理及技术负责人、</w:t>
      </w:r>
      <w:r>
        <w:rPr>
          <w:rFonts w:hint="eastAsia" w:ascii="宋体" w:hAnsi="宋体" w:eastAsia="宋体" w:cs="宋体"/>
          <w:color w:val="auto"/>
          <w:sz w:val="21"/>
          <w:szCs w:val="21"/>
          <w:highlight w:val="none"/>
        </w:rPr>
        <w:t>主审、审核、坐班人员）名单（须与本项目响应文件拟投入人员完全相同），附上通讯方式以及个人详细资料，包括身份证、学历、注册证（分标1：注册会计师注册到入围供应商本单位；分标3：投入人员注册到入围供应商本单位）、社保、资格证明文件的复印件，原件备查）通过书面和电子文档形式报征集人登记备案。</w:t>
      </w:r>
      <w:r>
        <w:rPr>
          <w:rFonts w:hint="eastAsia" w:ascii="宋体" w:hAnsi="宋体" w:eastAsia="宋体" w:cs="宋体"/>
          <w:b/>
          <w:bCs/>
          <w:color w:val="auto"/>
          <w:sz w:val="21"/>
          <w:szCs w:val="21"/>
          <w:highlight w:val="none"/>
        </w:rPr>
        <w:t>在服务期内，供应商发生的人员变动情况，应经征集人同意后方可变更，并及时进行登记备案。征集人将不定期对供应商投入的人员在岗情况进行检查，经查实供应商擅自减少投入人员达一定比例，或实际投入人员配备达不到承诺约定的最低人数时，征集人有权暂停供应商审核服务，直至清退出框架协议。</w:t>
      </w:r>
    </w:p>
    <w:p w14:paraId="05EE9DA0">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 入围供应商投入的人员，必须与响应文件时承诺的拟投入人员一致。入围供应商在审核委托方委托审核的项目时，必须从投入的人员名单中安排。</w:t>
      </w:r>
    </w:p>
    <w:p w14:paraId="1AEA51C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 如果入围供应商需要更换投入人员时，应向征集人提出申请并得到征集人的同意。征集人认为入围供应商实际投入的人员不足以满足任务需要或认为人员不称职时，可向入围供应商发出要求增加或更换人员的通知，入围供应商应在收到通知后的2天内增加或更换符合征集人需求的人员，由此产生的费用由入围供应商自行承担。</w:t>
      </w:r>
    </w:p>
    <w:p w14:paraId="0A6778C5">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5.供应商须为投入本项目所有人员做好外勤工作保障，在框架协议期内，拟投入人员须全员按期缴纳工伤保险，并统一购置人身意外伤害保险。</w:t>
      </w:r>
    </w:p>
    <w:p w14:paraId="64FF3DA6">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（四）服务工作量的计量方式</w:t>
      </w:r>
    </w:p>
    <w:p w14:paraId="27699E2A">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1.最高限制单价</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详见附件1：《最高限制单价表》</w:t>
      </w:r>
      <w:r>
        <w:rPr>
          <w:rFonts w:hint="eastAsia" w:ascii="宋体" w:hAnsi="宋体" w:eastAsia="宋体" w:cs="宋体"/>
          <w:b/>
          <w:bCs/>
          <w:color w:val="auto"/>
          <w:sz w:val="21"/>
          <w:szCs w:val="21"/>
          <w:highlight w:val="none"/>
          <w:lang w:eastAsia="zh-CN"/>
        </w:rPr>
        <w:t>）</w:t>
      </w:r>
    </w:p>
    <w:p w14:paraId="0D3E9C80">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strike/>
          <w:color w:val="auto"/>
          <w:sz w:val="21"/>
          <w:szCs w:val="21"/>
          <w:highlight w:val="none"/>
        </w:rPr>
      </w:pPr>
      <w:r>
        <w:rPr>
          <w:rFonts w:hint="eastAsia" w:ascii="宋体" w:hAnsi="宋体" w:eastAsia="宋体" w:cs="宋体"/>
          <w:color w:val="auto"/>
          <w:sz w:val="21"/>
          <w:szCs w:val="21"/>
          <w:highlight w:val="none"/>
        </w:rPr>
        <w:t>最高限制单价是供应商第一阶段响应报价的最高限价。入围供应商第一阶段响应报价是采购人确定第二阶段成交供应商的最高限价。</w:t>
      </w:r>
    </w:p>
    <w:p w14:paraId="006BDF66">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（五）服务保障</w:t>
      </w:r>
    </w:p>
    <w:p w14:paraId="27FAC9C5">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为保障项目审核工作正常进行，供应商应基于审慎原则，保障及时响应、人力资源充足、专业能力匹配，具备以下能力： </w:t>
      </w:r>
    </w:p>
    <w:p w14:paraId="7EDDB236">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1.限时办结的能力。</w:t>
      </w:r>
    </w:p>
    <w:p w14:paraId="7A505AC1">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审核实行限时办结制度，入围供应商与委托方签订项目合同后，应严格遵守项目审核时限要求，合理安排人员在合同规定的时间内完成项目工作，并向委托方提交合同规定质量和数量的成果文件及电子文档，且提交的成果文件必须已完成内部审核程序。</w:t>
      </w:r>
    </w:p>
    <w:p w14:paraId="1E6227C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2.提供本地服务的能力。</w:t>
      </w:r>
    </w:p>
    <w:p w14:paraId="16EB183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2.1项目审核过程中，入围供应商投入人员须到项目所在地配合委托方完成资料核验、项目对数、现场踏勘、复核争议、参与审核协调会议、项目归档等相关工作。</w:t>
      </w:r>
    </w:p>
    <w:p w14:paraId="61D58DC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2.2拟投入人员需具备本地化办公能力，可根据委托方要求配合出差。</w:t>
      </w:r>
    </w:p>
    <w:p w14:paraId="2F700F10">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strike/>
          <w:color w:val="auto"/>
          <w:sz w:val="21"/>
          <w:szCs w:val="21"/>
          <w:highlight w:val="none"/>
        </w:rPr>
      </w:pPr>
      <w:r>
        <w:rPr>
          <w:rFonts w:hint="eastAsia" w:ascii="宋体" w:hAnsi="宋体" w:eastAsia="宋体" w:cs="宋体"/>
          <w:color w:val="auto"/>
          <w:sz w:val="21"/>
          <w:szCs w:val="21"/>
          <w:highlight w:val="none"/>
        </w:rPr>
        <w:t>2.3拟投入人员需熟悉广西壮族自治区相关法规及政策。</w:t>
      </w:r>
    </w:p>
    <w:p w14:paraId="3A13BC28">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2.4拟投入人员需熟悉柳州市相关行业的市场情况。</w:t>
      </w:r>
    </w:p>
    <w:p w14:paraId="3A07659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3.供应商需提供人员充足、经验丰富的团队承担重大、复杂的项目审核工作。</w:t>
      </w:r>
    </w:p>
    <w:p w14:paraId="57C841E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4.用户反馈和评价机制</w:t>
      </w:r>
    </w:p>
    <w:p w14:paraId="224E2EE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4.1征集人建立用户反馈和评价机制，对入围供应商履行框架协议和采购合同情况的反馈与评价，并定期将反馈和评价情况公开，作为第二阶段直接选定成交供应商的参考。</w:t>
      </w:r>
    </w:p>
    <w:p w14:paraId="0C454040">
      <w:pPr>
        <w:keepNext w:val="0"/>
        <w:keepLines w:val="0"/>
        <w:pageBreakBefore w:val="0"/>
        <w:widowControl w:val="0"/>
        <w:tabs>
          <w:tab w:val="left" w:pos="8445"/>
        </w:tabs>
        <w:kinsoku/>
        <w:wordWrap/>
        <w:overflowPunct/>
        <w:topLinePunct w:val="0"/>
        <w:autoSpaceDE/>
        <w:autoSpaceDN/>
        <w:bidi w:val="0"/>
        <w:adjustRightInd/>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4.2分标1如出现重大误差的，委托方不再支付该项目的审核费用，供应商必须承担由此造成的全部经济和法律责任，同时记违约一次；如累计违约三次以上（含三次），征集人将其清退出框架协议；</w:t>
      </w:r>
    </w:p>
    <w:p w14:paraId="33697F56">
      <w:pPr>
        <w:keepNext w:val="0"/>
        <w:keepLines w:val="0"/>
        <w:pageBreakBefore w:val="0"/>
        <w:widowControl w:val="0"/>
        <w:tabs>
          <w:tab w:val="left" w:pos="8445"/>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分标2、分标3：征集人将对入围供应商提交的审核/评审报告和审核/评审结论进行复审，根据项目实际要求控制误差率，并在具体项目合同中约定。</w:t>
      </w:r>
    </w:p>
    <w:p w14:paraId="7FFBA092">
      <w:pPr>
        <w:keepNext w:val="0"/>
        <w:keepLines w:val="0"/>
        <w:pageBreakBefore w:val="0"/>
        <w:widowControl w:val="0"/>
        <w:tabs>
          <w:tab w:val="left" w:pos="8445"/>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误差率计算公式：（委托方审定后核增金额+委托方审定后核减金额）/供应商审定金额*100%。</w:t>
      </w:r>
    </w:p>
    <w:p w14:paraId="45F85A5D">
      <w:pPr>
        <w:keepNext w:val="0"/>
        <w:keepLines w:val="0"/>
        <w:pageBreakBefore w:val="0"/>
        <w:widowControl w:val="0"/>
        <w:tabs>
          <w:tab w:val="left" w:pos="8445"/>
        </w:tabs>
        <w:kinsoku/>
        <w:wordWrap/>
        <w:overflowPunct/>
        <w:topLinePunct w:val="0"/>
        <w:autoSpaceDE/>
        <w:autoSpaceDN/>
        <w:bidi w:val="0"/>
        <w:adjustRightInd/>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按上述误差公式计算，误差率超过入围供应商所承诺的误差率，委托方不再支付该项目的审核费用，供应商必须承担由此造成的全部经济和法律责任，同时记违约一次；如累计违约三次以上（含三次），征集人将其清退出框架协议。</w:t>
      </w:r>
    </w:p>
    <w:p w14:paraId="134A0450">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（六）服务方案</w:t>
      </w:r>
    </w:p>
    <w:p w14:paraId="51B435B0">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1.供应商可根据自身实际情况及本项目要求提供服务方案（格式自拟）。</w:t>
      </w:r>
    </w:p>
    <w:p w14:paraId="6F48BDCE">
      <w:pPr>
        <w:keepNext w:val="0"/>
        <w:keepLines w:val="0"/>
        <w:pageBreakBefore w:val="0"/>
        <w:widowControl w:val="0"/>
        <w:tabs>
          <w:tab w:val="left" w:pos="8445"/>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2.提供承诺函承诺：</w:t>
      </w:r>
    </w:p>
    <w:p w14:paraId="67C28FE5">
      <w:pPr>
        <w:keepNext w:val="0"/>
        <w:keepLines w:val="0"/>
        <w:pageBreakBefore w:val="0"/>
        <w:widowControl w:val="0"/>
        <w:tabs>
          <w:tab w:val="left" w:pos="8445"/>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分标1（参与建设项目财务决算工作）、分标3（参与工程项目造价审核工作）：在采购人下达委托任务后，</w:t>
      </w:r>
      <w:r>
        <w:rPr>
          <w:rFonts w:hint="eastAsia" w:ascii="宋体" w:hAnsi="宋体" w:eastAsia="宋体" w:cs="宋体"/>
          <w:color w:val="auto"/>
          <w:sz w:val="21"/>
          <w:szCs w:val="21"/>
          <w:highlight w:val="none"/>
          <w:lang w:val="zh-CN"/>
        </w:rPr>
        <w:t>入围供应商接到委托方委托的任务后须在30分钟内响应，1小时内到达委托方指定地点</w:t>
      </w:r>
      <w:r>
        <w:rPr>
          <w:rFonts w:hint="eastAsia" w:ascii="宋体" w:hAnsi="宋体" w:eastAsia="宋体" w:cs="宋体"/>
          <w:color w:val="auto"/>
          <w:sz w:val="21"/>
          <w:szCs w:val="21"/>
          <w:highlight w:val="none"/>
        </w:rPr>
        <w:t>提供相应服务；针对项目具体情况，承诺按时保质为采购人提供专业化服务。</w:t>
      </w:r>
    </w:p>
    <w:p w14:paraId="617AB86F">
      <w:pPr>
        <w:keepNext w:val="0"/>
        <w:keepLines w:val="0"/>
        <w:pageBreakBefore w:val="0"/>
        <w:widowControl w:val="0"/>
        <w:tabs>
          <w:tab w:val="left" w:pos="8445"/>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分标2（参与信息化项目费用审核工作）：在采购人下达委托任务后，</w:t>
      </w:r>
      <w:r>
        <w:rPr>
          <w:rFonts w:hint="eastAsia" w:ascii="宋体" w:hAnsi="宋体" w:eastAsia="宋体" w:cs="宋体"/>
          <w:color w:val="auto"/>
          <w:sz w:val="21"/>
          <w:szCs w:val="21"/>
          <w:highlight w:val="none"/>
          <w:lang w:val="zh-CN"/>
        </w:rPr>
        <w:t>入围供应商接到委托方委托的任务后须在30分钟内响应，24小时内到达委托方指定地点</w:t>
      </w:r>
      <w:r>
        <w:rPr>
          <w:rFonts w:hint="eastAsia" w:ascii="宋体" w:hAnsi="宋体" w:eastAsia="宋体" w:cs="宋体"/>
          <w:color w:val="auto"/>
          <w:sz w:val="21"/>
          <w:szCs w:val="21"/>
          <w:highlight w:val="none"/>
        </w:rPr>
        <w:t>提供相应服务；针对项目具体情况，承诺按时保质为采购人提供专业化服务。</w:t>
      </w:r>
    </w:p>
    <w:p w14:paraId="27666023">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三、商务要求</w:t>
      </w:r>
    </w:p>
    <w:p w14:paraId="06691260">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1.报价要求</w:t>
      </w:r>
    </w:p>
    <w:p w14:paraId="13B7576F">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本项目供应商不需要提供报价，最高限价单价即作为供应商统一报价。</w:t>
      </w:r>
    </w:p>
    <w:p w14:paraId="0F1B679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供应商须在响应文件中承诺，若公司入围，按征集文件规定的计费方式和费率（即最高限制单价）计费。供应商的响应报价已包括</w:t>
      </w:r>
      <w:r>
        <w:rPr>
          <w:rFonts w:hint="eastAsia" w:ascii="宋体" w:hAnsi="宋体" w:eastAsia="宋体" w:cs="宋体"/>
          <w:color w:val="auto"/>
          <w:sz w:val="21"/>
          <w:szCs w:val="21"/>
          <w:highlight w:val="none"/>
          <w:lang w:val="zh-CN"/>
        </w:rPr>
        <w:t>审核工作所需的审核服务费、坐班人员的技术咨询服务费、通讯、办公场地、管理费、税费和利润等费用和政策性文件规定及合同包含的所有风险、责任等各项应有的</w:t>
      </w:r>
      <w:r>
        <w:rPr>
          <w:rFonts w:hint="eastAsia" w:ascii="宋体" w:hAnsi="宋体" w:eastAsia="宋体" w:cs="宋体"/>
          <w:color w:val="auto"/>
          <w:sz w:val="21"/>
          <w:szCs w:val="21"/>
          <w:highlight w:val="none"/>
        </w:rPr>
        <w:t>一切费用，除非上述费用在合同中另有说明，合同期内，费率不再调整。</w:t>
      </w:r>
    </w:p>
    <w:p w14:paraId="0D19DF90">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2.框架协议签订期限</w:t>
      </w:r>
    </w:p>
    <w:p w14:paraId="766F9981">
      <w:pPr>
        <w:keepNext w:val="0"/>
        <w:keepLines w:val="0"/>
        <w:pageBreakBefore w:val="0"/>
        <w:widowControl w:val="0"/>
        <w:tabs>
          <w:tab w:val="left" w:pos="8445"/>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征集人自入围通知书发出之日起</w:t>
      </w:r>
      <w:r>
        <w:rPr>
          <w:rFonts w:hint="eastAsia" w:ascii="宋体" w:hAnsi="宋体" w:eastAsia="宋体" w:cs="宋体"/>
          <w:color w:val="auto"/>
          <w:sz w:val="21"/>
          <w:szCs w:val="21"/>
          <w:highlight w:val="none"/>
        </w:rPr>
        <w:t>25</w:t>
      </w:r>
      <w:r>
        <w:rPr>
          <w:rFonts w:hint="eastAsia" w:ascii="宋体" w:hAnsi="宋体" w:eastAsia="宋体" w:cs="宋体"/>
          <w:color w:val="auto"/>
          <w:sz w:val="21"/>
          <w:szCs w:val="21"/>
          <w:highlight w:val="none"/>
          <w:lang w:val="zh-CN"/>
        </w:rPr>
        <w:t>日内与入围供应商签订框架协议。</w:t>
      </w:r>
    </w:p>
    <w:p w14:paraId="63DED9C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3.服务交付或者实施的地域范围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采购人指定地点。</w:t>
      </w:r>
    </w:p>
    <w:p w14:paraId="61FD40C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zh-CN"/>
        </w:rPr>
        <w:t>支付方式</w:t>
      </w:r>
      <w:r>
        <w:rPr>
          <w:rFonts w:hint="eastAsia" w:ascii="宋体" w:hAnsi="宋体" w:eastAsia="宋体" w:cs="宋体"/>
          <w:color w:val="auto"/>
          <w:sz w:val="21"/>
          <w:szCs w:val="21"/>
          <w:highlight w:val="none"/>
        </w:rPr>
        <w:t>:</w:t>
      </w:r>
    </w:p>
    <w:p w14:paraId="5E31EF94">
      <w:pPr>
        <w:keepNext w:val="0"/>
        <w:keepLines w:val="0"/>
        <w:pageBreakBefore w:val="0"/>
        <w:widowControl w:val="0"/>
        <w:tabs>
          <w:tab w:val="left" w:pos="8445"/>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（1）本框架协议</w:t>
      </w:r>
      <w:r>
        <w:rPr>
          <w:rFonts w:hint="eastAsia" w:ascii="宋体" w:hAnsi="宋体" w:eastAsia="宋体" w:cs="宋体"/>
          <w:bCs/>
          <w:color w:val="auto"/>
          <w:sz w:val="21"/>
          <w:szCs w:val="21"/>
          <w:highlight w:val="none"/>
          <w:lang w:val="zh-CN"/>
        </w:rPr>
        <w:t>审核</w:t>
      </w:r>
      <w:r>
        <w:rPr>
          <w:rFonts w:hint="eastAsia" w:ascii="宋体" w:hAnsi="宋体" w:eastAsia="宋体" w:cs="宋体"/>
          <w:color w:val="auto"/>
          <w:sz w:val="21"/>
          <w:szCs w:val="21"/>
          <w:highlight w:val="none"/>
          <w:lang w:val="zh-CN"/>
        </w:rPr>
        <w:t>服务费采取谁委托谁付费的方式，具体付款方式由委托方与入围供应商在采购合同中约定。</w:t>
      </w:r>
    </w:p>
    <w:p w14:paraId="770FDD2B">
      <w:pPr>
        <w:keepNext w:val="0"/>
        <w:keepLines w:val="0"/>
        <w:pageBreakBefore w:val="0"/>
        <w:widowControl w:val="0"/>
        <w:tabs>
          <w:tab w:val="left" w:pos="8445"/>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（2）因委托方原因中途终止</w:t>
      </w:r>
      <w:r>
        <w:rPr>
          <w:rFonts w:hint="eastAsia" w:ascii="宋体" w:hAnsi="宋体" w:eastAsia="宋体" w:cs="宋体"/>
          <w:bCs/>
          <w:color w:val="auto"/>
          <w:sz w:val="21"/>
          <w:szCs w:val="21"/>
          <w:highlight w:val="none"/>
          <w:lang w:val="zh-CN"/>
        </w:rPr>
        <w:t>审核</w:t>
      </w:r>
      <w:r>
        <w:rPr>
          <w:rFonts w:hint="eastAsia" w:ascii="宋体" w:hAnsi="宋体" w:eastAsia="宋体" w:cs="宋体"/>
          <w:color w:val="auto"/>
          <w:sz w:val="21"/>
          <w:szCs w:val="21"/>
          <w:highlight w:val="none"/>
          <w:lang w:val="zh-CN"/>
        </w:rPr>
        <w:t>服务工作的，按实际完成的比例计取</w:t>
      </w:r>
      <w:r>
        <w:rPr>
          <w:rFonts w:hint="eastAsia" w:ascii="宋体" w:hAnsi="宋体" w:eastAsia="宋体" w:cs="宋体"/>
          <w:bCs/>
          <w:color w:val="auto"/>
          <w:sz w:val="21"/>
          <w:szCs w:val="21"/>
          <w:highlight w:val="none"/>
          <w:lang w:val="zh-CN"/>
        </w:rPr>
        <w:t>审核</w:t>
      </w:r>
      <w:r>
        <w:rPr>
          <w:rFonts w:hint="eastAsia" w:ascii="宋体" w:hAnsi="宋体" w:eastAsia="宋体" w:cs="宋体"/>
          <w:color w:val="auto"/>
          <w:sz w:val="21"/>
          <w:szCs w:val="21"/>
          <w:highlight w:val="none"/>
          <w:lang w:val="zh-CN"/>
        </w:rPr>
        <w:t>服务费；因供应商原因导致</w:t>
      </w:r>
      <w:r>
        <w:rPr>
          <w:rFonts w:hint="eastAsia" w:ascii="宋体" w:hAnsi="宋体" w:eastAsia="宋体" w:cs="宋体"/>
          <w:color w:val="auto"/>
          <w:sz w:val="21"/>
          <w:szCs w:val="21"/>
          <w:highlight w:val="none"/>
        </w:rPr>
        <w:t>审核</w:t>
      </w:r>
      <w:r>
        <w:rPr>
          <w:rFonts w:hint="eastAsia" w:ascii="宋体" w:hAnsi="宋体" w:eastAsia="宋体" w:cs="宋体"/>
          <w:color w:val="auto"/>
          <w:sz w:val="21"/>
          <w:szCs w:val="21"/>
          <w:highlight w:val="none"/>
          <w:lang w:val="zh-CN"/>
        </w:rPr>
        <w:t>服务工作终止的，不计取</w:t>
      </w:r>
      <w:r>
        <w:rPr>
          <w:rFonts w:hint="eastAsia" w:ascii="宋体" w:hAnsi="宋体" w:eastAsia="宋体" w:cs="宋体"/>
          <w:bCs/>
          <w:color w:val="auto"/>
          <w:sz w:val="21"/>
          <w:szCs w:val="21"/>
          <w:highlight w:val="none"/>
          <w:lang w:val="zh-CN"/>
        </w:rPr>
        <w:t>审核</w:t>
      </w:r>
      <w:r>
        <w:rPr>
          <w:rFonts w:hint="eastAsia" w:ascii="宋体" w:hAnsi="宋体" w:eastAsia="宋体" w:cs="宋体"/>
          <w:color w:val="auto"/>
          <w:sz w:val="21"/>
          <w:szCs w:val="21"/>
          <w:highlight w:val="none"/>
          <w:lang w:val="zh-CN"/>
        </w:rPr>
        <w:t>服务费。</w:t>
      </w:r>
    </w:p>
    <w:p w14:paraId="1C716CB2">
      <w:pPr>
        <w:keepNext w:val="0"/>
        <w:keepLines w:val="0"/>
        <w:pageBreakBefore w:val="0"/>
        <w:widowControl w:val="0"/>
        <w:tabs>
          <w:tab w:val="left" w:pos="8445"/>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zh-CN"/>
        </w:rPr>
        <w:t>验收要求：</w:t>
      </w:r>
    </w:p>
    <w:p w14:paraId="28EF8369">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（1）验收内容按委托方相关考评办法执行。</w:t>
      </w:r>
    </w:p>
    <w:p w14:paraId="4E9B0EA9">
      <w:pPr>
        <w:keepNext w:val="0"/>
        <w:keepLines w:val="0"/>
        <w:pageBreakBefore w:val="0"/>
        <w:widowControl w:val="0"/>
        <w:kinsoku/>
        <w:wordWrap/>
        <w:overflowPunct/>
        <w:topLinePunct w:val="0"/>
        <w:autoSpaceDE/>
        <w:autoSpaceDN/>
        <w:bidi w:val="0"/>
        <w:adjustRightInd/>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（2）验收标准：</w:t>
      </w:r>
    </w:p>
    <w:p w14:paraId="5EB5F3A4">
      <w:pPr>
        <w:keepNext w:val="0"/>
        <w:keepLines w:val="0"/>
        <w:pageBreakBefore w:val="0"/>
        <w:widowControl w:val="0"/>
        <w:kinsoku/>
        <w:wordWrap/>
        <w:overflowPunct/>
        <w:topLinePunct w:val="0"/>
        <w:autoSpaceDE/>
        <w:autoSpaceDN/>
        <w:bidi w:val="0"/>
        <w:adjustRightInd/>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①成交供应商应提供完备的</w:t>
      </w:r>
      <w:r>
        <w:rPr>
          <w:rFonts w:hint="eastAsia" w:ascii="宋体" w:hAnsi="宋体" w:eastAsia="宋体" w:cs="宋体"/>
          <w:b/>
          <w:bCs/>
          <w:color w:val="auto"/>
          <w:sz w:val="21"/>
          <w:szCs w:val="21"/>
          <w:highlight w:val="none"/>
          <w:lang w:eastAsia="zh-CN"/>
        </w:rPr>
        <w:t>审核过程资料（包括但不限于审核记录、对数记录、材料设备询价记录、现场踏勘记录、内部复核记录、送审与供应商审核对比表、供应商审核与委托方最终审定对比表等完整反映供应商审核、复核、修改、定案过程的资料）、</w:t>
      </w:r>
      <w:r>
        <w:rPr>
          <w:rFonts w:hint="eastAsia" w:ascii="宋体" w:hAnsi="宋体" w:eastAsia="宋体" w:cs="宋体"/>
          <w:b/>
          <w:bCs/>
          <w:color w:val="auto"/>
          <w:sz w:val="21"/>
          <w:szCs w:val="21"/>
          <w:highlight w:val="none"/>
        </w:rPr>
        <w:t>审核报告（须加盖单位公章和执业章）；如</w:t>
      </w:r>
      <w:r>
        <w:rPr>
          <w:rFonts w:hint="eastAsia" w:ascii="宋体" w:hAnsi="宋体" w:eastAsia="宋体" w:cs="宋体"/>
          <w:b/>
          <w:bCs/>
          <w:color w:val="auto"/>
          <w:sz w:val="21"/>
          <w:szCs w:val="21"/>
          <w:highlight w:val="none"/>
          <w:lang w:val="zh-CN"/>
        </w:rPr>
        <w:t>供应商出具的成果资料未按要求加盖供应商本单位公章和执业章的，成果资料无效，不予验收。</w:t>
      </w:r>
    </w:p>
    <w:p w14:paraId="73489370">
      <w:pPr>
        <w:keepNext w:val="0"/>
        <w:keepLines w:val="0"/>
        <w:pageBreakBefore w:val="0"/>
        <w:widowControl w:val="0"/>
        <w:tabs>
          <w:tab w:val="left" w:pos="8445"/>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②在审核过程中和</w:t>
      </w:r>
      <w:r>
        <w:rPr>
          <w:rFonts w:hint="eastAsia" w:ascii="宋体" w:hAnsi="宋体" w:eastAsia="宋体" w:cs="宋体"/>
          <w:color w:val="auto"/>
          <w:sz w:val="21"/>
          <w:szCs w:val="21"/>
          <w:highlight w:val="none"/>
          <w:lang w:val="zh-CN"/>
        </w:rPr>
        <w:t>委托方</w:t>
      </w:r>
      <w:r>
        <w:rPr>
          <w:rFonts w:hint="eastAsia" w:ascii="宋体" w:hAnsi="宋体" w:eastAsia="宋体" w:cs="宋体"/>
          <w:color w:val="auto"/>
          <w:sz w:val="21"/>
          <w:szCs w:val="21"/>
          <w:highlight w:val="none"/>
        </w:rPr>
        <w:t>复核后的争议问题搜集整理和解决、复核后的问题修改以及后期资料整理归档；</w:t>
      </w:r>
    </w:p>
    <w:p w14:paraId="18D35C8A">
      <w:pPr>
        <w:keepNext w:val="0"/>
        <w:keepLines w:val="0"/>
        <w:pageBreakBefore w:val="0"/>
        <w:widowControl w:val="0"/>
        <w:tabs>
          <w:tab w:val="left" w:pos="8445"/>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③在规定时限内按照质量要求完成项目</w:t>
      </w:r>
      <w:r>
        <w:rPr>
          <w:rFonts w:hint="eastAsia" w:ascii="宋体" w:hAnsi="宋体" w:eastAsia="宋体" w:cs="宋体"/>
          <w:bCs/>
          <w:color w:val="auto"/>
          <w:sz w:val="21"/>
          <w:szCs w:val="21"/>
          <w:highlight w:val="none"/>
          <w:lang w:val="zh-CN"/>
        </w:rPr>
        <w:t>审核</w:t>
      </w:r>
      <w:r>
        <w:rPr>
          <w:rFonts w:hint="eastAsia" w:ascii="宋体" w:hAnsi="宋体" w:eastAsia="宋体" w:cs="宋体"/>
          <w:color w:val="auto"/>
          <w:sz w:val="21"/>
          <w:szCs w:val="21"/>
          <w:highlight w:val="none"/>
        </w:rPr>
        <w:t>服务工作并通过项目验收；</w:t>
      </w:r>
    </w:p>
    <w:p w14:paraId="68CF56CE">
      <w:pPr>
        <w:keepNext w:val="0"/>
        <w:keepLines w:val="0"/>
        <w:pageBreakBefore w:val="0"/>
        <w:widowControl w:val="0"/>
        <w:tabs>
          <w:tab w:val="left" w:pos="8445"/>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④征集文件规定的其他有关事项。</w:t>
      </w:r>
    </w:p>
    <w:p w14:paraId="1328DEB7">
      <w:pPr>
        <w:keepNext w:val="0"/>
        <w:keepLines w:val="0"/>
        <w:pageBreakBefore w:val="0"/>
        <w:widowControl w:val="0"/>
        <w:tabs>
          <w:tab w:val="left" w:pos="8445"/>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zh-CN"/>
        </w:rPr>
        <w:t>其它约定：详见《框架协议文本》和《采购合同文本》。</w:t>
      </w:r>
    </w:p>
    <w:p w14:paraId="53F89749">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四、特别说明</w:t>
      </w:r>
    </w:p>
    <w:p w14:paraId="34ECE307">
      <w:pPr>
        <w:keepNext w:val="0"/>
        <w:keepLines w:val="0"/>
        <w:pageBreakBefore w:val="0"/>
        <w:widowControl w:val="0"/>
        <w:tabs>
          <w:tab w:val="left" w:pos="8445"/>
        </w:tabs>
        <w:kinsoku/>
        <w:wordWrap/>
        <w:overflowPunct/>
        <w:topLinePunct w:val="0"/>
        <w:autoSpaceDE/>
        <w:autoSpaceDN/>
        <w:bidi w:val="0"/>
        <w:adjustRightInd/>
        <w:spacing w:line="36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分标1（参与建设项目财务决算工作）：</w:t>
      </w:r>
    </w:p>
    <w:p w14:paraId="47FC738F">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1）入围供应商须按征集文件要求和响应承诺投入本地服务机构（含投入人员及最近三个月其中任意一个月供应商为其依法缴纳社保的证明、注册会计师注册于供应商本单位、固定场所、相关办公设备）。征集人根据需要组织人员在入围通知书发出之日起一个月内对入围供应商进行核实，如未达到征集文件要求和响应文件承诺的，将其清退出框架协议。</w:t>
      </w:r>
    </w:p>
    <w:p w14:paraId="5EE032AA">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征集人将不定期的对入围供应商投入的人员在岗情况进行核实，如发现入围供应商委派的人员与响应文件承诺的拟投入人员不一致（增加其他专业技术辅助人员不限，但不增加服务报酬），给予入围供应商作通报处理，累计达3次的，清退出框架协议</w:t>
      </w:r>
      <w:r>
        <w:rPr>
          <w:rFonts w:hint="eastAsia" w:ascii="宋体" w:hAnsi="宋体" w:eastAsia="宋体" w:cs="宋体"/>
          <w:color w:val="auto"/>
          <w:sz w:val="21"/>
          <w:szCs w:val="21"/>
          <w:highlight w:val="none"/>
        </w:rPr>
        <w:t>。</w:t>
      </w:r>
    </w:p>
    <w:p w14:paraId="2AD2FCA4">
      <w:pPr>
        <w:keepNext w:val="0"/>
        <w:keepLines w:val="0"/>
        <w:pageBreakBefore w:val="0"/>
        <w:widowControl w:val="0"/>
        <w:tabs>
          <w:tab w:val="left" w:pos="8445"/>
        </w:tabs>
        <w:kinsoku/>
        <w:wordWrap/>
        <w:overflowPunct/>
        <w:topLinePunct w:val="0"/>
        <w:autoSpaceDE/>
        <w:autoSpaceDN/>
        <w:bidi w:val="0"/>
        <w:adjustRightInd/>
        <w:spacing w:line="36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分标2（参与信息化项目费用审核工作）：</w:t>
      </w:r>
    </w:p>
    <w:p w14:paraId="06AA5B60">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1）入围供应商须按征集文件要求和响应承诺投入本地服务机构（含投入人员及最近三个月其中任意一个月供应商为其依法缴纳社保的证明、固定场所、相关办公设备）。征集人根据需要组织人员在入围通知书发出之日起一个月内对入围供应商进行核实，如未达到征集文件要求和响应文件承诺的，将其清退出框架协议，财政部门依法进行处理。</w:t>
      </w:r>
    </w:p>
    <w:p w14:paraId="189336BD">
      <w:pPr>
        <w:keepNext w:val="0"/>
        <w:keepLines w:val="0"/>
        <w:pageBreakBefore w:val="0"/>
        <w:widowControl w:val="0"/>
        <w:tabs>
          <w:tab w:val="left" w:pos="8445"/>
        </w:tabs>
        <w:kinsoku/>
        <w:wordWrap/>
        <w:overflowPunct/>
        <w:topLinePunct w:val="0"/>
        <w:autoSpaceDE/>
        <w:autoSpaceDN/>
        <w:bidi w:val="0"/>
        <w:adjustRightInd/>
        <w:spacing w:line="36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2）征集人将不定期的对入围供应商投入的人员在岗情况进行核实，如发现入围供应商委派的人员与响应文件承诺的拟投入人员不一致（增加其他专业技术辅助人员不限，但不增加服务报酬），给予入围供应商作通报处理，累计达3次的，清退出框架协议</w:t>
      </w:r>
      <w:r>
        <w:rPr>
          <w:rFonts w:hint="eastAsia" w:ascii="宋体" w:hAnsi="宋体" w:eastAsia="宋体" w:cs="宋体"/>
          <w:color w:val="auto"/>
          <w:sz w:val="21"/>
          <w:szCs w:val="21"/>
          <w:highlight w:val="none"/>
        </w:rPr>
        <w:t>。</w:t>
      </w:r>
    </w:p>
    <w:p w14:paraId="6B3198B5">
      <w:pPr>
        <w:keepNext w:val="0"/>
        <w:keepLines w:val="0"/>
        <w:pageBreakBefore w:val="0"/>
        <w:widowControl w:val="0"/>
        <w:tabs>
          <w:tab w:val="left" w:pos="8445"/>
        </w:tabs>
        <w:kinsoku/>
        <w:wordWrap/>
        <w:overflowPunct/>
        <w:topLinePunct w:val="0"/>
        <w:autoSpaceDE/>
        <w:autoSpaceDN/>
        <w:bidi w:val="0"/>
        <w:adjustRightInd/>
        <w:spacing w:line="36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分标3（参与工程项目造价审核工作）：</w:t>
      </w:r>
    </w:p>
    <w:p w14:paraId="126A7E0A">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1）入围供应商须按征集文件要求和响应承诺投入本地服务机构（投入人员及最近三个月其中任意一个月供应商为其依法缴纳社保的证明、投入人员注册到入围供应商本单位、固定场所、相关办公设备）。征集人根据需要组织人员在入围通知书发出之日起一个月内对入围供应商进行核实，如未达到征集文件要求和响应文件承诺的，将其清退出框架协议。</w:t>
      </w:r>
    </w:p>
    <w:p w14:paraId="75D90FDB">
      <w:pPr>
        <w:keepNext w:val="0"/>
        <w:keepLines w:val="0"/>
        <w:pageBreakBefore w:val="0"/>
        <w:widowControl w:val="0"/>
        <w:kinsoku/>
        <w:wordWrap w:val="0"/>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（2）入围供应商未按</w:t>
      </w:r>
      <w:r>
        <w:rPr>
          <w:rFonts w:hint="eastAsia" w:ascii="宋体" w:hAnsi="宋体" w:eastAsia="宋体" w:cs="宋体"/>
          <w:b/>
          <w:color w:val="auto"/>
          <w:sz w:val="21"/>
          <w:szCs w:val="21"/>
          <w:highlight w:val="none"/>
          <w:lang w:val="zh-CN"/>
        </w:rPr>
        <w:t>征集文件要求和响应承诺</w:t>
      </w:r>
      <w:r>
        <w:rPr>
          <w:rFonts w:hint="eastAsia" w:ascii="宋体" w:hAnsi="宋体" w:eastAsia="宋体" w:cs="宋体"/>
          <w:b/>
          <w:color w:val="auto"/>
          <w:sz w:val="21"/>
          <w:szCs w:val="21"/>
          <w:highlight w:val="none"/>
        </w:rPr>
        <w:t>到</w:t>
      </w:r>
      <w:r>
        <w:rPr>
          <w:rFonts w:hint="eastAsia" w:ascii="宋体" w:hAnsi="宋体" w:eastAsia="宋体" w:cs="宋体"/>
          <w:b/>
          <w:bCs/>
          <w:color w:val="auto"/>
          <w:sz w:val="21"/>
          <w:szCs w:val="21"/>
          <w:highlight w:val="none"/>
        </w:rPr>
        <w:t>柳州市建设工程数字造价智慧管理系统（http://lzzj.guangxi.hunanjianyan.com/login）进行信息登记</w:t>
      </w:r>
      <w:r>
        <w:rPr>
          <w:rFonts w:hint="eastAsia" w:ascii="宋体" w:hAnsi="宋体" w:eastAsia="宋体" w:cs="宋体"/>
          <w:b/>
          <w:color w:val="auto"/>
          <w:sz w:val="21"/>
          <w:szCs w:val="21"/>
          <w:highlight w:val="none"/>
        </w:rPr>
        <w:t>的，将其清退出框架协议。</w:t>
      </w:r>
    </w:p>
    <w:p w14:paraId="6E11E923">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rPr>
        <w:t>（3）框架协议有效期内，入围供应商在柳州市年度工程造价咨询企业“双随机、一公开”检查</w:t>
      </w:r>
      <w:r>
        <w:rPr>
          <w:rFonts w:hint="eastAsia" w:ascii="宋体" w:hAnsi="宋体" w:eastAsia="宋体" w:cs="宋体"/>
          <w:b/>
          <w:color w:val="auto"/>
          <w:sz w:val="21"/>
          <w:szCs w:val="21"/>
          <w:highlight w:val="none"/>
          <w:lang w:val="en-US" w:eastAsia="zh-CN"/>
        </w:rPr>
        <w:t>评定结果不合格的</w:t>
      </w:r>
      <w:r>
        <w:rPr>
          <w:rFonts w:hint="eastAsia" w:ascii="宋体" w:hAnsi="宋体" w:eastAsia="宋体" w:cs="宋体"/>
          <w:b/>
          <w:color w:val="auto"/>
          <w:sz w:val="21"/>
          <w:szCs w:val="21"/>
          <w:highlight w:val="none"/>
        </w:rPr>
        <w:t>，将其清退出框架协议</w:t>
      </w:r>
      <w:r>
        <w:rPr>
          <w:rFonts w:hint="eastAsia" w:ascii="宋体" w:hAnsi="宋体" w:eastAsia="宋体" w:cs="宋体"/>
          <w:b/>
          <w:color w:val="auto"/>
          <w:sz w:val="21"/>
          <w:szCs w:val="21"/>
          <w:highlight w:val="none"/>
          <w:lang w:eastAsia="zh-CN"/>
        </w:rPr>
        <w:t>。</w:t>
      </w:r>
    </w:p>
    <w:p w14:paraId="2E61A73F">
      <w:pPr>
        <w:keepNext w:val="0"/>
        <w:keepLines w:val="0"/>
        <w:pageBreakBefore w:val="0"/>
        <w:widowControl w:val="0"/>
        <w:tabs>
          <w:tab w:val="left" w:pos="8445"/>
        </w:tabs>
        <w:kinsoku/>
        <w:wordWrap/>
        <w:overflowPunct/>
        <w:topLinePunct w:val="0"/>
        <w:autoSpaceDE/>
        <w:autoSpaceDN/>
        <w:bidi w:val="0"/>
        <w:adjustRightInd/>
        <w:spacing w:line="36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w:t>
      </w:r>
      <w:r>
        <w:rPr>
          <w:rFonts w:hint="eastAsia" w:ascii="宋体" w:hAnsi="宋体" w:eastAsia="宋体" w:cs="宋体"/>
          <w:b/>
          <w:bCs/>
          <w:color w:val="auto"/>
          <w:sz w:val="21"/>
          <w:szCs w:val="21"/>
          <w:highlight w:val="none"/>
        </w:rPr>
        <w:t>征集人将不定期的对入围供应商投入的人员在岗情况进行核实，如发现入围供应商委派的人员与响应文件承诺的拟投入人员不一致</w:t>
      </w:r>
      <w:r>
        <w:rPr>
          <w:rFonts w:hint="eastAsia" w:ascii="宋体" w:hAnsi="宋体" w:eastAsia="宋体" w:cs="宋体"/>
          <w:b/>
          <w:color w:val="auto"/>
          <w:sz w:val="21"/>
          <w:szCs w:val="21"/>
          <w:highlight w:val="none"/>
        </w:rPr>
        <w:t>（增加其他专业技术辅助人员不限，但不增加服务报酬），给予入围供应商作通报处理，累计达3次的，将其清退出框架协议。</w:t>
      </w:r>
    </w:p>
    <w:p w14:paraId="38B3F62A">
      <w:pPr>
        <w:spacing w:line="360" w:lineRule="exact"/>
        <w:rPr>
          <w:rFonts w:hint="eastAsia"/>
          <w:b/>
          <w:color w:val="auto"/>
          <w:sz w:val="24"/>
          <w:highlight w:val="none"/>
        </w:rPr>
      </w:pPr>
    </w:p>
    <w:p w14:paraId="2C1528F9">
      <w:pPr>
        <w:spacing w:line="360" w:lineRule="exact"/>
        <w:rPr>
          <w:rFonts w:hint="eastAsia"/>
          <w:b/>
          <w:color w:val="auto"/>
          <w:sz w:val="24"/>
          <w:highlight w:val="none"/>
        </w:rPr>
      </w:pPr>
    </w:p>
    <w:p w14:paraId="11C10090">
      <w:pPr>
        <w:spacing w:line="360" w:lineRule="exact"/>
        <w:rPr>
          <w:rFonts w:hint="eastAsia"/>
          <w:b/>
          <w:color w:val="auto"/>
          <w:sz w:val="24"/>
          <w:highlight w:val="none"/>
        </w:rPr>
        <w:sectPr>
          <w:footerReference r:id="rId4" w:type="first"/>
          <w:footerReference r:id="rId3" w:type="default"/>
          <w:pgSz w:w="11906" w:h="16838"/>
          <w:pgMar w:top="1134" w:right="1134" w:bottom="992" w:left="1134" w:header="851" w:footer="992" w:gutter="0"/>
          <w:pgNumType w:fmt="decimal" w:start="1"/>
          <w:cols w:space="720" w:num="1"/>
          <w:docGrid w:linePitch="312" w:charSpace="0"/>
        </w:sectPr>
      </w:pPr>
    </w:p>
    <w:p w14:paraId="7353A435">
      <w:pPr>
        <w:keepNext w:val="0"/>
        <w:keepLines w:val="0"/>
        <w:pageBreakBefore w:val="0"/>
        <w:widowControl w:val="0"/>
        <w:kinsoku/>
        <w:wordWrap/>
        <w:overflowPunct/>
        <w:topLinePunct w:val="0"/>
        <w:autoSpaceDE/>
        <w:autoSpaceDN/>
        <w:bidi w:val="0"/>
        <w:adjustRightInd/>
        <w:snapToGrid w:val="0"/>
        <w:spacing w:line="360" w:lineRule="auto"/>
        <w:jc w:val="left"/>
        <w:textAlignment w:val="auto"/>
        <w:outlineLvl w:val="0"/>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附件1：</w:t>
      </w:r>
    </w:p>
    <w:p w14:paraId="13668614">
      <w:pPr>
        <w:keepNext w:val="0"/>
        <w:keepLines w:val="0"/>
        <w:pageBreakBefore w:val="0"/>
        <w:kinsoku/>
        <w:wordWrap/>
        <w:overflowPunct/>
        <w:topLinePunct w:val="0"/>
        <w:bidi w:val="0"/>
        <w:snapToGrid w:val="0"/>
        <w:spacing w:line="360" w:lineRule="auto"/>
        <w:ind w:left="238"/>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《最高限制单价表》</w:t>
      </w:r>
    </w:p>
    <w:tbl>
      <w:tblPr>
        <w:tblStyle w:val="5"/>
        <w:tblW w:w="999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6"/>
        <w:gridCol w:w="9569"/>
      </w:tblGrid>
      <w:tr w14:paraId="7A4937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426" w:type="dxa"/>
            <w:tcBorders>
              <w:top w:val="single" w:color="000000" w:sz="2" w:space="0"/>
              <w:left w:val="single" w:color="000000" w:sz="2" w:space="0"/>
              <w:bottom w:val="single" w:color="000000" w:sz="2" w:space="0"/>
              <w:right w:val="single" w:color="000000" w:sz="2" w:space="0"/>
            </w:tcBorders>
            <w:noWrap w:val="0"/>
            <w:vAlign w:val="top"/>
          </w:tcPr>
          <w:p w14:paraId="65480129">
            <w:pPr>
              <w:pStyle w:val="10"/>
              <w:keepNext w:val="0"/>
              <w:keepLines w:val="0"/>
              <w:pageBreakBefore w:val="0"/>
              <w:kinsoku/>
              <w:wordWrap/>
              <w:overflowPunct/>
              <w:topLinePunct w:val="0"/>
              <w:bidi w:val="0"/>
              <w:spacing w:before="34" w:line="360" w:lineRule="auto"/>
              <w:ind w:left="155"/>
              <w:rPr>
                <w:rFonts w:hint="eastAsia" w:ascii="宋体" w:hAnsi="宋体" w:eastAsia="宋体" w:cs="宋体"/>
                <w:color w:val="auto"/>
                <w:kern w:val="2"/>
                <w:sz w:val="21"/>
                <w:szCs w:val="21"/>
                <w:highlight w:val="none"/>
              </w:rPr>
            </w:pPr>
            <w:r>
              <w:rPr>
                <w:rFonts w:hint="eastAsia" w:ascii="宋体" w:hAnsi="宋体" w:eastAsia="宋体" w:cs="宋体"/>
                <w:b/>
                <w:bCs/>
                <w:color w:val="auto"/>
                <w:spacing w:val="-4"/>
                <w:kern w:val="2"/>
                <w:sz w:val="21"/>
                <w:szCs w:val="21"/>
                <w:highlight w:val="none"/>
              </w:rPr>
              <w:t>标项</w:t>
            </w:r>
          </w:p>
        </w:tc>
        <w:tc>
          <w:tcPr>
            <w:tcW w:w="9569" w:type="dxa"/>
            <w:tcBorders>
              <w:top w:val="single" w:color="000000" w:sz="2" w:space="0"/>
              <w:left w:val="single" w:color="000000" w:sz="2" w:space="0"/>
              <w:bottom w:val="single" w:color="000000" w:sz="2" w:space="0"/>
              <w:right w:val="single" w:color="000000" w:sz="2" w:space="0"/>
            </w:tcBorders>
            <w:noWrap w:val="0"/>
            <w:vAlign w:val="center"/>
          </w:tcPr>
          <w:p w14:paraId="7AABFC0A">
            <w:pPr>
              <w:pStyle w:val="10"/>
              <w:keepNext w:val="0"/>
              <w:keepLines w:val="0"/>
              <w:pageBreakBefore w:val="0"/>
              <w:kinsoku/>
              <w:wordWrap/>
              <w:overflowPunct/>
              <w:topLinePunct w:val="0"/>
              <w:bidi w:val="0"/>
              <w:spacing w:before="34" w:line="360" w:lineRule="auto"/>
              <w:jc w:val="center"/>
              <w:rPr>
                <w:rFonts w:hint="eastAsia" w:ascii="宋体" w:hAnsi="宋体" w:eastAsia="宋体" w:cs="宋体"/>
                <w:color w:val="auto"/>
                <w:kern w:val="2"/>
                <w:sz w:val="21"/>
                <w:szCs w:val="21"/>
                <w:highlight w:val="none"/>
              </w:rPr>
            </w:pPr>
            <w:r>
              <w:rPr>
                <w:rFonts w:hint="eastAsia" w:ascii="宋体" w:hAnsi="宋体" w:eastAsia="宋体" w:cs="宋体"/>
                <w:b/>
                <w:bCs/>
                <w:color w:val="auto"/>
                <w:spacing w:val="-3"/>
                <w:kern w:val="2"/>
                <w:sz w:val="21"/>
                <w:szCs w:val="21"/>
                <w:highlight w:val="none"/>
              </w:rPr>
              <w:t>最高限制单价（费用计算办法）</w:t>
            </w:r>
          </w:p>
        </w:tc>
      </w:tr>
      <w:tr w14:paraId="7523A9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2" w:hRule="atLeast"/>
          <w:jc w:val="center"/>
        </w:trPr>
        <w:tc>
          <w:tcPr>
            <w:tcW w:w="426" w:type="dxa"/>
            <w:tcBorders>
              <w:top w:val="single" w:color="000000" w:sz="2" w:space="0"/>
              <w:left w:val="single" w:color="000000" w:sz="2" w:space="0"/>
              <w:bottom w:val="single" w:color="000000" w:sz="2" w:space="0"/>
              <w:right w:val="single" w:color="000000" w:sz="2" w:space="0"/>
            </w:tcBorders>
            <w:noWrap w:val="0"/>
            <w:vAlign w:val="center"/>
          </w:tcPr>
          <w:p w14:paraId="1753E2A3">
            <w:pPr>
              <w:pStyle w:val="10"/>
              <w:keepNext w:val="0"/>
              <w:keepLines w:val="0"/>
              <w:pageBreakBefore w:val="0"/>
              <w:kinsoku/>
              <w:wordWrap/>
              <w:overflowPunct/>
              <w:topLinePunct w:val="0"/>
              <w:bidi w:val="0"/>
              <w:spacing w:before="68" w:line="360" w:lineRule="auto"/>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position w:val="-4"/>
                <w:sz w:val="21"/>
                <w:szCs w:val="21"/>
                <w:highlight w:val="none"/>
              </w:rPr>
              <w:t>分标1</w:t>
            </w:r>
          </w:p>
        </w:tc>
        <w:tc>
          <w:tcPr>
            <w:tcW w:w="9569" w:type="dxa"/>
            <w:tcBorders>
              <w:top w:val="single" w:color="000000" w:sz="2" w:space="0"/>
              <w:left w:val="single" w:color="000000" w:sz="2" w:space="0"/>
              <w:bottom w:val="single" w:color="000000" w:sz="2" w:space="0"/>
              <w:right w:val="single" w:color="000000" w:sz="2" w:space="0"/>
            </w:tcBorders>
            <w:noWrap w:val="0"/>
            <w:vAlign w:val="top"/>
          </w:tcPr>
          <w:p w14:paraId="698C11A9">
            <w:pPr>
              <w:keepNext w:val="0"/>
              <w:keepLines w:val="0"/>
              <w:pageBreakBefore w:val="0"/>
              <w:widowControl w:val="0"/>
              <w:tabs>
                <w:tab w:val="left" w:pos="8445"/>
              </w:tabs>
              <w:kinsoku/>
              <w:wordWrap/>
              <w:overflowPunct/>
              <w:topLinePunct w:val="0"/>
              <w:autoSpaceDE/>
              <w:autoSpaceDN/>
              <w:bidi w:val="0"/>
              <w:adjustRightInd/>
              <w:snapToGrid/>
              <w:spacing w:before="164" w:beforeLines="50" w:line="36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分标1（参与建设项目财务决算工作）</w:t>
            </w:r>
          </w:p>
          <w:p w14:paraId="0D05B1FB">
            <w:pPr>
              <w:keepNext w:val="0"/>
              <w:keepLines w:val="0"/>
              <w:pageBreakBefore w:val="0"/>
              <w:tabs>
                <w:tab w:val="left" w:pos="8445"/>
              </w:tabs>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服务费＝基本付费额×调整系数</w:t>
            </w:r>
          </w:p>
          <w:p w14:paraId="7E13FEBA">
            <w:pPr>
              <w:keepNext w:val="0"/>
              <w:keepLines w:val="0"/>
              <w:pageBreakBefore w:val="0"/>
              <w:tabs>
                <w:tab w:val="left" w:pos="8445"/>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1.基本付费额：以单项送审金额按超额累进方法计算</w:t>
            </w:r>
          </w:p>
          <w:tbl>
            <w:tblPr>
              <w:tblStyle w:val="5"/>
              <w:tblW w:w="9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86"/>
              <w:gridCol w:w="3514"/>
              <w:gridCol w:w="688"/>
              <w:gridCol w:w="1217"/>
              <w:gridCol w:w="3564"/>
            </w:tblGrid>
            <w:tr w14:paraId="77B23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55" w:hRule="atLeast"/>
                <w:jc w:val="center"/>
              </w:trPr>
              <w:tc>
                <w:tcPr>
                  <w:tcW w:w="486" w:type="dxa"/>
                  <w:vMerge w:val="restart"/>
                  <w:noWrap w:val="0"/>
                  <w:tcMar>
                    <w:top w:w="15" w:type="dxa"/>
                    <w:left w:w="15" w:type="dxa"/>
                    <w:bottom w:w="0" w:type="dxa"/>
                    <w:right w:w="15" w:type="dxa"/>
                  </w:tcMar>
                  <w:vAlign w:val="center"/>
                </w:tcPr>
                <w:p w14:paraId="0D911462">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序号</w:t>
                  </w:r>
                </w:p>
              </w:tc>
              <w:tc>
                <w:tcPr>
                  <w:tcW w:w="3514" w:type="dxa"/>
                  <w:vMerge w:val="restart"/>
                  <w:noWrap w:val="0"/>
                  <w:tcMar>
                    <w:top w:w="15" w:type="dxa"/>
                    <w:left w:w="15" w:type="dxa"/>
                    <w:bottom w:w="0" w:type="dxa"/>
                    <w:right w:w="15" w:type="dxa"/>
                  </w:tcMar>
                  <w:vAlign w:val="center"/>
                </w:tcPr>
                <w:p w14:paraId="0B7185F7">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送审</w:t>
                  </w:r>
                  <w:r>
                    <w:rPr>
                      <w:rFonts w:hint="eastAsia" w:ascii="宋体" w:hAnsi="宋体" w:eastAsia="宋体" w:cs="宋体"/>
                      <w:color w:val="auto"/>
                      <w:sz w:val="21"/>
                      <w:szCs w:val="21"/>
                      <w:highlight w:val="none"/>
                    </w:rPr>
                    <w:t>金额（万元）</w:t>
                  </w:r>
                </w:p>
              </w:tc>
              <w:tc>
                <w:tcPr>
                  <w:tcW w:w="688" w:type="dxa"/>
                  <w:vMerge w:val="restart"/>
                  <w:noWrap w:val="0"/>
                  <w:tcMar>
                    <w:top w:w="15" w:type="dxa"/>
                    <w:left w:w="15" w:type="dxa"/>
                    <w:bottom w:w="0" w:type="dxa"/>
                    <w:right w:w="15" w:type="dxa"/>
                  </w:tcMar>
                  <w:vAlign w:val="center"/>
                </w:tcPr>
                <w:p w14:paraId="55322C15">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计算比例（‰）</w:t>
                  </w:r>
                </w:p>
              </w:tc>
              <w:tc>
                <w:tcPr>
                  <w:tcW w:w="4781" w:type="dxa"/>
                  <w:gridSpan w:val="2"/>
                  <w:noWrap w:val="0"/>
                  <w:tcMar>
                    <w:top w:w="15" w:type="dxa"/>
                    <w:left w:w="15" w:type="dxa"/>
                    <w:bottom w:w="0" w:type="dxa"/>
                    <w:right w:w="15" w:type="dxa"/>
                  </w:tcMar>
                  <w:vAlign w:val="center"/>
                </w:tcPr>
                <w:p w14:paraId="68F8348D">
                  <w:pPr>
                    <w:keepNext w:val="0"/>
                    <w:keepLines w:val="0"/>
                    <w:pageBreakBefore w:val="0"/>
                    <w:kinsoku/>
                    <w:wordWrap/>
                    <w:overflowPunct/>
                    <w:topLinePunct w:val="0"/>
                    <w:bidi w:val="0"/>
                    <w:spacing w:line="360" w:lineRule="auto"/>
                    <w:ind w:firstLine="420" w:firstLineChars="200"/>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计算举例</w:t>
                  </w:r>
                </w:p>
              </w:tc>
            </w:tr>
            <w:tr w14:paraId="73074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0" w:hRule="atLeast"/>
                <w:jc w:val="center"/>
              </w:trPr>
              <w:tc>
                <w:tcPr>
                  <w:tcW w:w="486" w:type="dxa"/>
                  <w:vMerge w:val="continue"/>
                  <w:noWrap w:val="0"/>
                  <w:vAlign w:val="center"/>
                </w:tcPr>
                <w:p w14:paraId="78B2EBE7">
                  <w:pPr>
                    <w:keepNext w:val="0"/>
                    <w:keepLines w:val="0"/>
                    <w:pageBreakBefore w:val="0"/>
                    <w:kinsoku/>
                    <w:wordWrap/>
                    <w:overflowPunct/>
                    <w:topLinePunct w:val="0"/>
                    <w:bidi w:val="0"/>
                    <w:spacing w:line="360" w:lineRule="auto"/>
                    <w:ind w:firstLine="420" w:firstLineChars="200"/>
                    <w:jc w:val="center"/>
                    <w:rPr>
                      <w:rFonts w:hint="eastAsia" w:ascii="宋体" w:hAnsi="宋体" w:eastAsia="宋体" w:cs="宋体"/>
                      <w:color w:val="auto"/>
                      <w:sz w:val="21"/>
                      <w:szCs w:val="21"/>
                      <w:highlight w:val="none"/>
                      <w:lang w:val="zh-CN"/>
                    </w:rPr>
                  </w:pPr>
                </w:p>
              </w:tc>
              <w:tc>
                <w:tcPr>
                  <w:tcW w:w="3514" w:type="dxa"/>
                  <w:vMerge w:val="continue"/>
                  <w:noWrap w:val="0"/>
                  <w:vAlign w:val="center"/>
                </w:tcPr>
                <w:p w14:paraId="63C518EC">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lang w:val="zh-CN"/>
                    </w:rPr>
                  </w:pPr>
                </w:p>
              </w:tc>
              <w:tc>
                <w:tcPr>
                  <w:tcW w:w="688" w:type="dxa"/>
                  <w:vMerge w:val="continue"/>
                  <w:noWrap w:val="0"/>
                  <w:vAlign w:val="center"/>
                </w:tcPr>
                <w:p w14:paraId="376417FC">
                  <w:pPr>
                    <w:keepNext w:val="0"/>
                    <w:keepLines w:val="0"/>
                    <w:pageBreakBefore w:val="0"/>
                    <w:kinsoku/>
                    <w:wordWrap/>
                    <w:overflowPunct/>
                    <w:topLinePunct w:val="0"/>
                    <w:bidi w:val="0"/>
                    <w:spacing w:line="360" w:lineRule="auto"/>
                    <w:ind w:firstLine="420" w:firstLineChars="200"/>
                    <w:jc w:val="center"/>
                    <w:rPr>
                      <w:rFonts w:hint="eastAsia" w:ascii="宋体" w:hAnsi="宋体" w:eastAsia="宋体" w:cs="宋体"/>
                      <w:color w:val="auto"/>
                      <w:sz w:val="21"/>
                      <w:szCs w:val="21"/>
                      <w:highlight w:val="none"/>
                      <w:lang w:val="zh-CN"/>
                    </w:rPr>
                  </w:pPr>
                </w:p>
              </w:tc>
              <w:tc>
                <w:tcPr>
                  <w:tcW w:w="1217" w:type="dxa"/>
                  <w:noWrap w:val="0"/>
                  <w:tcMar>
                    <w:top w:w="15" w:type="dxa"/>
                    <w:left w:w="15" w:type="dxa"/>
                    <w:bottom w:w="0" w:type="dxa"/>
                    <w:right w:w="15" w:type="dxa"/>
                  </w:tcMar>
                  <w:vAlign w:val="center"/>
                </w:tcPr>
                <w:p w14:paraId="1503DF2C">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送审</w:t>
                  </w:r>
                  <w:r>
                    <w:rPr>
                      <w:rFonts w:hint="eastAsia" w:ascii="宋体" w:hAnsi="宋体" w:eastAsia="宋体" w:cs="宋体"/>
                      <w:color w:val="auto"/>
                      <w:sz w:val="21"/>
                      <w:szCs w:val="21"/>
                      <w:highlight w:val="none"/>
                    </w:rPr>
                    <w:t>金额</w:t>
                  </w:r>
                </w:p>
              </w:tc>
              <w:tc>
                <w:tcPr>
                  <w:tcW w:w="3564" w:type="dxa"/>
                  <w:noWrap w:val="0"/>
                  <w:tcMar>
                    <w:top w:w="15" w:type="dxa"/>
                    <w:left w:w="15" w:type="dxa"/>
                    <w:bottom w:w="0" w:type="dxa"/>
                    <w:right w:w="15" w:type="dxa"/>
                  </w:tcMar>
                  <w:vAlign w:val="center"/>
                </w:tcPr>
                <w:p w14:paraId="5A9D541A">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基本付费额（元）</w:t>
                  </w:r>
                </w:p>
              </w:tc>
            </w:tr>
            <w:tr w14:paraId="42395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86" w:type="dxa"/>
                  <w:noWrap w:val="0"/>
                  <w:tcMar>
                    <w:top w:w="15" w:type="dxa"/>
                    <w:left w:w="15" w:type="dxa"/>
                    <w:bottom w:w="0" w:type="dxa"/>
                    <w:right w:w="15" w:type="dxa"/>
                  </w:tcMar>
                  <w:vAlign w:val="center"/>
                </w:tcPr>
                <w:p w14:paraId="4F612B88">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514" w:type="dxa"/>
                  <w:noWrap w:val="0"/>
                  <w:tcMar>
                    <w:top w:w="15" w:type="dxa"/>
                    <w:left w:w="15" w:type="dxa"/>
                    <w:bottom w:w="0" w:type="dxa"/>
                    <w:right w:w="15" w:type="dxa"/>
                  </w:tcMar>
                  <w:vAlign w:val="center"/>
                </w:tcPr>
                <w:p w14:paraId="4CB283CD">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2000万元以下（含2000万元）</w:t>
                  </w:r>
                </w:p>
              </w:tc>
              <w:tc>
                <w:tcPr>
                  <w:tcW w:w="688" w:type="dxa"/>
                  <w:noWrap w:val="0"/>
                  <w:tcMar>
                    <w:top w:w="15" w:type="dxa"/>
                    <w:left w:w="15" w:type="dxa"/>
                    <w:bottom w:w="0" w:type="dxa"/>
                    <w:right w:w="15" w:type="dxa"/>
                  </w:tcMar>
                  <w:vAlign w:val="center"/>
                </w:tcPr>
                <w:p w14:paraId="5A0928EB">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w:t>
                  </w:r>
                </w:p>
              </w:tc>
              <w:tc>
                <w:tcPr>
                  <w:tcW w:w="1217" w:type="dxa"/>
                  <w:noWrap w:val="0"/>
                  <w:tcMar>
                    <w:top w:w="15" w:type="dxa"/>
                    <w:left w:w="15" w:type="dxa"/>
                    <w:bottom w:w="0" w:type="dxa"/>
                    <w:right w:w="15" w:type="dxa"/>
                  </w:tcMar>
                  <w:vAlign w:val="center"/>
                </w:tcPr>
                <w:p w14:paraId="1F9E641E">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2000万元</w:t>
                  </w:r>
                </w:p>
              </w:tc>
              <w:tc>
                <w:tcPr>
                  <w:tcW w:w="3564" w:type="dxa"/>
                  <w:noWrap w:val="0"/>
                  <w:tcMar>
                    <w:top w:w="15" w:type="dxa"/>
                    <w:left w:w="15" w:type="dxa"/>
                    <w:bottom w:w="0" w:type="dxa"/>
                    <w:right w:w="15" w:type="dxa"/>
                  </w:tcMar>
                  <w:vAlign w:val="center"/>
                </w:tcPr>
                <w:p w14:paraId="12DD6DFE">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2000万×1‰=20000</w:t>
                  </w:r>
                </w:p>
              </w:tc>
            </w:tr>
            <w:tr w14:paraId="1D3F1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86" w:type="dxa"/>
                  <w:noWrap w:val="0"/>
                  <w:tcMar>
                    <w:top w:w="15" w:type="dxa"/>
                    <w:left w:w="15" w:type="dxa"/>
                    <w:bottom w:w="0" w:type="dxa"/>
                    <w:right w:w="15" w:type="dxa"/>
                  </w:tcMar>
                  <w:vAlign w:val="center"/>
                </w:tcPr>
                <w:p w14:paraId="635CB769">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2</w:t>
                  </w:r>
                </w:p>
              </w:tc>
              <w:tc>
                <w:tcPr>
                  <w:tcW w:w="3514" w:type="dxa"/>
                  <w:noWrap w:val="0"/>
                  <w:tcMar>
                    <w:top w:w="15" w:type="dxa"/>
                    <w:left w:w="15" w:type="dxa"/>
                    <w:bottom w:w="0" w:type="dxa"/>
                    <w:right w:w="15" w:type="dxa"/>
                  </w:tcMar>
                  <w:vAlign w:val="center"/>
                </w:tcPr>
                <w:p w14:paraId="2C74E4DC">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2000（</w:t>
                  </w:r>
                  <w:r>
                    <w:rPr>
                      <w:rFonts w:hint="eastAsia" w:ascii="宋体" w:hAnsi="宋体" w:eastAsia="宋体" w:cs="宋体"/>
                      <w:color w:val="auto"/>
                      <w:sz w:val="21"/>
                      <w:szCs w:val="21"/>
                      <w:highlight w:val="none"/>
                      <w:lang w:val="en-US" w:eastAsia="zh-CN"/>
                    </w:rPr>
                    <w:t>不含</w:t>
                  </w:r>
                  <w:r>
                    <w:rPr>
                      <w:rFonts w:hint="eastAsia" w:ascii="宋体" w:hAnsi="宋体" w:eastAsia="宋体" w:cs="宋体"/>
                      <w:color w:val="auto"/>
                      <w:sz w:val="21"/>
                      <w:szCs w:val="21"/>
                      <w:highlight w:val="none"/>
                      <w:lang w:val="zh-CN"/>
                    </w:rPr>
                    <w:t>）至5000万元（含5000万元）</w:t>
                  </w:r>
                </w:p>
              </w:tc>
              <w:tc>
                <w:tcPr>
                  <w:tcW w:w="688" w:type="dxa"/>
                  <w:noWrap w:val="0"/>
                  <w:tcMar>
                    <w:top w:w="15" w:type="dxa"/>
                    <w:left w:w="15" w:type="dxa"/>
                    <w:bottom w:w="0" w:type="dxa"/>
                    <w:right w:w="15" w:type="dxa"/>
                  </w:tcMar>
                  <w:vAlign w:val="center"/>
                </w:tcPr>
                <w:p w14:paraId="2341243D">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0.6</w:t>
                  </w:r>
                </w:p>
              </w:tc>
              <w:tc>
                <w:tcPr>
                  <w:tcW w:w="1217" w:type="dxa"/>
                  <w:noWrap w:val="0"/>
                  <w:tcMar>
                    <w:top w:w="15" w:type="dxa"/>
                    <w:left w:w="15" w:type="dxa"/>
                    <w:bottom w:w="0" w:type="dxa"/>
                    <w:right w:w="15" w:type="dxa"/>
                  </w:tcMar>
                  <w:vAlign w:val="center"/>
                </w:tcPr>
                <w:p w14:paraId="3234984C">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5000万元</w:t>
                  </w:r>
                </w:p>
              </w:tc>
              <w:tc>
                <w:tcPr>
                  <w:tcW w:w="3564" w:type="dxa"/>
                  <w:noWrap w:val="0"/>
                  <w:tcMar>
                    <w:top w:w="15" w:type="dxa"/>
                    <w:left w:w="15" w:type="dxa"/>
                    <w:bottom w:w="0" w:type="dxa"/>
                    <w:right w:w="15" w:type="dxa"/>
                  </w:tcMar>
                  <w:vAlign w:val="center"/>
                </w:tcPr>
                <w:p w14:paraId="67A1BDA3">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20000+(5000万-2000万)×0.6‰=38000</w:t>
                  </w:r>
                </w:p>
              </w:tc>
            </w:tr>
            <w:tr w14:paraId="6416C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86" w:type="dxa"/>
                  <w:noWrap w:val="0"/>
                  <w:tcMar>
                    <w:top w:w="15" w:type="dxa"/>
                    <w:left w:w="15" w:type="dxa"/>
                    <w:bottom w:w="0" w:type="dxa"/>
                    <w:right w:w="15" w:type="dxa"/>
                  </w:tcMar>
                  <w:vAlign w:val="center"/>
                </w:tcPr>
                <w:p w14:paraId="2785A31E">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3</w:t>
                  </w:r>
                </w:p>
              </w:tc>
              <w:tc>
                <w:tcPr>
                  <w:tcW w:w="3514" w:type="dxa"/>
                  <w:noWrap w:val="0"/>
                  <w:tcMar>
                    <w:top w:w="15" w:type="dxa"/>
                    <w:left w:w="15" w:type="dxa"/>
                    <w:bottom w:w="0" w:type="dxa"/>
                    <w:right w:w="15" w:type="dxa"/>
                  </w:tcMar>
                  <w:vAlign w:val="center"/>
                </w:tcPr>
                <w:p w14:paraId="63C8604F">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5000（</w:t>
                  </w:r>
                  <w:r>
                    <w:rPr>
                      <w:rFonts w:hint="eastAsia" w:ascii="宋体" w:hAnsi="宋体" w:eastAsia="宋体" w:cs="宋体"/>
                      <w:color w:val="auto"/>
                      <w:sz w:val="21"/>
                      <w:szCs w:val="21"/>
                      <w:highlight w:val="none"/>
                      <w:lang w:val="en-US" w:eastAsia="zh-CN"/>
                    </w:rPr>
                    <w:t>不含</w:t>
                  </w:r>
                  <w:r>
                    <w:rPr>
                      <w:rFonts w:hint="eastAsia" w:ascii="宋体" w:hAnsi="宋体" w:eastAsia="宋体" w:cs="宋体"/>
                      <w:color w:val="auto"/>
                      <w:sz w:val="21"/>
                      <w:szCs w:val="21"/>
                      <w:highlight w:val="none"/>
                      <w:lang w:val="zh-CN"/>
                    </w:rPr>
                    <w:t>）至10000万元（含10000万元）</w:t>
                  </w:r>
                </w:p>
              </w:tc>
              <w:tc>
                <w:tcPr>
                  <w:tcW w:w="688" w:type="dxa"/>
                  <w:noWrap w:val="0"/>
                  <w:tcMar>
                    <w:top w:w="15" w:type="dxa"/>
                    <w:left w:w="15" w:type="dxa"/>
                    <w:bottom w:w="0" w:type="dxa"/>
                    <w:right w:w="15" w:type="dxa"/>
                  </w:tcMar>
                  <w:vAlign w:val="center"/>
                </w:tcPr>
                <w:p w14:paraId="19B35B00">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0.35</w:t>
                  </w:r>
                </w:p>
              </w:tc>
              <w:tc>
                <w:tcPr>
                  <w:tcW w:w="1217" w:type="dxa"/>
                  <w:noWrap w:val="0"/>
                  <w:tcMar>
                    <w:top w:w="15" w:type="dxa"/>
                    <w:left w:w="15" w:type="dxa"/>
                    <w:bottom w:w="0" w:type="dxa"/>
                    <w:right w:w="15" w:type="dxa"/>
                  </w:tcMar>
                  <w:vAlign w:val="center"/>
                </w:tcPr>
                <w:p w14:paraId="45312909">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10000万元</w:t>
                  </w:r>
                </w:p>
              </w:tc>
              <w:tc>
                <w:tcPr>
                  <w:tcW w:w="3564" w:type="dxa"/>
                  <w:noWrap w:val="0"/>
                  <w:tcMar>
                    <w:top w:w="15" w:type="dxa"/>
                    <w:left w:w="15" w:type="dxa"/>
                    <w:bottom w:w="0" w:type="dxa"/>
                    <w:right w:w="15" w:type="dxa"/>
                  </w:tcMar>
                  <w:vAlign w:val="center"/>
                </w:tcPr>
                <w:p w14:paraId="40238608">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38000+(10000万-5000万)×0.35‰=55500</w:t>
                  </w:r>
                </w:p>
              </w:tc>
            </w:tr>
            <w:tr w14:paraId="40A06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86" w:type="dxa"/>
                  <w:noWrap w:val="0"/>
                  <w:tcMar>
                    <w:top w:w="15" w:type="dxa"/>
                    <w:left w:w="15" w:type="dxa"/>
                    <w:bottom w:w="0" w:type="dxa"/>
                    <w:right w:w="15" w:type="dxa"/>
                  </w:tcMar>
                  <w:vAlign w:val="center"/>
                </w:tcPr>
                <w:p w14:paraId="7D4008B2">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4</w:t>
                  </w:r>
                </w:p>
              </w:tc>
              <w:tc>
                <w:tcPr>
                  <w:tcW w:w="3514" w:type="dxa"/>
                  <w:noWrap w:val="0"/>
                  <w:tcMar>
                    <w:top w:w="15" w:type="dxa"/>
                    <w:left w:w="15" w:type="dxa"/>
                    <w:bottom w:w="0" w:type="dxa"/>
                    <w:right w:w="15" w:type="dxa"/>
                  </w:tcMar>
                  <w:vAlign w:val="center"/>
                </w:tcPr>
                <w:p w14:paraId="7303F8C4">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10000（</w:t>
                  </w:r>
                  <w:r>
                    <w:rPr>
                      <w:rFonts w:hint="eastAsia" w:ascii="宋体" w:hAnsi="宋体" w:eastAsia="宋体" w:cs="宋体"/>
                      <w:color w:val="auto"/>
                      <w:sz w:val="21"/>
                      <w:szCs w:val="21"/>
                      <w:highlight w:val="none"/>
                      <w:lang w:val="en-US" w:eastAsia="zh-CN"/>
                    </w:rPr>
                    <w:t>不含</w:t>
                  </w:r>
                  <w:r>
                    <w:rPr>
                      <w:rFonts w:hint="eastAsia" w:ascii="宋体" w:hAnsi="宋体" w:eastAsia="宋体" w:cs="宋体"/>
                      <w:color w:val="auto"/>
                      <w:sz w:val="21"/>
                      <w:szCs w:val="21"/>
                      <w:highlight w:val="none"/>
                      <w:lang w:val="zh-CN"/>
                    </w:rPr>
                    <w:t>）至50000万元（含50000万元）</w:t>
                  </w:r>
                </w:p>
              </w:tc>
              <w:tc>
                <w:tcPr>
                  <w:tcW w:w="688" w:type="dxa"/>
                  <w:noWrap w:val="0"/>
                  <w:tcMar>
                    <w:top w:w="15" w:type="dxa"/>
                    <w:left w:w="15" w:type="dxa"/>
                    <w:bottom w:w="0" w:type="dxa"/>
                    <w:right w:w="15" w:type="dxa"/>
                  </w:tcMar>
                  <w:vAlign w:val="center"/>
                </w:tcPr>
                <w:p w14:paraId="026B3697">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0.1</w:t>
                  </w:r>
                </w:p>
              </w:tc>
              <w:tc>
                <w:tcPr>
                  <w:tcW w:w="1217" w:type="dxa"/>
                  <w:noWrap w:val="0"/>
                  <w:tcMar>
                    <w:top w:w="15" w:type="dxa"/>
                    <w:left w:w="15" w:type="dxa"/>
                    <w:bottom w:w="0" w:type="dxa"/>
                    <w:right w:w="15" w:type="dxa"/>
                  </w:tcMar>
                  <w:vAlign w:val="center"/>
                </w:tcPr>
                <w:p w14:paraId="0C55122F">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50000万元</w:t>
                  </w:r>
                </w:p>
              </w:tc>
              <w:tc>
                <w:tcPr>
                  <w:tcW w:w="3564" w:type="dxa"/>
                  <w:noWrap w:val="0"/>
                  <w:tcMar>
                    <w:top w:w="15" w:type="dxa"/>
                    <w:left w:w="15" w:type="dxa"/>
                    <w:bottom w:w="0" w:type="dxa"/>
                    <w:right w:w="15" w:type="dxa"/>
                  </w:tcMar>
                  <w:vAlign w:val="center"/>
                </w:tcPr>
                <w:p w14:paraId="2F6F077E">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55500+(50000万-10000万)×0.1‰=95500</w:t>
                  </w:r>
                </w:p>
              </w:tc>
            </w:tr>
            <w:tr w14:paraId="712B0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86" w:type="dxa"/>
                  <w:noWrap w:val="0"/>
                  <w:tcMar>
                    <w:top w:w="15" w:type="dxa"/>
                    <w:left w:w="15" w:type="dxa"/>
                    <w:bottom w:w="0" w:type="dxa"/>
                    <w:right w:w="15" w:type="dxa"/>
                  </w:tcMar>
                  <w:vAlign w:val="center"/>
                </w:tcPr>
                <w:p w14:paraId="289D61D5">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5</w:t>
                  </w:r>
                </w:p>
              </w:tc>
              <w:tc>
                <w:tcPr>
                  <w:tcW w:w="3514" w:type="dxa"/>
                  <w:noWrap w:val="0"/>
                  <w:tcMar>
                    <w:top w:w="15" w:type="dxa"/>
                    <w:left w:w="15" w:type="dxa"/>
                    <w:bottom w:w="0" w:type="dxa"/>
                    <w:right w:w="15" w:type="dxa"/>
                  </w:tcMar>
                  <w:vAlign w:val="center"/>
                </w:tcPr>
                <w:p w14:paraId="4056166E">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50000万元（</w:t>
                  </w:r>
                  <w:r>
                    <w:rPr>
                      <w:rFonts w:hint="eastAsia" w:ascii="宋体" w:hAnsi="宋体" w:eastAsia="宋体" w:cs="宋体"/>
                      <w:color w:val="auto"/>
                      <w:sz w:val="21"/>
                      <w:szCs w:val="21"/>
                      <w:highlight w:val="none"/>
                      <w:lang w:val="en-US" w:eastAsia="zh-CN"/>
                    </w:rPr>
                    <w:t>不含</w:t>
                  </w:r>
                  <w:r>
                    <w:rPr>
                      <w:rFonts w:hint="eastAsia" w:ascii="宋体" w:hAnsi="宋体" w:eastAsia="宋体" w:cs="宋体"/>
                      <w:color w:val="auto"/>
                      <w:sz w:val="21"/>
                      <w:szCs w:val="21"/>
                      <w:highlight w:val="none"/>
                      <w:lang w:val="zh-CN"/>
                    </w:rPr>
                    <w:t>）以上</w:t>
                  </w:r>
                </w:p>
              </w:tc>
              <w:tc>
                <w:tcPr>
                  <w:tcW w:w="688" w:type="dxa"/>
                  <w:noWrap w:val="0"/>
                  <w:tcMar>
                    <w:top w:w="15" w:type="dxa"/>
                    <w:left w:w="15" w:type="dxa"/>
                    <w:bottom w:w="0" w:type="dxa"/>
                    <w:right w:w="15" w:type="dxa"/>
                  </w:tcMar>
                  <w:vAlign w:val="center"/>
                </w:tcPr>
                <w:p w14:paraId="16415A11">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0.05</w:t>
                  </w:r>
                </w:p>
              </w:tc>
              <w:tc>
                <w:tcPr>
                  <w:tcW w:w="1217" w:type="dxa"/>
                  <w:noWrap w:val="0"/>
                  <w:tcMar>
                    <w:top w:w="15" w:type="dxa"/>
                    <w:left w:w="15" w:type="dxa"/>
                    <w:bottom w:w="0" w:type="dxa"/>
                    <w:right w:w="15" w:type="dxa"/>
                  </w:tcMar>
                  <w:vAlign w:val="center"/>
                </w:tcPr>
                <w:p w14:paraId="3AF25B40">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60000万元</w:t>
                  </w:r>
                </w:p>
              </w:tc>
              <w:tc>
                <w:tcPr>
                  <w:tcW w:w="3564" w:type="dxa"/>
                  <w:noWrap w:val="0"/>
                  <w:tcMar>
                    <w:top w:w="15" w:type="dxa"/>
                    <w:left w:w="15" w:type="dxa"/>
                    <w:bottom w:w="0" w:type="dxa"/>
                    <w:right w:w="15" w:type="dxa"/>
                  </w:tcMar>
                  <w:vAlign w:val="center"/>
                </w:tcPr>
                <w:p w14:paraId="3283CFE5">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95500+(60000万-50000万)×0.05‰=100500</w:t>
                  </w:r>
                </w:p>
              </w:tc>
            </w:tr>
          </w:tbl>
          <w:p w14:paraId="4D00D19A">
            <w:pPr>
              <w:keepNext w:val="0"/>
              <w:keepLines w:val="0"/>
              <w:pageBreakBefore w:val="0"/>
              <w:tabs>
                <w:tab w:val="left" w:pos="8445"/>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2.调整系数：</w:t>
            </w:r>
          </w:p>
          <w:p w14:paraId="73818E98">
            <w:pPr>
              <w:keepNext w:val="0"/>
              <w:keepLines w:val="0"/>
              <w:pageBreakBefore w:val="0"/>
              <w:tabs>
                <w:tab w:val="left" w:pos="8445"/>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竣工财务决算，调整系数为1.0；</w:t>
            </w:r>
          </w:p>
          <w:p w14:paraId="0975E990">
            <w:pPr>
              <w:keepNext w:val="0"/>
              <w:keepLines w:val="0"/>
              <w:pageBreakBefore w:val="0"/>
              <w:tabs>
                <w:tab w:val="left" w:pos="8445"/>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征地拆迁结算项目：项目复核调整系数为1.0；项目初审、动态结算调整系数为1.5；土地费用不计入送审金额。</w:t>
            </w:r>
          </w:p>
          <w:p w14:paraId="766D3744">
            <w:pPr>
              <w:keepNext w:val="0"/>
              <w:keepLines w:val="0"/>
              <w:pageBreakBefore w:val="0"/>
              <w:tabs>
                <w:tab w:val="left" w:pos="8445"/>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zh-CN"/>
              </w:rPr>
              <w:t>如单个项目按以上计费标准计算得出的审核服务费少于2000元的，按2000元计。</w:t>
            </w:r>
          </w:p>
          <w:p w14:paraId="42D78361">
            <w:pPr>
              <w:keepNext w:val="0"/>
              <w:keepLines w:val="0"/>
              <w:pageBreakBefore w:val="0"/>
              <w:tabs>
                <w:tab w:val="left" w:pos="8445"/>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zh-CN"/>
              </w:rPr>
              <w:t>单个项目按上述计费标准计算得出的审核服务费大于</w:t>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zh-CN"/>
              </w:rPr>
              <w:t>0万元，按</w:t>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zh-CN"/>
              </w:rPr>
              <w:t>0万元计</w:t>
            </w:r>
            <w:r>
              <w:rPr>
                <w:rFonts w:hint="eastAsia" w:ascii="宋体" w:hAnsi="宋体" w:eastAsia="宋体" w:cs="宋体"/>
                <w:color w:val="auto"/>
                <w:sz w:val="21"/>
                <w:szCs w:val="21"/>
                <w:highlight w:val="none"/>
              </w:rPr>
              <w:t>。</w:t>
            </w:r>
          </w:p>
          <w:p w14:paraId="74C5B288">
            <w:pPr>
              <w:keepNext w:val="0"/>
              <w:keepLines w:val="0"/>
              <w:pageBreakBefore w:val="0"/>
              <w:tabs>
                <w:tab w:val="left" w:pos="8445"/>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5.成本核算项目不按上表计算，单独计费，按3000元/个包干。</w:t>
            </w:r>
          </w:p>
          <w:p w14:paraId="743199FE">
            <w:pPr>
              <w:keepNext w:val="0"/>
              <w:keepLines w:val="0"/>
              <w:pageBreakBefore w:val="0"/>
              <w:tabs>
                <w:tab w:val="left" w:pos="8445"/>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6.如有其他特别要求的，在接收审核任务时由双方另行确定费用。</w:t>
            </w:r>
          </w:p>
          <w:p w14:paraId="5B8EC081">
            <w:pPr>
              <w:keepNext w:val="0"/>
              <w:keepLines w:val="0"/>
              <w:pageBreakBefore w:val="0"/>
              <w:tabs>
                <w:tab w:val="left" w:pos="8445"/>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7.坐班人员技术咨询服务费根据入围供应商提供的具体服务，由委托方与入围供应商协商一致，费用</w:t>
            </w:r>
            <w:r>
              <w:rPr>
                <w:rFonts w:hint="eastAsia" w:ascii="宋体" w:hAnsi="宋体" w:eastAsia="宋体" w:cs="宋体"/>
                <w:color w:val="auto"/>
                <w:sz w:val="21"/>
                <w:szCs w:val="21"/>
                <w:highlight w:val="none"/>
                <w:lang w:val="zh-CN"/>
              </w:rPr>
              <w:t>另计。</w:t>
            </w:r>
          </w:p>
        </w:tc>
      </w:tr>
      <w:tr w14:paraId="1626CF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2" w:hRule="atLeast"/>
          <w:jc w:val="center"/>
        </w:trPr>
        <w:tc>
          <w:tcPr>
            <w:tcW w:w="426" w:type="dxa"/>
            <w:tcBorders>
              <w:top w:val="single" w:color="000000" w:sz="2" w:space="0"/>
              <w:left w:val="single" w:color="000000" w:sz="2" w:space="0"/>
              <w:bottom w:val="single" w:color="000000" w:sz="2" w:space="0"/>
              <w:right w:val="single" w:color="000000" w:sz="2" w:space="0"/>
            </w:tcBorders>
            <w:noWrap w:val="0"/>
            <w:vAlign w:val="center"/>
          </w:tcPr>
          <w:p w14:paraId="4E93E095">
            <w:pPr>
              <w:keepNext w:val="0"/>
              <w:keepLines w:val="0"/>
              <w:pageBreakBefore w:val="0"/>
              <w:kinsoku/>
              <w:wordWrap/>
              <w:overflowPunct/>
              <w:topLinePunct w:val="0"/>
              <w:bidi w:val="0"/>
              <w:spacing w:line="360" w:lineRule="auto"/>
              <w:jc w:val="center"/>
              <w:rPr>
                <w:rFonts w:hint="eastAsia" w:ascii="宋体" w:hAnsi="宋体" w:eastAsia="宋体" w:cs="宋体"/>
                <w:color w:val="auto"/>
                <w:kern w:val="2"/>
                <w:position w:val="-4"/>
                <w:sz w:val="21"/>
                <w:szCs w:val="21"/>
                <w:highlight w:val="none"/>
              </w:rPr>
            </w:pPr>
            <w:r>
              <w:rPr>
                <w:rFonts w:hint="eastAsia" w:ascii="宋体" w:hAnsi="宋体" w:eastAsia="宋体" w:cs="宋体"/>
                <w:color w:val="auto"/>
                <w:sz w:val="21"/>
                <w:szCs w:val="21"/>
                <w:highlight w:val="none"/>
              </w:rPr>
              <w:t>分标2</w:t>
            </w:r>
          </w:p>
        </w:tc>
        <w:tc>
          <w:tcPr>
            <w:tcW w:w="9569" w:type="dxa"/>
            <w:tcBorders>
              <w:top w:val="single" w:color="000000" w:sz="2" w:space="0"/>
              <w:left w:val="single" w:color="000000" w:sz="2" w:space="0"/>
              <w:bottom w:val="single" w:color="000000" w:sz="2" w:space="0"/>
              <w:right w:val="single" w:color="000000" w:sz="2" w:space="0"/>
            </w:tcBorders>
            <w:noWrap w:val="0"/>
            <w:vAlign w:val="top"/>
          </w:tcPr>
          <w:p w14:paraId="052C0EFE">
            <w:pPr>
              <w:keepNext w:val="0"/>
              <w:keepLines w:val="0"/>
              <w:pageBreakBefore w:val="0"/>
              <w:tabs>
                <w:tab w:val="left" w:pos="8445"/>
              </w:tabs>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分标2（参与信息化项目费用审核工作）：</w:t>
            </w:r>
          </w:p>
          <w:p w14:paraId="5993103E">
            <w:pPr>
              <w:keepNext w:val="0"/>
              <w:keepLines w:val="0"/>
              <w:pageBreakBefore w:val="0"/>
              <w:tabs>
                <w:tab w:val="left" w:pos="8445"/>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1.</w:t>
            </w:r>
            <w:r>
              <w:rPr>
                <w:rFonts w:hint="eastAsia" w:ascii="宋体" w:hAnsi="宋体" w:eastAsia="宋体" w:cs="宋体"/>
                <w:b w:val="0"/>
                <w:bCs w:val="0"/>
                <w:color w:val="auto"/>
                <w:sz w:val="21"/>
                <w:szCs w:val="21"/>
                <w:highlight w:val="none"/>
                <w:shd w:val="clear" w:color="auto" w:fill="FFFFFF"/>
                <w:lang w:val="zh-CN"/>
              </w:rPr>
              <w:t>服务</w:t>
            </w:r>
            <w:r>
              <w:rPr>
                <w:rFonts w:hint="eastAsia" w:ascii="宋体" w:hAnsi="宋体" w:eastAsia="宋体" w:cs="宋体"/>
                <w:color w:val="auto"/>
                <w:sz w:val="21"/>
                <w:szCs w:val="21"/>
                <w:highlight w:val="none"/>
                <w:shd w:val="clear" w:color="auto" w:fill="FFFFFF"/>
                <w:lang w:val="zh-CN"/>
              </w:rPr>
              <w:t>费＝基本付费额</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shd w:val="clear" w:color="auto" w:fill="FFFFFF"/>
              </w:rPr>
              <w:t>调整系数</w:t>
            </w:r>
          </w:p>
          <w:p w14:paraId="04F122FF">
            <w:pPr>
              <w:keepNext w:val="0"/>
              <w:keepLines w:val="0"/>
              <w:pageBreakBefore w:val="0"/>
              <w:tabs>
                <w:tab w:val="left" w:pos="8445"/>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zh-CN"/>
              </w:rPr>
              <w:t xml:space="preserve">基本付费额：以单项工程送审金额按超额累进方法计算： </w:t>
            </w:r>
          </w:p>
          <w:tbl>
            <w:tblPr>
              <w:tblStyle w:val="5"/>
              <w:tblW w:w="9460" w:type="dxa"/>
              <w:jc w:val="center"/>
              <w:tblLayout w:type="fixed"/>
              <w:tblCellMar>
                <w:top w:w="0" w:type="dxa"/>
                <w:left w:w="0" w:type="dxa"/>
                <w:bottom w:w="0" w:type="dxa"/>
                <w:right w:w="0" w:type="dxa"/>
              </w:tblCellMar>
            </w:tblPr>
            <w:tblGrid>
              <w:gridCol w:w="489"/>
              <w:gridCol w:w="3441"/>
              <w:gridCol w:w="801"/>
              <w:gridCol w:w="1134"/>
              <w:gridCol w:w="3595"/>
            </w:tblGrid>
            <w:tr w14:paraId="6AF27857">
              <w:tblPrEx>
                <w:tblCellMar>
                  <w:top w:w="0" w:type="dxa"/>
                  <w:left w:w="0" w:type="dxa"/>
                  <w:bottom w:w="0" w:type="dxa"/>
                  <w:right w:w="0" w:type="dxa"/>
                </w:tblCellMar>
              </w:tblPrEx>
              <w:trPr>
                <w:cantSplit/>
                <w:trHeight w:val="555" w:hRule="atLeast"/>
                <w:jc w:val="center"/>
              </w:trPr>
              <w:tc>
                <w:tcPr>
                  <w:tcW w:w="489" w:type="dxa"/>
                  <w:vMerge w:val="restart"/>
                  <w:tcBorders>
                    <w:top w:val="single" w:color="auto" w:sz="4" w:space="0"/>
                    <w:left w:val="single" w:color="auto" w:sz="4" w:space="0"/>
                    <w:bottom w:val="single" w:color="000000" w:sz="4" w:space="0"/>
                    <w:right w:val="single" w:color="auto" w:sz="4" w:space="0"/>
                  </w:tcBorders>
                  <w:noWrap w:val="0"/>
                  <w:tcMar>
                    <w:top w:w="15" w:type="dxa"/>
                    <w:left w:w="15" w:type="dxa"/>
                    <w:bottom w:w="0" w:type="dxa"/>
                    <w:right w:w="15" w:type="dxa"/>
                  </w:tcMar>
                  <w:vAlign w:val="center"/>
                </w:tcPr>
                <w:p w14:paraId="160303A3">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3441" w:type="dxa"/>
                  <w:vMerge w:val="restart"/>
                  <w:tcBorders>
                    <w:top w:val="single" w:color="auto" w:sz="4" w:space="0"/>
                    <w:left w:val="single" w:color="auto" w:sz="4" w:space="0"/>
                    <w:bottom w:val="single" w:color="000000" w:sz="4" w:space="0"/>
                    <w:right w:val="single" w:color="auto" w:sz="4" w:space="0"/>
                  </w:tcBorders>
                  <w:noWrap w:val="0"/>
                  <w:tcMar>
                    <w:top w:w="15" w:type="dxa"/>
                    <w:left w:w="15" w:type="dxa"/>
                    <w:bottom w:w="0" w:type="dxa"/>
                    <w:right w:w="15" w:type="dxa"/>
                  </w:tcMar>
                  <w:vAlign w:val="center"/>
                </w:tcPr>
                <w:p w14:paraId="5A9C20A4">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送审金额（万元）</w:t>
                  </w:r>
                </w:p>
              </w:tc>
              <w:tc>
                <w:tcPr>
                  <w:tcW w:w="801" w:type="dxa"/>
                  <w:vMerge w:val="restart"/>
                  <w:tcBorders>
                    <w:top w:val="single" w:color="auto" w:sz="4" w:space="0"/>
                    <w:left w:val="single" w:color="auto" w:sz="4" w:space="0"/>
                    <w:bottom w:val="single" w:color="000000" w:sz="4" w:space="0"/>
                    <w:right w:val="single" w:color="auto" w:sz="4" w:space="0"/>
                  </w:tcBorders>
                  <w:noWrap w:val="0"/>
                  <w:tcMar>
                    <w:top w:w="15" w:type="dxa"/>
                    <w:left w:w="15" w:type="dxa"/>
                    <w:bottom w:w="0" w:type="dxa"/>
                    <w:right w:w="15" w:type="dxa"/>
                  </w:tcMar>
                  <w:vAlign w:val="center"/>
                </w:tcPr>
                <w:p w14:paraId="17D87035">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计算比例（‰）</w:t>
                  </w:r>
                </w:p>
              </w:tc>
              <w:tc>
                <w:tcPr>
                  <w:tcW w:w="4729" w:type="dxa"/>
                  <w:gridSpan w:val="2"/>
                  <w:tcBorders>
                    <w:top w:val="single" w:color="auto" w:sz="4" w:space="0"/>
                    <w:left w:val="nil"/>
                    <w:bottom w:val="single" w:color="auto" w:sz="4" w:space="0"/>
                    <w:right w:val="single" w:color="000000" w:sz="4" w:space="0"/>
                  </w:tcBorders>
                  <w:noWrap w:val="0"/>
                  <w:tcMar>
                    <w:top w:w="15" w:type="dxa"/>
                    <w:left w:w="15" w:type="dxa"/>
                    <w:bottom w:w="0" w:type="dxa"/>
                    <w:right w:w="15" w:type="dxa"/>
                  </w:tcMar>
                  <w:vAlign w:val="center"/>
                </w:tcPr>
                <w:p w14:paraId="05E16032">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计算举例 </w:t>
                  </w:r>
                </w:p>
              </w:tc>
            </w:tr>
            <w:tr w14:paraId="47DE25BE">
              <w:tblPrEx>
                <w:tblCellMar>
                  <w:top w:w="0" w:type="dxa"/>
                  <w:left w:w="0" w:type="dxa"/>
                  <w:bottom w:w="0" w:type="dxa"/>
                  <w:right w:w="0" w:type="dxa"/>
                </w:tblCellMar>
              </w:tblPrEx>
              <w:trPr>
                <w:cantSplit/>
                <w:trHeight w:val="360" w:hRule="atLeast"/>
                <w:jc w:val="center"/>
              </w:trPr>
              <w:tc>
                <w:tcPr>
                  <w:tcW w:w="489" w:type="dxa"/>
                  <w:vMerge w:val="continue"/>
                  <w:tcBorders>
                    <w:top w:val="single" w:color="auto" w:sz="4" w:space="0"/>
                    <w:left w:val="single" w:color="auto" w:sz="4" w:space="0"/>
                    <w:bottom w:val="single" w:color="000000" w:sz="4" w:space="0"/>
                    <w:right w:val="single" w:color="auto" w:sz="4" w:space="0"/>
                  </w:tcBorders>
                  <w:noWrap w:val="0"/>
                  <w:vAlign w:val="center"/>
                </w:tcPr>
                <w:p w14:paraId="7C2694C1">
                  <w:pPr>
                    <w:keepNext w:val="0"/>
                    <w:keepLines w:val="0"/>
                    <w:pageBreakBefore w:val="0"/>
                    <w:widowControl/>
                    <w:kinsoku/>
                    <w:wordWrap/>
                    <w:overflowPunct/>
                    <w:topLinePunct w:val="0"/>
                    <w:bidi w:val="0"/>
                    <w:spacing w:line="360" w:lineRule="auto"/>
                    <w:jc w:val="left"/>
                    <w:rPr>
                      <w:rFonts w:hint="eastAsia" w:ascii="宋体" w:hAnsi="宋体" w:eastAsia="宋体" w:cs="宋体"/>
                      <w:color w:val="auto"/>
                      <w:sz w:val="21"/>
                      <w:szCs w:val="21"/>
                      <w:highlight w:val="none"/>
                    </w:rPr>
                  </w:pPr>
                </w:p>
              </w:tc>
              <w:tc>
                <w:tcPr>
                  <w:tcW w:w="3441" w:type="dxa"/>
                  <w:vMerge w:val="continue"/>
                  <w:tcBorders>
                    <w:top w:val="single" w:color="auto" w:sz="4" w:space="0"/>
                    <w:left w:val="single" w:color="auto" w:sz="4" w:space="0"/>
                    <w:bottom w:val="single" w:color="000000" w:sz="4" w:space="0"/>
                    <w:right w:val="single" w:color="auto" w:sz="4" w:space="0"/>
                  </w:tcBorders>
                  <w:noWrap w:val="0"/>
                  <w:vAlign w:val="center"/>
                </w:tcPr>
                <w:p w14:paraId="345BCB70">
                  <w:pPr>
                    <w:keepNext w:val="0"/>
                    <w:keepLines w:val="0"/>
                    <w:pageBreakBefore w:val="0"/>
                    <w:widowControl/>
                    <w:kinsoku/>
                    <w:wordWrap/>
                    <w:overflowPunct/>
                    <w:topLinePunct w:val="0"/>
                    <w:bidi w:val="0"/>
                    <w:spacing w:line="360" w:lineRule="auto"/>
                    <w:jc w:val="left"/>
                    <w:rPr>
                      <w:rFonts w:hint="eastAsia" w:ascii="宋体" w:hAnsi="宋体" w:eastAsia="宋体" w:cs="宋体"/>
                      <w:color w:val="auto"/>
                      <w:sz w:val="21"/>
                      <w:szCs w:val="21"/>
                      <w:highlight w:val="none"/>
                    </w:rPr>
                  </w:pPr>
                </w:p>
              </w:tc>
              <w:tc>
                <w:tcPr>
                  <w:tcW w:w="801" w:type="dxa"/>
                  <w:vMerge w:val="continue"/>
                  <w:tcBorders>
                    <w:top w:val="single" w:color="auto" w:sz="4" w:space="0"/>
                    <w:left w:val="single" w:color="auto" w:sz="4" w:space="0"/>
                    <w:bottom w:val="single" w:color="000000" w:sz="4" w:space="0"/>
                    <w:right w:val="single" w:color="auto" w:sz="4" w:space="0"/>
                  </w:tcBorders>
                  <w:noWrap w:val="0"/>
                  <w:vAlign w:val="center"/>
                </w:tcPr>
                <w:p w14:paraId="755D4BFD">
                  <w:pPr>
                    <w:keepNext w:val="0"/>
                    <w:keepLines w:val="0"/>
                    <w:pageBreakBefore w:val="0"/>
                    <w:widowControl/>
                    <w:kinsoku/>
                    <w:wordWrap/>
                    <w:overflowPunct/>
                    <w:topLinePunct w:val="0"/>
                    <w:bidi w:val="0"/>
                    <w:spacing w:line="360" w:lineRule="auto"/>
                    <w:jc w:val="left"/>
                    <w:rPr>
                      <w:rFonts w:hint="eastAsia" w:ascii="宋体" w:hAnsi="宋体" w:eastAsia="宋体" w:cs="宋体"/>
                      <w:color w:val="auto"/>
                      <w:sz w:val="21"/>
                      <w:szCs w:val="21"/>
                      <w:highlight w:val="none"/>
                    </w:rPr>
                  </w:pPr>
                </w:p>
              </w:tc>
              <w:tc>
                <w:tcPr>
                  <w:tcW w:w="113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9C06228">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送审金额</w:t>
                  </w:r>
                </w:p>
              </w:tc>
              <w:tc>
                <w:tcPr>
                  <w:tcW w:w="359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085922F">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基本付费额 （元）</w:t>
                  </w:r>
                </w:p>
              </w:tc>
            </w:tr>
            <w:tr w14:paraId="26D6321C">
              <w:tblPrEx>
                <w:tblCellMar>
                  <w:top w:w="0" w:type="dxa"/>
                  <w:left w:w="0" w:type="dxa"/>
                  <w:bottom w:w="0" w:type="dxa"/>
                  <w:right w:w="0" w:type="dxa"/>
                </w:tblCellMar>
              </w:tblPrEx>
              <w:trPr>
                <w:trHeight w:val="567" w:hRule="atLeast"/>
                <w:jc w:val="center"/>
              </w:trPr>
              <w:tc>
                <w:tcPr>
                  <w:tcW w:w="48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14532DF">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44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64AE834">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500万元以</w:t>
                  </w:r>
                  <w:r>
                    <w:rPr>
                      <w:rFonts w:hint="eastAsia" w:ascii="宋体" w:hAnsi="宋体" w:eastAsia="宋体" w:cs="宋体"/>
                      <w:color w:val="auto"/>
                      <w:sz w:val="21"/>
                      <w:szCs w:val="21"/>
                      <w:highlight w:val="none"/>
                      <w:lang w:val="zh-CN"/>
                    </w:rPr>
                    <w:t>下（含500万元）</w:t>
                  </w:r>
                </w:p>
              </w:tc>
              <w:tc>
                <w:tcPr>
                  <w:tcW w:w="80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6124257">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w:t>
                  </w:r>
                </w:p>
              </w:tc>
              <w:tc>
                <w:tcPr>
                  <w:tcW w:w="113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F0505B8">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500万元</w:t>
                  </w:r>
                </w:p>
              </w:tc>
              <w:tc>
                <w:tcPr>
                  <w:tcW w:w="359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9629D0A">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500万×1.7‰=8500</w:t>
                  </w:r>
                </w:p>
              </w:tc>
            </w:tr>
            <w:tr w14:paraId="119AD483">
              <w:tblPrEx>
                <w:tblCellMar>
                  <w:top w:w="0" w:type="dxa"/>
                  <w:left w:w="0" w:type="dxa"/>
                  <w:bottom w:w="0" w:type="dxa"/>
                  <w:right w:w="0" w:type="dxa"/>
                </w:tblCellMar>
              </w:tblPrEx>
              <w:trPr>
                <w:trHeight w:val="567" w:hRule="atLeast"/>
                <w:jc w:val="center"/>
              </w:trPr>
              <w:tc>
                <w:tcPr>
                  <w:tcW w:w="48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CBD9300">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44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FCA3D47">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不含</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至1000万</w:t>
                  </w:r>
                  <w:r>
                    <w:rPr>
                      <w:rFonts w:hint="eastAsia" w:ascii="宋体" w:hAnsi="宋体" w:eastAsia="宋体" w:cs="宋体"/>
                      <w:color w:val="auto"/>
                      <w:sz w:val="21"/>
                      <w:szCs w:val="21"/>
                      <w:highlight w:val="none"/>
                      <w:lang w:val="zh-CN"/>
                    </w:rPr>
                    <w:t>元（含1000万元）</w:t>
                  </w:r>
                </w:p>
              </w:tc>
              <w:tc>
                <w:tcPr>
                  <w:tcW w:w="80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18AA14A">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113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C914BAD">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1000万元</w:t>
                  </w:r>
                </w:p>
              </w:tc>
              <w:tc>
                <w:tcPr>
                  <w:tcW w:w="359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05C0EF6">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8500+(1000万-500万)×1.1‰=14000</w:t>
                  </w:r>
                </w:p>
              </w:tc>
            </w:tr>
            <w:tr w14:paraId="5655A1BC">
              <w:tblPrEx>
                <w:tblCellMar>
                  <w:top w:w="0" w:type="dxa"/>
                  <w:left w:w="0" w:type="dxa"/>
                  <w:bottom w:w="0" w:type="dxa"/>
                  <w:right w:w="0" w:type="dxa"/>
                </w:tblCellMar>
              </w:tblPrEx>
              <w:trPr>
                <w:trHeight w:val="567" w:hRule="atLeast"/>
                <w:jc w:val="center"/>
              </w:trPr>
              <w:tc>
                <w:tcPr>
                  <w:tcW w:w="48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BDA60C6">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344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0F6A2BA">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不含</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至3000万</w:t>
                  </w:r>
                  <w:r>
                    <w:rPr>
                      <w:rFonts w:hint="eastAsia" w:ascii="宋体" w:hAnsi="宋体" w:eastAsia="宋体" w:cs="宋体"/>
                      <w:color w:val="auto"/>
                      <w:sz w:val="21"/>
                      <w:szCs w:val="21"/>
                      <w:highlight w:val="none"/>
                      <w:lang w:val="zh-CN"/>
                    </w:rPr>
                    <w:t>元（含3000万元）</w:t>
                  </w:r>
                </w:p>
              </w:tc>
              <w:tc>
                <w:tcPr>
                  <w:tcW w:w="80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D93A825">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0.85</w:t>
                  </w:r>
                </w:p>
              </w:tc>
              <w:tc>
                <w:tcPr>
                  <w:tcW w:w="113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0226AFB">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3000万元</w:t>
                  </w:r>
                </w:p>
              </w:tc>
              <w:tc>
                <w:tcPr>
                  <w:tcW w:w="359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2F97226">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14000+(3000万-1000万)×0.85‰=31000</w:t>
                  </w:r>
                </w:p>
              </w:tc>
            </w:tr>
            <w:tr w14:paraId="14255CEF">
              <w:tblPrEx>
                <w:tblCellMar>
                  <w:top w:w="0" w:type="dxa"/>
                  <w:left w:w="0" w:type="dxa"/>
                  <w:bottom w:w="0" w:type="dxa"/>
                  <w:right w:w="0" w:type="dxa"/>
                </w:tblCellMar>
              </w:tblPrEx>
              <w:trPr>
                <w:trHeight w:val="567" w:hRule="atLeast"/>
                <w:jc w:val="center"/>
              </w:trPr>
              <w:tc>
                <w:tcPr>
                  <w:tcW w:w="48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C046C3A">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344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3990EF4">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3000</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不含</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至5000万元</w:t>
                  </w:r>
                  <w:r>
                    <w:rPr>
                      <w:rFonts w:hint="eastAsia" w:ascii="宋体" w:hAnsi="宋体" w:eastAsia="宋体" w:cs="宋体"/>
                      <w:color w:val="auto"/>
                      <w:sz w:val="21"/>
                      <w:szCs w:val="21"/>
                      <w:highlight w:val="none"/>
                      <w:lang w:val="zh-CN"/>
                    </w:rPr>
                    <w:t>（含5000万元）</w:t>
                  </w:r>
                </w:p>
              </w:tc>
              <w:tc>
                <w:tcPr>
                  <w:tcW w:w="80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C668431">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0.7</w:t>
                  </w:r>
                </w:p>
              </w:tc>
              <w:tc>
                <w:tcPr>
                  <w:tcW w:w="113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60B292E">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5000万元</w:t>
                  </w:r>
                </w:p>
              </w:tc>
              <w:tc>
                <w:tcPr>
                  <w:tcW w:w="359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8B1795A">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31000+(5000万-3000万)×0.7‰=45000</w:t>
                  </w:r>
                </w:p>
              </w:tc>
            </w:tr>
            <w:tr w14:paraId="713B7104">
              <w:tblPrEx>
                <w:tblCellMar>
                  <w:top w:w="0" w:type="dxa"/>
                  <w:left w:w="0" w:type="dxa"/>
                  <w:bottom w:w="0" w:type="dxa"/>
                  <w:right w:w="0" w:type="dxa"/>
                </w:tblCellMar>
              </w:tblPrEx>
              <w:trPr>
                <w:trHeight w:val="567" w:hRule="atLeast"/>
                <w:jc w:val="center"/>
              </w:trPr>
              <w:tc>
                <w:tcPr>
                  <w:tcW w:w="48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5FF6F16">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344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FBAD812">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不含</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至10000万</w:t>
                  </w:r>
                  <w:r>
                    <w:rPr>
                      <w:rFonts w:hint="eastAsia" w:ascii="宋体" w:hAnsi="宋体" w:eastAsia="宋体" w:cs="宋体"/>
                      <w:color w:val="auto"/>
                      <w:sz w:val="21"/>
                      <w:szCs w:val="21"/>
                      <w:highlight w:val="none"/>
                      <w:lang w:val="zh-CN"/>
                    </w:rPr>
                    <w:t>元（含10000万元）</w:t>
                  </w:r>
                </w:p>
              </w:tc>
              <w:tc>
                <w:tcPr>
                  <w:tcW w:w="80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3362FC5">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0.45</w:t>
                  </w:r>
                </w:p>
              </w:tc>
              <w:tc>
                <w:tcPr>
                  <w:tcW w:w="113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FA87080">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10000万元</w:t>
                  </w:r>
                </w:p>
              </w:tc>
              <w:tc>
                <w:tcPr>
                  <w:tcW w:w="359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9E623E7">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45000+(10000万-5000万)×0.45‰=67500</w:t>
                  </w:r>
                </w:p>
              </w:tc>
            </w:tr>
            <w:tr w14:paraId="679325F7">
              <w:tblPrEx>
                <w:tblCellMar>
                  <w:top w:w="0" w:type="dxa"/>
                  <w:left w:w="0" w:type="dxa"/>
                  <w:bottom w:w="0" w:type="dxa"/>
                  <w:right w:w="0" w:type="dxa"/>
                </w:tblCellMar>
              </w:tblPrEx>
              <w:trPr>
                <w:trHeight w:val="567" w:hRule="atLeast"/>
                <w:jc w:val="center"/>
              </w:trPr>
              <w:tc>
                <w:tcPr>
                  <w:tcW w:w="48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6C6DE84">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344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D72160F">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10000</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不含</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至30000万</w:t>
                  </w:r>
                  <w:r>
                    <w:rPr>
                      <w:rFonts w:hint="eastAsia" w:ascii="宋体" w:hAnsi="宋体" w:eastAsia="宋体" w:cs="宋体"/>
                      <w:color w:val="auto"/>
                      <w:sz w:val="21"/>
                      <w:szCs w:val="21"/>
                      <w:highlight w:val="none"/>
                      <w:lang w:val="zh-CN"/>
                    </w:rPr>
                    <w:t>元（含3</w:t>
                  </w:r>
                  <w:r>
                    <w:rPr>
                      <w:rFonts w:hint="eastAsia" w:ascii="宋体" w:hAnsi="宋体" w:eastAsia="宋体" w:cs="宋体"/>
                      <w:color w:val="auto"/>
                      <w:sz w:val="21"/>
                      <w:szCs w:val="21"/>
                      <w:highlight w:val="none"/>
                    </w:rPr>
                    <w:t>0000万元）</w:t>
                  </w:r>
                </w:p>
              </w:tc>
              <w:tc>
                <w:tcPr>
                  <w:tcW w:w="80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B8FC3A3">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0.3</w:t>
                  </w:r>
                </w:p>
              </w:tc>
              <w:tc>
                <w:tcPr>
                  <w:tcW w:w="113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035ACAD">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30000万元</w:t>
                  </w:r>
                </w:p>
              </w:tc>
              <w:tc>
                <w:tcPr>
                  <w:tcW w:w="359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24275FB">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67500+(30000万-10000万)×0.3‰=127500</w:t>
                  </w:r>
                </w:p>
              </w:tc>
            </w:tr>
            <w:tr w14:paraId="07A3ACC7">
              <w:tblPrEx>
                <w:tblCellMar>
                  <w:top w:w="0" w:type="dxa"/>
                  <w:left w:w="0" w:type="dxa"/>
                  <w:bottom w:w="0" w:type="dxa"/>
                  <w:right w:w="0" w:type="dxa"/>
                </w:tblCellMar>
              </w:tblPrEx>
              <w:trPr>
                <w:trHeight w:val="567" w:hRule="atLeast"/>
                <w:jc w:val="center"/>
              </w:trPr>
              <w:tc>
                <w:tcPr>
                  <w:tcW w:w="48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BA98D4A">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344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39CF48D">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30000万元</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不含</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以上</w:t>
                  </w:r>
                </w:p>
              </w:tc>
              <w:tc>
                <w:tcPr>
                  <w:tcW w:w="80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B2B22A2">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0.1</w:t>
                  </w:r>
                </w:p>
              </w:tc>
              <w:tc>
                <w:tcPr>
                  <w:tcW w:w="113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6715783">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50000万元</w:t>
                  </w:r>
                </w:p>
              </w:tc>
              <w:tc>
                <w:tcPr>
                  <w:tcW w:w="359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E3FAE93">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127500+(50000万-30000万)×0.1‰=147500</w:t>
                  </w:r>
                </w:p>
              </w:tc>
            </w:tr>
          </w:tbl>
          <w:p w14:paraId="14ACC3CC">
            <w:pPr>
              <w:keepNext w:val="0"/>
              <w:keepLines w:val="0"/>
              <w:pageBreakBefore w:val="0"/>
              <w:widowControl w:val="0"/>
              <w:tabs>
                <w:tab w:val="left" w:pos="8445"/>
              </w:tabs>
              <w:kinsoku/>
              <w:wordWrap/>
              <w:overflowPunct/>
              <w:topLinePunct w:val="0"/>
              <w:autoSpaceDE/>
              <w:autoSpaceDN/>
              <w:bidi w:val="0"/>
              <w:adjustRightInd/>
              <w:snapToGrid/>
              <w:spacing w:before="164" w:beforeLines="50" w:line="360" w:lineRule="auto"/>
              <w:ind w:firstLine="420" w:firstLineChars="200"/>
              <w:textAlignment w:val="auto"/>
              <w:rPr>
                <w:rFonts w:hint="eastAsia" w:ascii="宋体" w:hAnsi="宋体" w:eastAsia="宋体" w:cs="宋体"/>
                <w:color w:val="auto"/>
                <w:sz w:val="21"/>
                <w:szCs w:val="21"/>
                <w:highlight w:val="none"/>
                <w:shd w:val="clear" w:color="auto" w:fill="FFFFFF"/>
                <w:lang w:val="zh-CN"/>
              </w:rPr>
            </w:pPr>
            <w:r>
              <w:rPr>
                <w:rFonts w:hint="eastAsia" w:ascii="宋体" w:hAnsi="宋体" w:eastAsia="宋体" w:cs="宋体"/>
                <w:color w:val="auto"/>
                <w:sz w:val="21"/>
                <w:szCs w:val="21"/>
                <w:highlight w:val="none"/>
                <w:shd w:val="clear" w:color="auto" w:fill="FFFFFF"/>
                <w:lang w:val="zh-CN"/>
              </w:rPr>
              <w:t>2.调整系数：</w:t>
            </w:r>
          </w:p>
          <w:p w14:paraId="44BB8CA1">
            <w:pPr>
              <w:keepNext w:val="0"/>
              <w:keepLines w:val="0"/>
              <w:pageBreakBefore w:val="0"/>
              <w:tabs>
                <w:tab w:val="left" w:pos="8445"/>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shd w:val="clear" w:color="auto" w:fill="FFFFFF"/>
                <w:lang w:val="zh-CN"/>
              </w:rPr>
            </w:pPr>
            <w:r>
              <w:rPr>
                <w:rFonts w:hint="eastAsia" w:ascii="宋体" w:hAnsi="宋体" w:eastAsia="宋体" w:cs="宋体"/>
                <w:color w:val="auto"/>
                <w:sz w:val="21"/>
                <w:szCs w:val="21"/>
                <w:highlight w:val="none"/>
                <w:shd w:val="clear" w:color="auto" w:fill="FFFFFF"/>
                <w:lang w:val="zh-CN"/>
              </w:rPr>
              <w:t>概（预）算项目，调整系数为1.0；</w:t>
            </w:r>
          </w:p>
          <w:p w14:paraId="04F28CBB">
            <w:pPr>
              <w:keepNext w:val="0"/>
              <w:keepLines w:val="0"/>
              <w:pageBreakBefore w:val="0"/>
              <w:tabs>
                <w:tab w:val="left" w:pos="8445"/>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shd w:val="clear" w:color="auto" w:fill="FFFFFF"/>
                <w:lang w:val="zh-CN"/>
              </w:rPr>
            </w:pPr>
            <w:r>
              <w:rPr>
                <w:rFonts w:hint="eastAsia" w:ascii="宋体" w:hAnsi="宋体" w:eastAsia="宋体" w:cs="宋体"/>
                <w:color w:val="auto"/>
                <w:sz w:val="21"/>
                <w:szCs w:val="21"/>
                <w:highlight w:val="none"/>
                <w:shd w:val="clear" w:color="auto" w:fill="FFFFFF"/>
                <w:lang w:val="zh-CN" w:eastAsia="zh-CN"/>
              </w:rPr>
              <w:t>已经过财政评审概算的</w:t>
            </w:r>
            <w:r>
              <w:rPr>
                <w:rFonts w:hint="eastAsia" w:ascii="宋体" w:hAnsi="宋体" w:eastAsia="宋体" w:cs="宋体"/>
                <w:color w:val="auto"/>
                <w:sz w:val="21"/>
                <w:szCs w:val="21"/>
                <w:highlight w:val="none"/>
                <w:shd w:val="clear" w:color="auto" w:fill="FFFFFF"/>
                <w:lang w:val="zh-CN"/>
              </w:rPr>
              <w:t>预算控制价</w:t>
            </w:r>
            <w:r>
              <w:rPr>
                <w:rFonts w:hint="eastAsia" w:ascii="宋体" w:hAnsi="宋体" w:eastAsia="宋体" w:cs="宋体"/>
                <w:color w:val="auto"/>
                <w:sz w:val="21"/>
                <w:szCs w:val="21"/>
                <w:highlight w:val="none"/>
                <w:shd w:val="clear" w:color="auto" w:fill="FFFFFF"/>
                <w:lang w:val="zh-CN" w:eastAsia="zh-CN"/>
              </w:rPr>
              <w:t>项目</w:t>
            </w:r>
            <w:r>
              <w:rPr>
                <w:rFonts w:hint="eastAsia" w:ascii="宋体" w:hAnsi="宋体" w:eastAsia="宋体" w:cs="宋体"/>
                <w:color w:val="auto"/>
                <w:sz w:val="21"/>
                <w:szCs w:val="21"/>
                <w:highlight w:val="none"/>
                <w:shd w:val="clear" w:color="auto" w:fill="FFFFFF"/>
                <w:lang w:val="zh-CN"/>
              </w:rPr>
              <w:t>调整系数为0.5；</w:t>
            </w:r>
          </w:p>
          <w:p w14:paraId="0F848651">
            <w:pPr>
              <w:keepNext w:val="0"/>
              <w:keepLines w:val="0"/>
              <w:pageBreakBefore w:val="0"/>
              <w:tabs>
                <w:tab w:val="left" w:pos="8445"/>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shd w:val="clear" w:color="auto" w:fill="FFFFFF"/>
                <w:lang w:val="zh-CN"/>
              </w:rPr>
            </w:pPr>
            <w:r>
              <w:rPr>
                <w:rFonts w:hint="eastAsia" w:ascii="宋体" w:hAnsi="宋体" w:eastAsia="宋体" w:cs="宋体"/>
                <w:color w:val="auto"/>
                <w:sz w:val="21"/>
                <w:szCs w:val="21"/>
                <w:highlight w:val="none"/>
                <w:shd w:val="clear" w:color="auto" w:fill="FFFFFF"/>
                <w:lang w:val="zh-CN" w:eastAsia="zh-CN"/>
              </w:rPr>
              <w:t>已经过财政评审概（预）算的结算项目</w:t>
            </w:r>
            <w:r>
              <w:rPr>
                <w:rFonts w:hint="eastAsia" w:ascii="宋体" w:hAnsi="宋体" w:eastAsia="宋体" w:cs="宋体"/>
                <w:color w:val="auto"/>
                <w:sz w:val="21"/>
                <w:szCs w:val="21"/>
                <w:highlight w:val="none"/>
                <w:shd w:val="clear" w:color="auto" w:fill="FFFFFF"/>
                <w:lang w:val="zh-CN"/>
              </w:rPr>
              <w:t>调整系数为0.6；未经评审的结算项目调整系数为1.0。</w:t>
            </w:r>
          </w:p>
          <w:p w14:paraId="7C80CB4D">
            <w:pPr>
              <w:keepNext w:val="0"/>
              <w:keepLines w:val="0"/>
              <w:pageBreakBefore w:val="0"/>
              <w:tabs>
                <w:tab w:val="left" w:pos="8445"/>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shd w:val="clear" w:color="auto" w:fill="FFFFFF"/>
                <w:lang w:val="zh-CN"/>
              </w:rPr>
            </w:pPr>
            <w:r>
              <w:rPr>
                <w:rFonts w:hint="eastAsia" w:ascii="宋体" w:hAnsi="宋体" w:eastAsia="宋体" w:cs="宋体"/>
                <w:color w:val="auto"/>
                <w:sz w:val="21"/>
                <w:szCs w:val="21"/>
                <w:highlight w:val="none"/>
                <w:shd w:val="clear" w:color="auto" w:fill="FFFFFF"/>
                <w:lang w:val="zh-CN"/>
              </w:rPr>
              <w:t>3.如单个项目按以上计费标准计算得出的审核服务费少于3000元的，按3000元计。</w:t>
            </w:r>
          </w:p>
          <w:p w14:paraId="3900A01F">
            <w:pPr>
              <w:keepNext w:val="0"/>
              <w:keepLines w:val="0"/>
              <w:pageBreakBefore w:val="0"/>
              <w:tabs>
                <w:tab w:val="left" w:pos="8445"/>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shd w:val="clear" w:color="auto" w:fill="FFFFFF"/>
                <w:lang w:val="zh-CN"/>
              </w:rPr>
            </w:pPr>
            <w:r>
              <w:rPr>
                <w:rFonts w:hint="eastAsia" w:ascii="宋体" w:hAnsi="宋体" w:eastAsia="宋体" w:cs="宋体"/>
                <w:color w:val="auto"/>
                <w:sz w:val="21"/>
                <w:szCs w:val="21"/>
                <w:highlight w:val="none"/>
                <w:shd w:val="clear" w:color="auto" w:fill="FFFFFF"/>
                <w:lang w:val="zh-CN"/>
              </w:rPr>
              <w:t>4.单个项目按上述计费标准计算得出的审核服务费大于50万元，按50万元计。</w:t>
            </w:r>
          </w:p>
          <w:p w14:paraId="1C9CC908">
            <w:pPr>
              <w:keepNext w:val="0"/>
              <w:keepLines w:val="0"/>
              <w:pageBreakBefore w:val="0"/>
              <w:tabs>
                <w:tab w:val="left" w:pos="8445"/>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lang w:val="zh-CN"/>
              </w:rPr>
              <w:t>5.如有其他特别要求的，在接收审核任务时由双方另行确定费用。</w:t>
            </w:r>
          </w:p>
        </w:tc>
      </w:tr>
      <w:tr w14:paraId="49183B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jc w:val="center"/>
        </w:trPr>
        <w:tc>
          <w:tcPr>
            <w:tcW w:w="426" w:type="dxa"/>
            <w:tcBorders>
              <w:top w:val="single" w:color="000000" w:sz="2" w:space="0"/>
              <w:left w:val="single" w:color="000000" w:sz="2" w:space="0"/>
              <w:bottom w:val="single" w:color="000000" w:sz="2" w:space="0"/>
              <w:right w:val="single" w:color="000000" w:sz="2" w:space="0"/>
            </w:tcBorders>
            <w:noWrap w:val="0"/>
            <w:vAlign w:val="center"/>
          </w:tcPr>
          <w:p w14:paraId="7EED7B69">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分标3</w:t>
            </w:r>
          </w:p>
        </w:tc>
        <w:tc>
          <w:tcPr>
            <w:tcW w:w="9569" w:type="dxa"/>
            <w:tcBorders>
              <w:top w:val="single" w:color="000000" w:sz="2" w:space="0"/>
              <w:left w:val="single" w:color="000000" w:sz="2" w:space="0"/>
              <w:bottom w:val="single" w:color="000000" w:sz="2" w:space="0"/>
              <w:right w:val="single" w:color="000000" w:sz="2" w:space="0"/>
            </w:tcBorders>
            <w:noWrap w:val="0"/>
            <w:vAlign w:val="top"/>
          </w:tcPr>
          <w:p w14:paraId="1A351CA8">
            <w:pPr>
              <w:keepNext w:val="0"/>
              <w:keepLines w:val="0"/>
              <w:pageBreakBefore w:val="0"/>
              <w:tabs>
                <w:tab w:val="left" w:pos="8445"/>
              </w:tabs>
              <w:kinsoku/>
              <w:wordWrap/>
              <w:overflowPunct/>
              <w:topLinePunct w:val="0"/>
              <w:bidi w:val="0"/>
              <w:spacing w:line="360" w:lineRule="auto"/>
              <w:ind w:firstLine="422" w:firstLineChars="200"/>
              <w:rPr>
                <w:rFonts w:hint="eastAsia" w:ascii="宋体" w:hAnsi="宋体" w:eastAsia="宋体" w:cs="宋体"/>
                <w:color w:val="auto"/>
                <w:sz w:val="21"/>
                <w:szCs w:val="21"/>
                <w:highlight w:val="none"/>
                <w:lang w:val="zh-CN"/>
              </w:rPr>
            </w:pPr>
            <w:r>
              <w:rPr>
                <w:rFonts w:hint="eastAsia" w:ascii="宋体" w:hAnsi="宋体" w:eastAsia="宋体" w:cs="宋体"/>
                <w:b/>
                <w:color w:val="auto"/>
                <w:sz w:val="21"/>
                <w:szCs w:val="21"/>
                <w:highlight w:val="none"/>
              </w:rPr>
              <w:t>分标3（参与工程项目造价审核工作）：</w:t>
            </w:r>
          </w:p>
          <w:p w14:paraId="5368D9B0">
            <w:pPr>
              <w:keepNext w:val="0"/>
              <w:keepLines w:val="0"/>
              <w:pageBreakBefore w:val="0"/>
              <w:tabs>
                <w:tab w:val="left" w:pos="8445"/>
              </w:tabs>
              <w:kinsoku/>
              <w:wordWrap/>
              <w:overflowPunct/>
              <w:topLinePunct w:val="0"/>
              <w:bidi w:val="0"/>
              <w:spacing w:line="360" w:lineRule="auto"/>
              <w:ind w:firstLine="422" w:firstLineChars="200"/>
              <w:rPr>
                <w:rFonts w:hint="eastAsia" w:ascii="宋体" w:hAnsi="宋体" w:eastAsia="宋体" w:cs="宋体"/>
                <w:b/>
                <w:bCs/>
                <w:color w:val="auto"/>
                <w:sz w:val="21"/>
                <w:szCs w:val="21"/>
                <w:highlight w:val="none"/>
                <w:shd w:val="clear" w:color="auto" w:fill="FFFFFF"/>
                <w:lang w:val="zh-CN"/>
              </w:rPr>
            </w:pPr>
            <w:r>
              <w:rPr>
                <w:rFonts w:hint="eastAsia" w:ascii="宋体" w:hAnsi="宋体" w:eastAsia="宋体" w:cs="宋体"/>
                <w:b/>
                <w:bCs/>
                <w:color w:val="auto"/>
                <w:sz w:val="21"/>
                <w:szCs w:val="21"/>
                <w:highlight w:val="none"/>
                <w:shd w:val="clear" w:color="auto" w:fill="FFFFFF"/>
                <w:lang w:val="zh-CN"/>
              </w:rPr>
              <w:t>1.部门支出预算、概算、预算控制价、施工图预算审核</w:t>
            </w:r>
          </w:p>
          <w:p w14:paraId="09B8BFB3">
            <w:pPr>
              <w:keepNext w:val="0"/>
              <w:keepLines w:val="0"/>
              <w:pageBreakBefore w:val="0"/>
              <w:tabs>
                <w:tab w:val="left" w:pos="8445"/>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shd w:val="clear" w:color="auto" w:fill="FFFFFF"/>
                <w:lang w:val="zh-CN"/>
              </w:rPr>
            </w:pPr>
            <w:r>
              <w:rPr>
                <w:rFonts w:hint="eastAsia" w:ascii="宋体" w:hAnsi="宋体" w:eastAsia="宋体" w:cs="宋体"/>
                <w:color w:val="auto"/>
                <w:sz w:val="21"/>
                <w:szCs w:val="21"/>
                <w:highlight w:val="none"/>
                <w:shd w:val="clear" w:color="auto" w:fill="FFFFFF"/>
                <w:lang w:val="zh-CN"/>
              </w:rPr>
              <w:t>服务费＝基本付费额×调整系数（按第</w:t>
            </w:r>
            <w:r>
              <w:rPr>
                <w:rFonts w:hint="eastAsia" w:ascii="宋体" w:hAnsi="宋体" w:eastAsia="宋体" w:cs="宋体"/>
                <w:color w:val="auto"/>
                <w:sz w:val="21"/>
                <w:szCs w:val="21"/>
                <w:highlight w:val="none"/>
                <w:shd w:val="clear" w:color="auto" w:fill="FFFFFF"/>
                <w:lang w:val="en-US" w:eastAsia="zh-CN"/>
              </w:rPr>
              <w:t>4</w:t>
            </w:r>
            <w:r>
              <w:rPr>
                <w:rFonts w:hint="eastAsia" w:ascii="宋体" w:hAnsi="宋体" w:eastAsia="宋体" w:cs="宋体"/>
                <w:color w:val="auto"/>
                <w:sz w:val="21"/>
                <w:szCs w:val="21"/>
                <w:highlight w:val="none"/>
                <w:shd w:val="clear" w:color="auto" w:fill="FFFFFF"/>
                <w:lang w:val="zh-CN"/>
              </w:rPr>
              <w:t>点A、B、C计算）</w:t>
            </w:r>
          </w:p>
          <w:p w14:paraId="7E71A08F">
            <w:pPr>
              <w:keepNext w:val="0"/>
              <w:keepLines w:val="0"/>
              <w:pageBreakBefore w:val="0"/>
              <w:tabs>
                <w:tab w:val="left" w:pos="8445"/>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shd w:val="clear" w:color="auto" w:fill="FFFFFF"/>
                <w:lang w:val="zh-CN"/>
              </w:rPr>
            </w:pPr>
            <w:r>
              <w:rPr>
                <w:rFonts w:hint="eastAsia" w:ascii="宋体" w:hAnsi="宋体" w:eastAsia="宋体" w:cs="宋体"/>
                <w:color w:val="auto"/>
                <w:sz w:val="21"/>
                <w:szCs w:val="21"/>
                <w:highlight w:val="none"/>
                <w:shd w:val="clear" w:color="auto" w:fill="FFFFFF"/>
                <w:lang w:val="zh-CN"/>
              </w:rPr>
              <w:t>（1）基本付费额：以单项工程送审金额按超额累进方法计算：</w:t>
            </w:r>
          </w:p>
          <w:tbl>
            <w:tblPr>
              <w:tblStyle w:val="5"/>
              <w:tblW w:w="9475" w:type="dxa"/>
              <w:jc w:val="center"/>
              <w:tblLayout w:type="fixed"/>
              <w:tblCellMar>
                <w:top w:w="0" w:type="dxa"/>
                <w:left w:w="0" w:type="dxa"/>
                <w:bottom w:w="0" w:type="dxa"/>
                <w:right w:w="0" w:type="dxa"/>
              </w:tblCellMar>
            </w:tblPr>
            <w:tblGrid>
              <w:gridCol w:w="478"/>
              <w:gridCol w:w="3691"/>
              <w:gridCol w:w="724"/>
              <w:gridCol w:w="1017"/>
              <w:gridCol w:w="3565"/>
            </w:tblGrid>
            <w:tr w14:paraId="571BA58C">
              <w:tblPrEx>
                <w:tblCellMar>
                  <w:top w:w="0" w:type="dxa"/>
                  <w:left w:w="0" w:type="dxa"/>
                  <w:bottom w:w="0" w:type="dxa"/>
                  <w:right w:w="0" w:type="dxa"/>
                </w:tblCellMar>
              </w:tblPrEx>
              <w:trPr>
                <w:cantSplit/>
                <w:trHeight w:val="555" w:hRule="atLeast"/>
                <w:jc w:val="center"/>
              </w:trPr>
              <w:tc>
                <w:tcPr>
                  <w:tcW w:w="478" w:type="dxa"/>
                  <w:vMerge w:val="restart"/>
                  <w:tcBorders>
                    <w:top w:val="single" w:color="auto" w:sz="4" w:space="0"/>
                    <w:left w:val="single" w:color="auto" w:sz="4" w:space="0"/>
                    <w:bottom w:val="single" w:color="000000" w:sz="4" w:space="0"/>
                    <w:right w:val="single" w:color="auto" w:sz="4" w:space="0"/>
                  </w:tcBorders>
                  <w:noWrap w:val="0"/>
                  <w:tcMar>
                    <w:top w:w="15" w:type="dxa"/>
                    <w:left w:w="15" w:type="dxa"/>
                    <w:bottom w:w="0" w:type="dxa"/>
                    <w:right w:w="15" w:type="dxa"/>
                  </w:tcMar>
                  <w:vAlign w:val="center"/>
                </w:tcPr>
                <w:p w14:paraId="0279E967">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3691" w:type="dxa"/>
                  <w:vMerge w:val="restart"/>
                  <w:tcBorders>
                    <w:top w:val="single" w:color="auto" w:sz="4" w:space="0"/>
                    <w:left w:val="single" w:color="auto" w:sz="4" w:space="0"/>
                    <w:bottom w:val="single" w:color="000000" w:sz="4" w:space="0"/>
                    <w:right w:val="single" w:color="auto" w:sz="4" w:space="0"/>
                  </w:tcBorders>
                  <w:noWrap w:val="0"/>
                  <w:tcMar>
                    <w:top w:w="15" w:type="dxa"/>
                    <w:left w:w="15" w:type="dxa"/>
                    <w:bottom w:w="0" w:type="dxa"/>
                    <w:right w:w="15" w:type="dxa"/>
                  </w:tcMar>
                  <w:vAlign w:val="center"/>
                </w:tcPr>
                <w:p w14:paraId="4B630E11">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送审金额（万元）</w:t>
                  </w:r>
                </w:p>
              </w:tc>
              <w:tc>
                <w:tcPr>
                  <w:tcW w:w="724" w:type="dxa"/>
                  <w:vMerge w:val="restart"/>
                  <w:tcBorders>
                    <w:top w:val="single" w:color="auto" w:sz="4" w:space="0"/>
                    <w:left w:val="single" w:color="auto" w:sz="4" w:space="0"/>
                    <w:bottom w:val="single" w:color="000000" w:sz="4" w:space="0"/>
                    <w:right w:val="single" w:color="auto" w:sz="4" w:space="0"/>
                  </w:tcBorders>
                  <w:noWrap w:val="0"/>
                  <w:tcMar>
                    <w:top w:w="15" w:type="dxa"/>
                    <w:left w:w="15" w:type="dxa"/>
                    <w:bottom w:w="0" w:type="dxa"/>
                    <w:right w:w="15" w:type="dxa"/>
                  </w:tcMar>
                  <w:vAlign w:val="center"/>
                </w:tcPr>
                <w:p w14:paraId="62B735A2">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计算比例（‰）</w:t>
                  </w:r>
                </w:p>
              </w:tc>
              <w:tc>
                <w:tcPr>
                  <w:tcW w:w="4582" w:type="dxa"/>
                  <w:gridSpan w:val="2"/>
                  <w:tcBorders>
                    <w:top w:val="single" w:color="auto" w:sz="4" w:space="0"/>
                    <w:left w:val="nil"/>
                    <w:bottom w:val="single" w:color="auto" w:sz="4" w:space="0"/>
                    <w:right w:val="single" w:color="000000" w:sz="4" w:space="0"/>
                  </w:tcBorders>
                  <w:noWrap w:val="0"/>
                  <w:tcMar>
                    <w:top w:w="15" w:type="dxa"/>
                    <w:left w:w="15" w:type="dxa"/>
                    <w:bottom w:w="0" w:type="dxa"/>
                    <w:right w:w="15" w:type="dxa"/>
                  </w:tcMar>
                  <w:vAlign w:val="center"/>
                </w:tcPr>
                <w:p w14:paraId="434CB468">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计算举例 </w:t>
                  </w:r>
                </w:p>
              </w:tc>
            </w:tr>
            <w:tr w14:paraId="53B62B02">
              <w:tblPrEx>
                <w:tblCellMar>
                  <w:top w:w="0" w:type="dxa"/>
                  <w:left w:w="0" w:type="dxa"/>
                  <w:bottom w:w="0" w:type="dxa"/>
                  <w:right w:w="0" w:type="dxa"/>
                </w:tblCellMar>
              </w:tblPrEx>
              <w:trPr>
                <w:cantSplit/>
                <w:trHeight w:val="360" w:hRule="atLeast"/>
                <w:jc w:val="center"/>
              </w:trPr>
              <w:tc>
                <w:tcPr>
                  <w:tcW w:w="478" w:type="dxa"/>
                  <w:vMerge w:val="continue"/>
                  <w:tcBorders>
                    <w:top w:val="single" w:color="auto" w:sz="4" w:space="0"/>
                    <w:left w:val="single" w:color="auto" w:sz="4" w:space="0"/>
                    <w:bottom w:val="single" w:color="000000" w:sz="4" w:space="0"/>
                    <w:right w:val="single" w:color="auto" w:sz="4" w:space="0"/>
                  </w:tcBorders>
                  <w:noWrap w:val="0"/>
                  <w:vAlign w:val="center"/>
                </w:tcPr>
                <w:p w14:paraId="6DCE47C8">
                  <w:pPr>
                    <w:keepNext w:val="0"/>
                    <w:keepLines w:val="0"/>
                    <w:pageBreakBefore w:val="0"/>
                    <w:widowControl/>
                    <w:kinsoku/>
                    <w:wordWrap/>
                    <w:overflowPunct/>
                    <w:topLinePunct w:val="0"/>
                    <w:bidi w:val="0"/>
                    <w:spacing w:line="360" w:lineRule="auto"/>
                    <w:jc w:val="left"/>
                    <w:rPr>
                      <w:rFonts w:hint="eastAsia" w:ascii="宋体" w:hAnsi="宋体" w:eastAsia="宋体" w:cs="宋体"/>
                      <w:color w:val="auto"/>
                      <w:sz w:val="21"/>
                      <w:szCs w:val="21"/>
                      <w:highlight w:val="none"/>
                    </w:rPr>
                  </w:pPr>
                </w:p>
              </w:tc>
              <w:tc>
                <w:tcPr>
                  <w:tcW w:w="3691" w:type="dxa"/>
                  <w:vMerge w:val="continue"/>
                  <w:tcBorders>
                    <w:top w:val="single" w:color="auto" w:sz="4" w:space="0"/>
                    <w:left w:val="single" w:color="auto" w:sz="4" w:space="0"/>
                    <w:bottom w:val="single" w:color="000000" w:sz="4" w:space="0"/>
                    <w:right w:val="single" w:color="auto" w:sz="4" w:space="0"/>
                  </w:tcBorders>
                  <w:noWrap w:val="0"/>
                  <w:vAlign w:val="center"/>
                </w:tcPr>
                <w:p w14:paraId="74E8D6AB">
                  <w:pPr>
                    <w:keepNext w:val="0"/>
                    <w:keepLines w:val="0"/>
                    <w:pageBreakBefore w:val="0"/>
                    <w:widowControl/>
                    <w:kinsoku/>
                    <w:wordWrap/>
                    <w:overflowPunct/>
                    <w:topLinePunct w:val="0"/>
                    <w:bidi w:val="0"/>
                    <w:spacing w:line="360" w:lineRule="auto"/>
                    <w:jc w:val="left"/>
                    <w:rPr>
                      <w:rFonts w:hint="eastAsia" w:ascii="宋体" w:hAnsi="宋体" w:eastAsia="宋体" w:cs="宋体"/>
                      <w:color w:val="auto"/>
                      <w:sz w:val="21"/>
                      <w:szCs w:val="21"/>
                      <w:highlight w:val="none"/>
                    </w:rPr>
                  </w:pPr>
                </w:p>
              </w:tc>
              <w:tc>
                <w:tcPr>
                  <w:tcW w:w="724" w:type="dxa"/>
                  <w:vMerge w:val="continue"/>
                  <w:tcBorders>
                    <w:top w:val="single" w:color="auto" w:sz="4" w:space="0"/>
                    <w:left w:val="single" w:color="auto" w:sz="4" w:space="0"/>
                    <w:bottom w:val="single" w:color="000000" w:sz="4" w:space="0"/>
                    <w:right w:val="single" w:color="auto" w:sz="4" w:space="0"/>
                  </w:tcBorders>
                  <w:noWrap w:val="0"/>
                  <w:vAlign w:val="center"/>
                </w:tcPr>
                <w:p w14:paraId="7A095617">
                  <w:pPr>
                    <w:keepNext w:val="0"/>
                    <w:keepLines w:val="0"/>
                    <w:pageBreakBefore w:val="0"/>
                    <w:widowControl/>
                    <w:kinsoku/>
                    <w:wordWrap/>
                    <w:overflowPunct/>
                    <w:topLinePunct w:val="0"/>
                    <w:bidi w:val="0"/>
                    <w:spacing w:line="360" w:lineRule="auto"/>
                    <w:jc w:val="left"/>
                    <w:rPr>
                      <w:rFonts w:hint="eastAsia" w:ascii="宋体" w:hAnsi="宋体" w:eastAsia="宋体" w:cs="宋体"/>
                      <w:color w:val="auto"/>
                      <w:sz w:val="21"/>
                      <w:szCs w:val="21"/>
                      <w:highlight w:val="none"/>
                    </w:rPr>
                  </w:pPr>
                </w:p>
              </w:tc>
              <w:tc>
                <w:tcPr>
                  <w:tcW w:w="1017"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AAFFEA8">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送审金额</w:t>
                  </w:r>
                </w:p>
              </w:tc>
              <w:tc>
                <w:tcPr>
                  <w:tcW w:w="356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A93E752">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基本付费额 （元）</w:t>
                  </w:r>
                </w:p>
              </w:tc>
            </w:tr>
            <w:tr w14:paraId="5C9D627E">
              <w:tblPrEx>
                <w:tblCellMar>
                  <w:top w:w="0" w:type="dxa"/>
                  <w:left w:w="0" w:type="dxa"/>
                  <w:bottom w:w="0" w:type="dxa"/>
                  <w:right w:w="0" w:type="dxa"/>
                </w:tblCellMar>
              </w:tblPrEx>
              <w:trPr>
                <w:trHeight w:val="567" w:hRule="atLeast"/>
                <w:jc w:val="center"/>
              </w:trPr>
              <w:tc>
                <w:tcPr>
                  <w:tcW w:w="478"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B613E80">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69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61F4C42">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200万元以</w:t>
                  </w:r>
                  <w:r>
                    <w:rPr>
                      <w:rFonts w:hint="eastAsia" w:ascii="宋体" w:hAnsi="宋体" w:eastAsia="宋体" w:cs="宋体"/>
                      <w:color w:val="auto"/>
                      <w:sz w:val="21"/>
                      <w:szCs w:val="21"/>
                      <w:highlight w:val="none"/>
                      <w:lang w:val="zh-CN"/>
                    </w:rPr>
                    <w:t>下（含200万元）</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C4E6C34">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1017"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34ABF32">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200万元</w:t>
                  </w:r>
                </w:p>
              </w:tc>
              <w:tc>
                <w:tcPr>
                  <w:tcW w:w="356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4DAB21D">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200万×1.5‰=3000</w:t>
                  </w:r>
                </w:p>
              </w:tc>
            </w:tr>
            <w:tr w14:paraId="7479DAB2">
              <w:tblPrEx>
                <w:tblCellMar>
                  <w:top w:w="0" w:type="dxa"/>
                  <w:left w:w="0" w:type="dxa"/>
                  <w:bottom w:w="0" w:type="dxa"/>
                  <w:right w:w="0" w:type="dxa"/>
                </w:tblCellMar>
              </w:tblPrEx>
              <w:trPr>
                <w:trHeight w:val="567" w:hRule="atLeast"/>
                <w:jc w:val="center"/>
              </w:trPr>
              <w:tc>
                <w:tcPr>
                  <w:tcW w:w="478"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7FC6E7C">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69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2C85606">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不含</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至500万</w:t>
                  </w:r>
                  <w:r>
                    <w:rPr>
                      <w:rFonts w:hint="eastAsia" w:ascii="宋体" w:hAnsi="宋体" w:eastAsia="宋体" w:cs="宋体"/>
                      <w:color w:val="auto"/>
                      <w:sz w:val="21"/>
                      <w:szCs w:val="21"/>
                      <w:highlight w:val="none"/>
                      <w:lang w:val="zh-CN"/>
                    </w:rPr>
                    <w:t>元（含500万元）</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978606A">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1017"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B56F9A2">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500万元</w:t>
                  </w:r>
                </w:p>
              </w:tc>
              <w:tc>
                <w:tcPr>
                  <w:tcW w:w="356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02A2975">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3000+(500万-200万)×1.2‰=6600</w:t>
                  </w:r>
                </w:p>
              </w:tc>
            </w:tr>
            <w:tr w14:paraId="048BACDA">
              <w:tblPrEx>
                <w:tblCellMar>
                  <w:top w:w="0" w:type="dxa"/>
                  <w:left w:w="0" w:type="dxa"/>
                  <w:bottom w:w="0" w:type="dxa"/>
                  <w:right w:w="0" w:type="dxa"/>
                </w:tblCellMar>
              </w:tblPrEx>
              <w:trPr>
                <w:trHeight w:val="567" w:hRule="atLeast"/>
                <w:jc w:val="center"/>
              </w:trPr>
              <w:tc>
                <w:tcPr>
                  <w:tcW w:w="478"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2DBADAF">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369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215A8AB">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不含</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至1000万元</w:t>
                  </w:r>
                  <w:r>
                    <w:rPr>
                      <w:rFonts w:hint="eastAsia" w:ascii="宋体" w:hAnsi="宋体" w:eastAsia="宋体" w:cs="宋体"/>
                      <w:color w:val="auto"/>
                      <w:sz w:val="21"/>
                      <w:szCs w:val="21"/>
                      <w:highlight w:val="none"/>
                      <w:lang w:val="zh-CN"/>
                    </w:rPr>
                    <w:t>（含1000万元）</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141E5C5">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0.9</w:t>
                  </w:r>
                </w:p>
              </w:tc>
              <w:tc>
                <w:tcPr>
                  <w:tcW w:w="1017"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CEF25C2">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1000万元</w:t>
                  </w:r>
                </w:p>
              </w:tc>
              <w:tc>
                <w:tcPr>
                  <w:tcW w:w="356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323C1A2">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6600+(1000万-500万)×0.9‰=11100</w:t>
                  </w:r>
                </w:p>
              </w:tc>
            </w:tr>
            <w:tr w14:paraId="5B634079">
              <w:tblPrEx>
                <w:tblCellMar>
                  <w:top w:w="0" w:type="dxa"/>
                  <w:left w:w="0" w:type="dxa"/>
                  <w:bottom w:w="0" w:type="dxa"/>
                  <w:right w:w="0" w:type="dxa"/>
                </w:tblCellMar>
              </w:tblPrEx>
              <w:trPr>
                <w:trHeight w:val="567" w:hRule="atLeast"/>
                <w:jc w:val="center"/>
              </w:trPr>
              <w:tc>
                <w:tcPr>
                  <w:tcW w:w="478"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B119AB6">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369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9F14143">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不含</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至3000万元</w:t>
                  </w:r>
                  <w:r>
                    <w:rPr>
                      <w:rFonts w:hint="eastAsia" w:ascii="宋体" w:hAnsi="宋体" w:eastAsia="宋体" w:cs="宋体"/>
                      <w:color w:val="auto"/>
                      <w:sz w:val="21"/>
                      <w:szCs w:val="21"/>
                      <w:highlight w:val="none"/>
                      <w:lang w:val="zh-CN"/>
                    </w:rPr>
                    <w:t>（含3000万元）</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5F47BAB">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0.7</w:t>
                  </w:r>
                </w:p>
              </w:tc>
              <w:tc>
                <w:tcPr>
                  <w:tcW w:w="1017"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0A74E4D">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3000万元</w:t>
                  </w:r>
                </w:p>
              </w:tc>
              <w:tc>
                <w:tcPr>
                  <w:tcW w:w="356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7032616">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11100+(3000万-1000万)×0.7‰=25100</w:t>
                  </w:r>
                </w:p>
              </w:tc>
            </w:tr>
            <w:tr w14:paraId="427C5F0D">
              <w:tblPrEx>
                <w:tblCellMar>
                  <w:top w:w="0" w:type="dxa"/>
                  <w:left w:w="0" w:type="dxa"/>
                  <w:bottom w:w="0" w:type="dxa"/>
                  <w:right w:w="0" w:type="dxa"/>
                </w:tblCellMar>
              </w:tblPrEx>
              <w:trPr>
                <w:trHeight w:val="567" w:hRule="atLeast"/>
                <w:jc w:val="center"/>
              </w:trPr>
              <w:tc>
                <w:tcPr>
                  <w:tcW w:w="478"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DB1114F">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369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DDEB55A">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3000</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不含</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至5000万元</w:t>
                  </w:r>
                  <w:r>
                    <w:rPr>
                      <w:rFonts w:hint="eastAsia" w:ascii="宋体" w:hAnsi="宋体" w:eastAsia="宋体" w:cs="宋体"/>
                      <w:color w:val="auto"/>
                      <w:sz w:val="21"/>
                      <w:szCs w:val="21"/>
                      <w:highlight w:val="none"/>
                      <w:lang w:val="zh-CN"/>
                    </w:rPr>
                    <w:t>（含5000万元）</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02018B4">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0.6</w:t>
                  </w:r>
                </w:p>
              </w:tc>
              <w:tc>
                <w:tcPr>
                  <w:tcW w:w="1017"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9BEF036">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5000万元</w:t>
                  </w:r>
                </w:p>
              </w:tc>
              <w:tc>
                <w:tcPr>
                  <w:tcW w:w="356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1FC1334">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25100+(5000万-3000万)×0.6‰=37100</w:t>
                  </w:r>
                </w:p>
              </w:tc>
            </w:tr>
            <w:tr w14:paraId="22C65DB1">
              <w:tblPrEx>
                <w:tblCellMar>
                  <w:top w:w="0" w:type="dxa"/>
                  <w:left w:w="0" w:type="dxa"/>
                  <w:bottom w:w="0" w:type="dxa"/>
                  <w:right w:w="0" w:type="dxa"/>
                </w:tblCellMar>
              </w:tblPrEx>
              <w:trPr>
                <w:trHeight w:val="567" w:hRule="atLeast"/>
                <w:jc w:val="center"/>
              </w:trPr>
              <w:tc>
                <w:tcPr>
                  <w:tcW w:w="478"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4A8820D">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369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3E3FE5F">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不含</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至10000万元</w:t>
                  </w:r>
                  <w:r>
                    <w:rPr>
                      <w:rFonts w:hint="eastAsia" w:ascii="宋体" w:hAnsi="宋体" w:eastAsia="宋体" w:cs="宋体"/>
                      <w:color w:val="auto"/>
                      <w:sz w:val="21"/>
                      <w:szCs w:val="21"/>
                      <w:highlight w:val="none"/>
                      <w:lang w:val="zh-CN"/>
                    </w:rPr>
                    <w:t>（含10000万元）</w:t>
                  </w:r>
                </w:p>
              </w:tc>
              <w:tc>
                <w:tcPr>
                  <w:tcW w:w="72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919EF47">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0.4</w:t>
                  </w:r>
                </w:p>
              </w:tc>
              <w:tc>
                <w:tcPr>
                  <w:tcW w:w="1017"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02563D6">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10000万元</w:t>
                  </w:r>
                </w:p>
              </w:tc>
              <w:tc>
                <w:tcPr>
                  <w:tcW w:w="356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FD9B329">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37100+(10000万-5000万)×0.4‰=57100</w:t>
                  </w:r>
                </w:p>
              </w:tc>
            </w:tr>
            <w:tr w14:paraId="055CAC7C">
              <w:tblPrEx>
                <w:tblCellMar>
                  <w:top w:w="0" w:type="dxa"/>
                  <w:left w:w="0" w:type="dxa"/>
                  <w:bottom w:w="0" w:type="dxa"/>
                  <w:right w:w="0" w:type="dxa"/>
                </w:tblCellMar>
              </w:tblPrEx>
              <w:trPr>
                <w:trHeight w:val="567" w:hRule="atLeast"/>
                <w:jc w:val="center"/>
              </w:trPr>
              <w:tc>
                <w:tcPr>
                  <w:tcW w:w="47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F52C991">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369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B84FB26">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10000</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不含</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至30000万</w:t>
                  </w:r>
                  <w:r>
                    <w:rPr>
                      <w:rFonts w:hint="eastAsia" w:ascii="宋体" w:hAnsi="宋体" w:eastAsia="宋体" w:cs="宋体"/>
                      <w:color w:val="auto"/>
                      <w:sz w:val="21"/>
                      <w:szCs w:val="21"/>
                      <w:highlight w:val="none"/>
                      <w:lang w:val="zh-CN"/>
                    </w:rPr>
                    <w:t>元（含3000</w:t>
                  </w:r>
                  <w:r>
                    <w:rPr>
                      <w:rFonts w:hint="eastAsia" w:ascii="宋体" w:hAnsi="宋体" w:eastAsia="宋体" w:cs="宋体"/>
                      <w:color w:val="auto"/>
                      <w:sz w:val="21"/>
                      <w:szCs w:val="21"/>
                      <w:highlight w:val="none"/>
                    </w:rPr>
                    <w:t>0万元）</w:t>
                  </w:r>
                </w:p>
              </w:tc>
              <w:tc>
                <w:tcPr>
                  <w:tcW w:w="72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70505FD">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0.3</w:t>
                  </w:r>
                </w:p>
              </w:tc>
              <w:tc>
                <w:tcPr>
                  <w:tcW w:w="101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21AE71A">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30000万元</w:t>
                  </w:r>
                </w:p>
              </w:tc>
              <w:tc>
                <w:tcPr>
                  <w:tcW w:w="356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F4588D5">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57100+(30000万-10000万)×0.3‰=117100</w:t>
                  </w:r>
                </w:p>
              </w:tc>
            </w:tr>
            <w:tr w14:paraId="2333D525">
              <w:tblPrEx>
                <w:tblCellMar>
                  <w:top w:w="0" w:type="dxa"/>
                  <w:left w:w="0" w:type="dxa"/>
                  <w:bottom w:w="0" w:type="dxa"/>
                  <w:right w:w="0" w:type="dxa"/>
                </w:tblCellMar>
              </w:tblPrEx>
              <w:trPr>
                <w:trHeight w:val="567" w:hRule="atLeast"/>
                <w:jc w:val="center"/>
              </w:trPr>
              <w:tc>
                <w:tcPr>
                  <w:tcW w:w="47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11D72CA">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369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9D422A7">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30000万元</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不含</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以上</w:t>
                  </w:r>
                </w:p>
              </w:tc>
              <w:tc>
                <w:tcPr>
                  <w:tcW w:w="72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71023D6">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0.1</w:t>
                  </w:r>
                </w:p>
              </w:tc>
              <w:tc>
                <w:tcPr>
                  <w:tcW w:w="101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D276C73">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50000万元</w:t>
                  </w:r>
                </w:p>
              </w:tc>
              <w:tc>
                <w:tcPr>
                  <w:tcW w:w="356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69342EA">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117100+(50000万-30000万)×0.1‰=137100</w:t>
                  </w:r>
                </w:p>
              </w:tc>
            </w:tr>
          </w:tbl>
          <w:p w14:paraId="46674EFF">
            <w:pPr>
              <w:keepNext w:val="0"/>
              <w:keepLines w:val="0"/>
              <w:pageBreakBefore w:val="0"/>
              <w:widowControl w:val="0"/>
              <w:tabs>
                <w:tab w:val="left" w:pos="8445"/>
              </w:tabs>
              <w:kinsoku/>
              <w:wordWrap/>
              <w:overflowPunct/>
              <w:topLinePunct w:val="0"/>
              <w:autoSpaceDE/>
              <w:autoSpaceDN/>
              <w:bidi w:val="0"/>
              <w:adjustRightInd/>
              <w:snapToGrid/>
              <w:spacing w:before="164" w:beforeLines="50" w:line="360" w:lineRule="auto"/>
              <w:ind w:firstLine="420" w:firstLineChars="200"/>
              <w:textAlignment w:val="auto"/>
              <w:rPr>
                <w:rFonts w:hint="eastAsia" w:ascii="宋体" w:hAnsi="宋体" w:eastAsia="宋体" w:cs="宋体"/>
                <w:color w:val="auto"/>
                <w:sz w:val="21"/>
                <w:szCs w:val="21"/>
                <w:highlight w:val="none"/>
                <w:shd w:val="clear" w:color="auto" w:fill="FFFFFF"/>
                <w:lang w:val="zh-CN"/>
              </w:rPr>
            </w:pPr>
            <w:r>
              <w:rPr>
                <w:rFonts w:hint="eastAsia" w:ascii="宋体" w:hAnsi="宋体" w:eastAsia="宋体" w:cs="宋体"/>
                <w:color w:val="auto"/>
                <w:sz w:val="21"/>
                <w:szCs w:val="21"/>
                <w:highlight w:val="none"/>
                <w:shd w:val="clear" w:color="auto" w:fill="FFFFFF"/>
                <w:lang w:val="zh-CN"/>
              </w:rPr>
              <w:t>（2）概算基本付费额按送审建安费为基数计算。</w:t>
            </w:r>
          </w:p>
          <w:p w14:paraId="772F37EC">
            <w:pPr>
              <w:keepNext w:val="0"/>
              <w:keepLines w:val="0"/>
              <w:pageBreakBefore w:val="0"/>
              <w:tabs>
                <w:tab w:val="left" w:pos="8445"/>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shd w:val="clear" w:color="auto" w:fill="FFFFFF"/>
                <w:lang w:val="zh-CN"/>
              </w:rPr>
            </w:pPr>
          </w:p>
          <w:p w14:paraId="79419A13">
            <w:pPr>
              <w:keepNext w:val="0"/>
              <w:keepLines w:val="0"/>
              <w:pageBreakBefore w:val="0"/>
              <w:tabs>
                <w:tab w:val="left" w:pos="8445"/>
              </w:tabs>
              <w:kinsoku/>
              <w:wordWrap/>
              <w:overflowPunct/>
              <w:topLinePunct w:val="0"/>
              <w:bidi w:val="0"/>
              <w:spacing w:line="360" w:lineRule="auto"/>
              <w:ind w:firstLine="422" w:firstLineChars="200"/>
              <w:rPr>
                <w:rFonts w:hint="eastAsia" w:ascii="宋体" w:hAnsi="宋体" w:eastAsia="宋体" w:cs="宋体"/>
                <w:b/>
                <w:bCs/>
                <w:color w:val="auto"/>
                <w:sz w:val="21"/>
                <w:szCs w:val="21"/>
                <w:highlight w:val="none"/>
                <w:shd w:val="clear" w:color="auto" w:fill="FFFFFF"/>
                <w:lang w:val="zh-CN"/>
              </w:rPr>
            </w:pPr>
            <w:r>
              <w:rPr>
                <w:rFonts w:hint="eastAsia" w:ascii="宋体" w:hAnsi="宋体" w:eastAsia="宋体" w:cs="宋体"/>
                <w:b/>
                <w:bCs/>
                <w:color w:val="auto"/>
                <w:sz w:val="21"/>
                <w:szCs w:val="21"/>
                <w:highlight w:val="none"/>
                <w:shd w:val="clear" w:color="auto" w:fill="FFFFFF"/>
                <w:lang w:val="zh-CN"/>
              </w:rPr>
              <w:t>2.结算审核项目（含工程造价分析及专项审核结算）</w:t>
            </w:r>
          </w:p>
          <w:p w14:paraId="638963B9">
            <w:pPr>
              <w:keepNext w:val="0"/>
              <w:keepLines w:val="0"/>
              <w:pageBreakBefore w:val="0"/>
              <w:tabs>
                <w:tab w:val="left" w:pos="8445"/>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shd w:val="clear" w:color="auto" w:fill="FFFFFF"/>
                <w:lang w:val="zh-CN"/>
              </w:rPr>
            </w:pPr>
            <w:r>
              <w:rPr>
                <w:rFonts w:hint="eastAsia" w:ascii="宋体" w:hAnsi="宋体" w:eastAsia="宋体" w:cs="宋体"/>
                <w:color w:val="auto"/>
                <w:sz w:val="21"/>
                <w:szCs w:val="21"/>
                <w:highlight w:val="none"/>
                <w:shd w:val="clear" w:color="auto" w:fill="FFFFFF"/>
                <w:lang w:val="zh-CN"/>
              </w:rPr>
              <w:t>服务费=（基本付费额+核减付费额）×调整系数（按第</w:t>
            </w:r>
            <w:r>
              <w:rPr>
                <w:rFonts w:hint="eastAsia" w:ascii="宋体" w:hAnsi="宋体" w:eastAsia="宋体" w:cs="宋体"/>
                <w:color w:val="auto"/>
                <w:sz w:val="21"/>
                <w:szCs w:val="21"/>
                <w:highlight w:val="none"/>
                <w:shd w:val="clear" w:color="auto" w:fill="FFFFFF"/>
                <w:lang w:val="en-US" w:eastAsia="zh-CN"/>
              </w:rPr>
              <w:t>4</w:t>
            </w:r>
            <w:r>
              <w:rPr>
                <w:rFonts w:hint="eastAsia" w:ascii="宋体" w:hAnsi="宋体" w:eastAsia="宋体" w:cs="宋体"/>
                <w:color w:val="auto"/>
                <w:sz w:val="21"/>
                <w:szCs w:val="21"/>
                <w:highlight w:val="none"/>
                <w:shd w:val="clear" w:color="auto" w:fill="FFFFFF"/>
                <w:lang w:val="zh-CN"/>
              </w:rPr>
              <w:t>点A、B、C计算）</w:t>
            </w:r>
          </w:p>
          <w:p w14:paraId="469D0155">
            <w:pPr>
              <w:keepNext w:val="0"/>
              <w:keepLines w:val="0"/>
              <w:pageBreakBefore w:val="0"/>
              <w:tabs>
                <w:tab w:val="left" w:pos="8445"/>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shd w:val="clear" w:color="auto" w:fill="FFFFFF"/>
                <w:lang w:val="zh-CN"/>
              </w:rPr>
            </w:pPr>
            <w:r>
              <w:rPr>
                <w:rFonts w:hint="eastAsia" w:ascii="宋体" w:hAnsi="宋体" w:eastAsia="宋体" w:cs="宋体"/>
                <w:color w:val="auto"/>
                <w:sz w:val="21"/>
                <w:szCs w:val="21"/>
                <w:highlight w:val="none"/>
                <w:shd w:val="clear" w:color="auto" w:fill="FFFFFF"/>
                <w:lang w:val="zh-CN"/>
              </w:rPr>
              <w:t>（1）基本付费额：以单项工程送审金额按超额累进方法计算</w:t>
            </w:r>
          </w:p>
          <w:tbl>
            <w:tblPr>
              <w:tblStyle w:val="5"/>
              <w:tblW w:w="94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88"/>
              <w:gridCol w:w="3457"/>
              <w:gridCol w:w="720"/>
              <w:gridCol w:w="1086"/>
              <w:gridCol w:w="3659"/>
            </w:tblGrid>
            <w:tr w14:paraId="6E115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55" w:hRule="atLeast"/>
                <w:jc w:val="center"/>
              </w:trPr>
              <w:tc>
                <w:tcPr>
                  <w:tcW w:w="488" w:type="dxa"/>
                  <w:vMerge w:val="restart"/>
                  <w:noWrap w:val="0"/>
                  <w:tcMar>
                    <w:top w:w="15" w:type="dxa"/>
                    <w:left w:w="15" w:type="dxa"/>
                    <w:bottom w:w="0" w:type="dxa"/>
                    <w:right w:w="15" w:type="dxa"/>
                  </w:tcMar>
                  <w:vAlign w:val="center"/>
                </w:tcPr>
                <w:p w14:paraId="0504A7CD">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3457" w:type="dxa"/>
                  <w:vMerge w:val="restart"/>
                  <w:noWrap w:val="0"/>
                  <w:tcMar>
                    <w:top w:w="15" w:type="dxa"/>
                    <w:left w:w="15" w:type="dxa"/>
                    <w:bottom w:w="0" w:type="dxa"/>
                    <w:right w:w="15" w:type="dxa"/>
                  </w:tcMar>
                  <w:vAlign w:val="center"/>
                </w:tcPr>
                <w:p w14:paraId="747735E8">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送审金额（万元）</w:t>
                  </w:r>
                </w:p>
              </w:tc>
              <w:tc>
                <w:tcPr>
                  <w:tcW w:w="720" w:type="dxa"/>
                  <w:vMerge w:val="restart"/>
                  <w:noWrap w:val="0"/>
                  <w:tcMar>
                    <w:top w:w="15" w:type="dxa"/>
                    <w:left w:w="15" w:type="dxa"/>
                    <w:bottom w:w="0" w:type="dxa"/>
                    <w:right w:w="15" w:type="dxa"/>
                  </w:tcMar>
                  <w:vAlign w:val="center"/>
                </w:tcPr>
                <w:p w14:paraId="1309B33C">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计算比例（‰）</w:t>
                  </w:r>
                </w:p>
              </w:tc>
              <w:tc>
                <w:tcPr>
                  <w:tcW w:w="4745" w:type="dxa"/>
                  <w:gridSpan w:val="2"/>
                  <w:noWrap w:val="0"/>
                  <w:tcMar>
                    <w:top w:w="15" w:type="dxa"/>
                    <w:left w:w="15" w:type="dxa"/>
                    <w:bottom w:w="0" w:type="dxa"/>
                    <w:right w:w="15" w:type="dxa"/>
                  </w:tcMar>
                  <w:vAlign w:val="center"/>
                </w:tcPr>
                <w:p w14:paraId="2B6C79C8">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计算举例 </w:t>
                  </w:r>
                </w:p>
              </w:tc>
            </w:tr>
            <w:tr w14:paraId="20A5A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0" w:hRule="atLeast"/>
                <w:jc w:val="center"/>
              </w:trPr>
              <w:tc>
                <w:tcPr>
                  <w:tcW w:w="488" w:type="dxa"/>
                  <w:vMerge w:val="continue"/>
                  <w:noWrap w:val="0"/>
                  <w:vAlign w:val="center"/>
                </w:tcPr>
                <w:p w14:paraId="202A376D">
                  <w:pPr>
                    <w:keepNext w:val="0"/>
                    <w:keepLines w:val="0"/>
                    <w:pageBreakBefore w:val="0"/>
                    <w:widowControl/>
                    <w:kinsoku/>
                    <w:wordWrap/>
                    <w:overflowPunct/>
                    <w:topLinePunct w:val="0"/>
                    <w:bidi w:val="0"/>
                    <w:spacing w:line="360" w:lineRule="auto"/>
                    <w:jc w:val="left"/>
                    <w:rPr>
                      <w:rFonts w:hint="eastAsia" w:ascii="宋体" w:hAnsi="宋体" w:eastAsia="宋体" w:cs="宋体"/>
                      <w:color w:val="auto"/>
                      <w:sz w:val="21"/>
                      <w:szCs w:val="21"/>
                      <w:highlight w:val="none"/>
                    </w:rPr>
                  </w:pPr>
                </w:p>
              </w:tc>
              <w:tc>
                <w:tcPr>
                  <w:tcW w:w="3457" w:type="dxa"/>
                  <w:vMerge w:val="continue"/>
                  <w:noWrap w:val="0"/>
                  <w:vAlign w:val="center"/>
                </w:tcPr>
                <w:p w14:paraId="66DEEACC">
                  <w:pPr>
                    <w:keepNext w:val="0"/>
                    <w:keepLines w:val="0"/>
                    <w:pageBreakBefore w:val="0"/>
                    <w:widowControl/>
                    <w:kinsoku/>
                    <w:wordWrap/>
                    <w:overflowPunct/>
                    <w:topLinePunct w:val="0"/>
                    <w:bidi w:val="0"/>
                    <w:spacing w:line="360" w:lineRule="auto"/>
                    <w:jc w:val="left"/>
                    <w:rPr>
                      <w:rFonts w:hint="eastAsia" w:ascii="宋体" w:hAnsi="宋体" w:eastAsia="宋体" w:cs="宋体"/>
                      <w:color w:val="auto"/>
                      <w:sz w:val="21"/>
                      <w:szCs w:val="21"/>
                      <w:highlight w:val="none"/>
                    </w:rPr>
                  </w:pPr>
                </w:p>
              </w:tc>
              <w:tc>
                <w:tcPr>
                  <w:tcW w:w="720" w:type="dxa"/>
                  <w:vMerge w:val="continue"/>
                  <w:noWrap w:val="0"/>
                  <w:vAlign w:val="center"/>
                </w:tcPr>
                <w:p w14:paraId="07C9DBD2">
                  <w:pPr>
                    <w:keepNext w:val="0"/>
                    <w:keepLines w:val="0"/>
                    <w:pageBreakBefore w:val="0"/>
                    <w:widowControl/>
                    <w:kinsoku/>
                    <w:wordWrap/>
                    <w:overflowPunct/>
                    <w:topLinePunct w:val="0"/>
                    <w:bidi w:val="0"/>
                    <w:spacing w:line="360" w:lineRule="auto"/>
                    <w:jc w:val="left"/>
                    <w:rPr>
                      <w:rFonts w:hint="eastAsia" w:ascii="宋体" w:hAnsi="宋体" w:eastAsia="宋体" w:cs="宋体"/>
                      <w:color w:val="auto"/>
                      <w:sz w:val="21"/>
                      <w:szCs w:val="21"/>
                      <w:highlight w:val="none"/>
                    </w:rPr>
                  </w:pPr>
                </w:p>
              </w:tc>
              <w:tc>
                <w:tcPr>
                  <w:tcW w:w="1086" w:type="dxa"/>
                  <w:noWrap w:val="0"/>
                  <w:tcMar>
                    <w:top w:w="15" w:type="dxa"/>
                    <w:left w:w="15" w:type="dxa"/>
                    <w:bottom w:w="0" w:type="dxa"/>
                    <w:right w:w="15" w:type="dxa"/>
                  </w:tcMar>
                  <w:vAlign w:val="center"/>
                </w:tcPr>
                <w:p w14:paraId="314F86BD">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送审金额</w:t>
                  </w:r>
                </w:p>
              </w:tc>
              <w:tc>
                <w:tcPr>
                  <w:tcW w:w="3659" w:type="dxa"/>
                  <w:noWrap w:val="0"/>
                  <w:tcMar>
                    <w:top w:w="15" w:type="dxa"/>
                    <w:left w:w="15" w:type="dxa"/>
                    <w:bottom w:w="0" w:type="dxa"/>
                    <w:right w:w="15" w:type="dxa"/>
                  </w:tcMar>
                  <w:vAlign w:val="center"/>
                </w:tcPr>
                <w:p w14:paraId="535692FA">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基本付费额 （元）</w:t>
                  </w:r>
                </w:p>
              </w:tc>
            </w:tr>
            <w:tr w14:paraId="4FC99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88" w:type="dxa"/>
                  <w:noWrap w:val="0"/>
                  <w:tcMar>
                    <w:top w:w="15" w:type="dxa"/>
                    <w:left w:w="15" w:type="dxa"/>
                    <w:bottom w:w="0" w:type="dxa"/>
                    <w:right w:w="15" w:type="dxa"/>
                  </w:tcMar>
                  <w:vAlign w:val="center"/>
                </w:tcPr>
                <w:p w14:paraId="5CBFD8E1">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457" w:type="dxa"/>
                  <w:noWrap w:val="0"/>
                  <w:tcMar>
                    <w:top w:w="15" w:type="dxa"/>
                    <w:left w:w="15" w:type="dxa"/>
                    <w:bottom w:w="0" w:type="dxa"/>
                    <w:right w:w="15" w:type="dxa"/>
                  </w:tcMar>
                  <w:vAlign w:val="center"/>
                </w:tcPr>
                <w:p w14:paraId="3524E4F5">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200万元以下</w:t>
                  </w:r>
                  <w:r>
                    <w:rPr>
                      <w:rFonts w:hint="eastAsia" w:ascii="宋体" w:hAnsi="宋体" w:eastAsia="宋体" w:cs="宋体"/>
                      <w:color w:val="auto"/>
                      <w:sz w:val="21"/>
                      <w:szCs w:val="21"/>
                      <w:highlight w:val="none"/>
                      <w:lang w:val="zh-CN"/>
                    </w:rPr>
                    <w:t>（含200万元）</w:t>
                  </w:r>
                </w:p>
              </w:tc>
              <w:tc>
                <w:tcPr>
                  <w:tcW w:w="720" w:type="dxa"/>
                  <w:noWrap w:val="0"/>
                  <w:tcMar>
                    <w:top w:w="15" w:type="dxa"/>
                    <w:left w:w="15" w:type="dxa"/>
                    <w:bottom w:w="0" w:type="dxa"/>
                    <w:right w:w="15" w:type="dxa"/>
                  </w:tcMar>
                  <w:vAlign w:val="center"/>
                </w:tcPr>
                <w:p w14:paraId="7DEC0D84">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086" w:type="dxa"/>
                  <w:noWrap w:val="0"/>
                  <w:tcMar>
                    <w:top w:w="15" w:type="dxa"/>
                    <w:left w:w="15" w:type="dxa"/>
                    <w:bottom w:w="0" w:type="dxa"/>
                    <w:right w:w="15" w:type="dxa"/>
                  </w:tcMar>
                  <w:vAlign w:val="center"/>
                </w:tcPr>
                <w:p w14:paraId="008994D0">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200万元</w:t>
                  </w:r>
                </w:p>
              </w:tc>
              <w:tc>
                <w:tcPr>
                  <w:tcW w:w="3659" w:type="dxa"/>
                  <w:noWrap w:val="0"/>
                  <w:tcMar>
                    <w:top w:w="15" w:type="dxa"/>
                    <w:left w:w="15" w:type="dxa"/>
                    <w:bottom w:w="0" w:type="dxa"/>
                    <w:right w:w="15" w:type="dxa"/>
                  </w:tcMar>
                  <w:vAlign w:val="center"/>
                </w:tcPr>
                <w:p w14:paraId="3D628F94">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200万×2‰=4000</w:t>
                  </w:r>
                </w:p>
              </w:tc>
            </w:tr>
            <w:tr w14:paraId="00370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88" w:type="dxa"/>
                  <w:noWrap w:val="0"/>
                  <w:tcMar>
                    <w:top w:w="15" w:type="dxa"/>
                    <w:left w:w="15" w:type="dxa"/>
                    <w:bottom w:w="0" w:type="dxa"/>
                    <w:right w:w="15" w:type="dxa"/>
                  </w:tcMar>
                  <w:vAlign w:val="center"/>
                </w:tcPr>
                <w:p w14:paraId="1BAD10AC">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457" w:type="dxa"/>
                  <w:noWrap w:val="0"/>
                  <w:tcMar>
                    <w:top w:w="15" w:type="dxa"/>
                    <w:left w:w="15" w:type="dxa"/>
                    <w:bottom w:w="0" w:type="dxa"/>
                    <w:right w:w="15" w:type="dxa"/>
                  </w:tcMar>
                  <w:vAlign w:val="center"/>
                </w:tcPr>
                <w:p w14:paraId="19D45E3A">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不含</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至500万</w:t>
                  </w:r>
                  <w:r>
                    <w:rPr>
                      <w:rFonts w:hint="eastAsia" w:ascii="宋体" w:hAnsi="宋体" w:eastAsia="宋体" w:cs="宋体"/>
                      <w:color w:val="auto"/>
                      <w:sz w:val="21"/>
                      <w:szCs w:val="21"/>
                      <w:highlight w:val="none"/>
                      <w:lang w:val="zh-CN"/>
                    </w:rPr>
                    <w:t>元（含500万元）</w:t>
                  </w:r>
                </w:p>
              </w:tc>
              <w:tc>
                <w:tcPr>
                  <w:tcW w:w="720" w:type="dxa"/>
                  <w:noWrap w:val="0"/>
                  <w:tcMar>
                    <w:top w:w="15" w:type="dxa"/>
                    <w:left w:w="15" w:type="dxa"/>
                    <w:bottom w:w="0" w:type="dxa"/>
                    <w:right w:w="15" w:type="dxa"/>
                  </w:tcMar>
                  <w:vAlign w:val="center"/>
                </w:tcPr>
                <w:p w14:paraId="660CE952">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1086" w:type="dxa"/>
                  <w:noWrap w:val="0"/>
                  <w:tcMar>
                    <w:top w:w="15" w:type="dxa"/>
                    <w:left w:w="15" w:type="dxa"/>
                    <w:bottom w:w="0" w:type="dxa"/>
                    <w:right w:w="15" w:type="dxa"/>
                  </w:tcMar>
                  <w:vAlign w:val="center"/>
                </w:tcPr>
                <w:p w14:paraId="1627BC6B">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500万元</w:t>
                  </w:r>
                </w:p>
              </w:tc>
              <w:tc>
                <w:tcPr>
                  <w:tcW w:w="3659" w:type="dxa"/>
                  <w:noWrap w:val="0"/>
                  <w:tcMar>
                    <w:top w:w="15" w:type="dxa"/>
                    <w:left w:w="15" w:type="dxa"/>
                    <w:bottom w:w="0" w:type="dxa"/>
                    <w:right w:w="15" w:type="dxa"/>
                  </w:tcMar>
                  <w:vAlign w:val="center"/>
                </w:tcPr>
                <w:p w14:paraId="78929DA2">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4000+(500万-200万)×1.5‰=8500</w:t>
                  </w:r>
                </w:p>
              </w:tc>
            </w:tr>
            <w:tr w14:paraId="0044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88" w:type="dxa"/>
                  <w:noWrap w:val="0"/>
                  <w:tcMar>
                    <w:top w:w="15" w:type="dxa"/>
                    <w:left w:w="15" w:type="dxa"/>
                    <w:bottom w:w="0" w:type="dxa"/>
                    <w:right w:w="15" w:type="dxa"/>
                  </w:tcMar>
                  <w:vAlign w:val="center"/>
                </w:tcPr>
                <w:p w14:paraId="6F4F5590">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3457" w:type="dxa"/>
                  <w:noWrap w:val="0"/>
                  <w:tcMar>
                    <w:top w:w="15" w:type="dxa"/>
                    <w:left w:w="15" w:type="dxa"/>
                    <w:bottom w:w="0" w:type="dxa"/>
                    <w:right w:w="15" w:type="dxa"/>
                  </w:tcMar>
                  <w:vAlign w:val="center"/>
                </w:tcPr>
                <w:p w14:paraId="1F314A86">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不含</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至1000万</w:t>
                  </w:r>
                  <w:r>
                    <w:rPr>
                      <w:rFonts w:hint="eastAsia" w:ascii="宋体" w:hAnsi="宋体" w:eastAsia="宋体" w:cs="宋体"/>
                      <w:color w:val="auto"/>
                      <w:sz w:val="21"/>
                      <w:szCs w:val="21"/>
                      <w:highlight w:val="none"/>
                      <w:lang w:val="zh-CN"/>
                    </w:rPr>
                    <w:t>元（含1000万元）</w:t>
                  </w:r>
                </w:p>
              </w:tc>
              <w:tc>
                <w:tcPr>
                  <w:tcW w:w="720" w:type="dxa"/>
                  <w:noWrap w:val="0"/>
                  <w:tcMar>
                    <w:top w:w="15" w:type="dxa"/>
                    <w:left w:w="15" w:type="dxa"/>
                    <w:bottom w:w="0" w:type="dxa"/>
                    <w:right w:w="15" w:type="dxa"/>
                  </w:tcMar>
                  <w:vAlign w:val="center"/>
                </w:tcPr>
                <w:p w14:paraId="615F7171">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086" w:type="dxa"/>
                  <w:noWrap w:val="0"/>
                  <w:tcMar>
                    <w:top w:w="15" w:type="dxa"/>
                    <w:left w:w="15" w:type="dxa"/>
                    <w:bottom w:w="0" w:type="dxa"/>
                    <w:right w:w="15" w:type="dxa"/>
                  </w:tcMar>
                  <w:vAlign w:val="center"/>
                </w:tcPr>
                <w:p w14:paraId="192DEF1A">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1000万元</w:t>
                  </w:r>
                </w:p>
              </w:tc>
              <w:tc>
                <w:tcPr>
                  <w:tcW w:w="3659" w:type="dxa"/>
                  <w:noWrap w:val="0"/>
                  <w:tcMar>
                    <w:top w:w="15" w:type="dxa"/>
                    <w:left w:w="15" w:type="dxa"/>
                    <w:bottom w:w="0" w:type="dxa"/>
                    <w:right w:w="15" w:type="dxa"/>
                  </w:tcMar>
                  <w:vAlign w:val="center"/>
                </w:tcPr>
                <w:p w14:paraId="7A275DCF">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8500+(1000万-500万)×1‰=13500</w:t>
                  </w:r>
                </w:p>
              </w:tc>
            </w:tr>
            <w:tr w14:paraId="0376A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88" w:type="dxa"/>
                  <w:noWrap w:val="0"/>
                  <w:tcMar>
                    <w:top w:w="15" w:type="dxa"/>
                    <w:left w:w="15" w:type="dxa"/>
                    <w:bottom w:w="0" w:type="dxa"/>
                    <w:right w:w="15" w:type="dxa"/>
                  </w:tcMar>
                  <w:vAlign w:val="center"/>
                </w:tcPr>
                <w:p w14:paraId="65053FBF">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3457" w:type="dxa"/>
                  <w:noWrap w:val="0"/>
                  <w:tcMar>
                    <w:top w:w="15" w:type="dxa"/>
                    <w:left w:w="15" w:type="dxa"/>
                    <w:bottom w:w="0" w:type="dxa"/>
                    <w:right w:w="15" w:type="dxa"/>
                  </w:tcMar>
                  <w:vAlign w:val="center"/>
                </w:tcPr>
                <w:p w14:paraId="1BB5C4F9">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不含</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至3000万</w:t>
                  </w:r>
                  <w:r>
                    <w:rPr>
                      <w:rFonts w:hint="eastAsia" w:ascii="宋体" w:hAnsi="宋体" w:eastAsia="宋体" w:cs="宋体"/>
                      <w:color w:val="auto"/>
                      <w:sz w:val="21"/>
                      <w:szCs w:val="21"/>
                      <w:highlight w:val="none"/>
                      <w:lang w:val="zh-CN"/>
                    </w:rPr>
                    <w:t>元（含3000万元）</w:t>
                  </w:r>
                </w:p>
              </w:tc>
              <w:tc>
                <w:tcPr>
                  <w:tcW w:w="720" w:type="dxa"/>
                  <w:noWrap w:val="0"/>
                  <w:tcMar>
                    <w:top w:w="15" w:type="dxa"/>
                    <w:left w:w="15" w:type="dxa"/>
                    <w:bottom w:w="0" w:type="dxa"/>
                    <w:right w:w="15" w:type="dxa"/>
                  </w:tcMar>
                  <w:vAlign w:val="center"/>
                </w:tcPr>
                <w:p w14:paraId="0E0EC7CF">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0.85</w:t>
                  </w:r>
                </w:p>
              </w:tc>
              <w:tc>
                <w:tcPr>
                  <w:tcW w:w="1086" w:type="dxa"/>
                  <w:noWrap w:val="0"/>
                  <w:tcMar>
                    <w:top w:w="15" w:type="dxa"/>
                    <w:left w:w="15" w:type="dxa"/>
                    <w:bottom w:w="0" w:type="dxa"/>
                    <w:right w:w="15" w:type="dxa"/>
                  </w:tcMar>
                  <w:vAlign w:val="center"/>
                </w:tcPr>
                <w:p w14:paraId="7C504863">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3000万元</w:t>
                  </w:r>
                </w:p>
              </w:tc>
              <w:tc>
                <w:tcPr>
                  <w:tcW w:w="3659" w:type="dxa"/>
                  <w:noWrap w:val="0"/>
                  <w:tcMar>
                    <w:top w:w="15" w:type="dxa"/>
                    <w:left w:w="15" w:type="dxa"/>
                    <w:bottom w:w="0" w:type="dxa"/>
                    <w:right w:w="15" w:type="dxa"/>
                  </w:tcMar>
                  <w:vAlign w:val="center"/>
                </w:tcPr>
                <w:p w14:paraId="19A48FB2">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13500+(3000万-1000万)×0.85‰=30500</w:t>
                  </w:r>
                </w:p>
              </w:tc>
            </w:tr>
            <w:tr w14:paraId="46DC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88" w:type="dxa"/>
                  <w:noWrap w:val="0"/>
                  <w:tcMar>
                    <w:top w:w="15" w:type="dxa"/>
                    <w:left w:w="15" w:type="dxa"/>
                    <w:bottom w:w="0" w:type="dxa"/>
                    <w:right w:w="15" w:type="dxa"/>
                  </w:tcMar>
                  <w:vAlign w:val="center"/>
                </w:tcPr>
                <w:p w14:paraId="765CE630">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3457" w:type="dxa"/>
                  <w:noWrap w:val="0"/>
                  <w:tcMar>
                    <w:top w:w="15" w:type="dxa"/>
                    <w:left w:w="15" w:type="dxa"/>
                    <w:bottom w:w="0" w:type="dxa"/>
                    <w:right w:w="15" w:type="dxa"/>
                  </w:tcMar>
                  <w:vAlign w:val="center"/>
                </w:tcPr>
                <w:p w14:paraId="5AC9AD3F">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3000</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不含</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至5000万</w:t>
                  </w:r>
                  <w:r>
                    <w:rPr>
                      <w:rFonts w:hint="eastAsia" w:ascii="宋体" w:hAnsi="宋体" w:eastAsia="宋体" w:cs="宋体"/>
                      <w:color w:val="auto"/>
                      <w:sz w:val="21"/>
                      <w:szCs w:val="21"/>
                      <w:highlight w:val="none"/>
                      <w:lang w:val="zh-CN"/>
                    </w:rPr>
                    <w:t>元（含5000万元）</w:t>
                  </w:r>
                </w:p>
              </w:tc>
              <w:tc>
                <w:tcPr>
                  <w:tcW w:w="720" w:type="dxa"/>
                  <w:noWrap w:val="0"/>
                  <w:tcMar>
                    <w:top w:w="15" w:type="dxa"/>
                    <w:left w:w="15" w:type="dxa"/>
                    <w:bottom w:w="0" w:type="dxa"/>
                    <w:right w:w="15" w:type="dxa"/>
                  </w:tcMar>
                  <w:vAlign w:val="center"/>
                </w:tcPr>
                <w:p w14:paraId="3FEC970B">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0.65</w:t>
                  </w:r>
                </w:p>
              </w:tc>
              <w:tc>
                <w:tcPr>
                  <w:tcW w:w="1086" w:type="dxa"/>
                  <w:noWrap w:val="0"/>
                  <w:tcMar>
                    <w:top w:w="15" w:type="dxa"/>
                    <w:left w:w="15" w:type="dxa"/>
                    <w:bottom w:w="0" w:type="dxa"/>
                    <w:right w:w="15" w:type="dxa"/>
                  </w:tcMar>
                  <w:vAlign w:val="center"/>
                </w:tcPr>
                <w:p w14:paraId="07DE1328">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5000万元</w:t>
                  </w:r>
                </w:p>
              </w:tc>
              <w:tc>
                <w:tcPr>
                  <w:tcW w:w="3659" w:type="dxa"/>
                  <w:noWrap w:val="0"/>
                  <w:tcMar>
                    <w:top w:w="15" w:type="dxa"/>
                    <w:left w:w="15" w:type="dxa"/>
                    <w:bottom w:w="0" w:type="dxa"/>
                    <w:right w:w="15" w:type="dxa"/>
                  </w:tcMar>
                  <w:vAlign w:val="center"/>
                </w:tcPr>
                <w:p w14:paraId="636B55B9">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30500+(5000万-3000万)×0.65‰=43500</w:t>
                  </w:r>
                </w:p>
              </w:tc>
            </w:tr>
            <w:tr w14:paraId="566F7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88" w:type="dxa"/>
                  <w:noWrap w:val="0"/>
                  <w:tcMar>
                    <w:top w:w="15" w:type="dxa"/>
                    <w:left w:w="15" w:type="dxa"/>
                    <w:bottom w:w="0" w:type="dxa"/>
                    <w:right w:w="15" w:type="dxa"/>
                  </w:tcMar>
                  <w:vAlign w:val="center"/>
                </w:tcPr>
                <w:p w14:paraId="19E752F4">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3457" w:type="dxa"/>
                  <w:noWrap w:val="0"/>
                  <w:tcMar>
                    <w:top w:w="15" w:type="dxa"/>
                    <w:left w:w="15" w:type="dxa"/>
                    <w:bottom w:w="0" w:type="dxa"/>
                    <w:right w:w="15" w:type="dxa"/>
                  </w:tcMar>
                  <w:vAlign w:val="center"/>
                </w:tcPr>
                <w:p w14:paraId="2368BA59">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不含</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至10000万</w:t>
                  </w:r>
                  <w:r>
                    <w:rPr>
                      <w:rFonts w:hint="eastAsia" w:ascii="宋体" w:hAnsi="宋体" w:eastAsia="宋体" w:cs="宋体"/>
                      <w:color w:val="auto"/>
                      <w:sz w:val="21"/>
                      <w:szCs w:val="21"/>
                      <w:highlight w:val="none"/>
                      <w:lang w:val="zh-CN"/>
                    </w:rPr>
                    <w:t>元（含10000万元）</w:t>
                  </w:r>
                </w:p>
              </w:tc>
              <w:tc>
                <w:tcPr>
                  <w:tcW w:w="720" w:type="dxa"/>
                  <w:noWrap w:val="0"/>
                  <w:tcMar>
                    <w:top w:w="15" w:type="dxa"/>
                    <w:left w:w="15" w:type="dxa"/>
                    <w:bottom w:w="0" w:type="dxa"/>
                    <w:right w:w="15" w:type="dxa"/>
                  </w:tcMar>
                  <w:vAlign w:val="center"/>
                </w:tcPr>
                <w:p w14:paraId="128FF912">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0.5</w:t>
                  </w:r>
                </w:p>
              </w:tc>
              <w:tc>
                <w:tcPr>
                  <w:tcW w:w="1086" w:type="dxa"/>
                  <w:noWrap w:val="0"/>
                  <w:tcMar>
                    <w:top w:w="15" w:type="dxa"/>
                    <w:left w:w="15" w:type="dxa"/>
                    <w:bottom w:w="0" w:type="dxa"/>
                    <w:right w:w="15" w:type="dxa"/>
                  </w:tcMar>
                  <w:vAlign w:val="center"/>
                </w:tcPr>
                <w:p w14:paraId="36689BBA">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10000万元</w:t>
                  </w:r>
                </w:p>
              </w:tc>
              <w:tc>
                <w:tcPr>
                  <w:tcW w:w="3659" w:type="dxa"/>
                  <w:noWrap w:val="0"/>
                  <w:tcMar>
                    <w:top w:w="15" w:type="dxa"/>
                    <w:left w:w="15" w:type="dxa"/>
                    <w:bottom w:w="0" w:type="dxa"/>
                    <w:right w:w="15" w:type="dxa"/>
                  </w:tcMar>
                  <w:vAlign w:val="center"/>
                </w:tcPr>
                <w:p w14:paraId="65125D43">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43500+(10000万-5000万)×0.5‰=68500</w:t>
                  </w:r>
                </w:p>
              </w:tc>
            </w:tr>
            <w:tr w14:paraId="2C340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88" w:type="dxa"/>
                  <w:noWrap w:val="0"/>
                  <w:tcMar>
                    <w:top w:w="15" w:type="dxa"/>
                    <w:left w:w="15" w:type="dxa"/>
                    <w:bottom w:w="0" w:type="dxa"/>
                    <w:right w:w="15" w:type="dxa"/>
                  </w:tcMar>
                  <w:vAlign w:val="center"/>
                </w:tcPr>
                <w:p w14:paraId="75330F06">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3457" w:type="dxa"/>
                  <w:noWrap w:val="0"/>
                  <w:tcMar>
                    <w:top w:w="15" w:type="dxa"/>
                    <w:left w:w="15" w:type="dxa"/>
                    <w:bottom w:w="0" w:type="dxa"/>
                    <w:right w:w="15" w:type="dxa"/>
                  </w:tcMar>
                  <w:vAlign w:val="center"/>
                </w:tcPr>
                <w:p w14:paraId="0FB668A2">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10000</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不含</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至30000万</w:t>
                  </w:r>
                  <w:r>
                    <w:rPr>
                      <w:rFonts w:hint="eastAsia" w:ascii="宋体" w:hAnsi="宋体" w:eastAsia="宋体" w:cs="宋体"/>
                      <w:color w:val="auto"/>
                      <w:sz w:val="21"/>
                      <w:szCs w:val="21"/>
                      <w:highlight w:val="none"/>
                      <w:lang w:val="zh-CN"/>
                    </w:rPr>
                    <w:t>元（含30000万元）</w:t>
                  </w:r>
                </w:p>
              </w:tc>
              <w:tc>
                <w:tcPr>
                  <w:tcW w:w="720" w:type="dxa"/>
                  <w:noWrap w:val="0"/>
                  <w:tcMar>
                    <w:top w:w="15" w:type="dxa"/>
                    <w:left w:w="15" w:type="dxa"/>
                    <w:bottom w:w="0" w:type="dxa"/>
                    <w:right w:w="15" w:type="dxa"/>
                  </w:tcMar>
                  <w:vAlign w:val="center"/>
                </w:tcPr>
                <w:p w14:paraId="23453423">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0.4</w:t>
                  </w:r>
                </w:p>
              </w:tc>
              <w:tc>
                <w:tcPr>
                  <w:tcW w:w="1086" w:type="dxa"/>
                  <w:noWrap w:val="0"/>
                  <w:tcMar>
                    <w:top w:w="15" w:type="dxa"/>
                    <w:left w:w="15" w:type="dxa"/>
                    <w:bottom w:w="0" w:type="dxa"/>
                    <w:right w:w="15" w:type="dxa"/>
                  </w:tcMar>
                  <w:vAlign w:val="center"/>
                </w:tcPr>
                <w:p w14:paraId="4DEEBF68">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30000万元</w:t>
                  </w:r>
                </w:p>
              </w:tc>
              <w:tc>
                <w:tcPr>
                  <w:tcW w:w="3659" w:type="dxa"/>
                  <w:noWrap w:val="0"/>
                  <w:tcMar>
                    <w:top w:w="15" w:type="dxa"/>
                    <w:left w:w="15" w:type="dxa"/>
                    <w:bottom w:w="0" w:type="dxa"/>
                    <w:right w:w="15" w:type="dxa"/>
                  </w:tcMar>
                  <w:vAlign w:val="center"/>
                </w:tcPr>
                <w:p w14:paraId="28CD6C1F">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68500+(30000万－10000万)×0.4‰=148500</w:t>
                  </w:r>
                </w:p>
              </w:tc>
            </w:tr>
            <w:tr w14:paraId="55F1C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88" w:type="dxa"/>
                  <w:noWrap w:val="0"/>
                  <w:tcMar>
                    <w:top w:w="15" w:type="dxa"/>
                    <w:left w:w="15" w:type="dxa"/>
                    <w:bottom w:w="0" w:type="dxa"/>
                    <w:right w:w="15" w:type="dxa"/>
                  </w:tcMar>
                  <w:vAlign w:val="center"/>
                </w:tcPr>
                <w:p w14:paraId="5D425B48">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3457" w:type="dxa"/>
                  <w:noWrap w:val="0"/>
                  <w:tcMar>
                    <w:top w:w="15" w:type="dxa"/>
                    <w:left w:w="15" w:type="dxa"/>
                    <w:bottom w:w="0" w:type="dxa"/>
                    <w:right w:w="15" w:type="dxa"/>
                  </w:tcMar>
                  <w:vAlign w:val="center"/>
                </w:tcPr>
                <w:p w14:paraId="7F328C08">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30000万元</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不含</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以上</w:t>
                  </w:r>
                </w:p>
              </w:tc>
              <w:tc>
                <w:tcPr>
                  <w:tcW w:w="720" w:type="dxa"/>
                  <w:noWrap w:val="0"/>
                  <w:tcMar>
                    <w:top w:w="15" w:type="dxa"/>
                    <w:left w:w="15" w:type="dxa"/>
                    <w:bottom w:w="0" w:type="dxa"/>
                    <w:right w:w="15" w:type="dxa"/>
                  </w:tcMar>
                  <w:vAlign w:val="center"/>
                </w:tcPr>
                <w:p w14:paraId="3DC32ABF">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0.25</w:t>
                  </w:r>
                </w:p>
              </w:tc>
              <w:tc>
                <w:tcPr>
                  <w:tcW w:w="1086" w:type="dxa"/>
                  <w:noWrap w:val="0"/>
                  <w:tcMar>
                    <w:top w:w="15" w:type="dxa"/>
                    <w:left w:w="15" w:type="dxa"/>
                    <w:bottom w:w="0" w:type="dxa"/>
                    <w:right w:w="15" w:type="dxa"/>
                  </w:tcMar>
                  <w:vAlign w:val="center"/>
                </w:tcPr>
                <w:p w14:paraId="6FD6992B">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50000万元</w:t>
                  </w:r>
                </w:p>
              </w:tc>
              <w:tc>
                <w:tcPr>
                  <w:tcW w:w="3659" w:type="dxa"/>
                  <w:noWrap w:val="0"/>
                  <w:tcMar>
                    <w:top w:w="15" w:type="dxa"/>
                    <w:left w:w="15" w:type="dxa"/>
                    <w:bottom w:w="0" w:type="dxa"/>
                    <w:right w:w="15" w:type="dxa"/>
                  </w:tcMar>
                  <w:vAlign w:val="center"/>
                </w:tcPr>
                <w:p w14:paraId="0A80DF69">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148500+（50000万-30000万）×0.25‰＝198500</w:t>
                  </w:r>
                </w:p>
              </w:tc>
            </w:tr>
          </w:tbl>
          <w:p w14:paraId="78B71A70">
            <w:pPr>
              <w:keepNext w:val="0"/>
              <w:keepLines w:val="0"/>
              <w:pageBreakBefore w:val="0"/>
              <w:widowControl w:val="0"/>
              <w:kinsoku/>
              <w:wordWrap/>
              <w:overflowPunct/>
              <w:topLinePunct w:val="0"/>
              <w:autoSpaceDE w:val="0"/>
              <w:autoSpaceDN w:val="0"/>
              <w:bidi w:val="0"/>
              <w:adjustRightInd w:val="0"/>
              <w:snapToGrid/>
              <w:spacing w:before="164" w:beforeLines="50" w:after="164" w:afterLines="50" w:line="360" w:lineRule="auto"/>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（2）核减付费额：按经确认的核减额超额累进方法计算</w:t>
            </w:r>
          </w:p>
          <w:tbl>
            <w:tblPr>
              <w:tblStyle w:val="5"/>
              <w:tblW w:w="9343" w:type="dxa"/>
              <w:jc w:val="center"/>
              <w:tblLayout w:type="fixed"/>
              <w:tblCellMar>
                <w:top w:w="0" w:type="dxa"/>
                <w:left w:w="0" w:type="dxa"/>
                <w:bottom w:w="0" w:type="dxa"/>
                <w:right w:w="0" w:type="dxa"/>
              </w:tblCellMar>
            </w:tblPr>
            <w:tblGrid>
              <w:gridCol w:w="455"/>
              <w:gridCol w:w="3429"/>
              <w:gridCol w:w="710"/>
              <w:gridCol w:w="1125"/>
              <w:gridCol w:w="3624"/>
            </w:tblGrid>
            <w:tr w14:paraId="78719936">
              <w:tblPrEx>
                <w:tblCellMar>
                  <w:top w:w="0" w:type="dxa"/>
                  <w:left w:w="0" w:type="dxa"/>
                  <w:bottom w:w="0" w:type="dxa"/>
                  <w:right w:w="0" w:type="dxa"/>
                </w:tblCellMar>
              </w:tblPrEx>
              <w:trPr>
                <w:cantSplit/>
                <w:trHeight w:val="555" w:hRule="atLeast"/>
                <w:jc w:val="center"/>
              </w:trPr>
              <w:tc>
                <w:tcPr>
                  <w:tcW w:w="455" w:type="dxa"/>
                  <w:vMerge w:val="restart"/>
                  <w:tcBorders>
                    <w:top w:val="single" w:color="auto" w:sz="4" w:space="0"/>
                    <w:left w:val="single" w:color="auto" w:sz="4" w:space="0"/>
                    <w:bottom w:val="single" w:color="000000" w:sz="4" w:space="0"/>
                    <w:right w:val="single" w:color="auto" w:sz="4" w:space="0"/>
                  </w:tcBorders>
                  <w:noWrap w:val="0"/>
                  <w:tcMar>
                    <w:top w:w="15" w:type="dxa"/>
                    <w:left w:w="15" w:type="dxa"/>
                    <w:bottom w:w="0" w:type="dxa"/>
                    <w:right w:w="15" w:type="dxa"/>
                  </w:tcMar>
                  <w:vAlign w:val="center"/>
                </w:tcPr>
                <w:p w14:paraId="4781FA29">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3429" w:type="dxa"/>
                  <w:vMerge w:val="restart"/>
                  <w:tcBorders>
                    <w:top w:val="single" w:color="auto" w:sz="4" w:space="0"/>
                    <w:left w:val="single" w:color="auto" w:sz="4" w:space="0"/>
                    <w:bottom w:val="single" w:color="000000" w:sz="4" w:space="0"/>
                    <w:right w:val="single" w:color="auto" w:sz="4" w:space="0"/>
                  </w:tcBorders>
                  <w:noWrap w:val="0"/>
                  <w:tcMar>
                    <w:top w:w="15" w:type="dxa"/>
                    <w:left w:w="15" w:type="dxa"/>
                    <w:bottom w:w="0" w:type="dxa"/>
                    <w:right w:w="15" w:type="dxa"/>
                  </w:tcMar>
                  <w:vAlign w:val="center"/>
                </w:tcPr>
                <w:p w14:paraId="044601F2">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核减额（万元）</w:t>
                  </w:r>
                </w:p>
              </w:tc>
              <w:tc>
                <w:tcPr>
                  <w:tcW w:w="710" w:type="dxa"/>
                  <w:vMerge w:val="restart"/>
                  <w:tcBorders>
                    <w:top w:val="single" w:color="auto" w:sz="4" w:space="0"/>
                    <w:left w:val="single" w:color="auto" w:sz="4" w:space="0"/>
                    <w:bottom w:val="single" w:color="000000" w:sz="4" w:space="0"/>
                    <w:right w:val="single" w:color="auto" w:sz="4" w:space="0"/>
                  </w:tcBorders>
                  <w:noWrap w:val="0"/>
                  <w:tcMar>
                    <w:top w:w="15" w:type="dxa"/>
                    <w:left w:w="15" w:type="dxa"/>
                    <w:bottom w:w="0" w:type="dxa"/>
                    <w:right w:w="15" w:type="dxa"/>
                  </w:tcMar>
                  <w:vAlign w:val="center"/>
                </w:tcPr>
                <w:p w14:paraId="05BD0961">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计算比例（</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w:t>
                  </w:r>
                </w:p>
              </w:tc>
              <w:tc>
                <w:tcPr>
                  <w:tcW w:w="4749" w:type="dxa"/>
                  <w:gridSpan w:val="2"/>
                  <w:tcBorders>
                    <w:top w:val="single" w:color="auto" w:sz="4" w:space="0"/>
                    <w:left w:val="nil"/>
                    <w:bottom w:val="single" w:color="auto" w:sz="4" w:space="0"/>
                    <w:right w:val="single" w:color="000000" w:sz="4" w:space="0"/>
                  </w:tcBorders>
                  <w:noWrap w:val="0"/>
                  <w:tcMar>
                    <w:top w:w="15" w:type="dxa"/>
                    <w:left w:w="15" w:type="dxa"/>
                    <w:bottom w:w="0" w:type="dxa"/>
                    <w:right w:w="15" w:type="dxa"/>
                  </w:tcMar>
                  <w:vAlign w:val="center"/>
                </w:tcPr>
                <w:p w14:paraId="401CE316">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计算举例 </w:t>
                  </w:r>
                </w:p>
              </w:tc>
            </w:tr>
            <w:tr w14:paraId="7D0B8C0E">
              <w:tblPrEx>
                <w:tblCellMar>
                  <w:top w:w="0" w:type="dxa"/>
                  <w:left w:w="0" w:type="dxa"/>
                  <w:bottom w:w="0" w:type="dxa"/>
                  <w:right w:w="0" w:type="dxa"/>
                </w:tblCellMar>
              </w:tblPrEx>
              <w:trPr>
                <w:cantSplit/>
                <w:trHeight w:val="360" w:hRule="atLeast"/>
                <w:jc w:val="center"/>
              </w:trPr>
              <w:tc>
                <w:tcPr>
                  <w:tcW w:w="455" w:type="dxa"/>
                  <w:vMerge w:val="continue"/>
                  <w:tcBorders>
                    <w:top w:val="single" w:color="auto" w:sz="4" w:space="0"/>
                    <w:left w:val="single" w:color="auto" w:sz="4" w:space="0"/>
                    <w:bottom w:val="single" w:color="000000" w:sz="4" w:space="0"/>
                    <w:right w:val="single" w:color="auto" w:sz="4" w:space="0"/>
                  </w:tcBorders>
                  <w:noWrap w:val="0"/>
                  <w:vAlign w:val="center"/>
                </w:tcPr>
                <w:p w14:paraId="1AA96820">
                  <w:pPr>
                    <w:keepNext w:val="0"/>
                    <w:keepLines w:val="0"/>
                    <w:pageBreakBefore w:val="0"/>
                    <w:widowControl/>
                    <w:kinsoku/>
                    <w:wordWrap/>
                    <w:overflowPunct/>
                    <w:topLinePunct w:val="0"/>
                    <w:bidi w:val="0"/>
                    <w:spacing w:line="360" w:lineRule="auto"/>
                    <w:jc w:val="left"/>
                    <w:rPr>
                      <w:rFonts w:hint="eastAsia" w:ascii="宋体" w:hAnsi="宋体" w:eastAsia="宋体" w:cs="宋体"/>
                      <w:color w:val="auto"/>
                      <w:sz w:val="21"/>
                      <w:szCs w:val="21"/>
                      <w:highlight w:val="none"/>
                    </w:rPr>
                  </w:pPr>
                </w:p>
              </w:tc>
              <w:tc>
                <w:tcPr>
                  <w:tcW w:w="3429" w:type="dxa"/>
                  <w:vMerge w:val="continue"/>
                  <w:tcBorders>
                    <w:top w:val="single" w:color="auto" w:sz="4" w:space="0"/>
                    <w:left w:val="single" w:color="auto" w:sz="4" w:space="0"/>
                    <w:bottom w:val="single" w:color="000000" w:sz="4" w:space="0"/>
                    <w:right w:val="single" w:color="auto" w:sz="4" w:space="0"/>
                  </w:tcBorders>
                  <w:noWrap w:val="0"/>
                  <w:vAlign w:val="center"/>
                </w:tcPr>
                <w:p w14:paraId="4AEE10C7">
                  <w:pPr>
                    <w:keepNext w:val="0"/>
                    <w:keepLines w:val="0"/>
                    <w:pageBreakBefore w:val="0"/>
                    <w:widowControl/>
                    <w:kinsoku/>
                    <w:wordWrap/>
                    <w:overflowPunct/>
                    <w:topLinePunct w:val="0"/>
                    <w:bidi w:val="0"/>
                    <w:spacing w:line="360" w:lineRule="auto"/>
                    <w:jc w:val="left"/>
                    <w:rPr>
                      <w:rFonts w:hint="eastAsia" w:ascii="宋体" w:hAnsi="宋体" w:eastAsia="宋体" w:cs="宋体"/>
                      <w:color w:val="auto"/>
                      <w:sz w:val="21"/>
                      <w:szCs w:val="21"/>
                      <w:highlight w:val="none"/>
                    </w:rPr>
                  </w:pPr>
                </w:p>
              </w:tc>
              <w:tc>
                <w:tcPr>
                  <w:tcW w:w="710" w:type="dxa"/>
                  <w:vMerge w:val="continue"/>
                  <w:tcBorders>
                    <w:top w:val="single" w:color="auto" w:sz="4" w:space="0"/>
                    <w:left w:val="single" w:color="auto" w:sz="4" w:space="0"/>
                    <w:bottom w:val="single" w:color="000000" w:sz="4" w:space="0"/>
                    <w:right w:val="single" w:color="auto" w:sz="4" w:space="0"/>
                  </w:tcBorders>
                  <w:noWrap w:val="0"/>
                  <w:vAlign w:val="center"/>
                </w:tcPr>
                <w:p w14:paraId="6A2F0C7E">
                  <w:pPr>
                    <w:keepNext w:val="0"/>
                    <w:keepLines w:val="0"/>
                    <w:pageBreakBefore w:val="0"/>
                    <w:widowControl/>
                    <w:kinsoku/>
                    <w:wordWrap/>
                    <w:overflowPunct/>
                    <w:topLinePunct w:val="0"/>
                    <w:bidi w:val="0"/>
                    <w:spacing w:line="360" w:lineRule="auto"/>
                    <w:jc w:val="left"/>
                    <w:rPr>
                      <w:rFonts w:hint="eastAsia" w:ascii="宋体" w:hAnsi="宋体" w:eastAsia="宋体" w:cs="宋体"/>
                      <w:color w:val="auto"/>
                      <w:sz w:val="21"/>
                      <w:szCs w:val="21"/>
                      <w:highlight w:val="none"/>
                    </w:rPr>
                  </w:pPr>
                </w:p>
              </w:tc>
              <w:tc>
                <w:tcPr>
                  <w:tcW w:w="11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BCC2B51">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核减额</w:t>
                  </w:r>
                </w:p>
              </w:tc>
              <w:tc>
                <w:tcPr>
                  <w:tcW w:w="362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B0BA319">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核减付费额 （万元）</w:t>
                  </w:r>
                </w:p>
              </w:tc>
            </w:tr>
            <w:tr w14:paraId="2B089BE9">
              <w:tblPrEx>
                <w:tblCellMar>
                  <w:top w:w="0" w:type="dxa"/>
                  <w:left w:w="0" w:type="dxa"/>
                  <w:bottom w:w="0" w:type="dxa"/>
                  <w:right w:w="0" w:type="dxa"/>
                </w:tblCellMar>
              </w:tblPrEx>
              <w:trPr>
                <w:trHeight w:val="567" w:hRule="atLeast"/>
                <w:jc w:val="center"/>
              </w:trPr>
              <w:tc>
                <w:tcPr>
                  <w:tcW w:w="455"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9CAB5F1">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429"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E619659">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500万元以下</w:t>
                  </w:r>
                  <w:r>
                    <w:rPr>
                      <w:rFonts w:hint="eastAsia" w:ascii="宋体" w:hAnsi="宋体" w:eastAsia="宋体" w:cs="宋体"/>
                      <w:color w:val="auto"/>
                      <w:sz w:val="21"/>
                      <w:szCs w:val="21"/>
                      <w:highlight w:val="none"/>
                      <w:lang w:val="zh-CN"/>
                    </w:rPr>
                    <w:t>（含500万元）</w:t>
                  </w:r>
                </w:p>
              </w:tc>
              <w:tc>
                <w:tcPr>
                  <w:tcW w:w="71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259D86C">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1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5D7C1CB">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500万元</w:t>
                  </w:r>
                </w:p>
              </w:tc>
              <w:tc>
                <w:tcPr>
                  <w:tcW w:w="362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2DB7E90">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500万×2</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=10</w:t>
                  </w:r>
                </w:p>
              </w:tc>
            </w:tr>
            <w:tr w14:paraId="671C67E7">
              <w:tblPrEx>
                <w:tblCellMar>
                  <w:top w:w="0" w:type="dxa"/>
                  <w:left w:w="0" w:type="dxa"/>
                  <w:bottom w:w="0" w:type="dxa"/>
                  <w:right w:w="0" w:type="dxa"/>
                </w:tblCellMar>
              </w:tblPrEx>
              <w:trPr>
                <w:trHeight w:val="567" w:hRule="atLeast"/>
                <w:jc w:val="center"/>
              </w:trPr>
              <w:tc>
                <w:tcPr>
                  <w:tcW w:w="455"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123E846">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429"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A2C5BFC">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不含</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至1000万元</w:t>
                  </w:r>
                  <w:r>
                    <w:rPr>
                      <w:rFonts w:hint="eastAsia" w:ascii="宋体" w:hAnsi="宋体" w:eastAsia="宋体" w:cs="宋体"/>
                      <w:color w:val="auto"/>
                      <w:sz w:val="21"/>
                      <w:szCs w:val="21"/>
                      <w:highlight w:val="none"/>
                      <w:lang w:val="zh-CN"/>
                    </w:rPr>
                    <w:t>（含10</w:t>
                  </w:r>
                  <w:r>
                    <w:rPr>
                      <w:rFonts w:hint="eastAsia" w:ascii="宋体" w:hAnsi="宋体" w:eastAsia="宋体" w:cs="宋体"/>
                      <w:color w:val="auto"/>
                      <w:sz w:val="21"/>
                      <w:szCs w:val="21"/>
                      <w:highlight w:val="none"/>
                    </w:rPr>
                    <w:t>00</w:t>
                  </w:r>
                  <w:r>
                    <w:rPr>
                      <w:rFonts w:hint="eastAsia" w:ascii="宋体" w:hAnsi="宋体" w:eastAsia="宋体" w:cs="宋体"/>
                      <w:color w:val="auto"/>
                      <w:sz w:val="21"/>
                      <w:szCs w:val="21"/>
                      <w:highlight w:val="none"/>
                      <w:lang w:val="zh-CN"/>
                    </w:rPr>
                    <w:t>万元</w:t>
                  </w:r>
                  <w:r>
                    <w:rPr>
                      <w:rFonts w:hint="eastAsia" w:ascii="宋体" w:hAnsi="宋体" w:eastAsia="宋体" w:cs="宋体"/>
                      <w:color w:val="auto"/>
                      <w:sz w:val="21"/>
                      <w:szCs w:val="21"/>
                      <w:highlight w:val="none"/>
                    </w:rPr>
                    <w:t>）</w:t>
                  </w:r>
                </w:p>
              </w:tc>
              <w:tc>
                <w:tcPr>
                  <w:tcW w:w="71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232D338">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11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F3A791E">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1000万元</w:t>
                  </w:r>
                </w:p>
              </w:tc>
              <w:tc>
                <w:tcPr>
                  <w:tcW w:w="362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C8085AA">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10+(1000万-500万)×1.5</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=17.5</w:t>
                  </w:r>
                </w:p>
              </w:tc>
            </w:tr>
            <w:tr w14:paraId="5117F3EE">
              <w:tblPrEx>
                <w:tblCellMar>
                  <w:top w:w="0" w:type="dxa"/>
                  <w:left w:w="0" w:type="dxa"/>
                  <w:bottom w:w="0" w:type="dxa"/>
                  <w:right w:w="0" w:type="dxa"/>
                </w:tblCellMar>
              </w:tblPrEx>
              <w:trPr>
                <w:trHeight w:val="567" w:hRule="atLeast"/>
                <w:jc w:val="center"/>
              </w:trPr>
              <w:tc>
                <w:tcPr>
                  <w:tcW w:w="455"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850B4D1">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3429"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8811D3E">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不含</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至3000万</w:t>
                  </w:r>
                  <w:r>
                    <w:rPr>
                      <w:rFonts w:hint="eastAsia" w:ascii="宋体" w:hAnsi="宋体" w:eastAsia="宋体" w:cs="宋体"/>
                      <w:color w:val="auto"/>
                      <w:sz w:val="21"/>
                      <w:szCs w:val="21"/>
                      <w:highlight w:val="none"/>
                      <w:lang w:val="zh-CN"/>
                    </w:rPr>
                    <w:t>元（含3000万元）</w:t>
                  </w:r>
                </w:p>
              </w:tc>
              <w:tc>
                <w:tcPr>
                  <w:tcW w:w="71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A0CA81B">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A1A911F">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3000万元</w:t>
                  </w:r>
                </w:p>
              </w:tc>
              <w:tc>
                <w:tcPr>
                  <w:tcW w:w="362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D4F126F">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17.5+(3000万-1000万)×1</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=37.5</w:t>
                  </w:r>
                </w:p>
              </w:tc>
            </w:tr>
            <w:tr w14:paraId="46DEAD22">
              <w:tblPrEx>
                <w:tblCellMar>
                  <w:top w:w="0" w:type="dxa"/>
                  <w:left w:w="0" w:type="dxa"/>
                  <w:bottom w:w="0" w:type="dxa"/>
                  <w:right w:w="0" w:type="dxa"/>
                </w:tblCellMar>
              </w:tblPrEx>
              <w:trPr>
                <w:trHeight w:val="567" w:hRule="atLeast"/>
                <w:jc w:val="center"/>
              </w:trPr>
              <w:tc>
                <w:tcPr>
                  <w:tcW w:w="455"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BDE983A">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3429"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D8F9B9C">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3000万元</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不含</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以上的</w:t>
                  </w:r>
                </w:p>
              </w:tc>
              <w:tc>
                <w:tcPr>
                  <w:tcW w:w="71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0CD8FF6">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0.4</w:t>
                  </w:r>
                </w:p>
              </w:tc>
              <w:tc>
                <w:tcPr>
                  <w:tcW w:w="11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EBD342B">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4000万元</w:t>
                  </w:r>
                </w:p>
              </w:tc>
              <w:tc>
                <w:tcPr>
                  <w:tcW w:w="362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F5615A4">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37.5+(4000万-3000万)×0.4</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=41.5</w:t>
                  </w:r>
                </w:p>
              </w:tc>
            </w:tr>
          </w:tbl>
          <w:p w14:paraId="56861843">
            <w:pPr>
              <w:keepNext w:val="0"/>
              <w:keepLines w:val="0"/>
              <w:pageBreakBefore w:val="0"/>
              <w:widowControl w:val="0"/>
              <w:tabs>
                <w:tab w:val="left" w:pos="8445"/>
              </w:tabs>
              <w:kinsoku/>
              <w:wordWrap/>
              <w:overflowPunct/>
              <w:topLinePunct w:val="0"/>
              <w:autoSpaceDE/>
              <w:autoSpaceDN/>
              <w:bidi w:val="0"/>
              <w:adjustRightInd/>
              <w:snapToGrid/>
              <w:spacing w:before="164" w:beforeLines="50" w:line="360" w:lineRule="auto"/>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（3）工程造价分析审核服务费按单项工程结算审核服务费计算基本付费额×1.1，不计核减付费额。基本付费额按送审</w:t>
            </w:r>
            <w:r>
              <w:rPr>
                <w:rFonts w:hint="eastAsia" w:ascii="宋体" w:hAnsi="宋体" w:eastAsia="宋体" w:cs="宋体"/>
                <w:color w:val="auto"/>
                <w:sz w:val="21"/>
                <w:szCs w:val="21"/>
                <w:highlight w:val="none"/>
              </w:rPr>
              <w:t>建安费为基数计算。</w:t>
            </w:r>
          </w:p>
          <w:p w14:paraId="1B32D7F1">
            <w:pPr>
              <w:keepNext w:val="0"/>
              <w:keepLines w:val="0"/>
              <w:pageBreakBefore w:val="0"/>
              <w:tabs>
                <w:tab w:val="left" w:pos="8445"/>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（4）项目让利金额、高估冒算处罚违约金、未确定核减额不计算审核服务费。</w:t>
            </w:r>
          </w:p>
          <w:p w14:paraId="1013D2CC">
            <w:pPr>
              <w:keepNext w:val="0"/>
              <w:keepLines w:val="0"/>
              <w:pageBreakBefore w:val="0"/>
              <w:tabs>
                <w:tab w:val="left" w:pos="8445"/>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（5）</w:t>
            </w:r>
            <w:r>
              <w:rPr>
                <w:rFonts w:hint="eastAsia" w:ascii="宋体" w:hAnsi="宋体" w:eastAsia="宋体" w:cs="宋体"/>
                <w:bCs/>
                <w:color w:val="auto"/>
                <w:sz w:val="21"/>
                <w:szCs w:val="21"/>
                <w:highlight w:val="none"/>
              </w:rPr>
              <w:t>专项审核类工程</w:t>
            </w:r>
            <w:r>
              <w:rPr>
                <w:rFonts w:hint="eastAsia" w:ascii="宋体" w:hAnsi="宋体" w:eastAsia="宋体" w:cs="宋体"/>
                <w:bCs/>
                <w:color w:val="auto"/>
                <w:sz w:val="21"/>
                <w:szCs w:val="21"/>
                <w:highlight w:val="none"/>
                <w:lang w:val="zh-CN"/>
              </w:rPr>
              <w:t>结算审核服务费</w:t>
            </w:r>
            <w:r>
              <w:rPr>
                <w:rFonts w:hint="eastAsia" w:ascii="宋体" w:hAnsi="宋体" w:eastAsia="宋体" w:cs="宋体"/>
                <w:bCs/>
                <w:color w:val="auto"/>
                <w:sz w:val="21"/>
                <w:szCs w:val="21"/>
                <w:highlight w:val="none"/>
              </w:rPr>
              <w:t>按</w:t>
            </w:r>
            <w:r>
              <w:rPr>
                <w:rFonts w:hint="eastAsia" w:ascii="宋体" w:hAnsi="宋体" w:eastAsia="宋体" w:cs="宋体"/>
                <w:bCs/>
                <w:color w:val="auto"/>
                <w:sz w:val="21"/>
                <w:szCs w:val="21"/>
                <w:highlight w:val="none"/>
                <w:lang w:val="zh-CN"/>
              </w:rPr>
              <w:t>单</w:t>
            </w:r>
            <w:r>
              <w:rPr>
                <w:rFonts w:hint="eastAsia" w:ascii="宋体" w:hAnsi="宋体" w:eastAsia="宋体" w:cs="宋体"/>
                <w:color w:val="auto"/>
                <w:sz w:val="21"/>
                <w:szCs w:val="21"/>
                <w:highlight w:val="none"/>
                <w:lang w:val="zh-CN"/>
              </w:rPr>
              <w:t>项工程结算审核服务费</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t>0.7</w:t>
            </w:r>
          </w:p>
          <w:p w14:paraId="7E42BCEB">
            <w:pPr>
              <w:keepNext w:val="0"/>
              <w:keepLines w:val="0"/>
              <w:pageBreakBefore w:val="0"/>
              <w:kinsoku/>
              <w:wordWrap/>
              <w:overflowPunct/>
              <w:topLinePunct w:val="0"/>
              <w:autoSpaceDE w:val="0"/>
              <w:autoSpaceDN w:val="0"/>
              <w:bidi w:val="0"/>
              <w:adjustRightInd w:val="0"/>
              <w:spacing w:line="360" w:lineRule="auto"/>
              <w:ind w:firstLine="420" w:firstLineChars="200"/>
              <w:rPr>
                <w:rFonts w:hint="eastAsia" w:ascii="宋体" w:hAnsi="宋体" w:eastAsia="宋体" w:cs="宋体"/>
                <w:bCs/>
                <w:color w:val="auto"/>
                <w:sz w:val="21"/>
                <w:szCs w:val="21"/>
                <w:highlight w:val="none"/>
              </w:rPr>
            </w:pPr>
          </w:p>
          <w:p w14:paraId="62245AB8">
            <w:pPr>
              <w:keepNext w:val="0"/>
              <w:keepLines w:val="0"/>
              <w:pageBreakBefore w:val="0"/>
              <w:kinsoku/>
              <w:wordWrap/>
              <w:overflowPunct/>
              <w:topLinePunct w:val="0"/>
              <w:autoSpaceDE w:val="0"/>
              <w:autoSpaceDN w:val="0"/>
              <w:bidi w:val="0"/>
              <w:adjustRightInd w:val="0"/>
              <w:spacing w:line="360" w:lineRule="auto"/>
              <w:ind w:firstLine="422" w:firstLineChars="200"/>
              <w:rPr>
                <w:rFonts w:hint="eastAsia" w:ascii="宋体" w:hAnsi="宋体" w:eastAsia="宋体" w:cs="宋体"/>
                <w:b/>
                <w:bCs/>
                <w:color w:val="auto"/>
                <w:sz w:val="21"/>
                <w:szCs w:val="21"/>
                <w:highlight w:val="none"/>
                <w:shd w:val="clear" w:color="auto" w:fill="FFFFFF"/>
                <w:lang w:val="zh-CN"/>
              </w:rPr>
            </w:pPr>
            <w:r>
              <w:rPr>
                <w:rFonts w:hint="eastAsia" w:ascii="宋体" w:hAnsi="宋体" w:eastAsia="宋体" w:cs="宋体"/>
                <w:b/>
                <w:bCs/>
                <w:color w:val="auto"/>
                <w:sz w:val="21"/>
                <w:szCs w:val="21"/>
                <w:highlight w:val="none"/>
                <w:shd w:val="clear" w:color="auto" w:fill="FFFFFF"/>
                <w:lang w:val="zh-CN"/>
              </w:rPr>
              <w:t>3</w:t>
            </w:r>
            <w:r>
              <w:rPr>
                <w:rFonts w:hint="eastAsia" w:ascii="宋体" w:hAnsi="宋体" w:eastAsia="宋体" w:cs="宋体"/>
                <w:b/>
                <w:bCs/>
                <w:color w:val="auto"/>
                <w:sz w:val="21"/>
                <w:szCs w:val="21"/>
                <w:highlight w:val="none"/>
                <w:shd w:val="clear" w:color="auto" w:fill="FFFFFF"/>
                <w:lang w:val="en-US" w:eastAsia="zh-CN"/>
              </w:rPr>
              <w:t>.</w:t>
            </w:r>
            <w:r>
              <w:rPr>
                <w:rFonts w:hint="eastAsia" w:ascii="宋体" w:hAnsi="宋体" w:eastAsia="宋体" w:cs="宋体"/>
                <w:b/>
                <w:bCs/>
                <w:color w:val="auto"/>
                <w:sz w:val="21"/>
                <w:szCs w:val="21"/>
                <w:highlight w:val="none"/>
              </w:rPr>
              <w:t>专项审核类工程进度计量计价</w:t>
            </w:r>
            <w:r>
              <w:rPr>
                <w:rFonts w:hint="eastAsia" w:ascii="宋体" w:hAnsi="宋体" w:eastAsia="宋体" w:cs="宋体"/>
                <w:b/>
                <w:bCs/>
                <w:color w:val="auto"/>
                <w:sz w:val="21"/>
                <w:szCs w:val="21"/>
                <w:highlight w:val="none"/>
                <w:shd w:val="clear" w:color="auto" w:fill="FFFFFF"/>
                <w:lang w:val="zh-CN"/>
              </w:rPr>
              <w:t>审核</w:t>
            </w:r>
          </w:p>
          <w:p w14:paraId="6B44BC21">
            <w:pPr>
              <w:keepNext w:val="0"/>
              <w:keepLines w:val="0"/>
              <w:pageBreakBefore w:val="0"/>
              <w:kinsoku/>
              <w:wordWrap/>
              <w:overflowPunct/>
              <w:topLinePunct w:val="0"/>
              <w:autoSpaceDE w:val="0"/>
              <w:autoSpaceDN w:val="0"/>
              <w:bidi w:val="0"/>
              <w:adjustRightIn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shd w:val="clear" w:color="auto" w:fill="FFFFFF"/>
                <w:lang w:val="zh-CN"/>
              </w:rPr>
              <w:t>服务费</w:t>
            </w:r>
            <w:r>
              <w:rPr>
                <w:rFonts w:hint="eastAsia" w:ascii="宋体" w:hAnsi="宋体" w:eastAsia="宋体" w:cs="宋体"/>
                <w:bCs/>
                <w:color w:val="auto"/>
                <w:sz w:val="21"/>
                <w:szCs w:val="21"/>
                <w:highlight w:val="none"/>
                <w:lang w:val="zh-CN"/>
              </w:rPr>
              <w:t>=基本付费额</w:t>
            </w:r>
            <w:r>
              <w:rPr>
                <w:rFonts w:hint="eastAsia" w:ascii="宋体" w:hAnsi="宋体" w:eastAsia="宋体" w:cs="宋体"/>
                <w:bCs/>
                <w:color w:val="auto"/>
                <w:sz w:val="21"/>
                <w:szCs w:val="21"/>
                <w:highlight w:val="none"/>
              </w:rPr>
              <w:t>×调整系数</w:t>
            </w:r>
            <w:r>
              <w:rPr>
                <w:rFonts w:hint="eastAsia" w:ascii="宋体" w:hAnsi="宋体" w:eastAsia="宋体" w:cs="宋体"/>
                <w:color w:val="auto"/>
                <w:sz w:val="21"/>
                <w:szCs w:val="21"/>
                <w:highlight w:val="none"/>
                <w:shd w:val="clear" w:color="auto" w:fill="FFFFFF"/>
              </w:rPr>
              <w:t>（按第</w:t>
            </w:r>
            <w:r>
              <w:rPr>
                <w:rFonts w:hint="eastAsia" w:ascii="宋体" w:hAnsi="宋体" w:eastAsia="宋体" w:cs="宋体"/>
                <w:color w:val="auto"/>
                <w:sz w:val="21"/>
                <w:szCs w:val="21"/>
                <w:highlight w:val="none"/>
                <w:shd w:val="clear" w:color="auto" w:fill="FFFFFF"/>
                <w:lang w:val="en-US" w:eastAsia="zh-CN"/>
              </w:rPr>
              <w:t>4</w:t>
            </w:r>
            <w:r>
              <w:rPr>
                <w:rFonts w:hint="eastAsia" w:ascii="宋体" w:hAnsi="宋体" w:eastAsia="宋体" w:cs="宋体"/>
                <w:color w:val="auto"/>
                <w:sz w:val="21"/>
                <w:szCs w:val="21"/>
                <w:highlight w:val="none"/>
                <w:shd w:val="clear" w:color="auto" w:fill="FFFFFF"/>
              </w:rPr>
              <w:t>点A、B、C</w:t>
            </w:r>
            <w:r>
              <w:rPr>
                <w:rFonts w:hint="eastAsia" w:ascii="宋体" w:hAnsi="宋体" w:eastAsia="宋体" w:cs="宋体"/>
                <w:color w:val="auto"/>
                <w:sz w:val="21"/>
                <w:szCs w:val="21"/>
                <w:highlight w:val="none"/>
              </w:rPr>
              <w:t>计算</w:t>
            </w:r>
            <w:r>
              <w:rPr>
                <w:rFonts w:hint="eastAsia" w:ascii="宋体" w:hAnsi="宋体" w:eastAsia="宋体" w:cs="宋体"/>
                <w:color w:val="auto"/>
                <w:sz w:val="21"/>
                <w:szCs w:val="21"/>
                <w:highlight w:val="none"/>
                <w:shd w:val="clear" w:color="auto" w:fill="FFFFFF"/>
              </w:rPr>
              <w:t>）</w:t>
            </w:r>
          </w:p>
          <w:p w14:paraId="468A4497">
            <w:pPr>
              <w:keepNext w:val="0"/>
              <w:keepLines w:val="0"/>
              <w:pageBreakBefore w:val="0"/>
              <w:kinsoku/>
              <w:wordWrap/>
              <w:overflowPunct/>
              <w:topLinePunct w:val="0"/>
              <w:autoSpaceDE w:val="0"/>
              <w:autoSpaceDN w:val="0"/>
              <w:bidi w:val="0"/>
              <w:adjustRightInd w:val="0"/>
              <w:spacing w:line="360" w:lineRule="auto"/>
              <w:ind w:firstLine="31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zh-CN"/>
              </w:rPr>
              <w:t>基本付费额：以单项工程送审金额按超额累进方法计算</w:t>
            </w:r>
          </w:p>
          <w:tbl>
            <w:tblPr>
              <w:tblStyle w:val="5"/>
              <w:tblW w:w="9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67"/>
              <w:gridCol w:w="3442"/>
              <w:gridCol w:w="710"/>
              <w:gridCol w:w="1138"/>
              <w:gridCol w:w="3610"/>
            </w:tblGrid>
            <w:tr w14:paraId="493E1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55" w:hRule="atLeast"/>
                <w:jc w:val="center"/>
              </w:trPr>
              <w:tc>
                <w:tcPr>
                  <w:tcW w:w="467" w:type="dxa"/>
                  <w:vMerge w:val="restart"/>
                  <w:noWrap w:val="0"/>
                  <w:tcMar>
                    <w:top w:w="15" w:type="dxa"/>
                    <w:left w:w="15" w:type="dxa"/>
                    <w:bottom w:w="0" w:type="dxa"/>
                    <w:right w:w="15" w:type="dxa"/>
                  </w:tcMar>
                  <w:vAlign w:val="center"/>
                </w:tcPr>
                <w:p w14:paraId="49047827">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3442" w:type="dxa"/>
                  <w:vMerge w:val="restart"/>
                  <w:noWrap w:val="0"/>
                  <w:tcMar>
                    <w:top w:w="15" w:type="dxa"/>
                    <w:left w:w="15" w:type="dxa"/>
                    <w:bottom w:w="0" w:type="dxa"/>
                    <w:right w:w="15" w:type="dxa"/>
                  </w:tcMar>
                  <w:vAlign w:val="center"/>
                </w:tcPr>
                <w:p w14:paraId="16B8B8F2">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送审金额（万元）</w:t>
                  </w:r>
                </w:p>
              </w:tc>
              <w:tc>
                <w:tcPr>
                  <w:tcW w:w="710" w:type="dxa"/>
                  <w:vMerge w:val="restart"/>
                  <w:noWrap w:val="0"/>
                  <w:tcMar>
                    <w:top w:w="15" w:type="dxa"/>
                    <w:left w:w="15" w:type="dxa"/>
                    <w:bottom w:w="0" w:type="dxa"/>
                    <w:right w:w="15" w:type="dxa"/>
                  </w:tcMar>
                  <w:vAlign w:val="center"/>
                </w:tcPr>
                <w:p w14:paraId="71C2C247">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计算比例（‰）</w:t>
                  </w:r>
                </w:p>
              </w:tc>
              <w:tc>
                <w:tcPr>
                  <w:tcW w:w="4748" w:type="dxa"/>
                  <w:gridSpan w:val="2"/>
                  <w:noWrap w:val="0"/>
                  <w:tcMar>
                    <w:top w:w="15" w:type="dxa"/>
                    <w:left w:w="15" w:type="dxa"/>
                    <w:bottom w:w="0" w:type="dxa"/>
                    <w:right w:w="15" w:type="dxa"/>
                  </w:tcMar>
                  <w:vAlign w:val="center"/>
                </w:tcPr>
                <w:p w14:paraId="55896D3D">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计算举例 </w:t>
                  </w:r>
                </w:p>
              </w:tc>
            </w:tr>
            <w:tr w14:paraId="6110F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0" w:hRule="atLeast"/>
                <w:jc w:val="center"/>
              </w:trPr>
              <w:tc>
                <w:tcPr>
                  <w:tcW w:w="467" w:type="dxa"/>
                  <w:vMerge w:val="continue"/>
                  <w:noWrap w:val="0"/>
                  <w:vAlign w:val="center"/>
                </w:tcPr>
                <w:p w14:paraId="44A32ACC">
                  <w:pPr>
                    <w:keepNext w:val="0"/>
                    <w:keepLines w:val="0"/>
                    <w:pageBreakBefore w:val="0"/>
                    <w:widowControl/>
                    <w:kinsoku/>
                    <w:wordWrap/>
                    <w:overflowPunct/>
                    <w:topLinePunct w:val="0"/>
                    <w:bidi w:val="0"/>
                    <w:spacing w:line="360" w:lineRule="auto"/>
                    <w:jc w:val="left"/>
                    <w:rPr>
                      <w:rFonts w:hint="eastAsia" w:ascii="宋体" w:hAnsi="宋体" w:eastAsia="宋体" w:cs="宋体"/>
                      <w:color w:val="auto"/>
                      <w:sz w:val="21"/>
                      <w:szCs w:val="21"/>
                      <w:highlight w:val="none"/>
                    </w:rPr>
                  </w:pPr>
                </w:p>
              </w:tc>
              <w:tc>
                <w:tcPr>
                  <w:tcW w:w="3442" w:type="dxa"/>
                  <w:vMerge w:val="continue"/>
                  <w:noWrap w:val="0"/>
                  <w:vAlign w:val="center"/>
                </w:tcPr>
                <w:p w14:paraId="38BDA190">
                  <w:pPr>
                    <w:keepNext w:val="0"/>
                    <w:keepLines w:val="0"/>
                    <w:pageBreakBefore w:val="0"/>
                    <w:widowControl/>
                    <w:kinsoku/>
                    <w:wordWrap/>
                    <w:overflowPunct/>
                    <w:topLinePunct w:val="0"/>
                    <w:bidi w:val="0"/>
                    <w:spacing w:line="360" w:lineRule="auto"/>
                    <w:jc w:val="left"/>
                    <w:rPr>
                      <w:rFonts w:hint="eastAsia" w:ascii="宋体" w:hAnsi="宋体" w:eastAsia="宋体" w:cs="宋体"/>
                      <w:color w:val="auto"/>
                      <w:sz w:val="21"/>
                      <w:szCs w:val="21"/>
                      <w:highlight w:val="none"/>
                    </w:rPr>
                  </w:pPr>
                </w:p>
              </w:tc>
              <w:tc>
                <w:tcPr>
                  <w:tcW w:w="710" w:type="dxa"/>
                  <w:vMerge w:val="continue"/>
                  <w:noWrap w:val="0"/>
                  <w:vAlign w:val="center"/>
                </w:tcPr>
                <w:p w14:paraId="492D58C4">
                  <w:pPr>
                    <w:keepNext w:val="0"/>
                    <w:keepLines w:val="0"/>
                    <w:pageBreakBefore w:val="0"/>
                    <w:widowControl/>
                    <w:kinsoku/>
                    <w:wordWrap/>
                    <w:overflowPunct/>
                    <w:topLinePunct w:val="0"/>
                    <w:bidi w:val="0"/>
                    <w:spacing w:line="360" w:lineRule="auto"/>
                    <w:jc w:val="left"/>
                    <w:rPr>
                      <w:rFonts w:hint="eastAsia" w:ascii="宋体" w:hAnsi="宋体" w:eastAsia="宋体" w:cs="宋体"/>
                      <w:color w:val="auto"/>
                      <w:sz w:val="21"/>
                      <w:szCs w:val="21"/>
                      <w:highlight w:val="none"/>
                    </w:rPr>
                  </w:pPr>
                </w:p>
              </w:tc>
              <w:tc>
                <w:tcPr>
                  <w:tcW w:w="1138" w:type="dxa"/>
                  <w:noWrap w:val="0"/>
                  <w:tcMar>
                    <w:top w:w="15" w:type="dxa"/>
                    <w:left w:w="15" w:type="dxa"/>
                    <w:bottom w:w="0" w:type="dxa"/>
                    <w:right w:w="15" w:type="dxa"/>
                  </w:tcMar>
                  <w:vAlign w:val="center"/>
                </w:tcPr>
                <w:p w14:paraId="60D38B7D">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送审金额</w:t>
                  </w:r>
                </w:p>
              </w:tc>
              <w:tc>
                <w:tcPr>
                  <w:tcW w:w="3610" w:type="dxa"/>
                  <w:noWrap w:val="0"/>
                  <w:tcMar>
                    <w:top w:w="15" w:type="dxa"/>
                    <w:left w:w="15" w:type="dxa"/>
                    <w:bottom w:w="0" w:type="dxa"/>
                    <w:right w:w="15" w:type="dxa"/>
                  </w:tcMar>
                  <w:vAlign w:val="center"/>
                </w:tcPr>
                <w:p w14:paraId="2286D995">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基本付费额 （元）</w:t>
                  </w:r>
                </w:p>
              </w:tc>
            </w:tr>
            <w:tr w14:paraId="1E7EA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jc w:val="center"/>
              </w:trPr>
              <w:tc>
                <w:tcPr>
                  <w:tcW w:w="467" w:type="dxa"/>
                  <w:noWrap w:val="0"/>
                  <w:tcMar>
                    <w:top w:w="15" w:type="dxa"/>
                    <w:left w:w="15" w:type="dxa"/>
                    <w:bottom w:w="0" w:type="dxa"/>
                    <w:right w:w="15" w:type="dxa"/>
                  </w:tcMar>
                  <w:vAlign w:val="center"/>
                </w:tcPr>
                <w:p w14:paraId="097B2702">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442" w:type="dxa"/>
                  <w:noWrap w:val="0"/>
                  <w:tcMar>
                    <w:top w:w="15" w:type="dxa"/>
                    <w:left w:w="15" w:type="dxa"/>
                    <w:bottom w:w="0" w:type="dxa"/>
                    <w:right w:w="15" w:type="dxa"/>
                  </w:tcMar>
                  <w:vAlign w:val="center"/>
                </w:tcPr>
                <w:p w14:paraId="4F517E12">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1000万元以下</w:t>
                  </w:r>
                  <w:r>
                    <w:rPr>
                      <w:rFonts w:hint="eastAsia" w:ascii="宋体" w:hAnsi="宋体" w:eastAsia="宋体" w:cs="宋体"/>
                      <w:color w:val="auto"/>
                      <w:sz w:val="21"/>
                      <w:szCs w:val="21"/>
                      <w:highlight w:val="none"/>
                      <w:lang w:val="zh-CN"/>
                    </w:rPr>
                    <w:t>（含1000万元）</w:t>
                  </w:r>
                </w:p>
              </w:tc>
              <w:tc>
                <w:tcPr>
                  <w:tcW w:w="710" w:type="dxa"/>
                  <w:noWrap w:val="0"/>
                  <w:tcMar>
                    <w:top w:w="15" w:type="dxa"/>
                    <w:left w:w="15" w:type="dxa"/>
                    <w:bottom w:w="0" w:type="dxa"/>
                    <w:right w:w="15" w:type="dxa"/>
                  </w:tcMar>
                  <w:vAlign w:val="center"/>
                </w:tcPr>
                <w:p w14:paraId="22CEB6AD">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1138" w:type="dxa"/>
                  <w:noWrap w:val="0"/>
                  <w:tcMar>
                    <w:top w:w="15" w:type="dxa"/>
                    <w:left w:w="15" w:type="dxa"/>
                    <w:bottom w:w="0" w:type="dxa"/>
                    <w:right w:w="15" w:type="dxa"/>
                  </w:tcMar>
                  <w:vAlign w:val="center"/>
                </w:tcPr>
                <w:p w14:paraId="01AFB37E">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1000万元</w:t>
                  </w:r>
                </w:p>
              </w:tc>
              <w:tc>
                <w:tcPr>
                  <w:tcW w:w="3610" w:type="dxa"/>
                  <w:noWrap w:val="0"/>
                  <w:tcMar>
                    <w:top w:w="15" w:type="dxa"/>
                    <w:left w:w="15" w:type="dxa"/>
                    <w:bottom w:w="0" w:type="dxa"/>
                    <w:right w:w="15" w:type="dxa"/>
                  </w:tcMar>
                  <w:vAlign w:val="center"/>
                </w:tcPr>
                <w:p w14:paraId="31B3688D">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1000万×1.2‰=12000</w:t>
                  </w:r>
                </w:p>
              </w:tc>
            </w:tr>
            <w:tr w14:paraId="3A1B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67" w:type="dxa"/>
                  <w:noWrap w:val="0"/>
                  <w:tcMar>
                    <w:top w:w="15" w:type="dxa"/>
                    <w:left w:w="15" w:type="dxa"/>
                    <w:bottom w:w="0" w:type="dxa"/>
                    <w:right w:w="15" w:type="dxa"/>
                  </w:tcMar>
                  <w:vAlign w:val="center"/>
                </w:tcPr>
                <w:p w14:paraId="3554C7BD">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442" w:type="dxa"/>
                  <w:noWrap w:val="0"/>
                  <w:tcMar>
                    <w:top w:w="15" w:type="dxa"/>
                    <w:left w:w="15" w:type="dxa"/>
                    <w:bottom w:w="0" w:type="dxa"/>
                    <w:right w:w="15" w:type="dxa"/>
                  </w:tcMar>
                  <w:vAlign w:val="center"/>
                </w:tcPr>
                <w:p w14:paraId="7CA4FBD6">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不含</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至3000万元</w:t>
                  </w:r>
                  <w:r>
                    <w:rPr>
                      <w:rFonts w:hint="eastAsia" w:ascii="宋体" w:hAnsi="宋体" w:eastAsia="宋体" w:cs="宋体"/>
                      <w:color w:val="auto"/>
                      <w:sz w:val="21"/>
                      <w:szCs w:val="21"/>
                      <w:highlight w:val="none"/>
                      <w:lang w:val="zh-CN"/>
                    </w:rPr>
                    <w:t>（含3000万元）</w:t>
                  </w:r>
                </w:p>
              </w:tc>
              <w:tc>
                <w:tcPr>
                  <w:tcW w:w="710" w:type="dxa"/>
                  <w:noWrap w:val="0"/>
                  <w:tcMar>
                    <w:top w:w="15" w:type="dxa"/>
                    <w:left w:w="15" w:type="dxa"/>
                    <w:bottom w:w="0" w:type="dxa"/>
                    <w:right w:w="15" w:type="dxa"/>
                  </w:tcMar>
                  <w:vAlign w:val="center"/>
                </w:tcPr>
                <w:p w14:paraId="46F4786A">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0.8</w:t>
                  </w:r>
                </w:p>
              </w:tc>
              <w:tc>
                <w:tcPr>
                  <w:tcW w:w="1138" w:type="dxa"/>
                  <w:noWrap w:val="0"/>
                  <w:tcMar>
                    <w:top w:w="15" w:type="dxa"/>
                    <w:left w:w="15" w:type="dxa"/>
                    <w:bottom w:w="0" w:type="dxa"/>
                    <w:right w:w="15" w:type="dxa"/>
                  </w:tcMar>
                  <w:vAlign w:val="center"/>
                </w:tcPr>
                <w:p w14:paraId="4C597667">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3000万元</w:t>
                  </w:r>
                </w:p>
              </w:tc>
              <w:tc>
                <w:tcPr>
                  <w:tcW w:w="3610" w:type="dxa"/>
                  <w:noWrap w:val="0"/>
                  <w:tcMar>
                    <w:top w:w="15" w:type="dxa"/>
                    <w:left w:w="15" w:type="dxa"/>
                    <w:bottom w:w="0" w:type="dxa"/>
                    <w:right w:w="15" w:type="dxa"/>
                  </w:tcMar>
                  <w:vAlign w:val="center"/>
                </w:tcPr>
                <w:p w14:paraId="0B1FC868">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12000+(3000万-1000万)×0.8‰=28000</w:t>
                  </w:r>
                </w:p>
              </w:tc>
            </w:tr>
            <w:tr w14:paraId="0A286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67" w:type="dxa"/>
                  <w:noWrap w:val="0"/>
                  <w:tcMar>
                    <w:top w:w="15" w:type="dxa"/>
                    <w:left w:w="15" w:type="dxa"/>
                    <w:bottom w:w="0" w:type="dxa"/>
                    <w:right w:w="15" w:type="dxa"/>
                  </w:tcMar>
                  <w:vAlign w:val="center"/>
                </w:tcPr>
                <w:p w14:paraId="04D26D1E">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3442" w:type="dxa"/>
                  <w:noWrap w:val="0"/>
                  <w:tcMar>
                    <w:top w:w="15" w:type="dxa"/>
                    <w:left w:w="15" w:type="dxa"/>
                    <w:bottom w:w="0" w:type="dxa"/>
                    <w:right w:w="15" w:type="dxa"/>
                  </w:tcMar>
                  <w:vAlign w:val="center"/>
                </w:tcPr>
                <w:p w14:paraId="01321504">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3000</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不含</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至5000万元（</w:t>
                  </w:r>
                  <w:r>
                    <w:rPr>
                      <w:rFonts w:hint="eastAsia" w:ascii="宋体" w:hAnsi="宋体" w:eastAsia="宋体" w:cs="宋体"/>
                      <w:color w:val="auto"/>
                      <w:sz w:val="21"/>
                      <w:szCs w:val="21"/>
                      <w:highlight w:val="none"/>
                      <w:lang w:val="zh-CN"/>
                    </w:rPr>
                    <w:t>含5000万元）</w:t>
                  </w:r>
                </w:p>
              </w:tc>
              <w:tc>
                <w:tcPr>
                  <w:tcW w:w="710" w:type="dxa"/>
                  <w:noWrap w:val="0"/>
                  <w:tcMar>
                    <w:top w:w="15" w:type="dxa"/>
                    <w:left w:w="15" w:type="dxa"/>
                    <w:bottom w:w="0" w:type="dxa"/>
                    <w:right w:w="15" w:type="dxa"/>
                  </w:tcMar>
                  <w:vAlign w:val="center"/>
                </w:tcPr>
                <w:p w14:paraId="7E450F37">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0.6</w:t>
                  </w:r>
                </w:p>
              </w:tc>
              <w:tc>
                <w:tcPr>
                  <w:tcW w:w="1138" w:type="dxa"/>
                  <w:noWrap w:val="0"/>
                  <w:tcMar>
                    <w:top w:w="15" w:type="dxa"/>
                    <w:left w:w="15" w:type="dxa"/>
                    <w:bottom w:w="0" w:type="dxa"/>
                    <w:right w:w="15" w:type="dxa"/>
                  </w:tcMar>
                  <w:vAlign w:val="center"/>
                </w:tcPr>
                <w:p w14:paraId="496D6F9E">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5000万元</w:t>
                  </w:r>
                </w:p>
              </w:tc>
              <w:tc>
                <w:tcPr>
                  <w:tcW w:w="3610" w:type="dxa"/>
                  <w:noWrap w:val="0"/>
                  <w:tcMar>
                    <w:top w:w="15" w:type="dxa"/>
                    <w:left w:w="15" w:type="dxa"/>
                    <w:bottom w:w="0" w:type="dxa"/>
                    <w:right w:w="15" w:type="dxa"/>
                  </w:tcMar>
                  <w:vAlign w:val="center"/>
                </w:tcPr>
                <w:p w14:paraId="60C8056E">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28000+(5000万-3000万)×0.6‰=40000</w:t>
                  </w:r>
                </w:p>
              </w:tc>
            </w:tr>
            <w:tr w14:paraId="3D5D6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67" w:type="dxa"/>
                  <w:noWrap w:val="0"/>
                  <w:tcMar>
                    <w:top w:w="15" w:type="dxa"/>
                    <w:left w:w="15" w:type="dxa"/>
                    <w:bottom w:w="0" w:type="dxa"/>
                    <w:right w:w="15" w:type="dxa"/>
                  </w:tcMar>
                  <w:vAlign w:val="center"/>
                </w:tcPr>
                <w:p w14:paraId="0DC12A91">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3442" w:type="dxa"/>
                  <w:noWrap w:val="0"/>
                  <w:tcMar>
                    <w:top w:w="15" w:type="dxa"/>
                    <w:left w:w="15" w:type="dxa"/>
                    <w:bottom w:w="0" w:type="dxa"/>
                    <w:right w:w="15" w:type="dxa"/>
                  </w:tcMar>
                  <w:vAlign w:val="center"/>
                </w:tcPr>
                <w:p w14:paraId="3BB4DD06">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不含</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至10000万元（</w:t>
                  </w:r>
                  <w:r>
                    <w:rPr>
                      <w:rFonts w:hint="eastAsia" w:ascii="宋体" w:hAnsi="宋体" w:eastAsia="宋体" w:cs="宋体"/>
                      <w:color w:val="auto"/>
                      <w:sz w:val="21"/>
                      <w:szCs w:val="21"/>
                      <w:highlight w:val="none"/>
                      <w:lang w:val="zh-CN"/>
                    </w:rPr>
                    <w:t>含10000万元）</w:t>
                  </w:r>
                </w:p>
              </w:tc>
              <w:tc>
                <w:tcPr>
                  <w:tcW w:w="710" w:type="dxa"/>
                  <w:noWrap w:val="0"/>
                  <w:tcMar>
                    <w:top w:w="15" w:type="dxa"/>
                    <w:left w:w="15" w:type="dxa"/>
                    <w:bottom w:w="0" w:type="dxa"/>
                    <w:right w:w="15" w:type="dxa"/>
                  </w:tcMar>
                  <w:vAlign w:val="center"/>
                </w:tcPr>
                <w:p w14:paraId="7D8AF4BD">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0.4</w:t>
                  </w:r>
                </w:p>
              </w:tc>
              <w:tc>
                <w:tcPr>
                  <w:tcW w:w="1138" w:type="dxa"/>
                  <w:noWrap w:val="0"/>
                  <w:tcMar>
                    <w:top w:w="15" w:type="dxa"/>
                    <w:left w:w="15" w:type="dxa"/>
                    <w:bottom w:w="0" w:type="dxa"/>
                    <w:right w:w="15" w:type="dxa"/>
                  </w:tcMar>
                  <w:vAlign w:val="center"/>
                </w:tcPr>
                <w:p w14:paraId="7851BF88">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10000万元</w:t>
                  </w:r>
                </w:p>
              </w:tc>
              <w:tc>
                <w:tcPr>
                  <w:tcW w:w="3610" w:type="dxa"/>
                  <w:noWrap w:val="0"/>
                  <w:tcMar>
                    <w:top w:w="15" w:type="dxa"/>
                    <w:left w:w="15" w:type="dxa"/>
                    <w:bottom w:w="0" w:type="dxa"/>
                    <w:right w:w="15" w:type="dxa"/>
                  </w:tcMar>
                  <w:vAlign w:val="center"/>
                </w:tcPr>
                <w:p w14:paraId="2C6C7A66">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40000+(10000万-5000万)×0.4‰=60000</w:t>
                  </w:r>
                </w:p>
              </w:tc>
            </w:tr>
            <w:tr w14:paraId="46D5D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67" w:type="dxa"/>
                  <w:noWrap w:val="0"/>
                  <w:tcMar>
                    <w:top w:w="15" w:type="dxa"/>
                    <w:left w:w="15" w:type="dxa"/>
                    <w:bottom w:w="0" w:type="dxa"/>
                    <w:right w:w="15" w:type="dxa"/>
                  </w:tcMar>
                  <w:vAlign w:val="center"/>
                </w:tcPr>
                <w:p w14:paraId="2D0B96B2">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3442" w:type="dxa"/>
                  <w:noWrap w:val="0"/>
                  <w:tcMar>
                    <w:top w:w="15" w:type="dxa"/>
                    <w:left w:w="15" w:type="dxa"/>
                    <w:bottom w:w="0" w:type="dxa"/>
                    <w:right w:w="15" w:type="dxa"/>
                  </w:tcMar>
                  <w:vAlign w:val="center"/>
                </w:tcPr>
                <w:p w14:paraId="60B95EB8">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10000</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不含</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至30000万元（</w:t>
                  </w:r>
                  <w:r>
                    <w:rPr>
                      <w:rFonts w:hint="eastAsia" w:ascii="宋体" w:hAnsi="宋体" w:eastAsia="宋体" w:cs="宋体"/>
                      <w:color w:val="auto"/>
                      <w:sz w:val="21"/>
                      <w:szCs w:val="21"/>
                      <w:highlight w:val="none"/>
                      <w:lang w:val="zh-CN"/>
                    </w:rPr>
                    <w:t>含30000万元）</w:t>
                  </w:r>
                </w:p>
              </w:tc>
              <w:tc>
                <w:tcPr>
                  <w:tcW w:w="710" w:type="dxa"/>
                  <w:noWrap w:val="0"/>
                  <w:tcMar>
                    <w:top w:w="15" w:type="dxa"/>
                    <w:left w:w="15" w:type="dxa"/>
                    <w:bottom w:w="0" w:type="dxa"/>
                    <w:right w:w="15" w:type="dxa"/>
                  </w:tcMar>
                  <w:vAlign w:val="center"/>
                </w:tcPr>
                <w:p w14:paraId="24895785">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0.3</w:t>
                  </w:r>
                </w:p>
              </w:tc>
              <w:tc>
                <w:tcPr>
                  <w:tcW w:w="1138" w:type="dxa"/>
                  <w:noWrap w:val="0"/>
                  <w:tcMar>
                    <w:top w:w="15" w:type="dxa"/>
                    <w:left w:w="15" w:type="dxa"/>
                    <w:bottom w:w="0" w:type="dxa"/>
                    <w:right w:w="15" w:type="dxa"/>
                  </w:tcMar>
                  <w:vAlign w:val="center"/>
                </w:tcPr>
                <w:p w14:paraId="27E0D079">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30000万元</w:t>
                  </w:r>
                </w:p>
              </w:tc>
              <w:tc>
                <w:tcPr>
                  <w:tcW w:w="3610" w:type="dxa"/>
                  <w:noWrap w:val="0"/>
                  <w:tcMar>
                    <w:top w:w="15" w:type="dxa"/>
                    <w:left w:w="15" w:type="dxa"/>
                    <w:bottom w:w="0" w:type="dxa"/>
                    <w:right w:w="15" w:type="dxa"/>
                  </w:tcMar>
                  <w:vAlign w:val="center"/>
                </w:tcPr>
                <w:p w14:paraId="14621BAA">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60000+(30000万－10000万)×0.3‰=120000</w:t>
                  </w:r>
                </w:p>
              </w:tc>
            </w:tr>
            <w:tr w14:paraId="79A62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67" w:type="dxa"/>
                  <w:noWrap w:val="0"/>
                  <w:tcMar>
                    <w:top w:w="15" w:type="dxa"/>
                    <w:left w:w="15" w:type="dxa"/>
                    <w:bottom w:w="0" w:type="dxa"/>
                    <w:right w:w="15" w:type="dxa"/>
                  </w:tcMar>
                  <w:vAlign w:val="center"/>
                </w:tcPr>
                <w:p w14:paraId="0DEC72C1">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3442" w:type="dxa"/>
                  <w:noWrap w:val="0"/>
                  <w:tcMar>
                    <w:top w:w="15" w:type="dxa"/>
                    <w:left w:w="15" w:type="dxa"/>
                    <w:bottom w:w="0" w:type="dxa"/>
                    <w:right w:w="15" w:type="dxa"/>
                  </w:tcMar>
                  <w:vAlign w:val="center"/>
                </w:tcPr>
                <w:p w14:paraId="4F1292E8">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30000万元</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不含</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以上</w:t>
                  </w:r>
                </w:p>
              </w:tc>
              <w:tc>
                <w:tcPr>
                  <w:tcW w:w="710" w:type="dxa"/>
                  <w:noWrap w:val="0"/>
                  <w:tcMar>
                    <w:top w:w="15" w:type="dxa"/>
                    <w:left w:w="15" w:type="dxa"/>
                    <w:bottom w:w="0" w:type="dxa"/>
                    <w:right w:w="15" w:type="dxa"/>
                  </w:tcMar>
                  <w:vAlign w:val="center"/>
                </w:tcPr>
                <w:p w14:paraId="517EEC4F">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0.15</w:t>
                  </w:r>
                </w:p>
              </w:tc>
              <w:tc>
                <w:tcPr>
                  <w:tcW w:w="1138" w:type="dxa"/>
                  <w:noWrap w:val="0"/>
                  <w:tcMar>
                    <w:top w:w="15" w:type="dxa"/>
                    <w:left w:w="15" w:type="dxa"/>
                    <w:bottom w:w="0" w:type="dxa"/>
                    <w:right w:w="15" w:type="dxa"/>
                  </w:tcMar>
                  <w:vAlign w:val="center"/>
                </w:tcPr>
                <w:p w14:paraId="6BF0A4BF">
                  <w:pPr>
                    <w:keepNext w:val="0"/>
                    <w:keepLines w:val="0"/>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50000万元</w:t>
                  </w:r>
                </w:p>
              </w:tc>
              <w:tc>
                <w:tcPr>
                  <w:tcW w:w="3610" w:type="dxa"/>
                  <w:noWrap w:val="0"/>
                  <w:tcMar>
                    <w:top w:w="15" w:type="dxa"/>
                    <w:left w:w="15" w:type="dxa"/>
                    <w:bottom w:w="0" w:type="dxa"/>
                    <w:right w:w="15" w:type="dxa"/>
                  </w:tcMar>
                  <w:vAlign w:val="center"/>
                </w:tcPr>
                <w:p w14:paraId="00F6F675">
                  <w:pPr>
                    <w:keepNext w:val="0"/>
                    <w:keepLines w:val="0"/>
                    <w:pageBreakBefore w:val="0"/>
                    <w:kinsoku/>
                    <w:wordWrap/>
                    <w:overflowPunct/>
                    <w:topLinePunct w:val="0"/>
                    <w:bidi w:val="0"/>
                    <w:spacing w:line="360" w:lineRule="auto"/>
                    <w:ind w:firstLine="151" w:firstLineChars="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120000+（50000万-30000万）×0.15‰＝150000</w:t>
                  </w:r>
                </w:p>
              </w:tc>
            </w:tr>
          </w:tbl>
          <w:p w14:paraId="347758F5">
            <w:pPr>
              <w:keepNext w:val="0"/>
              <w:keepLines w:val="0"/>
              <w:pageBreakBefore w:val="0"/>
              <w:widowControl w:val="0"/>
              <w:kinsoku/>
              <w:wordWrap/>
              <w:overflowPunct/>
              <w:topLinePunct w:val="0"/>
              <w:autoSpaceDE/>
              <w:autoSpaceDN/>
              <w:bidi w:val="0"/>
              <w:adjustRightInd/>
              <w:snapToGrid w:val="0"/>
              <w:spacing w:before="164" w:beforeLines="50" w:line="360" w:lineRule="auto"/>
              <w:ind w:firstLine="422" w:firstLineChars="200"/>
              <w:jc w:val="left"/>
              <w:textAlignment w:val="auto"/>
              <w:outlineLvl w:val="0"/>
              <w:rPr>
                <w:rFonts w:hint="eastAsia" w:ascii="宋体" w:hAnsi="宋体" w:eastAsia="宋体" w:cs="宋体"/>
                <w:b/>
                <w:bCs w:val="0"/>
                <w:color w:val="auto"/>
                <w:sz w:val="21"/>
                <w:szCs w:val="21"/>
                <w:highlight w:val="none"/>
                <w:lang w:val="en-US" w:eastAsia="zh-CN"/>
              </w:rPr>
            </w:pPr>
          </w:p>
          <w:p w14:paraId="78FD0CC3">
            <w:pPr>
              <w:keepNext w:val="0"/>
              <w:keepLines w:val="0"/>
              <w:pageBreakBefore w:val="0"/>
              <w:widowControl w:val="0"/>
              <w:kinsoku/>
              <w:wordWrap/>
              <w:overflowPunct/>
              <w:topLinePunct w:val="0"/>
              <w:autoSpaceDE/>
              <w:autoSpaceDN/>
              <w:bidi w:val="0"/>
              <w:adjustRightInd/>
              <w:snapToGrid w:val="0"/>
              <w:spacing w:line="360" w:lineRule="auto"/>
              <w:ind w:firstLine="422" w:firstLineChars="200"/>
              <w:jc w:val="left"/>
              <w:textAlignment w:val="auto"/>
              <w:outlineLvl w:val="0"/>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lang w:val="en-US" w:eastAsia="zh-CN"/>
              </w:rPr>
              <w:t>4.</w:t>
            </w:r>
            <w:r>
              <w:rPr>
                <w:rFonts w:hint="eastAsia" w:ascii="宋体" w:hAnsi="宋体" w:eastAsia="宋体" w:cs="宋体"/>
                <w:b/>
                <w:bCs w:val="0"/>
                <w:color w:val="auto"/>
                <w:sz w:val="21"/>
                <w:szCs w:val="21"/>
                <w:highlight w:val="none"/>
              </w:rPr>
              <w:t>调整系数A、B、C</w:t>
            </w:r>
          </w:p>
          <w:p w14:paraId="05C8B120">
            <w:pPr>
              <w:keepNext w:val="0"/>
              <w:keepLines w:val="0"/>
              <w:pageBreakBefore w:val="0"/>
              <w:kinsoku/>
              <w:wordWrap/>
              <w:overflowPunct/>
              <w:topLinePunct w:val="0"/>
              <w:bidi w:val="0"/>
              <w:snapToGrid w:val="0"/>
              <w:spacing w:line="360" w:lineRule="auto"/>
              <w:ind w:firstLine="420" w:firstLineChars="200"/>
              <w:jc w:val="left"/>
              <w:outlineLvl w:val="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（1）项目性质调整系数A：</w:t>
            </w:r>
          </w:p>
          <w:p w14:paraId="34BEFDA2">
            <w:pPr>
              <w:keepNext w:val="0"/>
              <w:keepLines w:val="0"/>
              <w:pageBreakBefore w:val="0"/>
              <w:kinsoku/>
              <w:wordWrap/>
              <w:overflowPunct/>
              <w:topLinePunct w:val="0"/>
              <w:bidi w:val="0"/>
              <w:snapToGrid w:val="0"/>
              <w:spacing w:line="360" w:lineRule="auto"/>
              <w:ind w:firstLine="420" w:firstLineChars="200"/>
              <w:jc w:val="left"/>
              <w:outlineLvl w:val="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①部门项目支出预算0.6；</w:t>
            </w:r>
          </w:p>
          <w:p w14:paraId="5C940891">
            <w:pPr>
              <w:keepNext w:val="0"/>
              <w:keepLines w:val="0"/>
              <w:pageBreakBefore w:val="0"/>
              <w:kinsoku/>
              <w:wordWrap/>
              <w:overflowPunct/>
              <w:topLinePunct w:val="0"/>
              <w:bidi w:val="0"/>
              <w:snapToGrid w:val="0"/>
              <w:spacing w:line="360" w:lineRule="auto"/>
              <w:ind w:firstLine="420" w:firstLineChars="200"/>
              <w:jc w:val="left"/>
              <w:outlineLvl w:val="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②概（预）算、预算控制价1.0；</w:t>
            </w:r>
          </w:p>
          <w:p w14:paraId="405543AA">
            <w:pPr>
              <w:keepNext w:val="0"/>
              <w:keepLines w:val="0"/>
              <w:pageBreakBefore w:val="0"/>
              <w:kinsoku/>
              <w:wordWrap/>
              <w:overflowPunct/>
              <w:topLinePunct w:val="0"/>
              <w:bidi w:val="0"/>
              <w:snapToGrid w:val="0"/>
              <w:spacing w:line="360" w:lineRule="auto"/>
              <w:ind w:firstLine="420" w:firstLineChars="200"/>
              <w:jc w:val="left"/>
              <w:outlineLvl w:val="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③工程总承包（EPC）预算控制价1.2；</w:t>
            </w:r>
          </w:p>
          <w:p w14:paraId="47E196BB">
            <w:pPr>
              <w:keepNext w:val="0"/>
              <w:keepLines w:val="0"/>
              <w:pageBreakBefore w:val="0"/>
              <w:kinsoku/>
              <w:wordWrap/>
              <w:overflowPunct/>
              <w:topLinePunct w:val="0"/>
              <w:bidi w:val="0"/>
              <w:snapToGrid w:val="0"/>
              <w:spacing w:line="360" w:lineRule="auto"/>
              <w:ind w:firstLine="420" w:firstLineChars="200"/>
              <w:jc w:val="left"/>
              <w:outlineLvl w:val="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④PPP项目施工图预算1.3；</w:t>
            </w:r>
          </w:p>
          <w:p w14:paraId="6E6CE47B">
            <w:pPr>
              <w:keepNext w:val="0"/>
              <w:keepLines w:val="0"/>
              <w:pageBreakBefore w:val="0"/>
              <w:kinsoku/>
              <w:wordWrap/>
              <w:overflowPunct/>
              <w:topLinePunct w:val="0"/>
              <w:bidi w:val="0"/>
              <w:snapToGrid w:val="0"/>
              <w:spacing w:line="360" w:lineRule="auto"/>
              <w:ind w:firstLine="420" w:firstLineChars="200"/>
              <w:jc w:val="left"/>
              <w:outlineLvl w:val="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⑤工程总承包（EPC）、PPP项目结算0.8。</w:t>
            </w:r>
          </w:p>
          <w:p w14:paraId="5AF81E3E">
            <w:pPr>
              <w:keepNext w:val="0"/>
              <w:keepLines w:val="0"/>
              <w:pageBreakBefore w:val="0"/>
              <w:kinsoku/>
              <w:wordWrap/>
              <w:overflowPunct/>
              <w:topLinePunct w:val="0"/>
              <w:bidi w:val="0"/>
              <w:snapToGrid w:val="0"/>
              <w:spacing w:line="360" w:lineRule="auto"/>
              <w:ind w:firstLine="420" w:firstLineChars="200"/>
              <w:jc w:val="left"/>
              <w:outlineLvl w:val="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（2）工程类别调整系数B：</w:t>
            </w:r>
          </w:p>
          <w:p w14:paraId="768B70D5">
            <w:pPr>
              <w:keepNext w:val="0"/>
              <w:keepLines w:val="0"/>
              <w:pageBreakBefore w:val="0"/>
              <w:kinsoku/>
              <w:wordWrap/>
              <w:overflowPunct/>
              <w:topLinePunct w:val="0"/>
              <w:bidi w:val="0"/>
              <w:snapToGrid w:val="0"/>
              <w:spacing w:line="360" w:lineRule="auto"/>
              <w:ind w:firstLine="420" w:firstLineChars="200"/>
              <w:jc w:val="left"/>
              <w:outlineLvl w:val="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①建筑、水利、园林建筑、危岩治理1.0；</w:t>
            </w:r>
          </w:p>
          <w:p w14:paraId="5C4F1C14">
            <w:pPr>
              <w:keepNext w:val="0"/>
              <w:keepLines w:val="0"/>
              <w:pageBreakBefore w:val="0"/>
              <w:kinsoku/>
              <w:wordWrap/>
              <w:overflowPunct/>
              <w:topLinePunct w:val="0"/>
              <w:bidi w:val="0"/>
              <w:snapToGrid w:val="0"/>
              <w:spacing w:line="360" w:lineRule="auto"/>
              <w:ind w:firstLine="420" w:firstLineChars="200"/>
              <w:jc w:val="left"/>
              <w:outlineLvl w:val="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②市政工程（道路、排水、电缆管沟等）、公路、园林绿化、土地整治0.8；</w:t>
            </w:r>
          </w:p>
          <w:p w14:paraId="261C1C64">
            <w:pPr>
              <w:keepNext w:val="0"/>
              <w:keepLines w:val="0"/>
              <w:pageBreakBefore w:val="0"/>
              <w:kinsoku/>
              <w:wordWrap/>
              <w:overflowPunct/>
              <w:topLinePunct w:val="0"/>
              <w:bidi w:val="0"/>
              <w:snapToGrid w:val="0"/>
              <w:spacing w:line="360" w:lineRule="auto"/>
              <w:ind w:firstLine="420" w:firstLineChars="200"/>
              <w:jc w:val="left"/>
              <w:outlineLvl w:val="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③单独大型土石方工程0.6；</w:t>
            </w:r>
          </w:p>
          <w:p w14:paraId="324F15D6">
            <w:pPr>
              <w:keepNext w:val="0"/>
              <w:keepLines w:val="0"/>
              <w:pageBreakBefore w:val="0"/>
              <w:kinsoku/>
              <w:wordWrap/>
              <w:overflowPunct/>
              <w:topLinePunct w:val="0"/>
              <w:bidi w:val="0"/>
              <w:snapToGrid w:val="0"/>
              <w:spacing w:line="360" w:lineRule="auto"/>
              <w:ind w:firstLine="420" w:firstLineChars="200"/>
              <w:jc w:val="left"/>
              <w:outlineLvl w:val="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④单独装饰工程、安装工程、房屋修缮工程、跨江桥梁1.2。</w:t>
            </w:r>
          </w:p>
          <w:p w14:paraId="447D154A">
            <w:pPr>
              <w:keepNext w:val="0"/>
              <w:keepLines w:val="0"/>
              <w:pageBreakBefore w:val="0"/>
              <w:kinsoku/>
              <w:wordWrap/>
              <w:overflowPunct/>
              <w:topLinePunct w:val="0"/>
              <w:bidi w:val="0"/>
              <w:snapToGrid w:val="0"/>
              <w:spacing w:line="360" w:lineRule="auto"/>
              <w:ind w:firstLine="420" w:firstLineChars="200"/>
              <w:jc w:val="left"/>
              <w:outlineLvl w:val="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（3）项目地域系数C：</w:t>
            </w:r>
          </w:p>
          <w:p w14:paraId="4EFF406D">
            <w:pPr>
              <w:keepNext w:val="0"/>
              <w:keepLines w:val="0"/>
              <w:pageBreakBefore w:val="0"/>
              <w:kinsoku/>
              <w:wordWrap/>
              <w:overflowPunct/>
              <w:topLinePunct w:val="0"/>
              <w:bidi w:val="0"/>
              <w:snapToGrid w:val="0"/>
              <w:spacing w:line="360" w:lineRule="auto"/>
              <w:ind w:firstLine="420" w:firstLineChars="200"/>
              <w:jc w:val="left"/>
              <w:outlineLvl w:val="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①工程项目地在柳州市城区外（含柳江区、鹿寨县、柳城县），且已到现场踏勘的1.1；</w:t>
            </w:r>
          </w:p>
          <w:p w14:paraId="558B4032">
            <w:pPr>
              <w:keepNext w:val="0"/>
              <w:keepLines w:val="0"/>
              <w:pageBreakBefore w:val="0"/>
              <w:kinsoku/>
              <w:wordWrap/>
              <w:overflowPunct/>
              <w:topLinePunct w:val="0"/>
              <w:bidi w:val="0"/>
              <w:snapToGrid w:val="0"/>
              <w:spacing w:line="360" w:lineRule="auto"/>
              <w:ind w:firstLine="420" w:firstLineChars="200"/>
              <w:jc w:val="left"/>
              <w:outlineLvl w:val="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②工程项目地在柳州市城区外（含三江县、融安县、融水县），且已到现场踏勘的1.2；</w:t>
            </w:r>
          </w:p>
          <w:p w14:paraId="3F143528">
            <w:pPr>
              <w:keepNext w:val="0"/>
              <w:keepLines w:val="0"/>
              <w:pageBreakBefore w:val="0"/>
              <w:kinsoku/>
              <w:wordWrap/>
              <w:overflowPunct/>
              <w:topLinePunct w:val="0"/>
              <w:bidi w:val="0"/>
              <w:snapToGrid w:val="0"/>
              <w:spacing w:line="360" w:lineRule="auto"/>
              <w:ind w:firstLine="420" w:firstLineChars="200"/>
              <w:jc w:val="left"/>
              <w:outlineLvl w:val="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③工程项目地在柳州市鱼峰区白沙镇、里雍镇，且已到现场踏勘的1.</w:t>
            </w:r>
            <w:r>
              <w:rPr>
                <w:rFonts w:hint="eastAsia" w:ascii="宋体" w:hAnsi="宋体" w:eastAsia="宋体" w:cs="宋体"/>
                <w:color w:val="auto"/>
                <w:sz w:val="21"/>
                <w:szCs w:val="21"/>
                <w:highlight w:val="none"/>
                <w:lang w:val="en-US" w:eastAsia="zh-CN"/>
              </w:rPr>
              <w:t>05。</w:t>
            </w:r>
          </w:p>
          <w:p w14:paraId="60AD29D0">
            <w:pPr>
              <w:keepNext w:val="0"/>
              <w:keepLines w:val="0"/>
              <w:pageBreakBefore w:val="0"/>
              <w:kinsoku/>
              <w:wordWrap/>
              <w:overflowPunct/>
              <w:topLinePunct w:val="0"/>
              <w:bidi w:val="0"/>
              <w:snapToGrid w:val="0"/>
              <w:spacing w:line="360" w:lineRule="auto"/>
              <w:ind w:firstLine="420" w:firstLineChars="200"/>
              <w:jc w:val="left"/>
              <w:outlineLvl w:val="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val="zh-CN"/>
              </w:rPr>
              <w:t>.如单个项目按以上计费标准计算得出的审核服务费少于2000元的，按2000元计。</w:t>
            </w:r>
          </w:p>
          <w:p w14:paraId="7D37F109">
            <w:pPr>
              <w:keepNext w:val="0"/>
              <w:keepLines w:val="0"/>
              <w:pageBreakBefore w:val="0"/>
              <w:kinsoku/>
              <w:wordWrap/>
              <w:overflowPunct/>
              <w:topLinePunct w:val="0"/>
              <w:bidi w:val="0"/>
              <w:snapToGrid w:val="0"/>
              <w:spacing w:line="360" w:lineRule="auto"/>
              <w:ind w:firstLine="420" w:firstLineChars="200"/>
              <w:jc w:val="left"/>
              <w:outlineLvl w:val="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val="zh-CN"/>
              </w:rPr>
              <w:t>.单个项目（送审金额</w:t>
            </w:r>
            <w:r>
              <w:rPr>
                <w:rFonts w:hint="eastAsia" w:ascii="宋体" w:hAnsi="宋体" w:eastAsia="宋体" w:cs="宋体"/>
                <w:color w:val="auto"/>
                <w:sz w:val="21"/>
                <w:szCs w:val="21"/>
                <w:highlight w:val="none"/>
                <w:lang w:val="en-US" w:eastAsia="zh-CN"/>
              </w:rPr>
              <w:t>200万元以下</w:t>
            </w:r>
            <w:r>
              <w:rPr>
                <w:rFonts w:hint="eastAsia" w:ascii="宋体" w:hAnsi="宋体" w:eastAsia="宋体" w:cs="宋体"/>
                <w:color w:val="auto"/>
                <w:sz w:val="21"/>
                <w:szCs w:val="21"/>
                <w:highlight w:val="none"/>
                <w:lang w:val="zh-CN"/>
              </w:rPr>
              <w:t>）按上述计费标准计算得出的审核服务费≤送审金额</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zh-CN"/>
              </w:rPr>
              <w:t>‰；单个项目（送审金额</w:t>
            </w:r>
            <w:r>
              <w:rPr>
                <w:rFonts w:hint="eastAsia" w:ascii="宋体" w:hAnsi="宋体" w:eastAsia="宋体" w:cs="宋体"/>
                <w:color w:val="auto"/>
                <w:sz w:val="21"/>
                <w:szCs w:val="21"/>
                <w:highlight w:val="none"/>
                <w:lang w:val="en-US" w:eastAsia="zh-CN"/>
              </w:rPr>
              <w:t>200万元及以上</w:t>
            </w:r>
            <w:r>
              <w:rPr>
                <w:rFonts w:hint="eastAsia" w:ascii="宋体" w:hAnsi="宋体" w:eastAsia="宋体" w:cs="宋体"/>
                <w:color w:val="auto"/>
                <w:sz w:val="21"/>
                <w:szCs w:val="21"/>
                <w:highlight w:val="none"/>
                <w:lang w:val="zh-CN"/>
              </w:rPr>
              <w:t>）按上述计费标准计算得出的审核服务费≤送审金额</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‰且不超过50万元。</w:t>
            </w:r>
          </w:p>
          <w:p w14:paraId="74C70C68">
            <w:pPr>
              <w:keepNext w:val="0"/>
              <w:keepLines w:val="0"/>
              <w:pageBreakBefore w:val="0"/>
              <w:kinsoku/>
              <w:wordWrap/>
              <w:overflowPunct/>
              <w:topLinePunct w:val="0"/>
              <w:bidi w:val="0"/>
              <w:snapToGrid w:val="0"/>
              <w:spacing w:line="360" w:lineRule="auto"/>
              <w:ind w:firstLine="420" w:firstLineChars="200"/>
              <w:jc w:val="left"/>
              <w:outlineLvl w:val="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val="zh-CN"/>
              </w:rPr>
              <w:t>.如有其他特别要求的，在接收审核任务时由双方另行确定费用。</w:t>
            </w:r>
          </w:p>
          <w:p w14:paraId="2C3C59EB">
            <w:pPr>
              <w:keepNext w:val="0"/>
              <w:keepLines w:val="0"/>
              <w:pageBreakBefore w:val="0"/>
              <w:kinsoku/>
              <w:wordWrap/>
              <w:overflowPunct/>
              <w:topLinePunct w:val="0"/>
              <w:bidi w:val="0"/>
              <w:snapToGrid w:val="0"/>
              <w:spacing w:line="360" w:lineRule="auto"/>
              <w:ind w:firstLine="420" w:firstLineChars="200"/>
              <w:jc w:val="left"/>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val="zh-CN"/>
              </w:rPr>
              <w:t>.坐班人员技术咨询服务费根据入围供应商提供的具体服务，由委托方与入围供应商协商一致，费用另计。</w:t>
            </w:r>
          </w:p>
        </w:tc>
      </w:tr>
    </w:tbl>
    <w:p w14:paraId="0ED6D882">
      <w:pPr>
        <w:spacing w:line="360" w:lineRule="exact"/>
        <w:rPr>
          <w:rFonts w:hint="eastAsia"/>
          <w:b/>
          <w:color w:val="auto"/>
          <w:sz w:val="21"/>
          <w:szCs w:val="21"/>
          <w:highlight w:val="none"/>
        </w:rPr>
        <w:sectPr>
          <w:footerReference r:id="rId5" w:type="default"/>
          <w:pgSz w:w="11906" w:h="16838"/>
          <w:pgMar w:top="1134" w:right="851" w:bottom="1134" w:left="1134" w:header="851" w:footer="992" w:gutter="0"/>
          <w:pgNumType w:fmt="decimal"/>
          <w:cols w:space="720" w:num="1"/>
          <w:titlePg/>
          <w:docGrid w:linePitch="326" w:charSpace="0"/>
        </w:sectPr>
      </w:pPr>
    </w:p>
    <w:p w14:paraId="7BC14571">
      <w:pPr>
        <w:spacing w:line="360" w:lineRule="exact"/>
        <w:rPr>
          <w:rFonts w:hint="eastAsia" w:eastAsia="宋体"/>
          <w:b/>
          <w:color w:val="auto"/>
          <w:sz w:val="21"/>
          <w:szCs w:val="21"/>
          <w:highlight w:val="none"/>
          <w:lang w:eastAsia="zh-CN"/>
        </w:rPr>
      </w:pPr>
      <w:r>
        <w:rPr>
          <w:rFonts w:hint="eastAsia"/>
          <w:b/>
          <w:color w:val="auto"/>
          <w:sz w:val="21"/>
          <w:szCs w:val="21"/>
          <w:highlight w:val="none"/>
        </w:rPr>
        <w:t>附件</w:t>
      </w:r>
      <w:r>
        <w:rPr>
          <w:rFonts w:hint="eastAsia" w:ascii="宋体" w:eastAsia="宋体"/>
          <w:b/>
          <w:color w:val="auto"/>
          <w:sz w:val="21"/>
          <w:szCs w:val="21"/>
          <w:highlight w:val="none"/>
          <w:lang w:val="en-US" w:eastAsia="zh-CN"/>
        </w:rPr>
        <w:t>2：</w:t>
      </w:r>
    </w:p>
    <w:p w14:paraId="1DAACC52">
      <w:pPr>
        <w:spacing w:line="600" w:lineRule="exact"/>
        <w:jc w:val="center"/>
        <w:rPr>
          <w:rStyle w:val="7"/>
          <w:rFonts w:hint="eastAsia" w:ascii="宋体" w:hAnsi="宋体"/>
          <w:color w:val="auto"/>
          <w:sz w:val="28"/>
          <w:szCs w:val="28"/>
          <w:highlight w:val="none"/>
        </w:rPr>
      </w:pPr>
      <w:r>
        <w:rPr>
          <w:rStyle w:val="7"/>
          <w:rFonts w:hint="eastAsia" w:ascii="宋体" w:hAnsi="宋体"/>
          <w:color w:val="auto"/>
          <w:sz w:val="28"/>
          <w:szCs w:val="28"/>
          <w:highlight w:val="none"/>
        </w:rPr>
        <w:t>廉洁承诺书</w:t>
      </w:r>
    </w:p>
    <w:p w14:paraId="32C26906">
      <w:pPr>
        <w:adjustRightInd w:val="0"/>
        <w:snapToGrid w:val="0"/>
        <w:spacing w:line="400" w:lineRule="exact"/>
        <w:ind w:firstLine="480" w:firstLineChars="200"/>
        <w:rPr>
          <w:rFonts w:hint="eastAsia" w:ascii="宋体" w:hAnsi="宋体"/>
          <w:color w:val="auto"/>
          <w:sz w:val="24"/>
          <w:highlight w:val="none"/>
        </w:rPr>
      </w:pPr>
    </w:p>
    <w:p w14:paraId="46E60577">
      <w:pPr>
        <w:keepNext w:val="0"/>
        <w:keepLines w:val="0"/>
        <w:pageBreakBefore w:val="0"/>
        <w:widowControl w:val="0"/>
        <w:kinsoku/>
        <w:wordWrap/>
        <w:overflowPunct/>
        <w:topLinePunct w:val="0"/>
        <w:autoSpaceDE/>
        <w:autoSpaceDN/>
        <w:bidi w:val="0"/>
        <w:adjustRightInd w:val="0"/>
        <w:snapToGrid w:val="0"/>
        <w:spacing w:line="48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为加强政府投资项目</w:t>
      </w:r>
      <w:r>
        <w:rPr>
          <w:rFonts w:hint="eastAsia"/>
          <w:color w:val="auto"/>
          <w:sz w:val="21"/>
          <w:szCs w:val="21"/>
          <w:highlight w:val="none"/>
        </w:rPr>
        <w:t>审核</w:t>
      </w:r>
      <w:r>
        <w:rPr>
          <w:rFonts w:hint="eastAsia" w:ascii="宋体" w:hAnsi="宋体"/>
          <w:color w:val="auto"/>
          <w:sz w:val="21"/>
          <w:szCs w:val="21"/>
          <w:highlight w:val="none"/>
        </w:rPr>
        <w:t>服务工作的廉洁建设，根据国家、自治区有关法律法规，我单位作如下承诺：</w:t>
      </w:r>
    </w:p>
    <w:p w14:paraId="781961CF">
      <w:pPr>
        <w:keepNext w:val="0"/>
        <w:keepLines w:val="0"/>
        <w:pageBreakBefore w:val="0"/>
        <w:widowControl w:val="0"/>
        <w:tabs>
          <w:tab w:val="left" w:pos="1323"/>
          <w:tab w:val="left" w:pos="1512"/>
        </w:tabs>
        <w:kinsoku/>
        <w:wordWrap/>
        <w:overflowPunct/>
        <w:topLinePunct w:val="0"/>
        <w:autoSpaceDE/>
        <w:autoSpaceDN/>
        <w:bidi w:val="0"/>
        <w:adjustRightInd w:val="0"/>
        <w:snapToGrid w:val="0"/>
        <w:spacing w:line="48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第一条  自觉遵守国家、广西壮族自治区的政策法规和柳州市财政局的各项管理制度；严格按照财政投资项目</w:t>
      </w:r>
      <w:r>
        <w:rPr>
          <w:rFonts w:hint="eastAsia"/>
          <w:color w:val="auto"/>
          <w:sz w:val="21"/>
          <w:szCs w:val="21"/>
          <w:highlight w:val="none"/>
        </w:rPr>
        <w:t>审核</w:t>
      </w:r>
      <w:r>
        <w:rPr>
          <w:rFonts w:hint="eastAsia" w:ascii="宋体" w:hAnsi="宋体"/>
          <w:color w:val="auto"/>
          <w:sz w:val="21"/>
          <w:szCs w:val="21"/>
          <w:highlight w:val="none"/>
        </w:rPr>
        <w:t>操作规程和财政投资</w:t>
      </w:r>
      <w:r>
        <w:rPr>
          <w:rFonts w:hint="eastAsia"/>
          <w:color w:val="auto"/>
          <w:sz w:val="21"/>
          <w:szCs w:val="21"/>
          <w:highlight w:val="none"/>
        </w:rPr>
        <w:t>审核</w:t>
      </w:r>
      <w:r>
        <w:rPr>
          <w:rFonts w:hint="eastAsia" w:ascii="宋体" w:hAnsi="宋体"/>
          <w:color w:val="auto"/>
          <w:sz w:val="21"/>
          <w:szCs w:val="21"/>
          <w:highlight w:val="none"/>
        </w:rPr>
        <w:t>质量控制办法实施</w:t>
      </w:r>
      <w:r>
        <w:rPr>
          <w:rFonts w:hint="eastAsia"/>
          <w:color w:val="auto"/>
          <w:sz w:val="21"/>
          <w:szCs w:val="21"/>
          <w:highlight w:val="none"/>
        </w:rPr>
        <w:t>审核</w:t>
      </w:r>
      <w:r>
        <w:rPr>
          <w:rFonts w:hint="eastAsia" w:ascii="宋体" w:hAnsi="宋体"/>
          <w:color w:val="auto"/>
          <w:sz w:val="21"/>
          <w:szCs w:val="21"/>
          <w:highlight w:val="none"/>
        </w:rPr>
        <w:t>工作，坚持原则，秉公办事，维护国家、社会公众利益；严格执行国家及行业有关法规规章，履行岗位职责，忠于职守，严格把关。</w:t>
      </w:r>
    </w:p>
    <w:p w14:paraId="101DCA61">
      <w:pPr>
        <w:keepNext w:val="0"/>
        <w:keepLines w:val="0"/>
        <w:pageBreakBefore w:val="0"/>
        <w:widowControl w:val="0"/>
        <w:tabs>
          <w:tab w:val="left" w:pos="1323"/>
          <w:tab w:val="left" w:pos="1512"/>
        </w:tabs>
        <w:kinsoku/>
        <w:wordWrap/>
        <w:overflowPunct/>
        <w:topLinePunct w:val="0"/>
        <w:autoSpaceDE/>
        <w:autoSpaceDN/>
        <w:bidi w:val="0"/>
        <w:adjustRightInd w:val="0"/>
        <w:snapToGrid w:val="0"/>
        <w:spacing w:line="48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第二条  不向甲方工作人员请客、送礼及组织其它有可能影响客观公正</w:t>
      </w:r>
      <w:r>
        <w:rPr>
          <w:rFonts w:hint="eastAsia"/>
          <w:color w:val="auto"/>
          <w:sz w:val="21"/>
          <w:szCs w:val="21"/>
          <w:highlight w:val="none"/>
        </w:rPr>
        <w:t>审核</w:t>
      </w:r>
      <w:r>
        <w:rPr>
          <w:rFonts w:hint="eastAsia" w:ascii="宋体" w:hAnsi="宋体"/>
          <w:color w:val="auto"/>
          <w:sz w:val="21"/>
          <w:szCs w:val="21"/>
          <w:highlight w:val="none"/>
        </w:rPr>
        <w:t>的活动。</w:t>
      </w:r>
    </w:p>
    <w:p w14:paraId="2BD2ECCC">
      <w:pPr>
        <w:keepNext w:val="0"/>
        <w:keepLines w:val="0"/>
        <w:pageBreakBefore w:val="0"/>
        <w:widowControl w:val="0"/>
        <w:tabs>
          <w:tab w:val="left" w:pos="1323"/>
          <w:tab w:val="left" w:pos="1512"/>
        </w:tabs>
        <w:kinsoku/>
        <w:wordWrap/>
        <w:overflowPunct/>
        <w:topLinePunct w:val="0"/>
        <w:autoSpaceDE/>
        <w:autoSpaceDN/>
        <w:bidi w:val="0"/>
        <w:adjustRightInd w:val="0"/>
        <w:snapToGrid w:val="0"/>
        <w:spacing w:line="48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第三条  不向项目业主或施工单位等相关单位、人员接受或索要回扣、礼金、有价证券、贵重物品等。</w:t>
      </w:r>
    </w:p>
    <w:p w14:paraId="2E895A46">
      <w:pPr>
        <w:keepNext w:val="0"/>
        <w:keepLines w:val="0"/>
        <w:pageBreakBefore w:val="0"/>
        <w:widowControl w:val="0"/>
        <w:tabs>
          <w:tab w:val="left" w:pos="1323"/>
          <w:tab w:val="left" w:pos="1512"/>
        </w:tabs>
        <w:kinsoku/>
        <w:wordWrap/>
        <w:overflowPunct/>
        <w:topLinePunct w:val="0"/>
        <w:autoSpaceDE/>
        <w:autoSpaceDN/>
        <w:bidi w:val="0"/>
        <w:adjustRightInd w:val="0"/>
        <w:snapToGrid w:val="0"/>
        <w:spacing w:line="48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第四条  不向</w:t>
      </w:r>
      <w:r>
        <w:rPr>
          <w:rFonts w:hint="eastAsia"/>
          <w:color w:val="auto"/>
          <w:sz w:val="21"/>
          <w:szCs w:val="21"/>
          <w:highlight w:val="none"/>
        </w:rPr>
        <w:t>审核</w:t>
      </w:r>
      <w:r>
        <w:rPr>
          <w:rFonts w:hint="eastAsia" w:ascii="宋体" w:hAnsi="宋体"/>
          <w:color w:val="auto"/>
          <w:sz w:val="21"/>
          <w:szCs w:val="21"/>
          <w:highlight w:val="none"/>
        </w:rPr>
        <w:t>对象报销应由个人支付的费用。</w:t>
      </w:r>
    </w:p>
    <w:p w14:paraId="50181ADA">
      <w:pPr>
        <w:keepNext w:val="0"/>
        <w:keepLines w:val="0"/>
        <w:pageBreakBefore w:val="0"/>
        <w:widowControl w:val="0"/>
        <w:tabs>
          <w:tab w:val="left" w:pos="1323"/>
          <w:tab w:val="left" w:pos="1512"/>
        </w:tabs>
        <w:kinsoku/>
        <w:wordWrap/>
        <w:overflowPunct/>
        <w:topLinePunct w:val="0"/>
        <w:autoSpaceDE/>
        <w:autoSpaceDN/>
        <w:bidi w:val="0"/>
        <w:adjustRightInd w:val="0"/>
        <w:snapToGrid w:val="0"/>
        <w:spacing w:line="48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第五条  不与项目业主或施工单位串通，有意增大或减少工程量、弄虚作假增加审核额、有意使工程量清单漏项，影响项目</w:t>
      </w:r>
      <w:r>
        <w:rPr>
          <w:rFonts w:hint="eastAsia"/>
          <w:color w:val="auto"/>
          <w:sz w:val="21"/>
          <w:szCs w:val="21"/>
          <w:highlight w:val="none"/>
        </w:rPr>
        <w:t>审核</w:t>
      </w:r>
      <w:r>
        <w:rPr>
          <w:rFonts w:hint="eastAsia" w:ascii="宋体" w:hAnsi="宋体"/>
          <w:color w:val="auto"/>
          <w:sz w:val="21"/>
          <w:szCs w:val="21"/>
          <w:highlight w:val="none"/>
        </w:rPr>
        <w:t>的客观、公正性。</w:t>
      </w:r>
    </w:p>
    <w:p w14:paraId="6CC5CF5C">
      <w:pPr>
        <w:keepNext w:val="0"/>
        <w:keepLines w:val="0"/>
        <w:pageBreakBefore w:val="0"/>
        <w:widowControl w:val="0"/>
        <w:tabs>
          <w:tab w:val="left" w:pos="1323"/>
          <w:tab w:val="left" w:pos="1512"/>
        </w:tabs>
        <w:kinsoku/>
        <w:wordWrap/>
        <w:overflowPunct/>
        <w:topLinePunct w:val="0"/>
        <w:autoSpaceDE/>
        <w:autoSpaceDN/>
        <w:bidi w:val="0"/>
        <w:adjustRightInd w:val="0"/>
        <w:snapToGrid w:val="0"/>
        <w:spacing w:line="48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第六条  不向外界泄露</w:t>
      </w:r>
      <w:r>
        <w:rPr>
          <w:rFonts w:hint="eastAsia"/>
          <w:color w:val="auto"/>
          <w:sz w:val="21"/>
          <w:szCs w:val="21"/>
          <w:highlight w:val="none"/>
        </w:rPr>
        <w:t>审核</w:t>
      </w:r>
      <w:r>
        <w:rPr>
          <w:rFonts w:hint="eastAsia" w:ascii="宋体" w:hAnsi="宋体"/>
          <w:color w:val="auto"/>
          <w:sz w:val="21"/>
          <w:szCs w:val="21"/>
          <w:highlight w:val="none"/>
        </w:rPr>
        <w:t>工作机密。</w:t>
      </w:r>
    </w:p>
    <w:p w14:paraId="1E7B47E2">
      <w:pPr>
        <w:keepNext w:val="0"/>
        <w:keepLines w:val="0"/>
        <w:pageBreakBefore w:val="0"/>
        <w:widowControl w:val="0"/>
        <w:tabs>
          <w:tab w:val="left" w:pos="1323"/>
          <w:tab w:val="left" w:pos="1512"/>
        </w:tabs>
        <w:kinsoku/>
        <w:wordWrap/>
        <w:overflowPunct/>
        <w:topLinePunct w:val="0"/>
        <w:autoSpaceDE/>
        <w:autoSpaceDN/>
        <w:bidi w:val="0"/>
        <w:adjustRightInd w:val="0"/>
        <w:snapToGrid w:val="0"/>
        <w:spacing w:line="48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第七条  不私下接触</w:t>
      </w:r>
      <w:r>
        <w:rPr>
          <w:rFonts w:hint="eastAsia"/>
          <w:color w:val="auto"/>
          <w:sz w:val="21"/>
          <w:szCs w:val="21"/>
          <w:highlight w:val="none"/>
        </w:rPr>
        <w:t>审核</w:t>
      </w:r>
      <w:r>
        <w:rPr>
          <w:rFonts w:hint="eastAsia" w:ascii="宋体" w:hAnsi="宋体"/>
          <w:color w:val="auto"/>
          <w:sz w:val="21"/>
          <w:szCs w:val="21"/>
          <w:highlight w:val="none"/>
        </w:rPr>
        <w:t>对象及相关人员。</w:t>
      </w:r>
    </w:p>
    <w:p w14:paraId="205CD6AC">
      <w:pPr>
        <w:keepNext w:val="0"/>
        <w:keepLines w:val="0"/>
        <w:pageBreakBefore w:val="0"/>
        <w:widowControl w:val="0"/>
        <w:tabs>
          <w:tab w:val="left" w:pos="1323"/>
          <w:tab w:val="left" w:pos="1512"/>
        </w:tabs>
        <w:kinsoku/>
        <w:wordWrap/>
        <w:overflowPunct/>
        <w:topLinePunct w:val="0"/>
        <w:autoSpaceDE/>
        <w:autoSpaceDN/>
        <w:bidi w:val="0"/>
        <w:adjustRightInd w:val="0"/>
        <w:snapToGrid w:val="0"/>
        <w:spacing w:line="48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第八条  不为经济违法单位和个人出谋划策，通风报信，开脱责任，隐瞒实情，出具伪证。</w:t>
      </w:r>
    </w:p>
    <w:p w14:paraId="5A609218">
      <w:pPr>
        <w:keepNext w:val="0"/>
        <w:keepLines w:val="0"/>
        <w:pageBreakBefore w:val="0"/>
        <w:widowControl w:val="0"/>
        <w:tabs>
          <w:tab w:val="left" w:pos="1323"/>
          <w:tab w:val="left" w:pos="1512"/>
        </w:tabs>
        <w:kinsoku/>
        <w:wordWrap/>
        <w:overflowPunct/>
        <w:topLinePunct w:val="0"/>
        <w:autoSpaceDE/>
        <w:autoSpaceDN/>
        <w:bidi w:val="0"/>
        <w:adjustRightInd w:val="0"/>
        <w:snapToGrid w:val="0"/>
        <w:spacing w:line="48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第九条  审核工作不推诿、不拖拉、不扯皮、不敷衍塞责，不刁难、不报复审核对象。</w:t>
      </w:r>
    </w:p>
    <w:p w14:paraId="7370F90E">
      <w:pPr>
        <w:keepNext w:val="0"/>
        <w:keepLines w:val="0"/>
        <w:pageBreakBefore w:val="0"/>
        <w:widowControl w:val="0"/>
        <w:tabs>
          <w:tab w:val="left" w:pos="1323"/>
          <w:tab w:val="left" w:pos="1512"/>
        </w:tabs>
        <w:kinsoku/>
        <w:wordWrap/>
        <w:overflowPunct/>
        <w:topLinePunct w:val="0"/>
        <w:autoSpaceDE/>
        <w:autoSpaceDN/>
        <w:bidi w:val="0"/>
        <w:adjustRightInd w:val="0"/>
        <w:snapToGrid w:val="0"/>
        <w:spacing w:line="48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第十条  如有违反上述规定，按相关规定接受处罚；给相关单位造成经济损失的，予以赔偿。</w:t>
      </w:r>
    </w:p>
    <w:p w14:paraId="0891DEC2">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color w:val="auto"/>
          <w:sz w:val="21"/>
          <w:szCs w:val="21"/>
          <w:highlight w:val="none"/>
        </w:rPr>
      </w:pPr>
    </w:p>
    <w:p w14:paraId="2F0945F6">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color w:val="auto"/>
          <w:sz w:val="21"/>
          <w:szCs w:val="21"/>
          <w:highlight w:val="none"/>
        </w:rPr>
      </w:pPr>
    </w:p>
    <w:p w14:paraId="781697E2">
      <w:pPr>
        <w:keepNext w:val="0"/>
        <w:keepLines w:val="0"/>
        <w:pageBreakBefore w:val="0"/>
        <w:widowControl w:val="0"/>
        <w:kinsoku/>
        <w:wordWrap/>
        <w:overflowPunct/>
        <w:topLinePunct w:val="0"/>
        <w:autoSpaceDE/>
        <w:autoSpaceDN/>
        <w:bidi w:val="0"/>
        <w:adjustRightInd/>
        <w:snapToGrid/>
        <w:spacing w:line="480" w:lineRule="auto"/>
        <w:ind w:firstLine="6510" w:firstLineChars="3100"/>
        <w:textAlignment w:val="auto"/>
        <w:rPr>
          <w:rFonts w:ascii="宋体" w:hAnsi="宋体"/>
          <w:color w:val="auto"/>
          <w:sz w:val="21"/>
          <w:szCs w:val="21"/>
          <w:highlight w:val="none"/>
        </w:rPr>
      </w:pPr>
      <w:r>
        <w:rPr>
          <w:rFonts w:hint="eastAsia" w:ascii="宋体" w:hAnsi="宋体"/>
          <w:color w:val="auto"/>
          <w:sz w:val="21"/>
          <w:szCs w:val="21"/>
          <w:highlight w:val="none"/>
        </w:rPr>
        <w:t>单位（盖章）：</w:t>
      </w:r>
      <w:r>
        <w:rPr>
          <w:rFonts w:hint="eastAsia" w:ascii="宋体" w:hAnsi="宋体"/>
          <w:color w:val="auto"/>
          <w:sz w:val="21"/>
          <w:szCs w:val="21"/>
          <w:highlight w:val="none"/>
          <w:u w:val="single"/>
        </w:rPr>
        <w:t xml:space="preserve">                   </w:t>
      </w:r>
    </w:p>
    <w:p w14:paraId="78C2B81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宋体" w:hAnsi="宋体"/>
          <w:color w:val="auto"/>
          <w:sz w:val="21"/>
          <w:szCs w:val="21"/>
          <w:highlight w:val="none"/>
          <w:u w:val="single"/>
        </w:rPr>
      </w:pPr>
      <w:r>
        <w:rPr>
          <w:rFonts w:hint="eastAsia" w:ascii="宋体" w:hAnsi="宋体"/>
          <w:color w:val="auto"/>
          <w:sz w:val="21"/>
          <w:szCs w:val="21"/>
          <w:highlight w:val="none"/>
        </w:rPr>
        <w:t xml:space="preserve">                                     法定代表人（签字）：</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u w:val="single"/>
        </w:rPr>
        <w:t xml:space="preserve">  </w:t>
      </w:r>
    </w:p>
    <w:p w14:paraId="411D5898">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宋体" w:hAnsi="宋体"/>
          <w:color w:val="auto"/>
          <w:sz w:val="24"/>
          <w:highlight w:val="none"/>
        </w:rPr>
      </w:pPr>
      <w:r>
        <w:rPr>
          <w:rFonts w:hint="eastAsia" w:ascii="宋体" w:hAnsi="宋体"/>
          <w:color w:val="auto"/>
          <w:sz w:val="21"/>
          <w:szCs w:val="21"/>
          <w:highlight w:val="none"/>
        </w:rPr>
        <w:t xml:space="preserve">                                                  </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时间：</w:t>
      </w:r>
      <w:r>
        <w:rPr>
          <w:rFonts w:hint="eastAsia" w:ascii="宋体" w:hAnsi="宋体"/>
          <w:color w:val="auto"/>
          <w:sz w:val="21"/>
          <w:szCs w:val="21"/>
          <w:highlight w:val="none"/>
          <w:lang w:val="en-US" w:eastAsia="zh-CN"/>
        </w:rPr>
        <w:t xml:space="preserve">    年    月    日</w:t>
      </w:r>
      <w:r>
        <w:rPr>
          <w:rFonts w:hint="eastAsia" w:ascii="宋体" w:hAnsi="宋体"/>
          <w:color w:val="auto"/>
          <w:sz w:val="24"/>
          <w:highlight w:val="none"/>
        </w:rPr>
        <w:t xml:space="preserve">                            </w:t>
      </w:r>
    </w:p>
    <w:p w14:paraId="00E41437">
      <w:pPr>
        <w:spacing w:line="480" w:lineRule="exact"/>
        <w:jc w:val="center"/>
        <w:rPr>
          <w:rFonts w:hint="eastAsia" w:ascii="宋体" w:hAnsi="宋体"/>
          <w:color w:val="auto"/>
          <w:sz w:val="24"/>
          <w:highlight w:val="none"/>
        </w:rPr>
        <w:sectPr>
          <w:pgSz w:w="11906" w:h="16838"/>
          <w:pgMar w:top="1134" w:right="851" w:bottom="1134" w:left="1134" w:header="851" w:footer="992" w:gutter="0"/>
          <w:pgNumType w:fmt="decimal"/>
          <w:cols w:space="720" w:num="1"/>
          <w:titlePg/>
          <w:docGrid w:linePitch="326" w:charSpace="0"/>
        </w:sectPr>
      </w:pPr>
      <w:r>
        <w:rPr>
          <w:rFonts w:hint="eastAsia" w:ascii="宋体" w:hAnsi="宋体"/>
          <w:color w:val="auto"/>
          <w:sz w:val="24"/>
          <w:highlight w:val="none"/>
        </w:rPr>
        <w:t xml:space="preserve"> </w:t>
      </w:r>
    </w:p>
    <w:p w14:paraId="5DC3CC17">
      <w:pPr>
        <w:spacing w:line="360" w:lineRule="exact"/>
        <w:rPr>
          <w:rFonts w:hint="eastAsia" w:eastAsia="宋体"/>
          <w:b/>
          <w:color w:val="auto"/>
          <w:sz w:val="21"/>
          <w:szCs w:val="21"/>
          <w:highlight w:val="none"/>
          <w:lang w:eastAsia="zh-CN"/>
        </w:rPr>
      </w:pPr>
      <w:r>
        <w:rPr>
          <w:rFonts w:hint="eastAsia"/>
          <w:b/>
          <w:color w:val="auto"/>
          <w:sz w:val="21"/>
          <w:szCs w:val="21"/>
          <w:highlight w:val="none"/>
        </w:rPr>
        <w:t>附件</w:t>
      </w:r>
      <w:r>
        <w:rPr>
          <w:rFonts w:hint="eastAsia" w:ascii="宋体" w:eastAsia="宋体"/>
          <w:b/>
          <w:color w:val="auto"/>
          <w:sz w:val="21"/>
          <w:szCs w:val="21"/>
          <w:highlight w:val="none"/>
          <w:lang w:val="en-US" w:eastAsia="zh-CN"/>
        </w:rPr>
        <w:t>3：</w:t>
      </w:r>
    </w:p>
    <w:p w14:paraId="486C2820">
      <w:pPr>
        <w:keepNext w:val="0"/>
        <w:keepLines w:val="0"/>
        <w:pageBreakBefore w:val="0"/>
        <w:widowControl w:val="0"/>
        <w:kinsoku/>
        <w:wordWrap/>
        <w:overflowPunct/>
        <w:topLinePunct w:val="0"/>
        <w:autoSpaceDE/>
        <w:autoSpaceDN/>
        <w:bidi w:val="0"/>
        <w:adjustRightInd/>
        <w:snapToGrid/>
        <w:spacing w:after="327" w:afterLines="100" w:line="600" w:lineRule="exact"/>
        <w:jc w:val="center"/>
        <w:textAlignment w:val="auto"/>
        <w:rPr>
          <w:rStyle w:val="7"/>
          <w:rFonts w:hint="eastAsia" w:ascii="宋体" w:hAnsi="宋体"/>
          <w:color w:val="auto"/>
          <w:sz w:val="28"/>
          <w:szCs w:val="28"/>
          <w:highlight w:val="none"/>
        </w:rPr>
      </w:pPr>
      <w:r>
        <w:rPr>
          <w:rStyle w:val="7"/>
          <w:rFonts w:hint="eastAsia" w:ascii="宋体" w:hAnsi="宋体"/>
          <w:color w:val="auto"/>
          <w:sz w:val="28"/>
          <w:szCs w:val="28"/>
          <w:highlight w:val="none"/>
          <w:lang w:val="en-US" w:eastAsia="zh-CN"/>
        </w:rPr>
        <w:t>保密</w:t>
      </w:r>
      <w:r>
        <w:rPr>
          <w:rStyle w:val="7"/>
          <w:rFonts w:hint="eastAsia" w:ascii="宋体" w:hAnsi="宋体"/>
          <w:color w:val="auto"/>
          <w:sz w:val="28"/>
          <w:szCs w:val="28"/>
          <w:highlight w:val="none"/>
        </w:rPr>
        <w:t>承诺书</w:t>
      </w:r>
    </w:p>
    <w:p w14:paraId="0591DD9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ascii="宋体" w:eastAsia="宋体"/>
          <w:color w:val="auto"/>
          <w:sz w:val="21"/>
          <w:szCs w:val="21"/>
          <w:highlight w:val="none"/>
          <w:lang w:val="en-US" w:eastAsia="zh-CN"/>
        </w:rPr>
        <w:t>为严格遵守国家保密法律法规、财政及工程建设领域保密管理规定，规范岗位执业行为，恪守职业道德，防范工作涉密信息泄露风险，如我方成功入围，自愿作出如下承诺并严格遵照执行：</w:t>
      </w:r>
    </w:p>
    <w:p w14:paraId="02E5E379">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sz w:val="21"/>
          <w:szCs w:val="21"/>
          <w:highlight w:val="none"/>
        </w:rPr>
      </w:pPr>
      <w:r>
        <w:rPr>
          <w:rFonts w:hint="eastAsia"/>
          <w:b/>
          <w:bCs/>
          <w:color w:val="auto"/>
          <w:sz w:val="21"/>
          <w:szCs w:val="21"/>
          <w:highlight w:val="none"/>
        </w:rPr>
        <w:t>一、明确涉密信息范围</w:t>
      </w:r>
    </w:p>
    <w:p w14:paraId="53ED817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ascii="宋体" w:eastAsia="宋体"/>
          <w:color w:val="auto"/>
          <w:sz w:val="21"/>
          <w:szCs w:val="21"/>
          <w:highlight w:val="none"/>
          <w:lang w:val="en-US" w:eastAsia="zh-CN"/>
        </w:rPr>
        <w:t>下列在工作中接触、收集、整理、审核、保管的全部未公开信息，均属于涉密及内部保密信息，我方承担全面保密责任：</w:t>
      </w:r>
    </w:p>
    <w:p w14:paraId="0C6BA0A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ascii="宋体" w:eastAsia="宋体"/>
          <w:color w:val="auto"/>
          <w:sz w:val="21"/>
          <w:szCs w:val="21"/>
          <w:highlight w:val="none"/>
          <w:lang w:val="en-US" w:eastAsia="zh-CN"/>
        </w:rPr>
        <w:t>1.项目前期资料：项目立项资料、可行性研究报告、初步设计、投资估算、内部评审意见、未公示的概（预）算文本、调价方案、项目投资测算数据等；</w:t>
      </w:r>
    </w:p>
    <w:p w14:paraId="0969DD1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ascii="宋体" w:eastAsia="宋体"/>
          <w:color w:val="auto"/>
          <w:sz w:val="21"/>
          <w:szCs w:val="21"/>
          <w:highlight w:val="none"/>
          <w:lang w:val="en-US" w:eastAsia="zh-CN"/>
        </w:rPr>
        <w:t>2.工程造价审核核心资料：工程量清单、预算控制价测算底稿、组价明细、定额套用记录、材料设备询价价格、暂列金额、专业工程暂估价、工程进度计量数据、期中计价审核结果、变更签证造价审核资料；</w:t>
      </w:r>
    </w:p>
    <w:p w14:paraId="124080D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ascii="宋体" w:eastAsia="宋体"/>
          <w:color w:val="auto"/>
          <w:sz w:val="21"/>
          <w:szCs w:val="21"/>
          <w:highlight w:val="none"/>
          <w:lang w:val="en-US" w:eastAsia="zh-CN"/>
        </w:rPr>
        <w:t>3.结算及决算涉密资料：建设项目竣工财务决算报表、决算审核底稿、征地拆迁补偿结算数据、拆迁摸底台账、补偿明细、项目成本核算资料、竣工结算审核报告及未定稿审核意见、争议协调记录；</w:t>
      </w:r>
    </w:p>
    <w:p w14:paraId="7E33C47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ascii="宋体" w:eastAsia="宋体"/>
          <w:color w:val="auto"/>
          <w:sz w:val="21"/>
          <w:szCs w:val="21"/>
          <w:highlight w:val="none"/>
          <w:lang w:val="en-US" w:eastAsia="zh-CN"/>
        </w:rPr>
        <w:t>4.财政及预算涉密资料：政府投资项目、市属国企投资项目的部门项目支出预算数据、预算评审资料、财政投资评审内部底稿、造价分析报告、投资效益分析、项目资金测算及管控资料；</w:t>
      </w:r>
    </w:p>
    <w:p w14:paraId="486FA46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ascii="宋体" w:eastAsia="宋体"/>
          <w:color w:val="auto"/>
          <w:sz w:val="21"/>
          <w:szCs w:val="21"/>
          <w:highlight w:val="none"/>
          <w:lang w:val="en-US" w:eastAsia="zh-CN"/>
        </w:rPr>
        <w:t>5.工作内部涉密载体：各类审核底稿、校对记录、内部会议纪要、专家评审意见、请示批复文件、未公开审核结论、项目涉密图纸、电子台账、涉密工作系统数据、未公示评审结果；</w:t>
      </w:r>
    </w:p>
    <w:p w14:paraId="545FCA9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ascii="宋体" w:eastAsia="宋体"/>
          <w:color w:val="auto"/>
          <w:sz w:val="21"/>
          <w:szCs w:val="21"/>
          <w:highlight w:val="none"/>
          <w:lang w:val="en-US" w:eastAsia="zh-CN"/>
        </w:rPr>
        <w:t>6.工作涉及的企业商业信息：项目建设单位、施工单位、咨询单位、供应商的报价信息、成本数据、商业资料、未公开经营信息及项目专属涉密信息；</w:t>
      </w:r>
    </w:p>
    <w:p w14:paraId="293911A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ascii="宋体" w:eastAsia="宋体"/>
          <w:color w:val="auto"/>
          <w:sz w:val="21"/>
          <w:szCs w:val="21"/>
          <w:highlight w:val="none"/>
          <w:lang w:val="en-US" w:eastAsia="zh-CN"/>
        </w:rPr>
        <w:t>7.法律法规、行业主管部门规定需要保密的其他政务信息、工程建设信息、财政评审信息。</w:t>
      </w:r>
    </w:p>
    <w:p w14:paraId="6A671C12">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sz w:val="21"/>
          <w:szCs w:val="21"/>
          <w:highlight w:val="none"/>
        </w:rPr>
      </w:pPr>
      <w:r>
        <w:rPr>
          <w:rFonts w:hint="eastAsia"/>
          <w:b/>
          <w:bCs/>
          <w:color w:val="auto"/>
          <w:sz w:val="21"/>
          <w:szCs w:val="21"/>
          <w:highlight w:val="none"/>
        </w:rPr>
        <w:t>二、严格遵守保密工作义务</w:t>
      </w:r>
    </w:p>
    <w:p w14:paraId="370A1EA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ascii="宋体" w:eastAsia="宋体"/>
          <w:color w:val="auto"/>
          <w:sz w:val="21"/>
          <w:szCs w:val="21"/>
          <w:highlight w:val="none"/>
          <w:lang w:val="en-US" w:eastAsia="zh-CN"/>
        </w:rPr>
        <w:t>1.严格遵守《中华人民共和国保守国家秘密法》《中华人民共和国预算法》《政府投资条例》《财政投资评审管理规定》及柳州市项目管理相关保密制度，坚守保密底线，杜绝一切泄密行为。</w:t>
      </w:r>
    </w:p>
    <w:p w14:paraId="5FBC5A2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ascii="宋体" w:eastAsia="宋体"/>
          <w:color w:val="auto"/>
          <w:sz w:val="21"/>
          <w:szCs w:val="21"/>
          <w:highlight w:val="none"/>
          <w:lang w:val="en-US" w:eastAsia="zh-CN"/>
        </w:rPr>
        <w:t>2.所有涉密项目资料、审核数据、评审结果、底稿文件仅用于本职工作，绝不私自查阅、复制、摘抄、留存、传播，不用于个人牟利、对外咨询、私下交易及任何非工作用途。</w:t>
      </w:r>
    </w:p>
    <w:p w14:paraId="3CB6923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ascii="宋体" w:eastAsia="宋体"/>
          <w:color w:val="auto"/>
          <w:sz w:val="21"/>
          <w:szCs w:val="21"/>
          <w:highlight w:val="none"/>
          <w:lang w:val="en-US" w:eastAsia="zh-CN"/>
        </w:rPr>
        <w:t>3.严格执行信息保密管控要求，未经同意，绝不以口头、微信、短信、邮件、网盘、社交平台、纸质传阅等任何方式，向无关人员、外部单位、亲友及第三方泄露、披露、传播、传递任何涉密审核信息、项目数据、未公开评审结论。</w:t>
      </w:r>
    </w:p>
    <w:p w14:paraId="68EDF53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ascii="宋体" w:eastAsia="宋体"/>
          <w:color w:val="auto"/>
          <w:sz w:val="21"/>
          <w:szCs w:val="21"/>
          <w:highlight w:val="none"/>
          <w:lang w:val="en-US" w:eastAsia="zh-CN"/>
        </w:rPr>
        <w:t>4.规范涉密载体管理，妥善保管纸质文稿、审核底稿、电子文档、涉密图纸、项目台账等资料，严格区分公开信息与内部涉密信息；不私自拷贝、外传涉密电子文件，不随意丢弃涉密纸质资料，废弃涉密资料按规定统一销毁。</w:t>
      </w:r>
    </w:p>
    <w:p w14:paraId="1EBD066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ascii="宋体" w:eastAsia="宋体"/>
          <w:color w:val="auto"/>
          <w:sz w:val="21"/>
          <w:szCs w:val="21"/>
          <w:highlight w:val="none"/>
          <w:lang w:val="en-US" w:eastAsia="zh-CN"/>
        </w:rPr>
        <w:t>5.严守工作纪律，不在公共场所、私人场合讨论涉密项目审核内容、造价数据、评审争议及内部工作信息；不利用工作便利泄露项目预算控制价、成本数据、征地拆迁补偿标准、结算审核结果等关键敏感信息。</w:t>
      </w:r>
    </w:p>
    <w:p w14:paraId="6B4F041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ascii="宋体" w:eastAsia="宋体"/>
          <w:color w:val="auto"/>
          <w:sz w:val="21"/>
          <w:szCs w:val="21"/>
          <w:highlight w:val="none"/>
          <w:lang w:val="en-US" w:eastAsia="zh-CN"/>
        </w:rPr>
        <w:t>6.对外沟通、答疑、对接工作中，严格按照要求统一口径及公开信息范围作答，严禁擅自披露内部审核底稿、未定稿结论、涉密测算数据及内部评审细节。</w:t>
      </w:r>
    </w:p>
    <w:p w14:paraId="010A805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ascii="宋体" w:eastAsia="宋体"/>
          <w:color w:val="auto"/>
          <w:sz w:val="21"/>
          <w:szCs w:val="21"/>
          <w:highlight w:val="none"/>
          <w:lang w:val="en-US" w:eastAsia="zh-CN"/>
        </w:rPr>
        <w:t>7.审核人员岗位变动、离职、调岗时，全面清点、移交全部涉密纸质及电子资料，彻底清理个人设备内涉密文件，审核人员不私自留存任何项目涉密资料、审核数据，履行完整保密移交手续。</w:t>
      </w:r>
    </w:p>
    <w:p w14:paraId="08E81F73">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sz w:val="21"/>
          <w:szCs w:val="21"/>
          <w:highlight w:val="none"/>
        </w:rPr>
      </w:pPr>
      <w:r>
        <w:rPr>
          <w:rFonts w:hint="eastAsia"/>
          <w:b/>
          <w:bCs/>
          <w:color w:val="auto"/>
          <w:sz w:val="21"/>
          <w:szCs w:val="21"/>
          <w:highlight w:val="none"/>
        </w:rPr>
        <w:t>三、保密期限约定</w:t>
      </w:r>
    </w:p>
    <w:p w14:paraId="2D14FC5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ascii="宋体" w:eastAsia="宋体"/>
          <w:color w:val="auto"/>
          <w:sz w:val="21"/>
          <w:szCs w:val="21"/>
          <w:highlight w:val="none"/>
          <w:lang w:val="en-US" w:eastAsia="zh-CN"/>
        </w:rPr>
        <w:t>我方承诺的保密义务长期有效、终身约束。对于未公开的涉密项目信息、商业秘密、内部工作秘密，我方永久承担保密责任，直至相关信息依法公开。</w:t>
      </w:r>
    </w:p>
    <w:p w14:paraId="5E78909D">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sz w:val="21"/>
          <w:szCs w:val="21"/>
          <w:highlight w:val="none"/>
        </w:rPr>
      </w:pPr>
      <w:r>
        <w:rPr>
          <w:rFonts w:hint="eastAsia"/>
          <w:b/>
          <w:bCs/>
          <w:color w:val="auto"/>
          <w:sz w:val="21"/>
          <w:szCs w:val="21"/>
          <w:highlight w:val="none"/>
        </w:rPr>
        <w:t>四、责任承担与违约追责</w:t>
      </w:r>
    </w:p>
    <w:p w14:paraId="1780338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ascii="宋体" w:eastAsia="宋体"/>
          <w:color w:val="auto"/>
          <w:sz w:val="21"/>
          <w:szCs w:val="21"/>
          <w:highlight w:val="none"/>
          <w:lang w:val="en-US" w:eastAsia="zh-CN"/>
        </w:rPr>
        <w:t>1.我方充分知晓岗位保密纪律及泄密危害，若存在擅自泄露、传播、售卖、利用涉密项目数据、造价资料、审核成果、征地拆迁数据、预算信息等违规行为，无论故意或过失，均视为严重违约违规，自愿接受一切处罚。</w:t>
      </w:r>
    </w:p>
    <w:p w14:paraId="23DC070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ascii="宋体" w:eastAsia="宋体"/>
          <w:color w:val="auto"/>
          <w:sz w:val="21"/>
          <w:szCs w:val="21"/>
          <w:highlight w:val="none"/>
          <w:lang w:val="en-US" w:eastAsia="zh-CN"/>
        </w:rPr>
        <w:t>2.若泄密行为造成征集人经济损失、工作被动、舆情风险、行业不良影响或损害第三方合法权益的，我方自愿承担全部经济赔偿责任。</w:t>
      </w:r>
    </w:p>
    <w:p w14:paraId="2F538BA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ascii="宋体" w:eastAsia="宋体"/>
          <w:color w:val="auto"/>
          <w:sz w:val="21"/>
          <w:szCs w:val="21"/>
          <w:highlight w:val="none"/>
          <w:lang w:val="en-US" w:eastAsia="zh-CN"/>
        </w:rPr>
        <w:t>3.若泄密行为违反国家法律法规、涉嫌违法犯罪的，我方自愿接受纪检监察、司法机关的调查处理，承担相应行政、民事乃至刑事责任。</w:t>
      </w:r>
    </w:p>
    <w:p w14:paraId="1E2DF13C">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sz w:val="21"/>
          <w:szCs w:val="21"/>
          <w:highlight w:val="none"/>
        </w:rPr>
      </w:pPr>
      <w:r>
        <w:rPr>
          <w:rFonts w:hint="eastAsia"/>
          <w:b/>
          <w:bCs/>
          <w:color w:val="auto"/>
          <w:sz w:val="21"/>
          <w:szCs w:val="21"/>
          <w:highlight w:val="none"/>
        </w:rPr>
        <w:t>五、其他承诺</w:t>
      </w:r>
    </w:p>
    <w:p w14:paraId="3A31986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ascii="宋体" w:eastAsia="宋体"/>
          <w:color w:val="auto"/>
          <w:sz w:val="21"/>
          <w:szCs w:val="21"/>
          <w:highlight w:val="none"/>
          <w:lang w:val="en-US" w:eastAsia="zh-CN"/>
        </w:rPr>
        <w:t>我方已完全清楚本承诺书全部条款内容，知晓岗位涉密范围、保密纪律及泄密后果，自愿严格遵守、认真履行。本承诺书为我方真实意思表示，具有法律约束力。</w:t>
      </w:r>
    </w:p>
    <w:p w14:paraId="5553A808">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宋体" w:hAnsi="宋体"/>
          <w:color w:val="auto"/>
          <w:sz w:val="24"/>
          <w:highlight w:val="none"/>
        </w:rPr>
      </w:pPr>
      <w:r>
        <w:rPr>
          <w:rFonts w:hint="eastAsia" w:ascii="宋体" w:hAnsi="宋体"/>
          <w:color w:val="auto"/>
          <w:sz w:val="24"/>
          <w:highlight w:val="none"/>
        </w:rPr>
        <w:t xml:space="preserve">             </w:t>
      </w:r>
    </w:p>
    <w:p w14:paraId="18F982D6">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宋体" w:hAnsi="宋体"/>
          <w:color w:val="auto"/>
          <w:sz w:val="24"/>
          <w:highlight w:val="none"/>
        </w:rPr>
      </w:pPr>
      <w:r>
        <w:rPr>
          <w:rFonts w:hint="eastAsia" w:ascii="宋体" w:hAnsi="宋体"/>
          <w:color w:val="auto"/>
          <w:sz w:val="24"/>
          <w:highlight w:val="none"/>
        </w:rPr>
        <w:t xml:space="preserve">           </w:t>
      </w:r>
    </w:p>
    <w:p w14:paraId="31582535">
      <w:pPr>
        <w:keepNext w:val="0"/>
        <w:keepLines w:val="0"/>
        <w:pageBreakBefore w:val="0"/>
        <w:widowControl w:val="0"/>
        <w:kinsoku/>
        <w:wordWrap/>
        <w:overflowPunct/>
        <w:topLinePunct w:val="0"/>
        <w:autoSpaceDE/>
        <w:autoSpaceDN/>
        <w:bidi w:val="0"/>
        <w:adjustRightInd/>
        <w:snapToGrid/>
        <w:spacing w:line="480" w:lineRule="auto"/>
        <w:ind w:firstLine="6510" w:firstLineChars="3100"/>
        <w:textAlignment w:val="auto"/>
        <w:rPr>
          <w:rFonts w:ascii="宋体" w:hAnsi="宋体"/>
          <w:color w:val="auto"/>
          <w:sz w:val="21"/>
          <w:szCs w:val="21"/>
          <w:highlight w:val="none"/>
        </w:rPr>
      </w:pPr>
      <w:r>
        <w:rPr>
          <w:rFonts w:hint="eastAsia" w:ascii="宋体" w:hAnsi="宋体"/>
          <w:color w:val="auto"/>
          <w:sz w:val="21"/>
          <w:szCs w:val="21"/>
          <w:highlight w:val="none"/>
        </w:rPr>
        <w:t>单位（盖章）：</w:t>
      </w:r>
      <w:r>
        <w:rPr>
          <w:rFonts w:hint="eastAsia" w:ascii="宋体" w:hAnsi="宋体"/>
          <w:color w:val="auto"/>
          <w:sz w:val="21"/>
          <w:szCs w:val="21"/>
          <w:highlight w:val="none"/>
          <w:u w:val="single"/>
        </w:rPr>
        <w:t xml:space="preserve">                   </w:t>
      </w:r>
    </w:p>
    <w:p w14:paraId="266DA91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宋体" w:hAnsi="宋体"/>
          <w:color w:val="auto"/>
          <w:sz w:val="21"/>
          <w:szCs w:val="21"/>
          <w:highlight w:val="none"/>
          <w:u w:val="single"/>
        </w:rPr>
      </w:pPr>
      <w:r>
        <w:rPr>
          <w:rFonts w:hint="eastAsia" w:ascii="宋体" w:hAnsi="宋体"/>
          <w:color w:val="auto"/>
          <w:sz w:val="21"/>
          <w:szCs w:val="21"/>
          <w:highlight w:val="none"/>
        </w:rPr>
        <w:t xml:space="preserve">                                     法定代表人（签字）：</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u w:val="single"/>
        </w:rPr>
        <w:t xml:space="preserve">  </w:t>
      </w:r>
    </w:p>
    <w:p w14:paraId="6A8E2513">
      <w:r>
        <w:rPr>
          <w:rFonts w:hint="eastAsia" w:ascii="宋体" w:hAnsi="宋体"/>
          <w:color w:val="auto"/>
          <w:sz w:val="21"/>
          <w:szCs w:val="21"/>
          <w:highlight w:val="none"/>
        </w:rPr>
        <w:t xml:space="preserve">                                                  </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时间：</w:t>
      </w:r>
      <w:r>
        <w:rPr>
          <w:rFonts w:hint="eastAsia" w:ascii="宋体" w:hAnsi="宋体"/>
          <w:color w:val="auto"/>
          <w:sz w:val="21"/>
          <w:szCs w:val="21"/>
          <w:highlight w:val="none"/>
          <w:lang w:val="en-US" w:eastAsia="zh-CN"/>
        </w:rPr>
        <w:t xml:space="preserve">    年    月    日</w:t>
      </w:r>
    </w:p>
    <w:sectPr>
      <w:footerReference r:id="rId6"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243FD">
    <w:pPr>
      <w:widowControl w:val="0"/>
      <w:snapToGrid w:val="0"/>
      <w:jc w:val="left"/>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346E3D">
                          <w:pPr>
                            <w:widowControl w:val="0"/>
                            <w:snapToGrid w:val="0"/>
                            <w:jc w:val="left"/>
                            <w:rPr>
                              <w:rStyle w:val="8"/>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w:fldChar w:fldCharType="begin"/>
                          </w:r>
                          <w:r>
                            <w:rPr>
                              <w:rStyle w:val="8"/>
                              <w:rFonts w:ascii="宋体" w:hAnsi="Times New Roman" w:eastAsia="宋体" w:cs="Times New Roman"/>
                              <w:kern w:val="2"/>
                              <w:sz w:val="24"/>
                              <w:szCs w:val="21"/>
                              <w:lang w:val="en-US" w:eastAsia="zh-CN" w:bidi="ar-SA"/>
                            </w:rPr>
                            <w:instrText xml:space="preserve">PAGE  </w:instrText>
                          </w:r>
                          <w:r>
                            <w:rPr>
                              <w:rFonts w:ascii="Calibri" w:hAnsi="Calibri" w:eastAsia="宋体" w:cs="Times New Roman"/>
                              <w:kern w:val="0"/>
                              <w:sz w:val="18"/>
                              <w:szCs w:val="18"/>
                              <w:lang w:val="en-US" w:eastAsia="zh-CN" w:bidi="ar-SA"/>
                            </w:rPr>
                            <w:fldChar w:fldCharType="separate"/>
                          </w:r>
                          <w:r>
                            <w:rPr>
                              <w:rStyle w:val="8"/>
                              <w:rFonts w:ascii="宋体" w:hAnsi="Times New Roman" w:eastAsia="宋体" w:cs="Times New Roman"/>
                              <w:kern w:val="2"/>
                              <w:sz w:val="24"/>
                              <w:szCs w:val="21"/>
                              <w:lang w:val="en-US" w:eastAsia="zh-CN" w:bidi="ar-SA"/>
                            </w:rPr>
                            <w:t>45</w:t>
                          </w:r>
                          <w:r>
                            <w:rPr>
                              <w:rFonts w:ascii="Calibri" w:hAnsi="Calibri" w:eastAsia="宋体" w:cs="Times New Roman"/>
                              <w:kern w:val="0"/>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path/>
              <v:fill on="f" focussize="0,0"/>
              <v:stroke on="f"/>
              <v:imagedata o:title=""/>
              <o:lock v:ext="edit" aspectratio="f"/>
              <v:textbox inset="0mm,0mm,0mm,0mm" style="mso-fit-shape-to-text:t;">
                <w:txbxContent>
                  <w:p w14:paraId="19346E3D">
                    <w:pPr>
                      <w:widowControl w:val="0"/>
                      <w:snapToGrid w:val="0"/>
                      <w:jc w:val="left"/>
                      <w:rPr>
                        <w:rStyle w:val="8"/>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w:fldChar w:fldCharType="begin"/>
                    </w:r>
                    <w:r>
                      <w:rPr>
                        <w:rStyle w:val="8"/>
                        <w:rFonts w:ascii="宋体" w:hAnsi="Times New Roman" w:eastAsia="宋体" w:cs="Times New Roman"/>
                        <w:kern w:val="2"/>
                        <w:sz w:val="24"/>
                        <w:szCs w:val="21"/>
                        <w:lang w:val="en-US" w:eastAsia="zh-CN" w:bidi="ar-SA"/>
                      </w:rPr>
                      <w:instrText xml:space="preserve">PAGE  </w:instrText>
                    </w:r>
                    <w:r>
                      <w:rPr>
                        <w:rFonts w:ascii="Calibri" w:hAnsi="Calibri" w:eastAsia="宋体" w:cs="Times New Roman"/>
                        <w:kern w:val="0"/>
                        <w:sz w:val="18"/>
                        <w:szCs w:val="18"/>
                        <w:lang w:val="en-US" w:eastAsia="zh-CN" w:bidi="ar-SA"/>
                      </w:rPr>
                      <w:fldChar w:fldCharType="separate"/>
                    </w:r>
                    <w:r>
                      <w:rPr>
                        <w:rStyle w:val="8"/>
                        <w:rFonts w:ascii="宋体" w:hAnsi="Times New Roman" w:eastAsia="宋体" w:cs="Times New Roman"/>
                        <w:kern w:val="2"/>
                        <w:sz w:val="24"/>
                        <w:szCs w:val="21"/>
                        <w:lang w:val="en-US" w:eastAsia="zh-CN" w:bidi="ar-SA"/>
                      </w:rPr>
                      <w:t>45</w:t>
                    </w:r>
                    <w:r>
                      <w:rPr>
                        <w:rFonts w:ascii="Calibri" w:hAnsi="Calibri" w:eastAsia="宋体" w:cs="Times New Roman"/>
                        <w:kern w:val="0"/>
                        <w:sz w:val="18"/>
                        <w:szCs w:val="18"/>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633E9">
    <w:pPr>
      <w:widowControl w:val="0"/>
      <w:snapToGrid w:val="0"/>
      <w:ind w:right="360"/>
      <w:jc w:val="both"/>
      <w:rPr>
        <w:rFonts w:hint="eastAsia"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C754D7">
                          <w:pPr>
                            <w:widowControl w:val="0"/>
                            <w:snapToGrid w:val="0"/>
                            <w:jc w:val="left"/>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w:fldChar w:fldCharType="begin"/>
                          </w:r>
                          <w:r>
                            <w:rPr>
                              <w:rFonts w:ascii="Calibri" w:hAnsi="Calibri" w:eastAsia="宋体" w:cs="Times New Roman"/>
                              <w:kern w:val="0"/>
                              <w:sz w:val="18"/>
                              <w:szCs w:val="18"/>
                              <w:lang w:val="en-US" w:eastAsia="zh-CN" w:bidi="ar-SA"/>
                            </w:rPr>
                            <w:instrText xml:space="preserve"> PAGE  \* MERGEFORMAT </w:instrText>
                          </w:r>
                          <w:r>
                            <w:rPr>
                              <w:rFonts w:ascii="Calibri" w:hAnsi="Calibri" w:eastAsia="宋体" w:cs="Times New Roman"/>
                              <w:kern w:val="0"/>
                              <w:sz w:val="18"/>
                              <w:szCs w:val="18"/>
                              <w:lang w:val="en-US" w:eastAsia="zh-CN" w:bidi="ar-SA"/>
                            </w:rPr>
                            <w:fldChar w:fldCharType="separate"/>
                          </w:r>
                          <w:r>
                            <w:rPr>
                              <w:rFonts w:ascii="Calibri" w:hAnsi="Calibri" w:eastAsia="宋体" w:cs="Times New Roman"/>
                              <w:kern w:val="0"/>
                              <w:sz w:val="18"/>
                              <w:szCs w:val="18"/>
                              <w:lang w:val="en-US" w:eastAsia="zh-CN" w:bidi="ar-SA"/>
                            </w:rPr>
                            <w:t>0</w:t>
                          </w:r>
                          <w:r>
                            <w:rPr>
                              <w:rFonts w:ascii="Calibri" w:hAnsi="Calibri" w:eastAsia="宋体" w:cs="Times New Roman"/>
                              <w:kern w:val="0"/>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path/>
              <v:fill on="f" focussize="0,0"/>
              <v:stroke on="f"/>
              <v:imagedata o:title=""/>
              <o:lock v:ext="edit" aspectratio="f"/>
              <v:textbox inset="0mm,0mm,0mm,0mm" style="mso-fit-shape-to-text:t;">
                <w:txbxContent>
                  <w:p w14:paraId="3CC754D7">
                    <w:pPr>
                      <w:widowControl w:val="0"/>
                      <w:snapToGrid w:val="0"/>
                      <w:jc w:val="left"/>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w:fldChar w:fldCharType="begin"/>
                    </w:r>
                    <w:r>
                      <w:rPr>
                        <w:rFonts w:ascii="Calibri" w:hAnsi="Calibri" w:eastAsia="宋体" w:cs="Times New Roman"/>
                        <w:kern w:val="0"/>
                        <w:sz w:val="18"/>
                        <w:szCs w:val="18"/>
                        <w:lang w:val="en-US" w:eastAsia="zh-CN" w:bidi="ar-SA"/>
                      </w:rPr>
                      <w:instrText xml:space="preserve"> PAGE  \* MERGEFORMAT </w:instrText>
                    </w:r>
                    <w:r>
                      <w:rPr>
                        <w:rFonts w:ascii="Calibri" w:hAnsi="Calibri" w:eastAsia="宋体" w:cs="Times New Roman"/>
                        <w:kern w:val="0"/>
                        <w:sz w:val="18"/>
                        <w:szCs w:val="18"/>
                        <w:lang w:val="en-US" w:eastAsia="zh-CN" w:bidi="ar-SA"/>
                      </w:rPr>
                      <w:fldChar w:fldCharType="separate"/>
                    </w:r>
                    <w:r>
                      <w:rPr>
                        <w:rFonts w:ascii="Calibri" w:hAnsi="Calibri" w:eastAsia="宋体" w:cs="Times New Roman"/>
                        <w:kern w:val="0"/>
                        <w:sz w:val="18"/>
                        <w:szCs w:val="18"/>
                        <w:lang w:val="en-US" w:eastAsia="zh-CN" w:bidi="ar-SA"/>
                      </w:rPr>
                      <w:t>0</w:t>
                    </w:r>
                    <w:r>
                      <w:rPr>
                        <w:rFonts w:ascii="Calibri" w:hAnsi="Calibri" w:eastAsia="宋体" w:cs="Times New Roman"/>
                        <w:kern w:val="0"/>
                        <w:sz w:val="18"/>
                        <w:szCs w:val="18"/>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D0428">
    <w:pPr>
      <w:widowControl w:val="0"/>
      <w:snapToGrid w:val="0"/>
      <w:jc w:val="center"/>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826EEF">
                          <w:pPr>
                            <w:widowControl w:val="0"/>
                            <w:snapToGrid w:val="0"/>
                            <w:jc w:val="center"/>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w:fldChar w:fldCharType="begin"/>
                          </w:r>
                          <w:r>
                            <w:rPr>
                              <w:rFonts w:ascii="Calibri" w:hAnsi="Calibri" w:eastAsia="宋体" w:cs="Times New Roman"/>
                              <w:kern w:val="0"/>
                              <w:sz w:val="18"/>
                              <w:szCs w:val="18"/>
                              <w:lang w:val="en-US" w:eastAsia="zh-CN" w:bidi="ar-SA"/>
                            </w:rPr>
                            <w:instrText xml:space="preserve">PAGE   \* MERGEFORMAT</w:instrText>
                          </w:r>
                          <w:r>
                            <w:rPr>
                              <w:rFonts w:ascii="Calibri" w:hAnsi="Calibri" w:eastAsia="宋体" w:cs="Times New Roman"/>
                              <w:kern w:val="0"/>
                              <w:sz w:val="18"/>
                              <w:szCs w:val="18"/>
                              <w:lang w:val="en-US" w:eastAsia="zh-CN" w:bidi="ar-SA"/>
                            </w:rPr>
                            <w:fldChar w:fldCharType="separate"/>
                          </w:r>
                          <w:r>
                            <w:rPr>
                              <w:rFonts w:ascii="Calibri" w:hAnsi="Calibri" w:eastAsia="宋体" w:cs="Times New Roman"/>
                              <w:kern w:val="0"/>
                              <w:sz w:val="18"/>
                              <w:szCs w:val="18"/>
                              <w:lang w:val="zh-CN" w:eastAsia="zh-CN" w:bidi="ar-SA"/>
                            </w:rPr>
                            <w:t>32</w:t>
                          </w:r>
                          <w:r>
                            <w:rPr>
                              <w:rFonts w:ascii="Calibri" w:hAnsi="Calibri" w:eastAsia="宋体" w:cs="Times New Roman"/>
                              <w:kern w:val="0"/>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path/>
              <v:fill on="f" focussize="0,0"/>
              <v:stroke on="f"/>
              <v:imagedata o:title=""/>
              <o:lock v:ext="edit" aspectratio="f"/>
              <v:textbox inset="0mm,0mm,0mm,0mm" style="mso-fit-shape-to-text:t;">
                <w:txbxContent>
                  <w:p w14:paraId="47826EEF">
                    <w:pPr>
                      <w:widowControl w:val="0"/>
                      <w:snapToGrid w:val="0"/>
                      <w:jc w:val="center"/>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w:fldChar w:fldCharType="begin"/>
                    </w:r>
                    <w:r>
                      <w:rPr>
                        <w:rFonts w:ascii="Calibri" w:hAnsi="Calibri" w:eastAsia="宋体" w:cs="Times New Roman"/>
                        <w:kern w:val="0"/>
                        <w:sz w:val="18"/>
                        <w:szCs w:val="18"/>
                        <w:lang w:val="en-US" w:eastAsia="zh-CN" w:bidi="ar-SA"/>
                      </w:rPr>
                      <w:instrText xml:space="preserve">PAGE   \* MERGEFORMAT</w:instrText>
                    </w:r>
                    <w:r>
                      <w:rPr>
                        <w:rFonts w:ascii="Calibri" w:hAnsi="Calibri" w:eastAsia="宋体" w:cs="Times New Roman"/>
                        <w:kern w:val="0"/>
                        <w:sz w:val="18"/>
                        <w:szCs w:val="18"/>
                        <w:lang w:val="en-US" w:eastAsia="zh-CN" w:bidi="ar-SA"/>
                      </w:rPr>
                      <w:fldChar w:fldCharType="separate"/>
                    </w:r>
                    <w:r>
                      <w:rPr>
                        <w:rFonts w:ascii="Calibri" w:hAnsi="Calibri" w:eastAsia="宋体" w:cs="Times New Roman"/>
                        <w:kern w:val="0"/>
                        <w:sz w:val="18"/>
                        <w:szCs w:val="18"/>
                        <w:lang w:val="zh-CN" w:eastAsia="zh-CN" w:bidi="ar-SA"/>
                      </w:rPr>
                      <w:t>32</w:t>
                    </w:r>
                    <w:r>
                      <w:rPr>
                        <w:rFonts w:ascii="Calibri" w:hAnsi="Calibri" w:eastAsia="宋体" w:cs="Times New Roman"/>
                        <w:kern w:val="0"/>
                        <w:sz w:val="18"/>
                        <w:szCs w:val="18"/>
                        <w:lang w:val="en-US" w:eastAsia="zh-CN" w:bidi="ar-SA"/>
                      </w:rPr>
                      <w:fldChar w:fldCharType="end"/>
                    </w:r>
                  </w:p>
                </w:txbxContent>
              </v:textbox>
            </v:shape>
          </w:pict>
        </mc:Fallback>
      </mc:AlternateContent>
    </w:r>
  </w:p>
  <w:p w14:paraId="545E58F7">
    <w:pPr>
      <w:widowControl w:val="0"/>
      <w:snapToGrid w:val="0"/>
      <w:jc w:val="left"/>
      <w:rPr>
        <w:rFonts w:ascii="Calibri" w:hAnsi="Calibri" w:eastAsia="宋体" w:cs="Times New Roman"/>
        <w:kern w:val="0"/>
        <w:sz w:val="18"/>
        <w:szCs w:val="18"/>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A8143">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AA666E">
                          <w:pPr>
                            <w:pStyle w:val="4"/>
                            <w:jc w:val="center"/>
                          </w:pPr>
                          <w:r>
                            <w:fldChar w:fldCharType="begin"/>
                          </w:r>
                          <w:r>
                            <w:instrText xml:space="preserve">PAGE   \* MERGEFORMAT</w:instrText>
                          </w:r>
                          <w:r>
                            <w:fldChar w:fldCharType="separate"/>
                          </w:r>
                          <w:r>
                            <w:rPr>
                              <w:lang w:val="zh-CN"/>
                            </w:rPr>
                            <w:t>32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path/>
              <v:fill on="f" focussize="0,0"/>
              <v:stroke on="f"/>
              <v:imagedata o:title=""/>
              <o:lock v:ext="edit" aspectratio="f"/>
              <v:textbox inset="0mm,0mm,0mm,0mm" style="mso-fit-shape-to-text:t;">
                <w:txbxContent>
                  <w:p w14:paraId="50AA666E">
                    <w:pPr>
                      <w:pStyle w:val="4"/>
                      <w:jc w:val="center"/>
                    </w:pPr>
                    <w:r>
                      <w:fldChar w:fldCharType="begin"/>
                    </w:r>
                    <w:r>
                      <w:instrText xml:space="preserve">PAGE   \* MERGEFORMAT</w:instrText>
                    </w:r>
                    <w:r>
                      <w:fldChar w:fldCharType="separate"/>
                    </w:r>
                    <w:r>
                      <w:rPr>
                        <w:lang w:val="zh-CN"/>
                      </w:rPr>
                      <w:t>32</w:t>
                    </w:r>
                    <w:r>
                      <w:fldChar w:fldCharType="end"/>
                    </w:r>
                  </w:p>
                </w:txbxContent>
              </v:textbox>
            </v:shape>
          </w:pict>
        </mc:Fallback>
      </mc:AlternateContent>
    </w:r>
  </w:p>
  <w:p w14:paraId="394E51C4">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E192D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3"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宋体" w:hAnsi="Times New Roman" w:eastAsia="宋体" w:cs="Times New Roman"/>
      <w:kern w:val="2"/>
      <w:sz w:val="24"/>
      <w:szCs w:val="21"/>
      <w:lang w:val="en-US" w:eastAsia="zh-CN" w:bidi="ar-SA"/>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bCs/>
      <w:kern w:val="0"/>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List Paragraph"/>
    <w:basedOn w:val="1"/>
    <w:qFormat/>
    <w:uiPriority w:val="0"/>
    <w:pPr>
      <w:ind w:firstLine="200" w:firstLineChars="200"/>
    </w:pPr>
  </w:style>
  <w:style w:type="paragraph" w:styleId="4">
    <w:name w:val="footer"/>
    <w:basedOn w:val="1"/>
    <w:qFormat/>
    <w:uiPriority w:val="99"/>
    <w:pPr>
      <w:tabs>
        <w:tab w:val="center" w:pos="4153"/>
        <w:tab w:val="right" w:pos="8306"/>
      </w:tabs>
      <w:snapToGrid w:val="0"/>
      <w:jc w:val="left"/>
    </w:pPr>
    <w:rPr>
      <w:rFonts w:ascii="Calibri" w:hAnsi="Calibri"/>
      <w:kern w:val="0"/>
      <w:sz w:val="18"/>
      <w:szCs w:val="18"/>
    </w:rPr>
  </w:style>
  <w:style w:type="character" w:styleId="7">
    <w:name w:val="Strong"/>
    <w:qFormat/>
    <w:uiPriority w:val="3"/>
    <w:rPr>
      <w:rFonts w:ascii="宋体" w:hAnsi="宋体" w:cs="宋体"/>
      <w:b/>
      <w:bCs/>
      <w:sz w:val="24"/>
    </w:rPr>
  </w:style>
  <w:style w:type="character" w:styleId="8">
    <w:name w:val="page number"/>
    <w:basedOn w:val="6"/>
    <w:qFormat/>
    <w:uiPriority w:val="0"/>
  </w:style>
  <w:style w:type="paragraph" w:customStyle="1" w:styleId="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0">
    <w:name w:val="Table Text"/>
    <w:qFormat/>
    <w:uiPriority w:val="0"/>
    <w:pPr>
      <w:autoSpaceDE w:val="0"/>
      <w:autoSpaceDN w:val="0"/>
      <w:spacing w:before="80" w:after="80"/>
      <w:textAlignment w:val="bottom"/>
    </w:pPr>
    <w:rPr>
      <w:rFonts w:ascii="Arial" w:hAnsi="Arial" w:eastAsia="宋体" w:cs="Times New Roman"/>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2026-07-28T07:08:48Z</dcterms:created>
  <dc:creator>Administrator</dc:creator>
  <cp:lastModifiedBy>五星好市民</cp:lastModifiedBy>
  <dcterms:modified xsi:type="dcterms:W3CDTF">2026-07-28T07:09:38Z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eyJoZGlkIjoiODA3ZDhmODk2NDRkYjI4ZDhlNmZkZDJiZmIzMjViOTYiLCJ1c2VySWQiOiIxNTk2NDc0MTE2In0=</vt:lpwstr>
  </property>
  <property fmtid="{D5CDD505-2E9C-101B-9397-08002B2CF9AE}" pid="4" name="ICV">
    <vt:lpwstr>DF0DCE89D5734D5D9F4A4DBABF039C4D_12</vt:lpwstr>
  </property>
</Properties>
</file>