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530E58">
      <w:pPr>
        <w:keepNext/>
        <w:keepLines/>
        <w:spacing w:before="260" w:after="260" w:line="440" w:lineRule="exact"/>
        <w:jc w:val="center"/>
        <w:outlineLvl w:val="1"/>
        <w:rPr>
          <w:rFonts w:ascii="Arial" w:hAnsi="Arial" w:eastAsia="黑体"/>
          <w:b/>
          <w:bCs/>
          <w:kern w:val="0"/>
          <w:sz w:val="30"/>
          <w:szCs w:val="30"/>
        </w:rPr>
      </w:pPr>
      <w:bookmarkStart w:id="0" w:name="_Toc495387428"/>
      <w:bookmarkStart w:id="1" w:name="_Toc254970490"/>
      <w:bookmarkStart w:id="2" w:name="_Toc254970631"/>
      <w:r>
        <w:rPr>
          <w:rFonts w:hint="eastAsia" w:ascii="Arial" w:hAnsi="Arial" w:eastAsia="黑体"/>
          <w:b/>
          <w:bCs/>
          <w:kern w:val="0"/>
          <w:sz w:val="32"/>
          <w:szCs w:val="32"/>
        </w:rPr>
        <w:t>采购需求</w:t>
      </w:r>
      <w:bookmarkEnd w:id="0"/>
    </w:p>
    <w:bookmarkEnd w:id="1"/>
    <w:bookmarkEnd w:id="2"/>
    <w:p w14:paraId="0E676360">
      <w:pPr>
        <w:keepNext w:val="0"/>
        <w:keepLines w:val="0"/>
        <w:pageBreakBefore w:val="0"/>
        <w:widowControl w:val="0"/>
        <w:kinsoku/>
        <w:wordWrap/>
        <w:overflowPunct/>
        <w:topLinePunct w:val="0"/>
        <w:autoSpaceDE/>
        <w:autoSpaceDN/>
        <w:bidi w:val="0"/>
        <w:adjustRightInd/>
        <w:snapToGrid/>
        <w:spacing w:line="360" w:lineRule="auto"/>
        <w:textAlignment w:val="auto"/>
        <w:rPr>
          <w:rFonts w:hAnsi="宋体"/>
          <w:color w:val="auto"/>
          <w:sz w:val="21"/>
          <w:highlight w:val="none"/>
        </w:rPr>
      </w:pPr>
      <w:r>
        <w:rPr>
          <w:rFonts w:hint="eastAsia" w:hAnsi="宋体"/>
          <w:color w:val="auto"/>
          <w:sz w:val="21"/>
          <w:highlight w:val="none"/>
        </w:rPr>
        <w:t>说明：</w:t>
      </w:r>
    </w:p>
    <w:p w14:paraId="1D62494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Ansi="宋体"/>
          <w:color w:val="auto"/>
          <w:sz w:val="21"/>
          <w:highlight w:val="none"/>
        </w:rPr>
      </w:pPr>
      <w:r>
        <w:rPr>
          <w:rFonts w:hint="eastAsia" w:hAnsi="宋体"/>
          <w:color w:val="auto"/>
          <w:sz w:val="21"/>
          <w:highlight w:val="none"/>
        </w:rPr>
        <w:t>1.本招标文件所称中小企业必须符合《政府采购促进中小企业发展管理办法》第二条规定。</w:t>
      </w:r>
      <w:r>
        <w:rPr>
          <w:rFonts w:hAnsi="宋体"/>
          <w:color w:val="auto"/>
          <w:sz w:val="21"/>
          <w:highlight w:val="none"/>
        </w:rPr>
        <w:t>按照《财政部、司法部关于政府采购支持监狱企业发展有关问题的通知》（财库〔2014〕68号）之规定，监狱企业视同小型、微型企业。</w:t>
      </w:r>
      <w:r>
        <w:rPr>
          <w:rFonts w:hint="eastAsia" w:hAnsi="宋体"/>
          <w:bCs/>
          <w:color w:val="auto"/>
          <w:sz w:val="21"/>
          <w:highlight w:val="none"/>
        </w:rPr>
        <w:t>按照《财政部 民政部 中国残疾人联合会关于促进残疾人就业政府采购政策的通知》（财库〔2017〕141号）之规定，残疾人福利性单位视同小型、微型企业。</w:t>
      </w:r>
    </w:p>
    <w:p w14:paraId="4C1EC016">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Ansi="宋体"/>
          <w:b/>
          <w:color w:val="auto"/>
          <w:sz w:val="21"/>
          <w:highlight w:val="none"/>
        </w:rPr>
      </w:pPr>
      <w:r>
        <w:rPr>
          <w:rFonts w:hint="eastAsia" w:hAnsi="宋体"/>
          <w:b/>
          <w:color w:val="auto"/>
          <w:sz w:val="21"/>
          <w:highlight w:val="none"/>
        </w:rPr>
        <w:t>2.根据财库〔2019〕9号及财库〔2019〕19号文件规定，台式计算机，便携式计算机、平板式微型计算机，激光打印机，针式打印机，液晶显示器，制冷压缩机（冷水机组、水源热泵机组、溴化锂吸收式冷水机组），空调机组[多联式空调（热泵）机组（制冷量＞14000W），单元式空气调节机（制冷量＞14000W）]，专用制冷、空调设备（机房空调），镇流器（管型荧光灯镇流器），空调机[房间空气调节器、多联式空调（热泵）机组（制冷量≤14000W）、单元式空气调节机（制冷量≤14000W）]，电热水器，普通照明用双端荧光灯，电视设备[普通电视设备（电视机）]，视频设备（视频监控设备、监视器），便器（坐便器、蹲便器、小便器），水嘴均为节能产品政府采购品目清单内标注“★”的品目，属于政府强制采购节能产品。若采购货物属于以上品目清单的产品时，投标人的投标货物必须使用政府强制采购的节能产品，投标人必须在投标文件中提供由国家确定的认证机构出具的处于有效期之内的节能产品认证证书复印件[加盖投标人电子公章</w:t>
      </w:r>
      <w:r>
        <w:rPr>
          <w:rFonts w:hAnsi="宋体"/>
          <w:b/>
          <w:color w:val="auto"/>
          <w:sz w:val="21"/>
          <w:highlight w:val="none"/>
        </w:rPr>
        <w:t>]</w:t>
      </w:r>
      <w:r>
        <w:rPr>
          <w:rFonts w:hint="eastAsia" w:hAnsi="宋体"/>
          <w:b/>
          <w:color w:val="auto"/>
          <w:sz w:val="21"/>
          <w:highlight w:val="none"/>
        </w:rPr>
        <w:t>，否则相应投标无效。</w:t>
      </w:r>
    </w:p>
    <w:p w14:paraId="288B7EF0">
      <w:pPr>
        <w:spacing w:line="360" w:lineRule="auto"/>
        <w:ind w:firstLine="420" w:firstLineChars="200"/>
        <w:jc w:val="both"/>
        <w:rPr>
          <w:rFonts w:hAnsi="宋体"/>
          <w:color w:val="auto"/>
          <w:sz w:val="21"/>
          <w:highlight w:val="none"/>
        </w:rPr>
      </w:pPr>
      <w:r>
        <w:rPr>
          <w:rFonts w:hint="eastAsia" w:hAnsi="宋体"/>
          <w:color w:val="auto"/>
          <w:sz w:val="21"/>
          <w:highlight w:val="none"/>
        </w:rPr>
        <w:t>3.根据《关于调整网络安全专用产品安全管理有关事项的公告》（2023年1号）规定，本项目采购需求中的产品如果包括《网络关键设备和网络安全专用产品目录》的网络安全专用产品，投标人在投标文件中应主动列明供货范围中属于网络安全专用产品的投标产品，</w:t>
      </w:r>
      <w:r>
        <w:rPr>
          <w:rFonts w:hint="eastAsia" w:hAnsi="宋体"/>
          <w:b/>
          <w:color w:val="auto"/>
          <w:sz w:val="21"/>
          <w:highlight w:val="none"/>
        </w:rPr>
        <w:t>并在投标文件中提供由中国网信网（htt://www. cac.gov. cn/index.htm）最新发布的《网络关键设备和网络安全专用产品安全认证和安全检测结果》截图证明材料（查询方式：网站首页→网信政务→网络产品和服务安全认证和安全检测结果发布），不在《网络关键设备和网络安全专用产品家全认证和安全检测结果》中或不在有效期内或未提供有效的《计算机信息系统安全专用产品销售许可证》的，投标无效。</w:t>
      </w:r>
      <w:r>
        <w:rPr>
          <w:rFonts w:hint="eastAsia" w:hAnsi="宋体"/>
          <w:color w:val="auto"/>
          <w:sz w:val="21"/>
          <w:highlight w:val="none"/>
        </w:rPr>
        <w:t>如属于《网络关键设备和网络安全专用产品目录》中“二、网络安全专用产品”内“产品类别”中的所描述的产品，但不属于所列“产品描述”情形的，应提供相应的说明及证明材料。</w:t>
      </w:r>
    </w:p>
    <w:p w14:paraId="010D3760">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hAnsi="宋体"/>
          <w:b/>
          <w:bCs/>
          <w:color w:val="auto"/>
          <w:sz w:val="21"/>
          <w:highlight w:val="none"/>
          <w:lang w:val="en-US" w:eastAsia="zh-CN"/>
        </w:rPr>
      </w:pPr>
      <w:r>
        <w:rPr>
          <w:rFonts w:hint="eastAsia" w:hAnsi="宋体"/>
          <w:b/>
          <w:bCs/>
          <w:color w:val="auto"/>
          <w:sz w:val="21"/>
          <w:highlight w:val="none"/>
          <w:lang w:val="en-US" w:eastAsia="zh-CN"/>
        </w:rPr>
        <w:t>4.本项目不接受进口产品（即通过中国海关报关验放进入中国境内且产自关境外的产品）参与投标，如有此类产品参与投标的做投标无效处理。</w:t>
      </w:r>
    </w:p>
    <w:p w14:paraId="7958409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hAnsi="宋体"/>
          <w:color w:val="auto"/>
          <w:sz w:val="21"/>
          <w:highlight w:val="none"/>
        </w:rPr>
      </w:pPr>
      <w:r>
        <w:rPr>
          <w:rFonts w:hint="eastAsia" w:hAnsi="宋体"/>
          <w:color w:val="auto"/>
          <w:sz w:val="21"/>
          <w:highlight w:val="none"/>
          <w:lang w:val="en-US" w:eastAsia="zh-CN"/>
        </w:rPr>
        <w:t>5</w:t>
      </w:r>
      <w:r>
        <w:rPr>
          <w:rFonts w:hint="eastAsia" w:hAnsi="宋体"/>
          <w:color w:val="auto"/>
          <w:sz w:val="21"/>
          <w:highlight w:val="none"/>
        </w:rPr>
        <w:t>.供应商必须自行为其投标产品侵犯其他供应商或专利人的专利成果承担相应法律责任；同时，具有产品专利的供应商应在其投标文件中提供与其自有产品专利相关的有效证明材料，否则，不能就其产品的专利在本项目投标过程中被侵权问题提出异议。</w:t>
      </w:r>
    </w:p>
    <w:p w14:paraId="252F351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hAnsi="宋体"/>
          <w:color w:val="auto"/>
          <w:sz w:val="21"/>
          <w:highlight w:val="none"/>
        </w:rPr>
      </w:pPr>
      <w:r>
        <w:rPr>
          <w:rFonts w:hint="eastAsia" w:hAnsi="宋体"/>
          <w:color w:val="auto"/>
          <w:sz w:val="21"/>
          <w:highlight w:val="none"/>
          <w:lang w:val="en-US" w:eastAsia="zh-CN"/>
        </w:rPr>
        <w:t>6</w:t>
      </w:r>
      <w:r>
        <w:rPr>
          <w:rFonts w:hint="eastAsia" w:hAnsi="宋体"/>
          <w:color w:val="auto"/>
          <w:sz w:val="21"/>
          <w:highlight w:val="none"/>
        </w:rPr>
        <w:t>.招标文件中所要求提供的证明材料，如为英文文本的请同时提供中文译本。</w:t>
      </w:r>
    </w:p>
    <w:p w14:paraId="145329B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hAnsi="宋体"/>
          <w:color w:val="auto"/>
          <w:sz w:val="21"/>
          <w:highlight w:val="none"/>
        </w:rPr>
      </w:pPr>
      <w:r>
        <w:rPr>
          <w:rFonts w:hint="eastAsia" w:hAnsi="宋体"/>
          <w:color w:val="auto"/>
          <w:sz w:val="21"/>
          <w:highlight w:val="none"/>
          <w:lang w:val="en-US" w:eastAsia="zh-CN"/>
        </w:rPr>
        <w:t>7</w:t>
      </w:r>
      <w:r>
        <w:rPr>
          <w:rFonts w:hint="eastAsia" w:hAnsi="宋体"/>
          <w:color w:val="auto"/>
          <w:sz w:val="21"/>
          <w:highlight w:val="none"/>
        </w:rPr>
        <w:t>.采购需求具有国家或其他强制性标准、规范等要求的，投标文件中必须提供相关强制性认证资料，否则投标无效。</w:t>
      </w:r>
    </w:p>
    <w:p w14:paraId="0412FBA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hAnsi="宋体"/>
          <w:color w:val="auto"/>
          <w:sz w:val="21"/>
          <w:highlight w:val="none"/>
        </w:rPr>
      </w:pPr>
      <w:r>
        <w:rPr>
          <w:rFonts w:hint="eastAsia" w:hAnsi="宋体"/>
          <w:color w:val="auto"/>
          <w:sz w:val="21"/>
          <w:highlight w:val="none"/>
          <w:lang w:val="en-US" w:eastAsia="zh-CN"/>
        </w:rPr>
        <w:t>8</w:t>
      </w:r>
      <w:r>
        <w:rPr>
          <w:rFonts w:hint="eastAsia" w:hAnsi="宋体"/>
          <w:color w:val="auto"/>
          <w:sz w:val="21"/>
          <w:highlight w:val="none"/>
        </w:rPr>
        <w:t>.本采购需求中技术要求所使用的标准或应用标准如与投标人所执行的标准不一致时，按最新标准或较高标准执行。</w:t>
      </w:r>
    </w:p>
    <w:p w14:paraId="5018702D">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hAnsi="宋体"/>
          <w:b/>
          <w:color w:val="auto"/>
          <w:sz w:val="21"/>
          <w:highlight w:val="none"/>
          <w:lang w:val="en-US" w:eastAsia="zh-CN"/>
        </w:rPr>
      </w:pPr>
      <w:r>
        <w:rPr>
          <w:rFonts w:hint="eastAsia" w:hAnsi="宋体"/>
          <w:b/>
          <w:color w:val="auto"/>
          <w:sz w:val="21"/>
          <w:highlight w:val="none"/>
          <w:lang w:val="en-US" w:eastAsia="zh-CN"/>
        </w:rPr>
        <w:t>9.</w:t>
      </w:r>
      <w:r>
        <w:rPr>
          <w:rFonts w:hint="eastAsia" w:hAnsi="宋体"/>
          <w:b/>
          <w:color w:val="auto"/>
          <w:sz w:val="21"/>
          <w:highlight w:val="none"/>
        </w:rPr>
        <w:t>本项目标注“▲”</w:t>
      </w:r>
      <w:r>
        <w:rPr>
          <w:rFonts w:hint="eastAsia" w:hAnsi="宋体"/>
          <w:b/>
          <w:color w:val="auto"/>
          <w:sz w:val="21"/>
          <w:highlight w:val="none"/>
          <w:lang w:val="en-US" w:eastAsia="zh-CN"/>
        </w:rPr>
        <w:t>项</w:t>
      </w:r>
      <w:r>
        <w:rPr>
          <w:rFonts w:hint="eastAsia" w:hAnsi="宋体"/>
          <w:b/>
          <w:color w:val="auto"/>
          <w:sz w:val="21"/>
          <w:highlight w:val="none"/>
        </w:rPr>
        <w:t>的为实质性</w:t>
      </w:r>
      <w:r>
        <w:rPr>
          <w:rFonts w:hint="eastAsia" w:hAnsi="宋体"/>
          <w:b/>
          <w:color w:val="auto"/>
          <w:sz w:val="21"/>
          <w:highlight w:val="none"/>
          <w:lang w:val="en-US" w:eastAsia="zh-CN"/>
        </w:rPr>
        <w:t>要求</w:t>
      </w:r>
      <w:r>
        <w:rPr>
          <w:rFonts w:hint="eastAsia" w:hAnsi="宋体"/>
          <w:b/>
          <w:color w:val="auto"/>
          <w:sz w:val="21"/>
          <w:highlight w:val="none"/>
        </w:rPr>
        <w:t>，</w:t>
      </w:r>
      <w:r>
        <w:rPr>
          <w:rFonts w:hint="eastAsia" w:hAnsi="宋体"/>
          <w:b/>
          <w:color w:val="auto"/>
          <w:sz w:val="21"/>
          <w:highlight w:val="none"/>
          <w:lang w:val="en-US" w:eastAsia="zh-CN"/>
        </w:rPr>
        <w:t>投标人</w:t>
      </w:r>
      <w:r>
        <w:rPr>
          <w:rFonts w:hint="eastAsia" w:hAnsi="宋体"/>
          <w:b/>
          <w:color w:val="auto"/>
          <w:sz w:val="21"/>
          <w:highlight w:val="none"/>
        </w:rPr>
        <w:t>必须满足或优于，否则投标无效</w:t>
      </w:r>
      <w:r>
        <w:rPr>
          <w:rFonts w:hint="eastAsia" w:hAnsi="宋体"/>
          <w:b/>
          <w:color w:val="auto"/>
          <w:sz w:val="21"/>
          <w:highlight w:val="none"/>
          <w:lang w:val="en-US" w:eastAsia="zh-CN"/>
        </w:rPr>
        <w:t>。</w:t>
      </w:r>
    </w:p>
    <w:p w14:paraId="3B5678AC">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default" w:hAnsi="宋体"/>
          <w:b/>
          <w:color w:val="auto"/>
          <w:sz w:val="21"/>
          <w:highlight w:val="none"/>
          <w:lang w:val="en-US" w:eastAsia="zh-CN"/>
        </w:rPr>
      </w:pPr>
      <w:r>
        <w:rPr>
          <w:rFonts w:hint="eastAsia" w:hAnsi="宋体"/>
          <w:b/>
          <w:color w:val="auto"/>
          <w:sz w:val="21"/>
          <w:highlight w:val="none"/>
          <w:lang w:val="en-US" w:eastAsia="zh-CN"/>
        </w:rPr>
        <w:t>10.</w:t>
      </w:r>
      <w:r>
        <w:rPr>
          <w:rFonts w:hint="default" w:hAnsi="宋体"/>
          <w:b/>
          <w:color w:val="auto"/>
          <w:sz w:val="21"/>
          <w:highlight w:val="none"/>
          <w:lang w:val="en-US" w:eastAsia="zh-CN"/>
        </w:rPr>
        <w:t>本项目项号</w:t>
      </w:r>
      <w:r>
        <w:rPr>
          <w:rFonts w:hint="eastAsia" w:hAnsi="宋体"/>
          <w:b/>
          <w:color w:val="auto"/>
          <w:sz w:val="21"/>
          <w:highlight w:val="none"/>
          <w:lang w:val="en-US" w:eastAsia="zh-CN"/>
        </w:rPr>
        <w:t>1</w:t>
      </w:r>
      <w:r>
        <w:rPr>
          <w:rFonts w:hint="default" w:hAnsi="宋体"/>
          <w:b/>
          <w:color w:val="auto"/>
          <w:sz w:val="21"/>
          <w:highlight w:val="none"/>
          <w:lang w:val="en-US" w:eastAsia="zh-CN"/>
        </w:rPr>
        <w:t>“竹子”为核心产品。</w:t>
      </w:r>
    </w:p>
    <w:p w14:paraId="71CFE027">
      <w:pPr>
        <w:spacing w:line="360" w:lineRule="auto"/>
        <w:ind w:firstLine="422" w:firstLineChars="200"/>
        <w:jc w:val="left"/>
        <w:rPr>
          <w:rFonts w:hint="eastAsia" w:ascii="宋体" w:hAnsi="宋体" w:eastAsia="宋体" w:cs="宋体"/>
          <w:b/>
          <w:color w:val="auto"/>
          <w:sz w:val="21"/>
          <w:szCs w:val="21"/>
          <w:highlight w:val="none"/>
        </w:rPr>
      </w:pPr>
    </w:p>
    <w:p w14:paraId="75F20CE5">
      <w:pPr>
        <w:spacing w:line="360" w:lineRule="auto"/>
        <w:ind w:firstLine="422" w:firstLineChars="20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▲一、采购内容</w:t>
      </w:r>
    </w:p>
    <w:tbl>
      <w:tblPr>
        <w:tblStyle w:val="7"/>
        <w:tblW w:w="995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99"/>
        <w:gridCol w:w="1090"/>
        <w:gridCol w:w="5527"/>
        <w:gridCol w:w="1448"/>
        <w:gridCol w:w="1290"/>
      </w:tblGrid>
      <w:tr w14:paraId="037BCD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07" w:hRule="atLeast"/>
          <w:jc w:val="center"/>
        </w:trPr>
        <w:tc>
          <w:tcPr>
            <w:tcW w:w="599" w:type="dxa"/>
            <w:tcBorders>
              <w:top w:val="single" w:color="auto" w:sz="4" w:space="0"/>
              <w:left w:val="single" w:color="auto" w:sz="4" w:space="0"/>
              <w:bottom w:val="single" w:color="auto" w:sz="4" w:space="0"/>
              <w:right w:val="single" w:color="auto" w:sz="4" w:space="0"/>
            </w:tcBorders>
            <w:noWrap w:val="0"/>
            <w:vAlign w:val="center"/>
          </w:tcPr>
          <w:p w14:paraId="2CDDA63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项号</w:t>
            </w:r>
          </w:p>
        </w:tc>
        <w:tc>
          <w:tcPr>
            <w:tcW w:w="1090" w:type="dxa"/>
            <w:tcBorders>
              <w:top w:val="single" w:color="auto" w:sz="4" w:space="0"/>
              <w:left w:val="single" w:color="auto" w:sz="4" w:space="0"/>
              <w:bottom w:val="single" w:color="auto" w:sz="4" w:space="0"/>
              <w:right w:val="single" w:color="auto" w:sz="4" w:space="0"/>
            </w:tcBorders>
            <w:noWrap w:val="0"/>
            <w:vAlign w:val="center"/>
          </w:tcPr>
          <w:p w14:paraId="1794028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标的名称</w:t>
            </w:r>
          </w:p>
        </w:tc>
        <w:tc>
          <w:tcPr>
            <w:tcW w:w="5527" w:type="dxa"/>
            <w:tcBorders>
              <w:top w:val="single" w:color="auto" w:sz="4" w:space="0"/>
              <w:left w:val="single" w:color="auto" w:sz="4" w:space="0"/>
              <w:bottom w:val="single" w:color="auto" w:sz="4" w:space="0"/>
              <w:right w:val="single" w:color="auto" w:sz="4" w:space="0"/>
            </w:tcBorders>
            <w:noWrap w:val="0"/>
            <w:vAlign w:val="center"/>
          </w:tcPr>
          <w:p w14:paraId="3C06849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功能目标及技术指标</w:t>
            </w:r>
          </w:p>
        </w:tc>
        <w:tc>
          <w:tcPr>
            <w:tcW w:w="1448" w:type="dxa"/>
            <w:tcBorders>
              <w:top w:val="single" w:color="auto" w:sz="4" w:space="0"/>
              <w:left w:val="single" w:color="auto" w:sz="4" w:space="0"/>
              <w:bottom w:val="single" w:color="auto" w:sz="4" w:space="0"/>
              <w:right w:val="single" w:color="auto" w:sz="4" w:space="0"/>
            </w:tcBorders>
            <w:noWrap w:val="0"/>
            <w:vAlign w:val="center"/>
          </w:tcPr>
          <w:p w14:paraId="54484B5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采购</w:t>
            </w:r>
            <w:r>
              <w:rPr>
                <w:rFonts w:hint="eastAsia" w:ascii="宋体" w:hAnsi="宋体" w:eastAsia="宋体" w:cs="宋体"/>
                <w:b/>
                <w:color w:val="auto"/>
                <w:sz w:val="21"/>
                <w:szCs w:val="21"/>
                <w:highlight w:val="none"/>
              </w:rPr>
              <w:t>数量</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419F18B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单价上限价</w:t>
            </w:r>
          </w:p>
        </w:tc>
      </w:tr>
      <w:tr w14:paraId="5937F3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03" w:hRule="atLeast"/>
          <w:jc w:val="center"/>
        </w:trPr>
        <w:tc>
          <w:tcPr>
            <w:tcW w:w="599" w:type="dxa"/>
            <w:tcBorders>
              <w:left w:val="single" w:color="auto" w:sz="4" w:space="0"/>
              <w:bottom w:val="single" w:color="auto" w:sz="4" w:space="0"/>
              <w:right w:val="single" w:color="auto" w:sz="4" w:space="0"/>
            </w:tcBorders>
            <w:noWrap w:val="0"/>
            <w:vAlign w:val="center"/>
          </w:tcPr>
          <w:p w14:paraId="4EE2E1F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090" w:type="dxa"/>
            <w:tcBorders>
              <w:left w:val="single" w:color="auto" w:sz="4" w:space="0"/>
              <w:bottom w:val="single" w:color="auto" w:sz="4" w:space="0"/>
              <w:right w:val="single" w:color="auto" w:sz="4" w:space="0"/>
            </w:tcBorders>
            <w:noWrap w:val="0"/>
            <w:vAlign w:val="center"/>
          </w:tcPr>
          <w:p w14:paraId="17FBB03C">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rPr>
              <w:t>竹子</w:t>
            </w:r>
            <w:r>
              <w:rPr>
                <w:rFonts w:hint="eastAsia" w:ascii="宋体" w:hAnsi="宋体" w:eastAsia="宋体" w:cs="宋体"/>
                <w:color w:val="auto"/>
                <w:sz w:val="21"/>
                <w:szCs w:val="21"/>
                <w:lang w:val="en-US" w:eastAsia="zh-CN"/>
              </w:rPr>
              <w:t>/竹叶</w:t>
            </w:r>
          </w:p>
        </w:tc>
        <w:tc>
          <w:tcPr>
            <w:tcW w:w="5527" w:type="dxa"/>
            <w:tcBorders>
              <w:top w:val="single" w:color="auto" w:sz="4" w:space="0"/>
              <w:left w:val="single" w:color="auto" w:sz="4" w:space="0"/>
              <w:bottom w:val="single" w:color="auto" w:sz="4" w:space="0"/>
              <w:right w:val="single" w:color="auto" w:sz="4" w:space="0"/>
            </w:tcBorders>
            <w:noWrap w:val="0"/>
            <w:vAlign w:val="center"/>
          </w:tcPr>
          <w:p w14:paraId="4C76F70B">
            <w:pPr>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rPr>
              <w:t>新鲜优质，需供应约</w:t>
            </w:r>
            <w:r>
              <w:rPr>
                <w:rFonts w:hint="eastAsia" w:ascii="宋体" w:hAnsi="宋体" w:eastAsia="宋体" w:cs="宋体"/>
                <w:color w:val="auto"/>
                <w:sz w:val="21"/>
                <w:szCs w:val="21"/>
                <w:lang w:val="en-US" w:eastAsia="zh-CN"/>
              </w:rPr>
              <w:t>10</w:t>
            </w:r>
            <w:r>
              <w:rPr>
                <w:rFonts w:hint="eastAsia" w:ascii="宋体" w:hAnsi="宋体" w:eastAsia="宋体" w:cs="宋体"/>
                <w:color w:val="auto"/>
                <w:sz w:val="21"/>
                <w:szCs w:val="21"/>
              </w:rPr>
              <w:t>个月，要求产于远离居民住宅区的原生态竹源地，非人工种植，无霉斑点和病虫害，无污染，无农药残留，无重金属超标；竹子采集点需有3个（含3个）以上不同地点备用，要求每个采集点竹子供应量充足；由专车运输，运输过程不得掺杂其它货物一起。采集点的竹子需进行饲料样品检测，检测合格后才能作为大熊猫食用竹子供应地。</w:t>
            </w:r>
          </w:p>
        </w:tc>
        <w:tc>
          <w:tcPr>
            <w:tcW w:w="1448" w:type="dxa"/>
            <w:tcBorders>
              <w:top w:val="single" w:color="auto" w:sz="4" w:space="0"/>
              <w:left w:val="single" w:color="auto" w:sz="4" w:space="0"/>
              <w:bottom w:val="single" w:color="auto" w:sz="4" w:space="0"/>
              <w:right w:val="single" w:color="auto" w:sz="4" w:space="0"/>
            </w:tcBorders>
            <w:noWrap w:val="0"/>
            <w:vAlign w:val="center"/>
          </w:tcPr>
          <w:p w14:paraId="4E6CA226">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lang w:val="en-US" w:eastAsia="zh-CN"/>
              </w:rPr>
              <w:t>30000</w:t>
            </w:r>
            <w:r>
              <w:rPr>
                <w:rFonts w:hint="eastAsia" w:ascii="宋体" w:hAnsi="宋体" w:eastAsia="宋体" w:cs="宋体"/>
                <w:color w:val="auto"/>
                <w:sz w:val="21"/>
                <w:szCs w:val="21"/>
              </w:rPr>
              <w:t>公斤</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06DCDA4">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0</w:t>
            </w:r>
            <w:r>
              <w:rPr>
                <w:rFonts w:hint="eastAsia" w:ascii="宋体" w:hAnsi="宋体" w:eastAsia="宋体" w:cs="宋体"/>
                <w:color w:val="auto"/>
                <w:sz w:val="21"/>
                <w:szCs w:val="21"/>
              </w:rPr>
              <w:t>元/公斤</w:t>
            </w:r>
          </w:p>
        </w:tc>
      </w:tr>
      <w:tr w14:paraId="1004FB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26" w:hRule="atLeast"/>
          <w:jc w:val="center"/>
        </w:trPr>
        <w:tc>
          <w:tcPr>
            <w:tcW w:w="599" w:type="dxa"/>
            <w:tcBorders>
              <w:left w:val="single" w:color="auto" w:sz="4" w:space="0"/>
              <w:bottom w:val="single" w:color="auto" w:sz="4" w:space="0"/>
              <w:right w:val="single" w:color="auto" w:sz="4" w:space="0"/>
            </w:tcBorders>
            <w:noWrap w:val="0"/>
            <w:vAlign w:val="center"/>
          </w:tcPr>
          <w:p w14:paraId="5CDDDEF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090" w:type="dxa"/>
            <w:tcBorders>
              <w:left w:val="single" w:color="auto" w:sz="4" w:space="0"/>
              <w:bottom w:val="single" w:color="auto" w:sz="4" w:space="0"/>
              <w:right w:val="single" w:color="auto" w:sz="4" w:space="0"/>
            </w:tcBorders>
            <w:noWrap w:val="0"/>
            <w:vAlign w:val="center"/>
          </w:tcPr>
          <w:p w14:paraId="50F55449">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rPr>
              <w:t>毛竹叶</w:t>
            </w:r>
          </w:p>
        </w:tc>
        <w:tc>
          <w:tcPr>
            <w:tcW w:w="5527" w:type="dxa"/>
            <w:tcBorders>
              <w:top w:val="single" w:color="auto" w:sz="4" w:space="0"/>
              <w:left w:val="single" w:color="auto" w:sz="4" w:space="0"/>
              <w:bottom w:val="single" w:color="auto" w:sz="4" w:space="0"/>
              <w:right w:val="single" w:color="auto" w:sz="4" w:space="0"/>
            </w:tcBorders>
            <w:noWrap w:val="0"/>
            <w:vAlign w:val="center"/>
          </w:tcPr>
          <w:p w14:paraId="0F93B659">
            <w:pPr>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rPr>
              <w:t>新鲜优质，需供应约</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个月，要求产于远离居民住宅区的原生态竹源地，非人工种植，无霉斑点和病虫害，无污染，无农药残留，无重金属超标；由专车运输，运输过程不得掺杂其它货物一起。采集点的毛竹叶需进行饲料样品检测，检测合格后才能作为大熊猫食用毛竹叶供应地。</w:t>
            </w:r>
          </w:p>
        </w:tc>
        <w:tc>
          <w:tcPr>
            <w:tcW w:w="1448" w:type="dxa"/>
            <w:tcBorders>
              <w:top w:val="single" w:color="auto" w:sz="4" w:space="0"/>
              <w:left w:val="single" w:color="auto" w:sz="4" w:space="0"/>
              <w:bottom w:val="single" w:color="auto" w:sz="4" w:space="0"/>
              <w:right w:val="single" w:color="auto" w:sz="4" w:space="0"/>
            </w:tcBorders>
            <w:noWrap w:val="0"/>
            <w:vAlign w:val="center"/>
          </w:tcPr>
          <w:p w14:paraId="57503A13">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000公斤</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21130A76">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元/公斤</w:t>
            </w:r>
          </w:p>
        </w:tc>
      </w:tr>
      <w:tr w14:paraId="157DC8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42" w:hRule="atLeast"/>
          <w:jc w:val="center"/>
        </w:trPr>
        <w:tc>
          <w:tcPr>
            <w:tcW w:w="599" w:type="dxa"/>
            <w:tcBorders>
              <w:left w:val="single" w:color="auto" w:sz="4" w:space="0"/>
              <w:bottom w:val="single" w:color="auto" w:sz="4" w:space="0"/>
              <w:right w:val="single" w:color="auto" w:sz="4" w:space="0"/>
            </w:tcBorders>
            <w:noWrap w:val="0"/>
            <w:vAlign w:val="center"/>
          </w:tcPr>
          <w:p w14:paraId="05860C4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090" w:type="dxa"/>
            <w:tcBorders>
              <w:left w:val="single" w:color="auto" w:sz="4" w:space="0"/>
              <w:bottom w:val="single" w:color="auto" w:sz="4" w:space="0"/>
              <w:right w:val="single" w:color="auto" w:sz="4" w:space="0"/>
            </w:tcBorders>
            <w:noWrap w:val="0"/>
            <w:vAlign w:val="center"/>
          </w:tcPr>
          <w:p w14:paraId="1E84321B">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rPr>
              <w:t>黄金间碧玉竹</w:t>
            </w:r>
          </w:p>
        </w:tc>
        <w:tc>
          <w:tcPr>
            <w:tcW w:w="5527" w:type="dxa"/>
            <w:tcBorders>
              <w:top w:val="single" w:color="auto" w:sz="4" w:space="0"/>
              <w:left w:val="single" w:color="auto" w:sz="4" w:space="0"/>
              <w:bottom w:val="single" w:color="auto" w:sz="4" w:space="0"/>
              <w:right w:val="single" w:color="auto" w:sz="4" w:space="0"/>
            </w:tcBorders>
            <w:noWrap w:val="0"/>
            <w:vAlign w:val="center"/>
          </w:tcPr>
          <w:p w14:paraId="5EFC734A">
            <w:pPr>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rPr>
              <w:t>新鲜优质，需供应约</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个月，要求产于远离居民住宅区的原生态竹源地，非人工种植，无霉斑点和病虫害，无污染，无农药残留，无重金属超标；由专车运输，运输过程不得掺杂其它货物一起。采集点的竹子需进行饲料样品检测，检测合格后才能作为大熊猫食用竹子供应地。</w:t>
            </w:r>
          </w:p>
        </w:tc>
        <w:tc>
          <w:tcPr>
            <w:tcW w:w="1448" w:type="dxa"/>
            <w:tcBorders>
              <w:top w:val="single" w:color="auto" w:sz="4" w:space="0"/>
              <w:left w:val="single" w:color="auto" w:sz="4" w:space="0"/>
              <w:bottom w:val="single" w:color="auto" w:sz="4" w:space="0"/>
              <w:right w:val="single" w:color="auto" w:sz="4" w:space="0"/>
            </w:tcBorders>
            <w:noWrap w:val="0"/>
            <w:vAlign w:val="center"/>
          </w:tcPr>
          <w:p w14:paraId="33528942">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lang w:val="en-US" w:eastAsia="zh-CN"/>
              </w:rPr>
              <w:t>5000</w:t>
            </w:r>
            <w:r>
              <w:rPr>
                <w:rFonts w:hint="eastAsia" w:ascii="宋体" w:hAnsi="宋体" w:eastAsia="宋体" w:cs="宋体"/>
                <w:color w:val="auto"/>
                <w:sz w:val="21"/>
                <w:szCs w:val="21"/>
              </w:rPr>
              <w:t>公斤</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4A60EEDD">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元/公斤</w:t>
            </w:r>
          </w:p>
        </w:tc>
      </w:tr>
      <w:tr w14:paraId="7997C0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55" w:hRule="atLeast"/>
          <w:jc w:val="center"/>
        </w:trPr>
        <w:tc>
          <w:tcPr>
            <w:tcW w:w="599" w:type="dxa"/>
            <w:tcBorders>
              <w:top w:val="single" w:color="auto" w:sz="4" w:space="0"/>
              <w:left w:val="single" w:color="auto" w:sz="4" w:space="0"/>
              <w:bottom w:val="single" w:color="auto" w:sz="4" w:space="0"/>
              <w:right w:val="single" w:color="auto" w:sz="4" w:space="0"/>
            </w:tcBorders>
            <w:noWrap w:val="0"/>
            <w:vAlign w:val="center"/>
          </w:tcPr>
          <w:p w14:paraId="4206B08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090" w:type="dxa"/>
            <w:tcBorders>
              <w:top w:val="single" w:color="auto" w:sz="4" w:space="0"/>
              <w:left w:val="single" w:color="auto" w:sz="4" w:space="0"/>
              <w:bottom w:val="single" w:color="auto" w:sz="4" w:space="0"/>
              <w:right w:val="single" w:color="auto" w:sz="4" w:space="0"/>
            </w:tcBorders>
            <w:noWrap w:val="0"/>
            <w:vAlign w:val="center"/>
          </w:tcPr>
          <w:p w14:paraId="26EE0194">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rPr>
              <w:t>春笋</w:t>
            </w:r>
          </w:p>
        </w:tc>
        <w:tc>
          <w:tcPr>
            <w:tcW w:w="5527" w:type="dxa"/>
            <w:tcBorders>
              <w:top w:val="single" w:color="auto" w:sz="4" w:space="0"/>
              <w:left w:val="single" w:color="auto" w:sz="4" w:space="0"/>
              <w:bottom w:val="single" w:color="auto" w:sz="4" w:space="0"/>
              <w:right w:val="single" w:color="auto" w:sz="4" w:space="0"/>
            </w:tcBorders>
            <w:noWrap w:val="0"/>
            <w:vAlign w:val="center"/>
          </w:tcPr>
          <w:p w14:paraId="00E17D28">
            <w:pPr>
              <w:pageBreakBefore w:val="0"/>
              <w:widowControl w:val="0"/>
              <w:kinsoku/>
              <w:wordWrap/>
              <w:overflowPunct/>
              <w:topLinePunct w:val="0"/>
              <w:autoSpaceDE/>
              <w:autoSpaceDN/>
              <w:bidi w:val="0"/>
              <w:adjustRightInd/>
              <w:snapToGrid/>
              <w:spacing w:line="360" w:lineRule="auto"/>
              <w:ind w:firstLine="42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rPr>
              <w:t>新鲜优质，需供应约</w:t>
            </w: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rPr>
              <w:t>个月，要求产于远离居民住宅区的原生态竹源地，非人工种植，无霉斑点和病虫害，无污染，无农药残留，无重金属超标。由专车运输，运输过程不得掺杂其它货物一起。采集点的竹笋需进行饲料样品检测，检测合格后才能作为大熊猫食用竹笋供应地。</w:t>
            </w:r>
          </w:p>
        </w:tc>
        <w:tc>
          <w:tcPr>
            <w:tcW w:w="1448" w:type="dxa"/>
            <w:tcBorders>
              <w:top w:val="single" w:color="auto" w:sz="4" w:space="0"/>
              <w:left w:val="single" w:color="auto" w:sz="4" w:space="0"/>
              <w:bottom w:val="single" w:color="auto" w:sz="4" w:space="0"/>
              <w:right w:val="single" w:color="auto" w:sz="4" w:space="0"/>
            </w:tcBorders>
            <w:noWrap w:val="0"/>
            <w:vAlign w:val="center"/>
          </w:tcPr>
          <w:p w14:paraId="07A9FD81">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lang w:val="en-US" w:eastAsia="zh-CN"/>
              </w:rPr>
              <w:t>5000</w:t>
            </w:r>
            <w:r>
              <w:rPr>
                <w:rFonts w:hint="eastAsia" w:ascii="宋体" w:hAnsi="宋体" w:eastAsia="宋体" w:cs="宋体"/>
                <w:color w:val="auto"/>
                <w:sz w:val="21"/>
                <w:szCs w:val="21"/>
              </w:rPr>
              <w:t>公斤</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B6CBD13">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rPr>
              <w:t>11元/公斤</w:t>
            </w:r>
          </w:p>
        </w:tc>
      </w:tr>
      <w:tr w14:paraId="5450FB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99" w:hRule="atLeast"/>
          <w:jc w:val="center"/>
        </w:trPr>
        <w:tc>
          <w:tcPr>
            <w:tcW w:w="599" w:type="dxa"/>
            <w:tcBorders>
              <w:top w:val="single" w:color="auto" w:sz="4" w:space="0"/>
              <w:left w:val="single" w:color="auto" w:sz="4" w:space="0"/>
              <w:bottom w:val="single" w:color="auto" w:sz="4" w:space="0"/>
              <w:right w:val="single" w:color="auto" w:sz="4" w:space="0"/>
            </w:tcBorders>
            <w:noWrap w:val="0"/>
            <w:vAlign w:val="center"/>
          </w:tcPr>
          <w:p w14:paraId="54EBBE1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090" w:type="dxa"/>
            <w:tcBorders>
              <w:top w:val="single" w:color="auto" w:sz="4" w:space="0"/>
              <w:left w:val="single" w:color="auto" w:sz="4" w:space="0"/>
              <w:bottom w:val="single" w:color="auto" w:sz="4" w:space="0"/>
              <w:right w:val="single" w:color="auto" w:sz="4" w:space="0"/>
            </w:tcBorders>
            <w:noWrap w:val="0"/>
            <w:vAlign w:val="center"/>
          </w:tcPr>
          <w:p w14:paraId="18D5C1C7">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rPr>
              <w:t>冬笋</w:t>
            </w:r>
          </w:p>
        </w:tc>
        <w:tc>
          <w:tcPr>
            <w:tcW w:w="5527" w:type="dxa"/>
            <w:tcBorders>
              <w:top w:val="single" w:color="auto" w:sz="4" w:space="0"/>
              <w:left w:val="single" w:color="auto" w:sz="4" w:space="0"/>
              <w:bottom w:val="single" w:color="auto" w:sz="4" w:space="0"/>
              <w:right w:val="single" w:color="auto" w:sz="4" w:space="0"/>
            </w:tcBorders>
            <w:noWrap w:val="0"/>
            <w:vAlign w:val="center"/>
          </w:tcPr>
          <w:p w14:paraId="29426EA0">
            <w:pPr>
              <w:pageBreakBefore w:val="0"/>
              <w:widowControl w:val="0"/>
              <w:kinsoku/>
              <w:wordWrap/>
              <w:overflowPunct/>
              <w:topLinePunct w:val="0"/>
              <w:autoSpaceDE/>
              <w:autoSpaceDN/>
              <w:bidi w:val="0"/>
              <w:adjustRightInd/>
              <w:snapToGrid/>
              <w:spacing w:line="360" w:lineRule="auto"/>
              <w:ind w:firstLine="42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rPr>
              <w:t>新鲜优质，需供应约</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个月，要求产于远离居民住宅区的原生态竹源地，非人工种植，无霉斑点和病虫害，无污染，无农药残留，无重金属超标。由专车运输，运输过程不得掺杂其它货物一起。采集点的竹笋需进行饲料样品检测，检测合格后才能作为大熊猫食用竹笋供应地。</w:t>
            </w:r>
          </w:p>
        </w:tc>
        <w:tc>
          <w:tcPr>
            <w:tcW w:w="1448" w:type="dxa"/>
            <w:tcBorders>
              <w:top w:val="single" w:color="auto" w:sz="4" w:space="0"/>
              <w:left w:val="single" w:color="auto" w:sz="4" w:space="0"/>
              <w:bottom w:val="single" w:color="auto" w:sz="4" w:space="0"/>
              <w:right w:val="single" w:color="auto" w:sz="4" w:space="0"/>
            </w:tcBorders>
            <w:noWrap w:val="0"/>
            <w:vAlign w:val="center"/>
          </w:tcPr>
          <w:p w14:paraId="54DA6564">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lang w:val="en-US" w:eastAsia="zh-CN"/>
              </w:rPr>
              <w:t>6000</w:t>
            </w:r>
            <w:r>
              <w:rPr>
                <w:rFonts w:hint="eastAsia" w:ascii="宋体" w:hAnsi="宋体" w:eastAsia="宋体" w:cs="宋体"/>
                <w:color w:val="auto"/>
                <w:sz w:val="21"/>
                <w:szCs w:val="21"/>
              </w:rPr>
              <w:t>公斤</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FCFEC01">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rPr>
              <w:t>22元/公斤</w:t>
            </w:r>
          </w:p>
        </w:tc>
      </w:tr>
      <w:tr w14:paraId="573E0B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8" w:hRule="atLeast"/>
          <w:jc w:val="center"/>
        </w:trPr>
        <w:tc>
          <w:tcPr>
            <w:tcW w:w="9954" w:type="dxa"/>
            <w:gridSpan w:val="5"/>
            <w:tcBorders>
              <w:top w:val="single" w:color="auto" w:sz="4" w:space="0"/>
              <w:left w:val="single" w:color="auto" w:sz="4" w:space="0"/>
              <w:bottom w:val="single" w:color="auto" w:sz="4" w:space="0"/>
              <w:right w:val="single" w:color="auto" w:sz="4" w:space="0"/>
            </w:tcBorders>
            <w:noWrap w:val="0"/>
            <w:vAlign w:val="top"/>
          </w:tcPr>
          <w:p w14:paraId="4862ED52">
            <w:pPr>
              <w:pStyle w:val="3"/>
              <w:keepNext/>
              <w:keepLines/>
              <w:pageBreakBefore w:val="0"/>
              <w:widowControl w:val="0"/>
              <w:kinsoku/>
              <w:wordWrap/>
              <w:overflowPunct/>
              <w:topLinePunct w:val="0"/>
              <w:autoSpaceDE/>
              <w:autoSpaceDN/>
              <w:bidi w:val="0"/>
              <w:adjustRightInd/>
              <w:snapToGrid/>
              <w:spacing w:before="140" w:after="20"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p w14:paraId="5A69E039">
            <w:pPr>
              <w:keepNext w:val="0"/>
              <w:keepLines w:val="0"/>
              <w:pageBreakBefore w:val="0"/>
              <w:widowControl w:val="0"/>
              <w:kinsoku/>
              <w:wordWrap/>
              <w:overflowPunct/>
              <w:topLinePunct w:val="0"/>
              <w:autoSpaceDE/>
              <w:autoSpaceDN/>
              <w:bidi w:val="0"/>
              <w:adjustRightInd/>
              <w:snapToGrid/>
              <w:spacing w:line="360" w:lineRule="auto"/>
              <w:ind w:firstLine="413" w:firstLineChars="196"/>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1.以上采购数量仅供参考，最终以采购人实际采购的数量为准。</w:t>
            </w:r>
          </w:p>
          <w:p w14:paraId="003EBBFF">
            <w:pPr>
              <w:keepNext w:val="0"/>
              <w:keepLines w:val="0"/>
              <w:pageBreakBefore w:val="0"/>
              <w:widowControl w:val="0"/>
              <w:kinsoku/>
              <w:wordWrap/>
              <w:overflowPunct/>
              <w:topLinePunct w:val="0"/>
              <w:autoSpaceDE/>
              <w:autoSpaceDN/>
              <w:bidi w:val="0"/>
              <w:adjustRightInd/>
              <w:snapToGrid/>
              <w:spacing w:line="360" w:lineRule="auto"/>
              <w:ind w:left="-12" w:leftChars="-5" w:firstLine="422"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2.投标人的单价报价不得高于本项目的单价上限价，否则视为无效报价，其投标无效。</w:t>
            </w:r>
          </w:p>
          <w:p w14:paraId="3185BC6C">
            <w:pPr>
              <w:keepNext w:val="0"/>
              <w:keepLines w:val="0"/>
              <w:pageBreakBefore w:val="0"/>
              <w:widowControl w:val="0"/>
              <w:kinsoku/>
              <w:wordWrap/>
              <w:overflowPunct/>
              <w:topLinePunct w:val="0"/>
              <w:autoSpaceDE/>
              <w:autoSpaceDN/>
              <w:bidi w:val="0"/>
              <w:adjustRightInd/>
              <w:snapToGrid/>
              <w:spacing w:line="360" w:lineRule="auto"/>
              <w:ind w:firstLine="413" w:firstLineChars="196"/>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3.采购人要求更换竹源地</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lang w:val="en-US" w:eastAsia="zh-CN"/>
              </w:rPr>
              <w:t>采集点</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rPr>
              <w:t>时，中标供应商应立即响应，无条件配合，并负责因此产生的一切费用。</w:t>
            </w:r>
          </w:p>
          <w:p w14:paraId="566FD06E">
            <w:pPr>
              <w:keepNext w:val="0"/>
              <w:keepLines w:val="0"/>
              <w:pageBreakBefore w:val="0"/>
              <w:widowControl w:val="0"/>
              <w:kinsoku/>
              <w:wordWrap/>
              <w:overflowPunct/>
              <w:topLinePunct w:val="0"/>
              <w:autoSpaceDE/>
              <w:autoSpaceDN/>
              <w:bidi w:val="0"/>
              <w:adjustRightInd/>
              <w:snapToGrid/>
              <w:spacing w:line="360" w:lineRule="auto"/>
              <w:ind w:firstLine="413" w:firstLineChars="196"/>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4.如果中标供应商提供的竹源地</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lang w:val="en-US" w:eastAsia="zh-CN"/>
              </w:rPr>
              <w:t>采集点</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rPr>
              <w:t>的竹子大熊猫采食后的粪便量连续5天低于5公斤，视为大熊猫采食不好（疾病原因除外），采购人有权要求中标供应商从国内给大熊猫供应食用竹子的供应商处紧急调运竹子供大熊猫食用</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lang w:val="en-US" w:eastAsia="zh-CN"/>
              </w:rPr>
              <w:t>待竹源地竹子采食正常后换回竹源地供应</w:t>
            </w:r>
            <w:r>
              <w:rPr>
                <w:rFonts w:hint="eastAsia" w:ascii="宋体" w:hAnsi="宋体" w:eastAsia="宋体" w:cs="宋体"/>
                <w:b/>
                <w:color w:val="auto"/>
                <w:sz w:val="21"/>
                <w:szCs w:val="21"/>
                <w:highlight w:val="none"/>
              </w:rPr>
              <w:t>。</w:t>
            </w:r>
          </w:p>
          <w:p w14:paraId="13001167">
            <w:pPr>
              <w:keepNext w:val="0"/>
              <w:keepLines w:val="0"/>
              <w:pageBreakBefore w:val="0"/>
              <w:widowControl w:val="0"/>
              <w:kinsoku/>
              <w:wordWrap/>
              <w:overflowPunct/>
              <w:topLinePunct w:val="0"/>
              <w:autoSpaceDE/>
              <w:autoSpaceDN/>
              <w:bidi w:val="0"/>
              <w:adjustRightInd/>
              <w:snapToGrid/>
              <w:spacing w:line="360" w:lineRule="auto"/>
              <w:ind w:firstLine="413" w:firstLineChars="196"/>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5.如遇大熊猫迁移离开柳州市动物园的，本项目合同自动终止，采购人不承担任何责任；项目费用按实际采购量进行结算。</w:t>
            </w:r>
          </w:p>
          <w:p w14:paraId="0D04F0EA">
            <w:pPr>
              <w:keepNext w:val="0"/>
              <w:keepLines w:val="0"/>
              <w:pageBreakBefore w:val="0"/>
              <w:widowControl w:val="0"/>
              <w:kinsoku/>
              <w:wordWrap/>
              <w:overflowPunct/>
              <w:topLinePunct w:val="0"/>
              <w:autoSpaceDE/>
              <w:autoSpaceDN/>
              <w:bidi w:val="0"/>
              <w:adjustRightInd/>
              <w:snapToGrid/>
              <w:spacing w:line="360" w:lineRule="auto"/>
              <w:ind w:firstLine="413" w:firstLineChars="196"/>
              <w:jc w:val="left"/>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6.根据成都大熊猫繁育研究基地要求，采集点的竹子、竹笋、毛竹叶须进行有毒、有害物质和重金属含量等相关项目的检测，检测合格后才能作为大熊猫食用竹子、竹笋、毛竹叶的竹源地。检测费均由成交供应商自行支付。</w:t>
            </w:r>
          </w:p>
        </w:tc>
      </w:tr>
    </w:tbl>
    <w:p w14:paraId="03A4E878">
      <w:pPr>
        <w:keepNext w:val="0"/>
        <w:keepLines w:val="0"/>
        <w:pageBreakBefore w:val="0"/>
        <w:widowControl w:val="0"/>
        <w:kinsoku/>
        <w:wordWrap/>
        <w:overflowPunct/>
        <w:topLinePunct w:val="0"/>
        <w:autoSpaceDE/>
        <w:autoSpaceDN/>
        <w:bidi w:val="0"/>
        <w:adjustRightInd/>
        <w:snapToGrid/>
        <w:spacing w:before="157" w:beforeLines="50" w:line="360" w:lineRule="auto"/>
        <w:ind w:firstLine="420"/>
        <w:jc w:val="left"/>
        <w:textAlignment w:val="auto"/>
        <w:rPr>
          <w:rFonts w:hint="eastAsia" w:ascii="宋体" w:hAnsi="宋体" w:eastAsia="宋体" w:cs="宋体"/>
          <w:b/>
          <w:color w:val="auto"/>
          <w:sz w:val="21"/>
          <w:szCs w:val="21"/>
          <w:highlight w:val="none"/>
        </w:rPr>
      </w:pPr>
      <w:r>
        <w:rPr>
          <w:rFonts w:hint="eastAsia" w:hAnsi="宋体"/>
          <w:b/>
          <w:color w:val="auto"/>
          <w:sz w:val="21"/>
          <w:highlight w:val="none"/>
        </w:rPr>
        <w:t>▲</w:t>
      </w:r>
      <w:r>
        <w:rPr>
          <w:rFonts w:hint="eastAsia" w:ascii="宋体" w:hAnsi="宋体" w:eastAsia="宋体" w:cs="宋体"/>
          <w:b/>
          <w:color w:val="auto"/>
          <w:sz w:val="21"/>
          <w:szCs w:val="21"/>
          <w:highlight w:val="none"/>
        </w:rPr>
        <w:t>二、配送要求</w:t>
      </w:r>
    </w:p>
    <w:p w14:paraId="2DBA707A">
      <w:pPr>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1.运输车辆要求：运输车辆必须为专用车辆，运输前必须进行清洁、消毒，且不能同时运输其它货物；车厢内无不良气味、异味，并且要保持清洁和定期消毒。</w:t>
      </w:r>
    </w:p>
    <w:p w14:paraId="4241F7AA">
      <w:pPr>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2.送货要求：中标供应商配送的竹子/竹叶、竹笋、毛竹叶必须是砍伐时间不超过24小时（除不可抗力的因素外）新鲜的竹子/竹叶、竹笋、毛竹叶，否则视为违约。</w:t>
      </w:r>
    </w:p>
    <w:p w14:paraId="2B4FA8AE">
      <w:pPr>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3.验收标准：所供竹子/竹叶、竹笋、毛竹叶的农药、重金属等残留量，以及微生物污染指数均应符合国家食品类相应标准，应确保无致病病原污染，能按采购人实际需要和指定的时间保证送货。</w:t>
      </w:r>
    </w:p>
    <w:p w14:paraId="5D12BFB4">
      <w:pPr>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4.配送时间：全年配送（包括国家法定节假日），每次提供至少2名随车搬运人员。</w:t>
      </w:r>
    </w:p>
    <w:p w14:paraId="0DCD8B95">
      <w:pPr>
        <w:spacing w:line="360" w:lineRule="auto"/>
        <w:ind w:firstLine="422"/>
        <w:jc w:val="left"/>
        <w:rPr>
          <w:rFonts w:hint="eastAsia" w:ascii="宋体" w:hAnsi="宋体" w:eastAsia="宋体" w:cs="宋体"/>
          <w:b/>
          <w:color w:val="auto"/>
          <w:sz w:val="21"/>
          <w:szCs w:val="21"/>
          <w:highlight w:val="none"/>
        </w:rPr>
      </w:pPr>
      <w:r>
        <w:rPr>
          <w:rFonts w:hint="eastAsia" w:hAnsi="宋体"/>
          <w:b/>
          <w:color w:val="auto"/>
          <w:sz w:val="21"/>
          <w:highlight w:val="none"/>
        </w:rPr>
        <w:t>▲</w:t>
      </w:r>
      <w:r>
        <w:rPr>
          <w:rFonts w:hint="eastAsia" w:ascii="宋体" w:hAnsi="宋体" w:eastAsia="宋体" w:cs="宋体"/>
          <w:b/>
          <w:color w:val="auto"/>
          <w:sz w:val="21"/>
          <w:szCs w:val="21"/>
          <w:highlight w:val="none"/>
        </w:rPr>
        <w:t>三、抽检要求</w:t>
      </w:r>
    </w:p>
    <w:p w14:paraId="62781709">
      <w:pPr>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1.采购人对当天配送的竹子/竹叶、竹笋、毛竹叶均抽查验收，抽查率为15%；主要进行外观质量查验，查验竹子/竹叶、竹笋</w:t>
      </w:r>
      <w:r>
        <w:rPr>
          <w:rFonts w:hint="eastAsia" w:ascii="宋体" w:hAnsi="宋体" w:eastAsia="宋体" w:cs="宋体"/>
          <w:color w:val="auto"/>
          <w:kern w:val="0"/>
          <w:sz w:val="21"/>
          <w:szCs w:val="21"/>
          <w:highlight w:val="none"/>
        </w:rPr>
        <w:t>、毛竹叶</w:t>
      </w:r>
      <w:r>
        <w:rPr>
          <w:rFonts w:hint="eastAsia" w:ascii="宋体" w:hAnsi="宋体" w:eastAsia="宋体" w:cs="宋体"/>
          <w:color w:val="auto"/>
          <w:sz w:val="21"/>
          <w:szCs w:val="21"/>
          <w:highlight w:val="none"/>
        </w:rPr>
        <w:t>是否新鲜、枯黄、霉烂，不新鲜、枯黄超过20%、霉烂超过10%，验收为不合格。</w:t>
      </w:r>
    </w:p>
    <w:p w14:paraId="0C3CA5CA">
      <w:pPr>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2.抽检工作人员按产品质量要求对竹子/竹叶、竹笋</w:t>
      </w:r>
      <w:r>
        <w:rPr>
          <w:rFonts w:hint="eastAsia" w:ascii="宋体" w:hAnsi="宋体" w:eastAsia="宋体" w:cs="宋体"/>
          <w:color w:val="auto"/>
          <w:kern w:val="0"/>
          <w:sz w:val="21"/>
          <w:szCs w:val="21"/>
          <w:highlight w:val="none"/>
        </w:rPr>
        <w:t>、毛竹叶</w:t>
      </w:r>
      <w:r>
        <w:rPr>
          <w:rFonts w:hint="eastAsia" w:ascii="宋体" w:hAnsi="宋体" w:eastAsia="宋体" w:cs="宋体"/>
          <w:color w:val="auto"/>
          <w:sz w:val="21"/>
          <w:szCs w:val="21"/>
          <w:highlight w:val="none"/>
        </w:rPr>
        <w:t>质量进行抽查，确保质量符合要求。如发现有损坏的情况，应在相关单据上记录所有损坏情况，并对损坏情况进行拍照并存档。对于抽检的全部信息数据，采购人抽检人员和中标供应商人员一起确认，并保留双方签字单据。</w:t>
      </w:r>
    </w:p>
    <w:p w14:paraId="3A586EAB">
      <w:pPr>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3.抽查发现安全质量问题的处理：</w:t>
      </w:r>
      <w:bookmarkStart w:id="3" w:name="_Toc268858130"/>
      <w:bookmarkEnd w:id="3"/>
      <w:bookmarkStart w:id="4" w:name="_Toc268858131"/>
      <w:bookmarkEnd w:id="4"/>
      <w:bookmarkStart w:id="5" w:name="_Toc268858129"/>
      <w:bookmarkEnd w:id="5"/>
      <w:bookmarkStart w:id="6" w:name="_Toc505672625"/>
      <w:bookmarkStart w:id="7" w:name="_Toc101951260"/>
      <w:bookmarkStart w:id="8" w:name="_Toc175644391"/>
      <w:bookmarkStart w:id="9" w:name="_Toc272497415"/>
      <w:bookmarkStart w:id="10" w:name="_Toc203274618"/>
      <w:bookmarkStart w:id="11" w:name="_Toc505672626"/>
      <w:r>
        <w:rPr>
          <w:rFonts w:hint="eastAsia" w:ascii="宋体" w:hAnsi="宋体" w:eastAsia="宋体" w:cs="宋体"/>
          <w:color w:val="auto"/>
          <w:sz w:val="21"/>
          <w:szCs w:val="21"/>
          <w:highlight w:val="none"/>
        </w:rPr>
        <w:t>对危及动物安全的问题采取零容忍措施，一经发现，当日所送同批次竹子/竹叶、竹笋</w:t>
      </w:r>
      <w:r>
        <w:rPr>
          <w:rFonts w:hint="eastAsia" w:ascii="宋体" w:hAnsi="宋体" w:eastAsia="宋体" w:cs="宋体"/>
          <w:color w:val="auto"/>
          <w:kern w:val="0"/>
          <w:sz w:val="21"/>
          <w:szCs w:val="21"/>
          <w:highlight w:val="none"/>
        </w:rPr>
        <w:t>、毛竹叶</w:t>
      </w:r>
      <w:r>
        <w:rPr>
          <w:rFonts w:hint="eastAsia" w:ascii="宋体" w:hAnsi="宋体" w:eastAsia="宋体" w:cs="宋体"/>
          <w:color w:val="auto"/>
          <w:sz w:val="21"/>
          <w:szCs w:val="21"/>
          <w:highlight w:val="none"/>
        </w:rPr>
        <w:t>全部退货，情节严重的直接取消配送资格。</w:t>
      </w:r>
    </w:p>
    <w:p w14:paraId="6DE1DB6F">
      <w:pPr>
        <w:spacing w:line="360" w:lineRule="auto"/>
        <w:ind w:firstLine="422"/>
        <w:jc w:val="left"/>
        <w:rPr>
          <w:rFonts w:hint="eastAsia" w:ascii="宋体" w:hAnsi="宋体" w:eastAsia="宋体" w:cs="宋体"/>
          <w:b/>
          <w:color w:val="auto"/>
          <w:sz w:val="21"/>
          <w:szCs w:val="21"/>
          <w:highlight w:val="none"/>
        </w:rPr>
      </w:pPr>
      <w:r>
        <w:rPr>
          <w:rFonts w:hint="eastAsia" w:hAnsi="宋体"/>
          <w:b/>
          <w:color w:val="auto"/>
          <w:sz w:val="21"/>
          <w:highlight w:val="none"/>
        </w:rPr>
        <w:t>▲</w:t>
      </w:r>
      <w:r>
        <w:rPr>
          <w:rFonts w:hint="eastAsia" w:ascii="宋体" w:hAnsi="宋体" w:eastAsia="宋体" w:cs="宋体"/>
          <w:b/>
          <w:color w:val="auto"/>
          <w:sz w:val="21"/>
          <w:szCs w:val="21"/>
          <w:highlight w:val="none"/>
        </w:rPr>
        <w:t>四、商务要求</w:t>
      </w:r>
    </w:p>
    <w:bookmarkEnd w:id="6"/>
    <w:p w14:paraId="577E987B">
      <w:pPr>
        <w:spacing w:line="360" w:lineRule="auto"/>
        <w:ind w:firstLine="422"/>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（一）报价要求：</w:t>
      </w:r>
    </w:p>
    <w:p w14:paraId="46E615C5">
      <w:pPr>
        <w:spacing w:line="360" w:lineRule="auto"/>
        <w:ind w:firstLine="422"/>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1.投标人须对采购内容</w:t>
      </w:r>
      <w:r>
        <w:rPr>
          <w:rFonts w:hint="eastAsia" w:hAnsi="宋体" w:eastAsia="宋体" w:cs="宋体"/>
          <w:color w:val="auto"/>
          <w:sz w:val="21"/>
          <w:szCs w:val="21"/>
          <w:highlight w:val="none"/>
          <w:lang w:val="en-US" w:eastAsia="zh-CN"/>
        </w:rPr>
        <w:t>的标的物</w:t>
      </w:r>
      <w:r>
        <w:rPr>
          <w:rFonts w:hint="eastAsia" w:ascii="宋体" w:hAnsi="宋体" w:eastAsia="宋体" w:cs="宋体"/>
          <w:color w:val="auto"/>
          <w:sz w:val="21"/>
          <w:szCs w:val="21"/>
          <w:highlight w:val="none"/>
        </w:rPr>
        <w:t>分别进行单价报价，单价报价不得高于单价上限价</w:t>
      </w:r>
      <w:r>
        <w:rPr>
          <w:rFonts w:hint="eastAsia" w:hAnsi="宋体" w:eastAsia="宋体" w:cs="宋体"/>
          <w:color w:val="auto"/>
          <w:sz w:val="21"/>
          <w:szCs w:val="21"/>
          <w:highlight w:val="none"/>
          <w:lang w:eastAsia="zh-CN"/>
        </w:rPr>
        <w:t>，</w:t>
      </w:r>
      <w:r>
        <w:rPr>
          <w:rFonts w:hint="eastAsia" w:hAnsi="宋体"/>
          <w:b/>
          <w:bCs/>
          <w:color w:val="auto"/>
          <w:sz w:val="21"/>
          <w:highlight w:val="none"/>
          <w:lang w:val="en-US" w:eastAsia="zh-CN"/>
        </w:rPr>
        <w:t>否则投标无效</w:t>
      </w:r>
      <w:r>
        <w:rPr>
          <w:rFonts w:hint="eastAsia" w:ascii="宋体" w:hAnsi="宋体" w:eastAsia="宋体" w:cs="宋体"/>
          <w:color w:val="auto"/>
          <w:sz w:val="21"/>
          <w:szCs w:val="21"/>
          <w:highlight w:val="none"/>
        </w:rPr>
        <w:t>。</w:t>
      </w:r>
    </w:p>
    <w:p w14:paraId="4EB1DB7D">
      <w:pPr>
        <w:spacing w:line="360" w:lineRule="auto"/>
        <w:ind w:firstLine="422"/>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2.最终结算金额=实际采购数量×中标单价。</w:t>
      </w:r>
    </w:p>
    <w:p w14:paraId="5AF713F0">
      <w:pPr>
        <w:spacing w:line="360" w:lineRule="auto"/>
        <w:ind w:firstLine="422"/>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3.投标报价是履行合同的最终价格，应包括但不限于货款、包装、上下车、利润、税金、运费等一切费用。</w:t>
      </w:r>
    </w:p>
    <w:p w14:paraId="01CE2BA3">
      <w:pPr>
        <w:spacing w:line="360" w:lineRule="auto"/>
        <w:ind w:firstLine="413" w:firstLineChars="196"/>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w:t>
      </w:r>
      <w:r>
        <w:rPr>
          <w:rFonts w:hint="eastAsia" w:hAnsi="宋体" w:eastAsia="宋体" w:cs="宋体"/>
          <w:b/>
          <w:color w:val="auto"/>
          <w:sz w:val="21"/>
          <w:szCs w:val="21"/>
          <w:highlight w:val="none"/>
          <w:lang w:val="en-US" w:eastAsia="zh-CN"/>
        </w:rPr>
        <w:t>供货</w:t>
      </w:r>
      <w:r>
        <w:rPr>
          <w:rFonts w:hint="eastAsia" w:ascii="宋体" w:hAnsi="宋体" w:eastAsia="宋体" w:cs="宋体"/>
          <w:b/>
          <w:color w:val="auto"/>
          <w:sz w:val="21"/>
          <w:szCs w:val="21"/>
          <w:highlight w:val="none"/>
        </w:rPr>
        <w:t>时间、地点</w:t>
      </w:r>
      <w:bookmarkEnd w:id="7"/>
      <w:bookmarkEnd w:id="8"/>
      <w:bookmarkEnd w:id="9"/>
      <w:bookmarkEnd w:id="10"/>
      <w:r>
        <w:rPr>
          <w:rFonts w:hint="eastAsia" w:hAnsi="宋体" w:eastAsia="宋体" w:cs="宋体"/>
          <w:b/>
          <w:color w:val="auto"/>
          <w:sz w:val="21"/>
          <w:szCs w:val="21"/>
          <w:highlight w:val="none"/>
          <w:lang w:val="en-US" w:eastAsia="zh-CN"/>
        </w:rPr>
        <w:t>及</w:t>
      </w:r>
      <w:r>
        <w:rPr>
          <w:rFonts w:hint="eastAsia" w:ascii="宋体" w:hAnsi="宋体" w:eastAsia="宋体" w:cs="宋体"/>
          <w:b/>
          <w:color w:val="auto"/>
          <w:sz w:val="21"/>
          <w:szCs w:val="21"/>
          <w:highlight w:val="none"/>
        </w:rPr>
        <w:t>期限</w:t>
      </w:r>
      <w:bookmarkEnd w:id="11"/>
      <w:r>
        <w:rPr>
          <w:rFonts w:hint="eastAsia" w:ascii="宋体" w:hAnsi="宋体" w:eastAsia="宋体" w:cs="宋体"/>
          <w:b/>
          <w:color w:val="auto"/>
          <w:sz w:val="21"/>
          <w:szCs w:val="21"/>
          <w:highlight w:val="none"/>
        </w:rPr>
        <w:t>：</w:t>
      </w:r>
    </w:p>
    <w:p w14:paraId="36E65A84">
      <w:pPr>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1.供货时间：接到采购人通知后按采购人指定的时间</w:t>
      </w:r>
      <w:r>
        <w:rPr>
          <w:rFonts w:hint="eastAsia" w:hAnsi="宋体" w:eastAsia="宋体" w:cs="宋体"/>
          <w:color w:val="auto"/>
          <w:sz w:val="21"/>
          <w:szCs w:val="21"/>
          <w:highlight w:val="none"/>
          <w:lang w:val="en-US" w:eastAsia="zh-CN"/>
        </w:rPr>
        <w:t>供货</w:t>
      </w:r>
      <w:r>
        <w:rPr>
          <w:rFonts w:hint="eastAsia" w:ascii="宋体" w:hAnsi="宋体" w:eastAsia="宋体" w:cs="宋体"/>
          <w:color w:val="auto"/>
          <w:sz w:val="21"/>
          <w:szCs w:val="21"/>
          <w:highlight w:val="none"/>
        </w:rPr>
        <w:t>。</w:t>
      </w:r>
    </w:p>
    <w:p w14:paraId="1793BB3A">
      <w:pPr>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2.供货地点：柳州市动物园采购人指定地点。</w:t>
      </w:r>
    </w:p>
    <w:p w14:paraId="11A54C04">
      <w:pPr>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3.供货期限：自签订合同生效之日起12个月。</w:t>
      </w:r>
      <w:bookmarkStart w:id="12" w:name="_Toc175644393"/>
      <w:bookmarkStart w:id="13" w:name="_Toc505672628"/>
      <w:bookmarkStart w:id="14" w:name="_Toc101951262"/>
      <w:bookmarkStart w:id="15" w:name="_Toc272497417"/>
    </w:p>
    <w:p w14:paraId="21199E1D">
      <w:pPr>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（三）合同签订期：</w:t>
      </w:r>
      <w:r>
        <w:rPr>
          <w:rFonts w:hint="eastAsia" w:ascii="宋体" w:hAnsi="宋体" w:eastAsia="宋体" w:cs="宋体"/>
          <w:color w:val="auto"/>
          <w:sz w:val="21"/>
          <w:szCs w:val="21"/>
          <w:highlight w:val="none"/>
        </w:rPr>
        <w:t>自中标通知书发出之日起25日内。</w:t>
      </w:r>
    </w:p>
    <w:p w14:paraId="0A89CE7B">
      <w:pPr>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（四）质量保证期：</w:t>
      </w:r>
      <w:r>
        <w:rPr>
          <w:rFonts w:hint="eastAsia" w:ascii="宋体" w:hAnsi="宋体" w:eastAsia="宋体" w:cs="宋体"/>
          <w:color w:val="auto"/>
          <w:sz w:val="21"/>
          <w:szCs w:val="21"/>
          <w:highlight w:val="none"/>
        </w:rPr>
        <w:t>自货物验收合格之日起，竹子</w:t>
      </w:r>
      <w:r>
        <w:rPr>
          <w:rFonts w:hint="eastAsia" w:ascii="宋体" w:hAnsi="宋体" w:eastAsia="宋体" w:cs="宋体"/>
          <w:color w:val="auto"/>
          <w:sz w:val="21"/>
          <w:szCs w:val="21"/>
          <w:highlight w:val="none"/>
          <w:lang w:val="en-US" w:eastAsia="zh-CN"/>
        </w:rPr>
        <w:t>/竹叶</w:t>
      </w:r>
      <w:r>
        <w:rPr>
          <w:rFonts w:hint="eastAsia" w:ascii="宋体" w:hAnsi="宋体" w:eastAsia="宋体" w:cs="宋体"/>
          <w:color w:val="auto"/>
          <w:sz w:val="21"/>
          <w:szCs w:val="21"/>
          <w:highlight w:val="none"/>
        </w:rPr>
        <w:t>、</w:t>
      </w:r>
      <w:r>
        <w:rPr>
          <w:rFonts w:hint="eastAsia" w:ascii="宋体" w:hAnsi="宋体" w:eastAsia="宋体" w:cs="宋体"/>
          <w:color w:val="auto"/>
          <w:kern w:val="0"/>
          <w:sz w:val="21"/>
          <w:szCs w:val="21"/>
          <w:highlight w:val="none"/>
        </w:rPr>
        <w:t>毛竹叶、</w:t>
      </w:r>
      <w:r>
        <w:rPr>
          <w:rFonts w:hint="eastAsia" w:ascii="宋体" w:hAnsi="宋体" w:eastAsia="宋体" w:cs="宋体"/>
          <w:color w:val="auto"/>
          <w:sz w:val="21"/>
          <w:szCs w:val="21"/>
          <w:highlight w:val="none"/>
        </w:rPr>
        <w:t>黄金间碧玉竹、春笋、冬笋不少于7日。</w:t>
      </w:r>
    </w:p>
    <w:bookmarkEnd w:id="12"/>
    <w:bookmarkEnd w:id="13"/>
    <w:bookmarkEnd w:id="14"/>
    <w:bookmarkEnd w:id="15"/>
    <w:p w14:paraId="2B9F04CF">
      <w:pPr>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（五）付款方式：</w:t>
      </w:r>
    </w:p>
    <w:p w14:paraId="4DDA43E2">
      <w:pPr>
        <w:autoSpaceDE w:val="0"/>
        <w:autoSpaceDN w:val="0"/>
        <w:adjustRightInd w:val="0"/>
        <w:spacing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合同款项按季度以人民币转账方式支付，中标供应商按采购人要求完成上季度供货后，于下一个季度第一个月凭国家正式的等额合法有效发票向采购人申请付款，采购人收到申请后按财政国库资金管理办法办理支付手续，实际支付时间以财政资金到帐为准。</w:t>
      </w:r>
    </w:p>
    <w:p w14:paraId="4D8739B4">
      <w:pPr>
        <w:autoSpaceDE w:val="0"/>
        <w:autoSpaceDN w:val="0"/>
        <w:adjustRightInd w:val="0"/>
        <w:spacing w:line="360" w:lineRule="auto"/>
        <w:ind w:firstLine="422" w:firstLineChars="200"/>
        <w:jc w:val="left"/>
        <w:rPr>
          <w:rFonts w:hint="eastAsia" w:ascii="宋体" w:hAnsi="宋体" w:eastAsia="宋体" w:cs="宋体"/>
          <w:b/>
          <w:color w:val="auto"/>
          <w:kern w:val="0"/>
          <w:sz w:val="21"/>
          <w:szCs w:val="21"/>
          <w:highlight w:val="none"/>
        </w:rPr>
      </w:pPr>
      <w:r>
        <w:rPr>
          <w:rFonts w:hint="eastAsia" w:hAnsi="宋体" w:eastAsia="宋体" w:cs="宋体"/>
          <w:b/>
          <w:color w:val="auto"/>
          <w:kern w:val="0"/>
          <w:sz w:val="21"/>
          <w:szCs w:val="21"/>
          <w:highlight w:val="none"/>
          <w:lang w:val="en-US" w:eastAsia="zh-CN"/>
        </w:rPr>
        <w:t>五</w:t>
      </w:r>
      <w:r>
        <w:rPr>
          <w:rFonts w:hint="eastAsia" w:ascii="宋体" w:hAnsi="宋体" w:eastAsia="宋体" w:cs="宋体"/>
          <w:b/>
          <w:color w:val="auto"/>
          <w:kern w:val="0"/>
          <w:sz w:val="21"/>
          <w:szCs w:val="21"/>
          <w:highlight w:val="none"/>
        </w:rPr>
        <w:t>、其他要求：</w:t>
      </w:r>
    </w:p>
    <w:p w14:paraId="7B451BCF">
      <w:pPr>
        <w:autoSpaceDE w:val="0"/>
        <w:autoSpaceDN w:val="0"/>
        <w:adjustRightInd w:val="0"/>
        <w:spacing w:line="360" w:lineRule="auto"/>
        <w:ind w:firstLine="422" w:firstLineChars="200"/>
        <w:jc w:val="left"/>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采购人有权委托第三方进行履约验收，履约验收费用由中标供应商支付。投标人在投标报价时自行考虑。</w:t>
      </w:r>
    </w:p>
    <w:p w14:paraId="6CFDBDA0">
      <w:pPr>
        <w:spacing w:line="360" w:lineRule="auto"/>
        <w:ind w:firstLine="422" w:firstLineChars="200"/>
      </w:pPr>
      <w:r>
        <w:rPr>
          <w:rFonts w:hint="eastAsia" w:hAnsi="宋体" w:eastAsia="宋体" w:cs="宋体"/>
          <w:b/>
          <w:color w:val="auto"/>
          <w:sz w:val="21"/>
          <w:szCs w:val="21"/>
          <w:highlight w:val="none"/>
          <w:lang w:val="en-US" w:eastAsia="zh-CN"/>
        </w:rPr>
        <w:t>六</w:t>
      </w:r>
      <w:r>
        <w:rPr>
          <w:rFonts w:hint="eastAsia" w:ascii="宋体" w:hAnsi="宋体" w:eastAsia="宋体" w:cs="宋体"/>
          <w:b/>
          <w:color w:val="auto"/>
          <w:sz w:val="21"/>
          <w:szCs w:val="21"/>
          <w:highlight w:val="none"/>
        </w:rPr>
        <w:t>、本项目所属行业：</w:t>
      </w:r>
      <w:r>
        <w:rPr>
          <w:rFonts w:hint="eastAsia" w:hAnsi="宋体"/>
          <w:b/>
          <w:color w:val="auto"/>
          <w:sz w:val="21"/>
          <w:highlight w:val="none"/>
        </w:rPr>
        <w:t>农、林、牧、渔业</w:t>
      </w:r>
      <w:bookmarkStart w:id="16" w:name="_GoBack"/>
      <w:bookmarkEnd w:id="16"/>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35438267"/>
      <w:docPartObj>
        <w:docPartGallery w:val="autotext"/>
      </w:docPartObj>
    </w:sdtPr>
    <w:sdtContent>
      <w:p w14:paraId="4CE8CD92">
        <w:pPr>
          <w:pStyle w:val="5"/>
          <w:jc w:val="center"/>
        </w:pPr>
        <w:r>
          <w:fldChar w:fldCharType="begin"/>
        </w:r>
        <w:r>
          <w:instrText xml:space="preserve">PAGE   \* MERGEFORMAT</w:instrText>
        </w:r>
        <w:r>
          <w:fldChar w:fldCharType="separate"/>
        </w:r>
        <w:r>
          <w:rPr>
            <w:lang w:val="zh-CN"/>
          </w:rPr>
          <w:t>3</w:t>
        </w:r>
        <w:r>
          <w:fldChar w:fldCharType="end"/>
        </w:r>
      </w:p>
    </w:sdtContent>
  </w:sdt>
  <w:p w14:paraId="787A2BCB">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UxMWQxOTY1ZmFjNzMxYjk5M2RkZmUwNjAzMWZlY2EifQ=="/>
  </w:docVars>
  <w:rsids>
    <w:rsidRoot w:val="006B6A89"/>
    <w:rsid w:val="000951D8"/>
    <w:rsid w:val="000B6540"/>
    <w:rsid w:val="000D349A"/>
    <w:rsid w:val="000E2FC0"/>
    <w:rsid w:val="0011358F"/>
    <w:rsid w:val="001437BD"/>
    <w:rsid w:val="001A5297"/>
    <w:rsid w:val="001B2247"/>
    <w:rsid w:val="002F6930"/>
    <w:rsid w:val="00374B63"/>
    <w:rsid w:val="003F71F2"/>
    <w:rsid w:val="00525317"/>
    <w:rsid w:val="005B479B"/>
    <w:rsid w:val="00617DFA"/>
    <w:rsid w:val="006B6A89"/>
    <w:rsid w:val="008A43F5"/>
    <w:rsid w:val="009B0DAA"/>
    <w:rsid w:val="00B12616"/>
    <w:rsid w:val="00C52D8A"/>
    <w:rsid w:val="00D47157"/>
    <w:rsid w:val="00E911D2"/>
    <w:rsid w:val="00F80A67"/>
    <w:rsid w:val="1EC2307F"/>
    <w:rsid w:val="4E9B32D3"/>
    <w:rsid w:val="50EE5AE8"/>
    <w:rsid w:val="7B2B6C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宋体" w:hAnsi="Times New Roman" w:eastAsia="宋体" w:cs="Times New Roman"/>
      <w:kern w:val="2"/>
      <w:sz w:val="24"/>
      <w:szCs w:val="21"/>
      <w:lang w:val="en-US" w:eastAsia="zh-CN" w:bidi="ar-SA"/>
    </w:rPr>
  </w:style>
  <w:style w:type="paragraph" w:styleId="2">
    <w:name w:val="heading 2"/>
    <w:basedOn w:val="1"/>
    <w:next w:val="1"/>
    <w:link w:val="11"/>
    <w:qFormat/>
    <w:uiPriority w:val="0"/>
    <w:pPr>
      <w:keepNext/>
      <w:keepLines/>
      <w:spacing w:before="260" w:after="260" w:line="415" w:lineRule="auto"/>
      <w:outlineLvl w:val="1"/>
    </w:pPr>
    <w:rPr>
      <w:rFonts w:ascii="Arial" w:hAnsi="Arial" w:eastAsia="黑体"/>
      <w:b/>
      <w:bCs/>
      <w:kern w:val="0"/>
      <w:sz w:val="32"/>
      <w:szCs w:val="32"/>
    </w:rPr>
  </w:style>
  <w:style w:type="paragraph" w:styleId="3">
    <w:name w:val="heading 3"/>
    <w:basedOn w:val="1"/>
    <w:next w:val="1"/>
    <w:qFormat/>
    <w:uiPriority w:val="0"/>
    <w:pPr>
      <w:keepNext/>
      <w:keepLines/>
      <w:widowControl w:val="0"/>
      <w:spacing w:before="260" w:after="260" w:line="415" w:lineRule="auto"/>
      <w:outlineLvl w:val="2"/>
    </w:pPr>
    <w:rPr>
      <w:b/>
      <w:bCs/>
      <w:kern w:val="0"/>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Plain Text"/>
    <w:basedOn w:val="1"/>
    <w:link w:val="13"/>
    <w:qFormat/>
    <w:uiPriority w:val="0"/>
    <w:rPr>
      <w:kern w:val="0"/>
      <w:sz w:val="20"/>
    </w:rPr>
  </w:style>
  <w:style w:type="paragraph" w:styleId="5">
    <w:name w:val="footer"/>
    <w:basedOn w:val="1"/>
    <w:link w:val="10"/>
    <w:unhideWhenUsed/>
    <w:uiPriority w:val="99"/>
    <w:pPr>
      <w:tabs>
        <w:tab w:val="center" w:pos="4153"/>
        <w:tab w:val="right" w:pos="8306"/>
      </w:tabs>
      <w:snapToGrid w:val="0"/>
    </w:pPr>
    <w:rPr>
      <w:sz w:val="18"/>
      <w:szCs w:val="18"/>
    </w:rPr>
  </w:style>
  <w:style w:type="paragraph" w:styleId="6">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9">
    <w:name w:val="页眉 Char"/>
    <w:basedOn w:val="8"/>
    <w:link w:val="6"/>
    <w:qFormat/>
    <w:uiPriority w:val="99"/>
    <w:rPr>
      <w:sz w:val="18"/>
      <w:szCs w:val="18"/>
    </w:rPr>
  </w:style>
  <w:style w:type="character" w:customStyle="1" w:styleId="10">
    <w:name w:val="页脚 Char"/>
    <w:basedOn w:val="8"/>
    <w:link w:val="5"/>
    <w:qFormat/>
    <w:uiPriority w:val="99"/>
    <w:rPr>
      <w:sz w:val="18"/>
      <w:szCs w:val="18"/>
    </w:rPr>
  </w:style>
  <w:style w:type="character" w:customStyle="1" w:styleId="11">
    <w:name w:val="标题 2 Char"/>
    <w:basedOn w:val="8"/>
    <w:link w:val="2"/>
    <w:qFormat/>
    <w:uiPriority w:val="0"/>
    <w:rPr>
      <w:rFonts w:ascii="Arial" w:hAnsi="Arial" w:eastAsia="黑体" w:cs="Times New Roman"/>
      <w:b/>
      <w:bCs/>
      <w:kern w:val="0"/>
      <w:sz w:val="32"/>
      <w:szCs w:val="32"/>
    </w:rPr>
  </w:style>
  <w:style w:type="character" w:customStyle="1" w:styleId="12">
    <w:name w:val="纯文本 Char"/>
    <w:basedOn w:val="8"/>
    <w:semiHidden/>
    <w:qFormat/>
    <w:uiPriority w:val="99"/>
    <w:rPr>
      <w:rFonts w:ascii="宋体" w:hAnsi="Courier New" w:eastAsia="宋体" w:cs="Courier New"/>
      <w:szCs w:val="21"/>
    </w:rPr>
  </w:style>
  <w:style w:type="character" w:customStyle="1" w:styleId="13">
    <w:name w:val="纯文本 Char1"/>
    <w:link w:val="4"/>
    <w:qFormat/>
    <w:uiPriority w:val="99"/>
    <w:rPr>
      <w:rFonts w:ascii="宋体" w:hAnsi="Times New Roman" w:eastAsia="宋体" w:cs="Times New Roman"/>
      <w:kern w:val="0"/>
      <w:sz w:val="20"/>
      <w:szCs w:val="21"/>
    </w:rPr>
  </w:style>
  <w:style w:type="paragraph" w:customStyle="1" w:styleId="1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15">
    <w:name w:val="纯文本 Char3"/>
    <w:qFormat/>
    <w:uiPriority w:val="0"/>
    <w:rPr>
      <w:rFonts w:ascii="宋体"/>
      <w:szCs w:val="21"/>
    </w:rPr>
  </w:style>
  <w:style w:type="character" w:customStyle="1" w:styleId="16">
    <w:name w:val="font41"/>
    <w:qFormat/>
    <w:uiPriority w:val="0"/>
    <w:rPr>
      <w:rFonts w:hint="eastAsia" w:ascii="宋体" w:hAnsi="宋体" w:eastAsia="宋体" w:cs="宋体"/>
      <w:color w:val="000000"/>
      <w:sz w:val="20"/>
      <w:szCs w:val="20"/>
      <w:u w:val="none"/>
    </w:rPr>
  </w:style>
  <w:style w:type="character" w:customStyle="1" w:styleId="17">
    <w:name w:val="font81"/>
    <w:basedOn w:val="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SysCeo</Company>
  <Pages>5</Pages>
  <Words>1275</Words>
  <Characters>1349</Characters>
  <Lines>24</Lines>
  <Paragraphs>6</Paragraphs>
  <TotalTime>0</TotalTime>
  <ScaleCrop>false</ScaleCrop>
  <LinksUpToDate>false</LinksUpToDate>
  <CharactersWithSpaces>1353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2022-07-21T00:29:00Z</dcterms:created>
  <dc:creator>admin</dc:creator>
  <cp:lastModifiedBy>晶大晶</cp:lastModifiedBy>
  <dcterms:modified xsi:type="dcterms:W3CDTF">2026-09-29T05:30:37Z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EA11C198D4874870A38AE09CA2E4533E_12</vt:lpwstr>
  </property>
  <property fmtid="{D5CDD505-2E9C-101B-9397-08002B2CF9AE}" pid="4" name="KSOTemplateDocerSaveRecord">
    <vt:lpwstr>eyJoZGlkIjoiOTUxMWQxOTY1ZmFjNzMxYjk5M2RkZmUwNjAzMWZlY2EiLCJ1c2VySWQiOiIyMDQxNjcyMyJ9</vt:lpwstr>
  </property>
</Properties>
</file>