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FA433">
      <w:pPr>
        <w:pBdr>
          <w:bottom w:val="thickThinSmallGap" w:color="auto" w:sz="24" w:space="1"/>
        </w:pBdr>
        <w:snapToGrid w:val="0"/>
        <w:spacing w:before="120" w:beforeLines="50"/>
        <w:jc w:val="center"/>
        <w:rPr>
          <w:rFonts w:hint="eastAsia" w:asciiTheme="minorEastAsia" w:hAnsiTheme="minorEastAsia" w:eastAsiaTheme="minorEastAsia" w:cstheme="minorEastAsia"/>
          <w:b/>
          <w:color w:val="auto"/>
          <w:sz w:val="44"/>
          <w:szCs w:val="44"/>
          <w:lang w:eastAsia="zh-CN"/>
        </w:rPr>
      </w:pPr>
    </w:p>
    <w:p w14:paraId="2FD3C991">
      <w:pPr>
        <w:pBdr>
          <w:bottom w:val="thickThinSmallGap" w:color="auto" w:sz="24" w:space="1"/>
        </w:pBdr>
        <w:snapToGrid w:val="0"/>
        <w:spacing w:before="120" w:beforeLines="50"/>
        <w:jc w:val="center"/>
        <w:rPr>
          <w:rFonts w:hint="eastAsia" w:asciiTheme="minorEastAsia" w:hAnsiTheme="minorEastAsia" w:eastAsiaTheme="minorEastAsia" w:cstheme="minorEastAsia"/>
          <w:b/>
          <w:color w:val="auto"/>
          <w:sz w:val="44"/>
          <w:szCs w:val="44"/>
          <w:lang w:eastAsia="zh-CN"/>
        </w:rPr>
      </w:pPr>
    </w:p>
    <w:p w14:paraId="65B62434">
      <w:pPr>
        <w:pBdr>
          <w:bottom w:val="thickThinSmallGap" w:color="auto" w:sz="24" w:space="1"/>
        </w:pBdr>
        <w:snapToGrid w:val="0"/>
        <w:spacing w:before="120" w:beforeLines="50"/>
        <w:jc w:val="center"/>
        <w:rPr>
          <w:rFonts w:hint="eastAsia" w:asciiTheme="minorEastAsia" w:hAnsiTheme="minorEastAsia" w:eastAsiaTheme="minorEastAsia" w:cstheme="minorEastAsia"/>
          <w:b/>
          <w:color w:val="auto"/>
          <w:sz w:val="44"/>
          <w:szCs w:val="44"/>
          <w:lang w:eastAsia="zh-CN"/>
        </w:rPr>
      </w:pPr>
      <w:r>
        <w:rPr>
          <w:rFonts w:hint="eastAsia" w:asciiTheme="minorEastAsia" w:hAnsiTheme="minorEastAsia" w:eastAsiaTheme="minorEastAsia" w:cstheme="minorEastAsia"/>
          <w:b/>
          <w:color w:val="auto"/>
          <w:sz w:val="44"/>
          <w:szCs w:val="44"/>
          <w:lang w:eastAsia="zh-CN"/>
        </w:rPr>
        <w:t>融水苗族自治县人民医院麻醉机采购项目</w:t>
      </w:r>
    </w:p>
    <w:p w14:paraId="496A9B96">
      <w:pPr>
        <w:spacing w:before="240" w:beforeLines="100" w:after="120" w:afterLines="50" w:line="360" w:lineRule="auto"/>
        <w:jc w:val="center"/>
        <w:rPr>
          <w:rFonts w:hint="eastAsia" w:asciiTheme="minorEastAsia" w:hAnsiTheme="minorEastAsia" w:eastAsiaTheme="minorEastAsia" w:cstheme="minorEastAsia"/>
          <w:b/>
          <w:color w:val="auto"/>
          <w:sz w:val="44"/>
          <w:szCs w:val="44"/>
        </w:rPr>
      </w:pPr>
    </w:p>
    <w:p w14:paraId="694D6FF7">
      <w:pPr>
        <w:pStyle w:val="6"/>
        <w:rPr>
          <w:rFonts w:hint="eastAsia" w:asciiTheme="minorEastAsia" w:hAnsiTheme="minorEastAsia" w:eastAsiaTheme="minorEastAsia" w:cstheme="minorEastAsia"/>
          <w:color w:val="auto"/>
        </w:rPr>
      </w:pPr>
    </w:p>
    <w:p w14:paraId="2CD06DAC">
      <w:pPr>
        <w:spacing w:line="360" w:lineRule="auto"/>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color w:val="auto"/>
          <w:sz w:val="72"/>
          <w:szCs w:val="72"/>
        </w:rPr>
        <w:pict>
          <v:shape id="_x0000_s1026" o:spid="_x0000_s1026" o:spt="136" type="#_x0000_t136" style="position:absolute;left:0pt;margin-left:40.5pt;margin-top:2pt;height:73.1pt;width:329pt;z-index:251667456;mso-width-relative:page;mso-height-relative:page;" fillcolor="#000000" filled="t" stroked="t" coordsize="21600,21600" adj="10800">
            <v:path/>
            <v:fill on="t" color2="#FFFFFF" focussize="0,0"/>
            <v:stroke color="#000000"/>
            <v:imagedata o:title=""/>
            <o:lock v:ext="edit" aspectratio="f"/>
            <v:textpath on="t" fitshape="t" fitpath="t" trim="t" xscale="f" string="竞争性谈判文件" style="font-family:华文新魏;font-size:66pt;v-text-align:center;"/>
            <o:extrusion color="#FFFFFF" colormode="custom" on="t" type="perspective" viewpointorigin="0,0"/>
          </v:shape>
        </w:pict>
      </w:r>
    </w:p>
    <w:p w14:paraId="1C3B9ED3">
      <w:pPr>
        <w:spacing w:line="360" w:lineRule="auto"/>
        <w:rPr>
          <w:rFonts w:hint="eastAsia" w:asciiTheme="minorEastAsia" w:hAnsiTheme="minorEastAsia" w:eastAsiaTheme="minorEastAsia" w:cstheme="minorEastAsia"/>
          <w:b/>
          <w:color w:val="auto"/>
          <w:sz w:val="32"/>
          <w:szCs w:val="32"/>
        </w:rPr>
      </w:pPr>
    </w:p>
    <w:p w14:paraId="776DFC43">
      <w:pPr>
        <w:spacing w:line="360" w:lineRule="auto"/>
        <w:jc w:val="center"/>
        <w:rPr>
          <w:rFonts w:hint="eastAsia" w:asciiTheme="minorEastAsia" w:hAnsiTheme="minorEastAsia" w:eastAsiaTheme="minorEastAsia" w:cstheme="minorEastAsia"/>
          <w:b/>
          <w:color w:val="auto"/>
          <w:sz w:val="32"/>
          <w:szCs w:val="32"/>
        </w:rPr>
      </w:pPr>
    </w:p>
    <w:p w14:paraId="08DE3EFF">
      <w:pPr>
        <w:spacing w:line="360" w:lineRule="auto"/>
        <w:jc w:val="center"/>
        <w:rPr>
          <w:rFonts w:hint="eastAsia" w:asciiTheme="minorEastAsia" w:hAnsiTheme="minorEastAsia" w:eastAsiaTheme="minorEastAsia" w:cstheme="minorEastAsia"/>
          <w:b/>
          <w:color w:val="auto"/>
          <w:sz w:val="32"/>
          <w:szCs w:val="32"/>
        </w:rPr>
      </w:pPr>
    </w:p>
    <w:p w14:paraId="010EA549">
      <w:pPr>
        <w:spacing w:line="360" w:lineRule="auto"/>
        <w:jc w:val="center"/>
        <w:rPr>
          <w:rFonts w:hint="eastAsia" w:asciiTheme="minorEastAsia" w:hAnsiTheme="minorEastAsia" w:eastAsiaTheme="minorEastAsia" w:cstheme="minorEastAsia"/>
          <w:b/>
          <w:color w:val="auto"/>
          <w:sz w:val="32"/>
          <w:szCs w:val="32"/>
        </w:rPr>
      </w:pPr>
    </w:p>
    <w:p w14:paraId="079922E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（全流程电子化评标）</w:t>
      </w:r>
    </w:p>
    <w:p w14:paraId="29754E7A">
      <w:pPr>
        <w:spacing w:line="360" w:lineRule="auto"/>
        <w:ind w:firstLine="964" w:firstLineChars="300"/>
        <w:jc w:val="both"/>
        <w:rPr>
          <w:rFonts w:hint="eastAsia" w:asciiTheme="minorEastAsia" w:hAnsiTheme="minorEastAsia" w:eastAsiaTheme="minorEastAsia" w:cstheme="minorEastAsia"/>
          <w:b/>
          <w:color w:val="auto"/>
          <w:sz w:val="32"/>
          <w:szCs w:val="32"/>
          <w:lang w:eastAsia="zh-CN"/>
        </w:rPr>
      </w:pPr>
    </w:p>
    <w:p w14:paraId="24B846C4">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b/>
          <w:color w:val="auto"/>
          <w:sz w:val="32"/>
          <w:szCs w:val="32"/>
          <w:lang w:eastAsia="zh-CN"/>
        </w:rPr>
      </w:pPr>
      <w:r>
        <w:rPr>
          <w:rFonts w:hint="eastAsia" w:asciiTheme="minorEastAsia" w:hAnsiTheme="minorEastAsia" w:eastAsiaTheme="minorEastAsia" w:cstheme="minorEastAsia"/>
          <w:b/>
          <w:color w:val="auto"/>
          <w:sz w:val="32"/>
          <w:szCs w:val="32"/>
          <w:lang w:eastAsia="zh-CN"/>
        </w:rPr>
        <w:t>项目名称：融水苗族自治县人民医院麻醉机采购项目（重）</w:t>
      </w:r>
    </w:p>
    <w:p w14:paraId="370192AC">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b/>
          <w:color w:val="auto"/>
          <w:sz w:val="32"/>
          <w:szCs w:val="32"/>
          <w:lang w:eastAsia="zh-CN"/>
        </w:rPr>
      </w:pPr>
      <w:r>
        <w:rPr>
          <w:rFonts w:hint="eastAsia" w:asciiTheme="minorEastAsia" w:hAnsiTheme="minorEastAsia" w:eastAsiaTheme="minorEastAsia" w:cstheme="minorEastAsia"/>
          <w:b/>
          <w:color w:val="auto"/>
          <w:sz w:val="32"/>
          <w:szCs w:val="32"/>
          <w:lang w:eastAsia="zh-CN"/>
        </w:rPr>
        <w:t>项目编号：LZZC2026-J1-250056-GXDR</w:t>
      </w:r>
    </w:p>
    <w:p w14:paraId="0775D222">
      <w:pPr>
        <w:pBdr>
          <w:bottom w:val="thickThinSmallGap" w:color="auto" w:sz="24" w:space="1"/>
        </w:pBdr>
        <w:snapToGrid w:val="0"/>
        <w:spacing w:before="120" w:beforeLines="50" w:line="600" w:lineRule="exact"/>
        <w:rPr>
          <w:rFonts w:hint="eastAsia" w:asciiTheme="minorEastAsia" w:hAnsiTheme="minorEastAsia" w:eastAsiaTheme="minorEastAsia" w:cstheme="minorEastAsia"/>
          <w:b/>
          <w:color w:val="auto"/>
          <w:sz w:val="36"/>
          <w:szCs w:val="36"/>
        </w:rPr>
      </w:pPr>
    </w:p>
    <w:p w14:paraId="1B2FFA71">
      <w:pPr>
        <w:spacing w:line="360" w:lineRule="auto"/>
        <w:ind w:firstLine="964" w:firstLineChars="300"/>
        <w:rPr>
          <w:rFonts w:hint="eastAsia" w:asciiTheme="minorEastAsia" w:hAnsiTheme="minorEastAsia" w:eastAsiaTheme="minorEastAsia" w:cstheme="minorEastAsia"/>
          <w:b/>
          <w:color w:val="auto"/>
          <w:sz w:val="32"/>
          <w:szCs w:val="32"/>
        </w:rPr>
      </w:pPr>
    </w:p>
    <w:p w14:paraId="5CB93226">
      <w:pPr>
        <w:bidi w:val="0"/>
        <w:spacing w:line="360" w:lineRule="auto"/>
        <w:ind w:firstLine="964" w:firstLineChars="300"/>
        <w:rPr>
          <w:rFonts w:hint="eastAsia" w:asciiTheme="minorEastAsia" w:hAnsiTheme="minorEastAsia" w:eastAsiaTheme="minorEastAsia" w:cstheme="minorEastAsia"/>
          <w:b/>
          <w:bCs/>
          <w:color w:val="auto"/>
          <w:sz w:val="32"/>
          <w:szCs w:val="32"/>
          <w:lang w:eastAsia="zh-CN"/>
        </w:rPr>
      </w:pPr>
      <w:bookmarkStart w:id="0" w:name="_Toc3407"/>
      <w:bookmarkStart w:id="1" w:name="_Toc12381"/>
      <w:bookmarkStart w:id="2" w:name="_Toc29801"/>
      <w:r>
        <w:rPr>
          <w:rFonts w:hint="eastAsia" w:asciiTheme="minorEastAsia" w:hAnsiTheme="minorEastAsia" w:eastAsiaTheme="minorEastAsia" w:cstheme="minorEastAsia"/>
          <w:b/>
          <w:bCs/>
          <w:color w:val="auto"/>
          <w:sz w:val="32"/>
          <w:szCs w:val="32"/>
        </w:rPr>
        <w:t>采 购 人：</w:t>
      </w:r>
      <w:bookmarkEnd w:id="0"/>
      <w:bookmarkEnd w:id="1"/>
      <w:bookmarkEnd w:id="2"/>
      <w:r>
        <w:rPr>
          <w:rFonts w:hint="eastAsia" w:asciiTheme="minorEastAsia" w:hAnsiTheme="minorEastAsia" w:eastAsiaTheme="minorEastAsia" w:cstheme="minorEastAsia"/>
          <w:b/>
          <w:bCs/>
          <w:color w:val="auto"/>
          <w:sz w:val="32"/>
          <w:szCs w:val="32"/>
        </w:rPr>
        <w:t>融水苗族自治县人民医院</w:t>
      </w:r>
    </w:p>
    <w:p w14:paraId="0A1D54AB">
      <w:pPr>
        <w:spacing w:line="360" w:lineRule="auto"/>
        <w:ind w:firstLine="964" w:firstLineChars="300"/>
        <w:rPr>
          <w:rFonts w:hint="eastAsia" w:asciiTheme="minorEastAsia" w:hAnsiTheme="minorEastAsia" w:eastAsiaTheme="minorEastAsia" w:cstheme="minorEastAsia"/>
          <w:b/>
          <w:bCs/>
          <w:color w:val="auto"/>
          <w:sz w:val="32"/>
          <w:szCs w:val="32"/>
          <w:lang w:eastAsia="zh-CN"/>
        </w:rPr>
      </w:pPr>
      <w:r>
        <w:rPr>
          <w:rFonts w:hint="eastAsia" w:asciiTheme="minorEastAsia" w:hAnsiTheme="minorEastAsia" w:eastAsiaTheme="minorEastAsia" w:cstheme="minorEastAsia"/>
          <w:b/>
          <w:bCs/>
          <w:color w:val="auto"/>
          <w:sz w:val="32"/>
          <w:szCs w:val="32"/>
        </w:rPr>
        <w:t>采购代理机构：</w:t>
      </w:r>
      <w:r>
        <w:rPr>
          <w:rFonts w:hint="eastAsia" w:asciiTheme="minorEastAsia" w:hAnsiTheme="minorEastAsia" w:eastAsiaTheme="minorEastAsia" w:cstheme="minorEastAsia"/>
          <w:b/>
          <w:bCs/>
          <w:color w:val="auto"/>
          <w:sz w:val="32"/>
          <w:szCs w:val="32"/>
          <w:lang w:eastAsia="zh-CN"/>
        </w:rPr>
        <w:t>广西德润天怡咨询有限公司</w:t>
      </w:r>
    </w:p>
    <w:p w14:paraId="1564BF21">
      <w:pPr>
        <w:spacing w:line="360" w:lineRule="auto"/>
        <w:jc w:val="center"/>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202</w:t>
      </w:r>
      <w:r>
        <w:rPr>
          <w:rFonts w:hint="eastAsia" w:asciiTheme="minorEastAsia" w:hAnsiTheme="minorEastAsia" w:eastAsiaTheme="minorEastAsia" w:cstheme="minorEastAsia"/>
          <w:b/>
          <w:color w:val="auto"/>
          <w:sz w:val="32"/>
          <w:szCs w:val="32"/>
          <w:lang w:val="en-US" w:eastAsia="zh-CN"/>
        </w:rPr>
        <w:t>6</w:t>
      </w:r>
      <w:r>
        <w:rPr>
          <w:rFonts w:hint="eastAsia" w:asciiTheme="minorEastAsia" w:hAnsiTheme="minorEastAsia" w:eastAsiaTheme="minorEastAsia" w:cstheme="minorEastAsia"/>
          <w:b/>
          <w:color w:val="auto"/>
          <w:sz w:val="32"/>
          <w:szCs w:val="32"/>
        </w:rPr>
        <w:t>年</w:t>
      </w:r>
      <w:r>
        <w:rPr>
          <w:rFonts w:hint="eastAsia" w:asciiTheme="minorEastAsia" w:hAnsiTheme="minorEastAsia" w:eastAsiaTheme="minorEastAsia" w:cstheme="minorEastAsia"/>
          <w:b/>
          <w:color w:val="auto"/>
          <w:sz w:val="32"/>
          <w:szCs w:val="32"/>
          <w:lang w:val="en-US" w:eastAsia="zh-CN"/>
        </w:rPr>
        <w:t>9</w:t>
      </w:r>
      <w:r>
        <w:rPr>
          <w:rFonts w:hint="eastAsia" w:asciiTheme="minorEastAsia" w:hAnsiTheme="minorEastAsia" w:eastAsiaTheme="minorEastAsia" w:cstheme="minorEastAsia"/>
          <w:b/>
          <w:color w:val="auto"/>
          <w:sz w:val="32"/>
          <w:szCs w:val="32"/>
        </w:rPr>
        <w:t>月</w:t>
      </w:r>
    </w:p>
    <w:p w14:paraId="58D83CA4">
      <w:pPr>
        <w:pStyle w:val="13"/>
        <w:spacing w:before="120" w:after="120" w:line="360" w:lineRule="auto"/>
        <w:rPr>
          <w:rFonts w:hint="eastAsia" w:asciiTheme="minorEastAsia" w:hAnsiTheme="minorEastAsia" w:eastAsiaTheme="minorEastAsia" w:cstheme="minorEastAsia"/>
          <w:color w:val="auto"/>
        </w:rPr>
      </w:pPr>
    </w:p>
    <w:p w14:paraId="411063D8">
      <w:pPr>
        <w:pStyle w:val="9"/>
        <w:kinsoku w:val="0"/>
        <w:overflowPunct w:val="0"/>
        <w:rPr>
          <w:rFonts w:hint="eastAsia" w:asciiTheme="minorEastAsia" w:hAnsiTheme="minorEastAsia" w:eastAsiaTheme="minorEastAsia" w:cstheme="minorEastAsia"/>
          <w:color w:val="auto"/>
          <w:sz w:val="40"/>
        </w:rPr>
        <w:sectPr>
          <w:footerReference r:id="rId5" w:type="first"/>
          <w:headerReference r:id="rId3" w:type="default"/>
          <w:footerReference r:id="rId4" w:type="even"/>
          <w:pgSz w:w="11906" w:h="16838"/>
          <w:pgMar w:top="1440" w:right="1800" w:bottom="1440" w:left="1800" w:header="851" w:footer="992" w:gutter="0"/>
          <w:cols w:space="720" w:num="1"/>
          <w:titlePg/>
          <w:docGrid w:linePitch="312" w:charSpace="0"/>
        </w:sectPr>
      </w:pPr>
    </w:p>
    <w:p w14:paraId="14081DCF">
      <w:pPr>
        <w:spacing w:line="360" w:lineRule="auto"/>
        <w:jc w:val="center"/>
        <w:rPr>
          <w:rFonts w:hint="eastAsia" w:asciiTheme="minorEastAsia" w:hAnsiTheme="minorEastAsia" w:eastAsiaTheme="minorEastAsia" w:cstheme="minorEastAsia"/>
          <w:b/>
          <w:color w:val="auto"/>
          <w:sz w:val="52"/>
          <w:szCs w:val="52"/>
        </w:rPr>
      </w:pPr>
      <w:r>
        <w:rPr>
          <w:rFonts w:hint="eastAsia" w:asciiTheme="minorEastAsia" w:hAnsiTheme="minorEastAsia" w:eastAsiaTheme="minorEastAsia" w:cstheme="minorEastAsia"/>
          <w:b/>
          <w:color w:val="auto"/>
          <w:sz w:val="52"/>
          <w:szCs w:val="52"/>
        </w:rPr>
        <w:t>目录</w:t>
      </w:r>
    </w:p>
    <w:p w14:paraId="149BE565">
      <w:pPr>
        <w:pStyle w:val="16"/>
        <w:tabs>
          <w:tab w:val="right" w:leader="dot" w:pos="9333"/>
        </w:tabs>
        <w:rPr>
          <w:rFonts w:hint="eastAsia" w:asciiTheme="minorEastAsia" w:hAnsiTheme="minorEastAsia" w:eastAsiaTheme="minorEastAsia" w:cstheme="minorEastAsia"/>
          <w:b w:val="0"/>
          <w:bCs w:val="0"/>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TOC \o "1-1" \h \z \u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_Toc18045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 xml:space="preserve">第一章 </w:t>
      </w:r>
      <w:r>
        <w:rPr>
          <w:rFonts w:hint="eastAsia" w:asciiTheme="minorEastAsia" w:hAnsiTheme="minorEastAsia" w:eastAsiaTheme="minorEastAsia" w:cstheme="minorEastAsia"/>
          <w:b w:val="0"/>
          <w:bCs w:val="0"/>
          <w:color w:val="auto"/>
          <w:sz w:val="30"/>
          <w:szCs w:val="30"/>
          <w:lang w:val="en-US" w:eastAsia="zh-CN"/>
        </w:rPr>
        <w:t xml:space="preserve"> </w:t>
      </w:r>
      <w:r>
        <w:rPr>
          <w:rFonts w:hint="eastAsia" w:asciiTheme="minorEastAsia" w:hAnsiTheme="minorEastAsia" w:eastAsiaTheme="minorEastAsia" w:cstheme="minorEastAsia"/>
          <w:b w:val="0"/>
          <w:bCs w:val="0"/>
          <w:color w:val="auto"/>
          <w:sz w:val="30"/>
          <w:szCs w:val="30"/>
        </w:rPr>
        <w:t>竞争性谈判公告</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_Toc18045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1</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2B09A11F">
      <w:pPr>
        <w:pStyle w:val="16"/>
        <w:tabs>
          <w:tab w:val="right" w:leader="dot" w:pos="9333"/>
        </w:tabs>
        <w:rPr>
          <w:rFonts w:hint="eastAsia" w:asciiTheme="minorEastAsia" w:hAnsiTheme="minorEastAsia" w:eastAsiaTheme="minorEastAsia" w:cstheme="minorEastAsia"/>
          <w:b w:val="0"/>
          <w:bCs w:val="0"/>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_Toc11037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第二章  供应商须知</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_Toc11037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5</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3B48A182">
      <w:pPr>
        <w:pStyle w:val="16"/>
        <w:tabs>
          <w:tab w:val="right" w:leader="dot" w:pos="9333"/>
        </w:tabs>
        <w:rPr>
          <w:rFonts w:hint="eastAsia" w:asciiTheme="minorEastAsia" w:hAnsiTheme="minorEastAsia" w:eastAsiaTheme="minorEastAsia" w:cstheme="minorEastAsia"/>
          <w:b w:val="0"/>
          <w:bCs w:val="0"/>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_Toc969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第三章  采购需求</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_Toc969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21</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078A49F1">
      <w:pPr>
        <w:pStyle w:val="16"/>
        <w:tabs>
          <w:tab w:val="right" w:leader="dot" w:pos="9333"/>
        </w:tabs>
        <w:rPr>
          <w:rFonts w:hint="eastAsia" w:asciiTheme="minorEastAsia" w:hAnsiTheme="minorEastAsia" w:eastAsiaTheme="minorEastAsia" w:cstheme="minorEastAsia"/>
          <w:b w:val="0"/>
          <w:bCs w:val="0"/>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_Toc2320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第四章  响应文件格式</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_Toc2320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27</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569A36B1">
      <w:pPr>
        <w:pStyle w:val="16"/>
        <w:tabs>
          <w:tab w:val="right" w:leader="dot" w:pos="9333"/>
        </w:tabs>
        <w:rPr>
          <w:rFonts w:hint="eastAsia" w:asciiTheme="minorEastAsia" w:hAnsiTheme="minorEastAsia" w:eastAsiaTheme="minorEastAsia" w:cstheme="minorEastAsia"/>
          <w:b w:val="0"/>
          <w:bCs w:val="0"/>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_Toc5293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第五章  合同主要条款</w:t>
      </w:r>
      <w:r>
        <w:rPr>
          <w:rFonts w:hint="eastAsia" w:asciiTheme="minorEastAsia" w:hAnsiTheme="minorEastAsia" w:eastAsiaTheme="minorEastAsia" w:cstheme="minorEastAsia"/>
          <w:b w:val="0"/>
          <w:bCs w:val="0"/>
          <w:color w:val="auto"/>
          <w:sz w:val="30"/>
          <w:szCs w:val="30"/>
          <w:lang w:eastAsia="zh-CN"/>
        </w:rPr>
        <w:t>及验收书格式</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_Toc5293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53</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268AF163">
      <w:pPr>
        <w:pStyle w:val="16"/>
        <w:tabs>
          <w:tab w:val="right" w:leader="dot" w:pos="9333"/>
        </w:tabs>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_Toc4934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第六章  评审</w:t>
      </w:r>
      <w:r>
        <w:rPr>
          <w:rFonts w:hint="eastAsia" w:asciiTheme="minorEastAsia" w:hAnsiTheme="minorEastAsia" w:eastAsiaTheme="minorEastAsia" w:cstheme="minorEastAsia"/>
          <w:b w:val="0"/>
          <w:bCs w:val="0"/>
          <w:color w:val="auto"/>
          <w:sz w:val="30"/>
          <w:szCs w:val="30"/>
          <w:lang w:eastAsia="zh-CN"/>
        </w:rPr>
        <w:t>方</w:t>
      </w:r>
      <w:r>
        <w:rPr>
          <w:rFonts w:hint="eastAsia" w:asciiTheme="minorEastAsia" w:hAnsiTheme="minorEastAsia" w:eastAsiaTheme="minorEastAsia" w:cstheme="minorEastAsia"/>
          <w:b w:val="0"/>
          <w:bCs w:val="0"/>
          <w:color w:val="auto"/>
          <w:sz w:val="30"/>
          <w:szCs w:val="30"/>
        </w:rPr>
        <w:t>法及评</w:t>
      </w:r>
      <w:r>
        <w:rPr>
          <w:rFonts w:hint="eastAsia" w:asciiTheme="minorEastAsia" w:hAnsiTheme="minorEastAsia" w:eastAsiaTheme="minorEastAsia" w:cstheme="minorEastAsia"/>
          <w:b w:val="0"/>
          <w:bCs w:val="0"/>
          <w:color w:val="auto"/>
          <w:sz w:val="30"/>
          <w:szCs w:val="30"/>
          <w:lang w:eastAsia="zh-CN"/>
        </w:rPr>
        <w:t>审</w:t>
      </w:r>
      <w:r>
        <w:rPr>
          <w:rFonts w:hint="eastAsia" w:asciiTheme="minorEastAsia" w:hAnsiTheme="minorEastAsia" w:eastAsiaTheme="minorEastAsia" w:cstheme="minorEastAsia"/>
          <w:b w:val="0"/>
          <w:bCs w:val="0"/>
          <w:color w:val="auto"/>
          <w:sz w:val="30"/>
          <w:szCs w:val="30"/>
        </w:rPr>
        <w:t>标准</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_Toc4934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63</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312884D5">
      <w:pPr>
        <w:pStyle w:val="24"/>
        <w:tabs>
          <w:tab w:val="right" w:leader="dot" w:pos="9016"/>
        </w:tabs>
        <w:spacing w:line="600" w:lineRule="auto"/>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b w:val="0"/>
          <w:bCs w:val="0"/>
          <w:color w:val="auto"/>
          <w:sz w:val="30"/>
          <w:szCs w:val="30"/>
        </w:rPr>
        <w:fldChar w:fldCharType="end"/>
      </w:r>
    </w:p>
    <w:p w14:paraId="45152434">
      <w:pPr>
        <w:pStyle w:val="2"/>
        <w:jc w:val="center"/>
        <w:rPr>
          <w:rFonts w:hint="eastAsia" w:asciiTheme="minorEastAsia" w:hAnsiTheme="minorEastAsia" w:eastAsiaTheme="minorEastAsia" w:cstheme="minorEastAsia"/>
          <w:color w:val="auto"/>
          <w:sz w:val="30"/>
          <w:szCs w:val="30"/>
        </w:rPr>
        <w:sectPr>
          <w:headerReference r:id="rId6" w:type="default"/>
          <w:pgSz w:w="11906" w:h="16838"/>
          <w:pgMar w:top="1440" w:right="1800" w:bottom="1440" w:left="1800" w:header="851" w:footer="992" w:gutter="0"/>
          <w:pgNumType w:start="1"/>
          <w:cols w:space="720" w:num="1"/>
          <w:titlePg/>
          <w:docGrid w:type="lines" w:linePitch="312" w:charSpace="0"/>
        </w:sectPr>
      </w:pPr>
      <w:bookmarkStart w:id="47" w:name="_GoBack"/>
      <w:bookmarkEnd w:id="47"/>
      <w:bookmarkStart w:id="3" w:name="_Toc526932590"/>
    </w:p>
    <w:p w14:paraId="1D5BF0B5">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rPr>
      </w:pPr>
      <w:bookmarkStart w:id="4" w:name="_Toc19845"/>
      <w:bookmarkStart w:id="5" w:name="_Toc18045"/>
      <w:r>
        <w:rPr>
          <w:rFonts w:hint="eastAsia" w:asciiTheme="minorEastAsia" w:hAnsiTheme="minorEastAsia" w:eastAsiaTheme="minorEastAsia" w:cstheme="minorEastAsia"/>
          <w:color w:val="auto"/>
          <w:sz w:val="36"/>
          <w:szCs w:val="36"/>
        </w:rPr>
        <w:t>竞争性谈判公告</w:t>
      </w:r>
      <w:bookmarkEnd w:id="3"/>
      <w:bookmarkEnd w:id="4"/>
      <w:bookmarkEnd w:id="5"/>
    </w:p>
    <w:p w14:paraId="705CFB03">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Theme="minorEastAsia" w:hAnsiTheme="minorEastAsia" w:eastAsiaTheme="minorEastAsia" w:cstheme="minorEastAsia"/>
          <w:color w:val="auto"/>
          <w:sz w:val="21"/>
          <w:szCs w:val="21"/>
        </w:rPr>
      </w:pPr>
      <w:bookmarkStart w:id="6" w:name="OLE_LINK1"/>
      <w:r>
        <w:rPr>
          <w:rFonts w:hint="eastAsia" w:asciiTheme="minorEastAsia" w:hAnsiTheme="minorEastAsia" w:eastAsiaTheme="minorEastAsia" w:cstheme="minorEastAsia"/>
          <w:color w:val="auto"/>
          <w:sz w:val="21"/>
          <w:szCs w:val="21"/>
        </w:rPr>
        <w:t>项目概况</w:t>
      </w:r>
    </w:p>
    <w:p w14:paraId="495AC3C4">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u w:val="single"/>
        </w:rPr>
        <w:t>融水苗族自治县人民医院麻醉机采购项目（重）</w:t>
      </w:r>
      <w:r>
        <w:rPr>
          <w:rFonts w:hint="eastAsia" w:asciiTheme="minorEastAsia" w:hAnsiTheme="minorEastAsia" w:eastAsiaTheme="minorEastAsia" w:cstheme="minorEastAsia"/>
          <w:color w:val="auto"/>
          <w:sz w:val="21"/>
          <w:szCs w:val="21"/>
          <w:u w:val="none"/>
        </w:rPr>
        <w:t>采购项目</w:t>
      </w:r>
      <w:r>
        <w:rPr>
          <w:rFonts w:hint="eastAsia" w:asciiTheme="minorEastAsia" w:hAnsiTheme="minorEastAsia" w:eastAsiaTheme="minorEastAsia" w:cstheme="minorEastAsia"/>
          <w:color w:val="auto"/>
          <w:sz w:val="21"/>
          <w:szCs w:val="21"/>
        </w:rPr>
        <w:t>的潜在</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应在</w:t>
      </w:r>
      <w:r>
        <w:rPr>
          <w:rFonts w:hint="eastAsia" w:asciiTheme="minorEastAsia" w:hAnsiTheme="minorEastAsia" w:eastAsiaTheme="minorEastAsia" w:cstheme="minorEastAsia"/>
          <w:color w:val="auto"/>
          <w:sz w:val="21"/>
          <w:szCs w:val="21"/>
          <w:u w:val="single"/>
        </w:rPr>
        <w:t>广西政府采购云平台（https://www.gcy.zfcg.gxzf.gov.cn/）</w:t>
      </w:r>
      <w:r>
        <w:rPr>
          <w:rFonts w:hint="eastAsia" w:asciiTheme="minorEastAsia" w:hAnsiTheme="minorEastAsia" w:eastAsiaTheme="minorEastAsia" w:cstheme="minorEastAsia"/>
          <w:color w:val="auto"/>
          <w:sz w:val="21"/>
          <w:szCs w:val="21"/>
        </w:rPr>
        <w:t>获取</w:t>
      </w:r>
      <w:r>
        <w:rPr>
          <w:rFonts w:hint="eastAsia" w:asciiTheme="minorEastAsia" w:hAnsiTheme="minorEastAsia" w:eastAsiaTheme="minorEastAsia" w:cstheme="minorEastAsia"/>
          <w:color w:val="auto"/>
          <w:sz w:val="21"/>
          <w:szCs w:val="21"/>
          <w:lang w:eastAsia="zh-CN"/>
        </w:rPr>
        <w:t>采购</w:t>
      </w:r>
      <w:r>
        <w:rPr>
          <w:rFonts w:hint="eastAsia" w:asciiTheme="minorEastAsia" w:hAnsiTheme="minorEastAsia" w:eastAsiaTheme="minorEastAsia" w:cstheme="minorEastAsia"/>
          <w:color w:val="auto"/>
          <w:sz w:val="21"/>
          <w:szCs w:val="21"/>
        </w:rPr>
        <w:t>文件，并于</w:t>
      </w:r>
      <w:r>
        <w:rPr>
          <w:rFonts w:hint="eastAsia" w:asciiTheme="minorEastAsia" w:hAnsiTheme="minorEastAsia" w:eastAsiaTheme="minorEastAsia" w:cstheme="minorEastAsia"/>
          <w:color w:val="auto"/>
          <w:sz w:val="21"/>
          <w:szCs w:val="21"/>
          <w:u w:val="single"/>
        </w:rPr>
        <w:t>202</w:t>
      </w:r>
      <w:r>
        <w:rPr>
          <w:rFonts w:hint="eastAsia" w:asciiTheme="minorEastAsia" w:hAnsiTheme="minorEastAsia" w:eastAsiaTheme="minorEastAsia" w:cstheme="minorEastAsia"/>
          <w:color w:val="auto"/>
          <w:sz w:val="21"/>
          <w:szCs w:val="21"/>
          <w:u w:val="single"/>
          <w:lang w:val="en-US" w:eastAsia="zh-CN"/>
        </w:rPr>
        <w:t>6</w:t>
      </w:r>
      <w:r>
        <w:rPr>
          <w:rFonts w:hint="eastAsia" w:asciiTheme="minorEastAsia" w:hAnsiTheme="minorEastAsia" w:eastAsiaTheme="minorEastAsia" w:cstheme="minorEastAsia"/>
          <w:bCs/>
          <w:color w:val="auto"/>
          <w:sz w:val="21"/>
          <w:szCs w:val="21"/>
          <w:u w:val="single"/>
        </w:rPr>
        <w:t>年</w:t>
      </w:r>
      <w:r>
        <w:rPr>
          <w:rFonts w:hint="eastAsia" w:asciiTheme="minorEastAsia" w:hAnsiTheme="minorEastAsia" w:eastAsiaTheme="minorEastAsia" w:cstheme="minorEastAsia"/>
          <w:bCs/>
          <w:color w:val="auto"/>
          <w:sz w:val="21"/>
          <w:szCs w:val="21"/>
          <w:u w:val="single"/>
          <w:lang w:val="en-US" w:eastAsia="zh-CN"/>
        </w:rPr>
        <w:t>9</w:t>
      </w:r>
      <w:r>
        <w:rPr>
          <w:rFonts w:hint="eastAsia" w:asciiTheme="minorEastAsia" w:hAnsiTheme="minorEastAsia" w:eastAsiaTheme="minorEastAsia" w:cstheme="minorEastAsia"/>
          <w:bCs/>
          <w:color w:val="auto"/>
          <w:sz w:val="21"/>
          <w:szCs w:val="21"/>
          <w:u w:val="single"/>
        </w:rPr>
        <w:t>月</w:t>
      </w:r>
      <w:r>
        <w:rPr>
          <w:rFonts w:hint="eastAsia" w:asciiTheme="minorEastAsia" w:hAnsiTheme="minorEastAsia" w:eastAsiaTheme="minorEastAsia" w:cstheme="minorEastAsia"/>
          <w:bCs/>
          <w:color w:val="auto"/>
          <w:sz w:val="21"/>
          <w:szCs w:val="21"/>
          <w:u w:val="single"/>
          <w:lang w:val="en-US" w:eastAsia="zh-CN"/>
        </w:rPr>
        <w:t>18</w:t>
      </w:r>
      <w:r>
        <w:rPr>
          <w:rFonts w:hint="eastAsia" w:asciiTheme="minorEastAsia" w:hAnsiTheme="minorEastAsia" w:eastAsiaTheme="minorEastAsia" w:cstheme="minorEastAsia"/>
          <w:bCs/>
          <w:color w:val="auto"/>
          <w:sz w:val="21"/>
          <w:szCs w:val="21"/>
          <w:u w:val="single"/>
        </w:rPr>
        <w:t>日</w:t>
      </w:r>
      <w:r>
        <w:rPr>
          <w:rFonts w:hint="eastAsia" w:asciiTheme="minorEastAsia" w:hAnsiTheme="minorEastAsia" w:eastAsiaTheme="minorEastAsia" w:cstheme="minorEastAsia"/>
          <w:bCs/>
          <w:color w:val="auto"/>
          <w:sz w:val="21"/>
          <w:szCs w:val="21"/>
          <w:u w:val="single"/>
          <w:lang w:val="en-US" w:eastAsia="zh-CN"/>
        </w:rPr>
        <w:t>9</w:t>
      </w:r>
      <w:r>
        <w:rPr>
          <w:rFonts w:hint="eastAsia" w:asciiTheme="minorEastAsia" w:hAnsiTheme="minorEastAsia" w:eastAsiaTheme="minorEastAsia" w:cstheme="minorEastAsia"/>
          <w:bCs/>
          <w:color w:val="auto"/>
          <w:sz w:val="21"/>
          <w:szCs w:val="21"/>
          <w:u w:val="single"/>
        </w:rPr>
        <w:t>时</w:t>
      </w:r>
      <w:r>
        <w:rPr>
          <w:rFonts w:hint="eastAsia" w:asciiTheme="minorEastAsia" w:hAnsiTheme="minorEastAsia" w:eastAsiaTheme="minorEastAsia" w:cstheme="minorEastAsia"/>
          <w:bCs/>
          <w:color w:val="auto"/>
          <w:sz w:val="21"/>
          <w:szCs w:val="21"/>
          <w:u w:val="single"/>
          <w:lang w:val="en-US" w:eastAsia="zh-CN"/>
        </w:rPr>
        <w:t>20</w:t>
      </w:r>
      <w:r>
        <w:rPr>
          <w:rFonts w:hint="eastAsia" w:asciiTheme="minorEastAsia" w:hAnsiTheme="minorEastAsia" w:eastAsiaTheme="minorEastAsia" w:cstheme="minorEastAsia"/>
          <w:bCs/>
          <w:color w:val="auto"/>
          <w:sz w:val="21"/>
          <w:szCs w:val="21"/>
          <w:u w:val="single"/>
        </w:rPr>
        <w:t>分（</w:t>
      </w:r>
      <w:r>
        <w:rPr>
          <w:rFonts w:hint="eastAsia" w:asciiTheme="minorEastAsia" w:hAnsiTheme="minorEastAsia" w:eastAsiaTheme="minorEastAsia" w:cstheme="minorEastAsia"/>
          <w:bCs/>
          <w:color w:val="auto"/>
          <w:sz w:val="21"/>
          <w:szCs w:val="21"/>
        </w:rPr>
        <w:t>北京时间）前递交响应文件</w:t>
      </w:r>
      <w:r>
        <w:rPr>
          <w:rFonts w:hint="eastAsia" w:asciiTheme="minorEastAsia" w:hAnsiTheme="minorEastAsia" w:eastAsiaTheme="minorEastAsia" w:cstheme="minorEastAsia"/>
          <w:color w:val="auto"/>
          <w:sz w:val="21"/>
          <w:szCs w:val="21"/>
        </w:rPr>
        <w:t>。</w:t>
      </w:r>
    </w:p>
    <w:p w14:paraId="55961DAA">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rPr>
      </w:pPr>
      <w:bookmarkStart w:id="7" w:name="_Toc28359002"/>
      <w:bookmarkStart w:id="8" w:name="_Toc28359079"/>
      <w:bookmarkStart w:id="9" w:name="_Toc35393621"/>
      <w:bookmarkStart w:id="10" w:name="_Toc35393790"/>
      <w:bookmarkStart w:id="11" w:name="_Hlk24379207"/>
      <w:bookmarkStart w:id="12" w:name="_Hlk53504521"/>
      <w:r>
        <w:rPr>
          <w:rFonts w:hint="eastAsia" w:asciiTheme="minorEastAsia" w:hAnsiTheme="minorEastAsia" w:eastAsiaTheme="minorEastAsia" w:cstheme="minorEastAsia"/>
          <w:b/>
          <w:bCs/>
          <w:color w:val="auto"/>
          <w:sz w:val="21"/>
          <w:szCs w:val="21"/>
        </w:rPr>
        <w:t>项目基本情况</w:t>
      </w:r>
      <w:bookmarkEnd w:id="7"/>
      <w:bookmarkEnd w:id="8"/>
      <w:bookmarkEnd w:id="9"/>
      <w:bookmarkEnd w:id="10"/>
    </w:p>
    <w:p w14:paraId="75D9B681">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项目编号：LZZC2026-J1-250056-GXDR</w:t>
      </w:r>
    </w:p>
    <w:p w14:paraId="4B46BD0D">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项目名称：融水苗族自治县人民医院麻醉机采购项目（重）</w:t>
      </w:r>
    </w:p>
    <w:p w14:paraId="66B6E54D">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采购方式：竞争性谈判</w:t>
      </w:r>
    </w:p>
    <w:p w14:paraId="576DDCD9">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rPr>
        <w:t>预算总金额（元）：560000.00</w:t>
      </w:r>
    </w:p>
    <w:p w14:paraId="1CB2C150">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采购需求：</w:t>
      </w:r>
    </w:p>
    <w:p w14:paraId="4EBBAC80">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标项名称:融水苗族自治县人民医院麻醉机采购项目</w:t>
      </w:r>
    </w:p>
    <w:p w14:paraId="305A986F">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数量:</w:t>
      </w:r>
      <w:r>
        <w:rPr>
          <w:rFonts w:hint="eastAsia" w:asciiTheme="minorEastAsia" w:hAnsiTheme="minorEastAsia" w:eastAsiaTheme="minorEastAsia" w:cstheme="minorEastAsia"/>
          <w:color w:val="auto"/>
          <w:sz w:val="21"/>
          <w:szCs w:val="21"/>
          <w:lang w:val="en-US" w:eastAsia="zh-CN"/>
        </w:rPr>
        <w:t>1</w:t>
      </w:r>
    </w:p>
    <w:p w14:paraId="33AFAA93">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预算金额（元）：</w:t>
      </w:r>
      <w:r>
        <w:rPr>
          <w:rFonts w:hint="eastAsia" w:asciiTheme="minorEastAsia" w:hAnsiTheme="minorEastAsia" w:eastAsiaTheme="minorEastAsia" w:cstheme="minorEastAsia"/>
          <w:color w:val="auto"/>
          <w:kern w:val="0"/>
          <w:sz w:val="21"/>
          <w:szCs w:val="21"/>
        </w:rPr>
        <w:t>560000.00</w:t>
      </w:r>
    </w:p>
    <w:p w14:paraId="255A5353">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简要规格描述或项目基本概况介绍：国产品牌麻醉机2台，具体内容详见采购需求。</w:t>
      </w:r>
    </w:p>
    <w:p w14:paraId="13F4AEC6">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最高限价（如有）：</w:t>
      </w:r>
      <w:r>
        <w:rPr>
          <w:rFonts w:hint="eastAsia" w:asciiTheme="minorEastAsia" w:hAnsiTheme="minorEastAsia" w:eastAsiaTheme="minorEastAsia" w:cstheme="minorEastAsia"/>
          <w:color w:val="auto"/>
          <w:kern w:val="0"/>
          <w:sz w:val="21"/>
          <w:szCs w:val="21"/>
        </w:rPr>
        <w:t>560000.00</w:t>
      </w:r>
    </w:p>
    <w:p w14:paraId="025F6749">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合同履约期限：</w:t>
      </w:r>
      <w:r>
        <w:rPr>
          <w:rFonts w:hint="eastAsia" w:asciiTheme="minorEastAsia" w:hAnsiTheme="minorEastAsia" w:eastAsiaTheme="minorEastAsia" w:cstheme="minorEastAsia"/>
          <w:color w:val="auto"/>
          <w:sz w:val="21"/>
          <w:szCs w:val="21"/>
          <w:highlight w:val="none"/>
          <w:u w:val="none"/>
          <w:lang w:val="en-US" w:eastAsia="zh-CN"/>
        </w:rPr>
        <w:t>自签订合同之日起30天内安装调试完毕并交付使用。</w:t>
      </w:r>
    </w:p>
    <w:p w14:paraId="5448B09F">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本项目（否）接受联合体投标</w:t>
      </w:r>
    </w:p>
    <w:p w14:paraId="7D36E90A">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备注：本项目为线上电子招标项目，采用远程异地评标，有意向参与本项目的供应商应当做好参与全流程电子招投标交易的充分准备。</w:t>
      </w:r>
    </w:p>
    <w:bookmarkEnd w:id="11"/>
    <w:bookmarkEnd w:id="12"/>
    <w:p w14:paraId="0B3F9C9E">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rPr>
      </w:pPr>
      <w:bookmarkStart w:id="13" w:name="_Hlk53504529"/>
      <w:r>
        <w:rPr>
          <w:rFonts w:hint="eastAsia" w:asciiTheme="minorEastAsia" w:hAnsiTheme="minorEastAsia" w:eastAsiaTheme="minorEastAsia" w:cstheme="minorEastAsia"/>
          <w:b/>
          <w:bCs/>
          <w:color w:val="auto"/>
          <w:sz w:val="21"/>
          <w:szCs w:val="21"/>
        </w:rPr>
        <w:t>申请人的资格要求</w:t>
      </w:r>
    </w:p>
    <w:bookmarkEnd w:id="13"/>
    <w:p w14:paraId="226815CB">
      <w:pPr>
        <w:pStyle w:val="25"/>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满足《中华人民共和国政府采购法》第二十二条规定；</w:t>
      </w:r>
    </w:p>
    <w:p w14:paraId="1858A9A6">
      <w:pPr>
        <w:pStyle w:val="25"/>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落实政府采购政策需满足的资格要求：</w:t>
      </w:r>
      <w:bookmarkStart w:id="14" w:name="OLE_LINK3"/>
      <w:r>
        <w:rPr>
          <w:rFonts w:hint="eastAsia" w:asciiTheme="minorEastAsia" w:hAnsiTheme="minorEastAsia" w:eastAsiaTheme="minorEastAsia" w:cstheme="minorEastAsia"/>
          <w:color w:val="auto"/>
          <w:sz w:val="21"/>
          <w:szCs w:val="21"/>
          <w:highlight w:val="none"/>
          <w:lang w:val="en-US" w:eastAsia="zh-CN"/>
        </w:rPr>
        <w:t>无</w:t>
      </w:r>
      <w:r>
        <w:rPr>
          <w:rFonts w:hint="eastAsia" w:asciiTheme="minorEastAsia" w:hAnsiTheme="minorEastAsia" w:eastAsiaTheme="minorEastAsia" w:cstheme="minorEastAsia"/>
          <w:color w:val="auto"/>
          <w:sz w:val="21"/>
          <w:szCs w:val="21"/>
          <w:highlight w:val="none"/>
        </w:rPr>
        <w:t>；</w:t>
      </w:r>
      <w:bookmarkEnd w:id="14"/>
    </w:p>
    <w:p w14:paraId="56C08716">
      <w:pPr>
        <w:pStyle w:val="25"/>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本项目的特定资格要求：供应商须具有有效的医疗器械生产或经营相关证明：</w:t>
      </w:r>
    </w:p>
    <w:p w14:paraId="7BF92AE5">
      <w:pPr>
        <w:pStyle w:val="25"/>
        <w:keepNext w:val="0"/>
        <w:keepLines w:val="0"/>
        <w:pageBreakBefore w:val="0"/>
        <w:widowControl w:val="0"/>
        <w:numPr>
          <w:ilvl w:val="0"/>
          <w:numId w:val="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供应商为生产企业：须提供有效的《医疗器械生产许可证》（生产第二类、第三类医疗器械适用）。</w:t>
      </w:r>
    </w:p>
    <w:p w14:paraId="39832EE7">
      <w:pPr>
        <w:pStyle w:val="25"/>
        <w:keepNext w:val="0"/>
        <w:keepLines w:val="0"/>
        <w:pageBreakBefore w:val="0"/>
        <w:widowControl w:val="0"/>
        <w:numPr>
          <w:ilvl w:val="0"/>
          <w:numId w:val="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为代理商或经销商：须提供有效的《医疗器械经营许可证》或《第二类医疗器械经营备案凭证》（其经营范围须涵盖本次采购的医疗器械类别，符合《医疗器械监督管理条例》规定无需办理经营许可或备案的除外）。</w:t>
      </w:r>
    </w:p>
    <w:p w14:paraId="715DC41A">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获取竞争性谈判文件</w:t>
      </w:r>
    </w:p>
    <w:p w14:paraId="35390E7C">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highlight w:val="none"/>
        </w:rPr>
        <w:t>时间：</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rPr>
        <w:t>至</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rPr>
        <w:t>每天上午08:00至12:00，下午12:00至</w:t>
      </w:r>
      <w:r>
        <w:rPr>
          <w:rFonts w:hint="eastAsia" w:asciiTheme="minorEastAsia" w:hAnsiTheme="minorEastAsia" w:eastAsiaTheme="minorEastAsia" w:cstheme="minorEastAsia"/>
          <w:color w:val="auto"/>
          <w:sz w:val="21"/>
          <w:szCs w:val="21"/>
          <w:lang w:val="en-US" w:eastAsia="zh-CN"/>
        </w:rPr>
        <w:t>18</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00</w:t>
      </w:r>
      <w:r>
        <w:rPr>
          <w:rFonts w:hint="eastAsia" w:asciiTheme="minorEastAsia" w:hAnsiTheme="minorEastAsia" w:eastAsiaTheme="minorEastAsia" w:cstheme="minorEastAsia"/>
          <w:color w:val="auto"/>
          <w:sz w:val="21"/>
          <w:szCs w:val="21"/>
        </w:rPr>
        <w:t>（北京时间，法定节假日除外）</w:t>
      </w:r>
    </w:p>
    <w:p w14:paraId="68ED7A65">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地点：广西政府采购云平台（https://www.gcy.zfcg.gxzf.gov.cn/）  </w:t>
      </w:r>
    </w:p>
    <w:p w14:paraId="797D5C3D">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方式：线上获取。登录广西政府采购云平台（https://www.gcy.zfcg.gxzf.gov.cn/），在“工作台”—“项目采购”—“获取采购文件”选择本项目，点击“申请获取采购文件”进行申请提交后，在已申请栏中选择下载本项目采购文件。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59489169">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售价（元）：0</w:t>
      </w:r>
    </w:p>
    <w:p w14:paraId="4FFF4FB9">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响应文件提交</w:t>
      </w:r>
    </w:p>
    <w:p w14:paraId="10A2393D">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bCs/>
          <w:color w:val="auto"/>
          <w:sz w:val="21"/>
          <w:szCs w:val="21"/>
          <w:highlight w:val="none"/>
          <w:u w:val="single"/>
        </w:rPr>
      </w:pPr>
      <w:r>
        <w:rPr>
          <w:rFonts w:hint="eastAsia" w:asciiTheme="minorEastAsia" w:hAnsiTheme="minorEastAsia" w:eastAsiaTheme="minorEastAsia" w:cstheme="minorEastAsia"/>
          <w:color w:val="auto"/>
          <w:sz w:val="21"/>
          <w:szCs w:val="21"/>
        </w:rPr>
        <w:t>截止</w:t>
      </w:r>
      <w:r>
        <w:rPr>
          <w:rFonts w:hint="eastAsia" w:asciiTheme="minorEastAsia" w:hAnsiTheme="minorEastAsia" w:eastAsiaTheme="minorEastAsia" w:cstheme="minorEastAsia"/>
          <w:color w:val="auto"/>
          <w:sz w:val="21"/>
          <w:szCs w:val="21"/>
          <w:highlight w:val="none"/>
        </w:rPr>
        <w:t>时间：2026年9月18日</w:t>
      </w:r>
      <w:r>
        <w:rPr>
          <w:rFonts w:hint="eastAsia" w:asciiTheme="minorEastAsia" w:hAnsiTheme="minorEastAsia" w:eastAsiaTheme="minorEastAsia" w:cstheme="minorEastAsia"/>
          <w:bCs/>
          <w:color w:val="auto"/>
          <w:sz w:val="21"/>
          <w:szCs w:val="21"/>
          <w:highlight w:val="none"/>
        </w:rPr>
        <w:t>09:20</w:t>
      </w:r>
      <w:r>
        <w:rPr>
          <w:rFonts w:hint="eastAsia" w:asciiTheme="minorEastAsia" w:hAnsiTheme="minorEastAsia" w:eastAsiaTheme="minorEastAsia" w:cstheme="minorEastAsia"/>
          <w:color w:val="auto"/>
          <w:sz w:val="21"/>
          <w:szCs w:val="21"/>
          <w:highlight w:val="none"/>
        </w:rPr>
        <w:t>（北京时间）</w:t>
      </w:r>
    </w:p>
    <w:p w14:paraId="3A7A8226">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地点（网址）：广西政府采购云平台（https://www.gcy.zfcg.gxzf.gov.cn/）（</w:t>
      </w:r>
      <w:r>
        <w:rPr>
          <w:rFonts w:hint="eastAsia" w:asciiTheme="minorEastAsia" w:hAnsiTheme="minorEastAsia" w:eastAsiaTheme="minorEastAsia" w:cstheme="minorEastAsia"/>
          <w:bCs/>
          <w:color w:val="auto"/>
          <w:sz w:val="21"/>
          <w:szCs w:val="21"/>
          <w:highlight w:val="none"/>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Theme="minorEastAsia" w:hAnsiTheme="minorEastAsia" w:eastAsiaTheme="minorEastAsia" w:cstheme="minorEastAsia"/>
          <w:color w:val="auto"/>
          <w:sz w:val="21"/>
          <w:szCs w:val="21"/>
          <w:highlight w:val="none"/>
        </w:rPr>
        <w:t>未按规定编制并加密的电子响应文件，</w:t>
      </w:r>
      <w:r>
        <w:rPr>
          <w:rFonts w:hint="eastAsia" w:asciiTheme="minorEastAsia" w:hAnsiTheme="minorEastAsia" w:eastAsiaTheme="minorEastAsia" w:cstheme="minorEastAsia"/>
          <w:bCs/>
          <w:color w:val="auto"/>
          <w:sz w:val="21"/>
          <w:szCs w:val="21"/>
          <w:highlight w:val="none"/>
        </w:rPr>
        <w:t>将被广西政府采购云平台拒收。）</w:t>
      </w:r>
    </w:p>
    <w:p w14:paraId="08DFACFF">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响应文件开启</w:t>
      </w:r>
    </w:p>
    <w:p w14:paraId="07FC672A">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开启时间：2026年9月18日</w:t>
      </w:r>
      <w:r>
        <w:rPr>
          <w:rFonts w:hint="eastAsia" w:asciiTheme="minorEastAsia" w:hAnsiTheme="minorEastAsia" w:eastAsiaTheme="minorEastAsia" w:cstheme="minorEastAsia"/>
          <w:bCs/>
          <w:color w:val="auto"/>
          <w:sz w:val="21"/>
          <w:szCs w:val="21"/>
          <w:highlight w:val="none"/>
        </w:rPr>
        <w:t>09:20</w:t>
      </w:r>
      <w:r>
        <w:rPr>
          <w:rFonts w:hint="eastAsia" w:asciiTheme="minorEastAsia" w:hAnsiTheme="minorEastAsia" w:eastAsiaTheme="minorEastAsia" w:cstheme="minorEastAsia"/>
          <w:color w:val="auto"/>
          <w:sz w:val="21"/>
          <w:szCs w:val="21"/>
          <w:highlight w:val="none"/>
        </w:rPr>
        <w:t>（北京时间）</w:t>
      </w:r>
    </w:p>
    <w:p w14:paraId="790E7665">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开标地点：广西政府采购云平台（https://www.gcy.zfcg.gxzf.gov.cn/）</w:t>
      </w:r>
    </w:p>
    <w:p w14:paraId="3AE0ED1D">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lang w:val="en-US" w:eastAsia="zh-CN"/>
        </w:rPr>
      </w:pPr>
      <w:bookmarkStart w:id="15" w:name="_Toc35393794"/>
      <w:bookmarkStart w:id="16" w:name="_Toc28359084"/>
      <w:bookmarkStart w:id="17" w:name="_Toc28359007"/>
      <w:bookmarkStart w:id="18" w:name="_Toc35393625"/>
      <w:r>
        <w:rPr>
          <w:rFonts w:hint="eastAsia" w:asciiTheme="minorEastAsia" w:hAnsiTheme="minorEastAsia" w:eastAsiaTheme="minorEastAsia" w:cstheme="minorEastAsia"/>
          <w:b/>
          <w:bCs/>
          <w:color w:val="auto"/>
          <w:sz w:val="21"/>
          <w:szCs w:val="21"/>
          <w:lang w:val="en-US" w:eastAsia="zh-CN"/>
        </w:rPr>
        <w:t>公告期限</w:t>
      </w:r>
      <w:bookmarkEnd w:id="15"/>
      <w:bookmarkEnd w:id="16"/>
      <w:bookmarkEnd w:id="17"/>
      <w:bookmarkEnd w:id="18"/>
    </w:p>
    <w:p w14:paraId="61F54514">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自本公告发布之日起3个工作日。</w:t>
      </w:r>
    </w:p>
    <w:p w14:paraId="1967FE6A">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lang w:val="en-US" w:eastAsia="zh-CN"/>
        </w:rPr>
      </w:pPr>
      <w:bookmarkStart w:id="19" w:name="_Toc35393795"/>
      <w:bookmarkStart w:id="20" w:name="_Toc35393626"/>
      <w:r>
        <w:rPr>
          <w:rFonts w:hint="eastAsia" w:asciiTheme="minorEastAsia" w:hAnsiTheme="minorEastAsia" w:eastAsiaTheme="minorEastAsia" w:cstheme="minorEastAsia"/>
          <w:b/>
          <w:bCs/>
          <w:color w:val="auto"/>
          <w:sz w:val="21"/>
          <w:szCs w:val="21"/>
          <w:lang w:val="en-US" w:eastAsia="zh-CN"/>
        </w:rPr>
        <w:t>其他补充事宜</w:t>
      </w:r>
      <w:bookmarkEnd w:id="19"/>
      <w:bookmarkEnd w:id="20"/>
    </w:p>
    <w:p w14:paraId="3A5F22B8">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bookmarkStart w:id="21" w:name="_Toc35393796"/>
      <w:bookmarkStart w:id="22" w:name="_Toc35393627"/>
      <w:bookmarkStart w:id="23" w:name="_Toc28359085"/>
      <w:bookmarkStart w:id="24" w:name="_Toc28359008"/>
      <w:bookmarkStart w:id="25" w:name="_Hlk50569036"/>
      <w:r>
        <w:rPr>
          <w:rFonts w:hint="eastAsia" w:asciiTheme="minorEastAsia" w:hAnsiTheme="minorEastAsia" w:eastAsiaTheme="minorEastAsia" w:cstheme="minorEastAsia"/>
          <w:bCs/>
          <w:color w:val="auto"/>
          <w:sz w:val="21"/>
          <w:szCs w:val="21"/>
          <w:highlight w:val="none"/>
        </w:rPr>
        <w:t>国内注册（指按国家工商管理或国家事业单位管理有关规定要求核准登记的）经营资格符合本次招标采购服务要求，具有合法资格的供应商；</w:t>
      </w:r>
    </w:p>
    <w:p w14:paraId="60490683">
      <w:pPr>
        <w:keepNext w:val="0"/>
        <w:keepLines w:val="0"/>
        <w:pageBreakBefore w:val="0"/>
        <w:widowControl w:val="0"/>
        <w:numPr>
          <w:ilvl w:val="0"/>
          <w:numId w:val="5"/>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不在“信用中国”网站(www.creditchina.gov.cn)、中国政府采购网(www.ccgp.gov.cn)等渠道列入失信被执行人、重大税收违法案件当事人名单、政府采购严重违法失信行为记录名单；</w:t>
      </w:r>
    </w:p>
    <w:p w14:paraId="067D3706">
      <w:pPr>
        <w:keepNext w:val="0"/>
        <w:keepLines w:val="0"/>
        <w:pageBreakBefore w:val="0"/>
        <w:widowControl w:val="0"/>
        <w:numPr>
          <w:ilvl w:val="0"/>
          <w:numId w:val="5"/>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74F3B5">
      <w:pPr>
        <w:keepNext w:val="0"/>
        <w:keepLines w:val="0"/>
        <w:pageBreakBefore w:val="0"/>
        <w:widowControl w:val="0"/>
        <w:numPr>
          <w:ilvl w:val="0"/>
          <w:numId w:val="5"/>
        </w:numPr>
        <w:kinsoku/>
        <w:wordWrap w:val="0"/>
        <w:overflowPunct/>
        <w:topLinePunct/>
        <w:autoSpaceDE/>
        <w:autoSpaceDN/>
        <w:bidi w:val="0"/>
        <w:adjustRightInd/>
        <w:snapToGrid w:val="0"/>
        <w:spacing w:line="360" w:lineRule="auto"/>
        <w:ind w:left="0" w:leftChars="0"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本项目需要落实的政府采购政策：</w:t>
      </w:r>
    </w:p>
    <w:p w14:paraId="0C3A6703">
      <w:pPr>
        <w:keepNext w:val="0"/>
        <w:keepLines w:val="0"/>
        <w:pageBreakBefore w:val="0"/>
        <w:widowControl w:val="0"/>
        <w:numPr>
          <w:ilvl w:val="0"/>
          <w:numId w:val="0"/>
        </w:numPr>
        <w:kinsoku/>
        <w:wordWrap w:val="0"/>
        <w:overflowPunct/>
        <w:topLinePunct/>
        <w:autoSpaceDE/>
        <w:autoSpaceDN/>
        <w:bidi w:val="0"/>
        <w:adjustRightInd/>
        <w:snapToGrid w:val="0"/>
        <w:spacing w:line="360" w:lineRule="auto"/>
        <w:ind w:leftChars="200"/>
        <w:textAlignment w:val="auto"/>
        <w:rPr>
          <w:rFonts w:hint="eastAsia"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color w:val="auto"/>
          <w:sz w:val="21"/>
          <w:szCs w:val="21"/>
          <w:highlight w:val="none"/>
        </w:rPr>
        <w:t>（1）政府采购促进中小企业发展；</w:t>
      </w:r>
    </w:p>
    <w:p w14:paraId="74412536">
      <w:pPr>
        <w:keepNext w:val="0"/>
        <w:keepLines w:val="0"/>
        <w:pageBreakBefore w:val="0"/>
        <w:widowControl w:val="0"/>
        <w:numPr>
          <w:ilvl w:val="0"/>
          <w:numId w:val="0"/>
        </w:numPr>
        <w:kinsoku/>
        <w:wordWrap w:val="0"/>
        <w:overflowPunct/>
        <w:topLinePunct/>
        <w:autoSpaceDE/>
        <w:autoSpaceDN/>
        <w:bidi w:val="0"/>
        <w:adjustRightInd/>
        <w:snapToGrid w:val="0"/>
        <w:spacing w:line="360" w:lineRule="auto"/>
        <w:ind w:leftChars="200"/>
        <w:textAlignment w:val="auto"/>
        <w:rPr>
          <w:rFonts w:hint="eastAsia"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color w:val="auto"/>
          <w:sz w:val="21"/>
          <w:szCs w:val="21"/>
          <w:highlight w:val="none"/>
        </w:rPr>
        <w:t>（2）政府采购支持采用本国产品的政策；</w:t>
      </w:r>
    </w:p>
    <w:p w14:paraId="34635998">
      <w:pPr>
        <w:keepNext w:val="0"/>
        <w:keepLines w:val="0"/>
        <w:pageBreakBefore w:val="0"/>
        <w:widowControl w:val="0"/>
        <w:numPr>
          <w:ilvl w:val="0"/>
          <w:numId w:val="0"/>
        </w:numPr>
        <w:kinsoku/>
        <w:wordWrap w:val="0"/>
        <w:overflowPunct/>
        <w:topLinePunct/>
        <w:autoSpaceDE/>
        <w:autoSpaceDN/>
        <w:bidi w:val="0"/>
        <w:adjustRightInd/>
        <w:snapToGrid w:val="0"/>
        <w:spacing w:line="360" w:lineRule="auto"/>
        <w:ind w:leftChars="200"/>
        <w:textAlignment w:val="auto"/>
        <w:rPr>
          <w:rFonts w:hint="eastAsia"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color w:val="auto"/>
          <w:sz w:val="21"/>
          <w:szCs w:val="21"/>
          <w:highlight w:val="none"/>
        </w:rPr>
        <w:t>（3）强制采购节能产品；优先采购节能产品、环境标志产品；</w:t>
      </w:r>
    </w:p>
    <w:p w14:paraId="4FCC2693">
      <w:pPr>
        <w:keepNext w:val="0"/>
        <w:keepLines w:val="0"/>
        <w:pageBreakBefore w:val="0"/>
        <w:widowControl w:val="0"/>
        <w:numPr>
          <w:ilvl w:val="0"/>
          <w:numId w:val="0"/>
        </w:numPr>
        <w:kinsoku/>
        <w:wordWrap w:val="0"/>
        <w:overflowPunct/>
        <w:topLinePunct/>
        <w:autoSpaceDE/>
        <w:autoSpaceDN/>
        <w:bidi w:val="0"/>
        <w:adjustRightInd/>
        <w:snapToGrid w:val="0"/>
        <w:spacing w:line="360" w:lineRule="auto"/>
        <w:ind w:leftChars="200"/>
        <w:textAlignment w:val="auto"/>
        <w:rPr>
          <w:rFonts w:hint="eastAsia"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color w:val="auto"/>
          <w:sz w:val="21"/>
          <w:szCs w:val="21"/>
          <w:highlight w:val="none"/>
        </w:rPr>
        <w:t>（4）政府采购促进残疾人就业政策；</w:t>
      </w:r>
    </w:p>
    <w:p w14:paraId="14F4F6E3">
      <w:pPr>
        <w:keepNext w:val="0"/>
        <w:keepLines w:val="0"/>
        <w:pageBreakBefore w:val="0"/>
        <w:widowControl w:val="0"/>
        <w:numPr>
          <w:ilvl w:val="0"/>
          <w:numId w:val="0"/>
        </w:numPr>
        <w:kinsoku/>
        <w:wordWrap w:val="0"/>
        <w:overflowPunct/>
        <w:topLinePunct/>
        <w:autoSpaceDE/>
        <w:autoSpaceDN/>
        <w:bidi w:val="0"/>
        <w:adjustRightInd/>
        <w:snapToGrid w:val="0"/>
        <w:spacing w:line="360" w:lineRule="auto"/>
        <w:ind w:leftChars="200"/>
        <w:textAlignment w:val="auto"/>
        <w:rPr>
          <w:rFonts w:hint="eastAsia"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color w:val="auto"/>
          <w:sz w:val="21"/>
          <w:szCs w:val="21"/>
          <w:highlight w:val="none"/>
        </w:rPr>
        <w:t>（5）政府采购支持监狱企业发展。</w:t>
      </w:r>
    </w:p>
    <w:p w14:paraId="7CBE9033">
      <w:pPr>
        <w:keepNext w:val="0"/>
        <w:keepLines w:val="0"/>
        <w:pageBreakBefore w:val="0"/>
        <w:widowControl w:val="0"/>
        <w:numPr>
          <w:ilvl w:val="0"/>
          <w:numId w:val="5"/>
        </w:numPr>
        <w:kinsoku/>
        <w:wordWrap w:val="0"/>
        <w:overflowPunct/>
        <w:topLinePunct/>
        <w:autoSpaceDE/>
        <w:autoSpaceDN/>
        <w:bidi w:val="0"/>
        <w:adjustRightInd/>
        <w:snapToGrid w:val="0"/>
        <w:spacing w:line="360" w:lineRule="auto"/>
        <w:ind w:left="0" w:leftChars="0"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谈判保证金：人民币</w:t>
      </w:r>
      <w:r>
        <w:rPr>
          <w:rFonts w:hint="eastAsia" w:asciiTheme="minorEastAsia" w:hAnsiTheme="minorEastAsia" w:eastAsiaTheme="minorEastAsia" w:cstheme="minorEastAsia"/>
          <w:b/>
          <w:bCs w:val="0"/>
          <w:color w:val="auto"/>
          <w:sz w:val="21"/>
          <w:szCs w:val="21"/>
          <w:highlight w:val="none"/>
          <w:lang w:eastAsia="zh-CN"/>
        </w:rPr>
        <w:t>伍仟</w:t>
      </w:r>
      <w:r>
        <w:rPr>
          <w:rFonts w:hint="eastAsia" w:asciiTheme="minorEastAsia" w:hAnsiTheme="minorEastAsia" w:eastAsiaTheme="minorEastAsia" w:cstheme="minorEastAsia"/>
          <w:b/>
          <w:bCs w:val="0"/>
          <w:color w:val="auto"/>
          <w:sz w:val="21"/>
          <w:szCs w:val="21"/>
          <w:highlight w:val="none"/>
        </w:rPr>
        <w:t>元整（¥</w:t>
      </w:r>
      <w:r>
        <w:rPr>
          <w:rFonts w:hint="eastAsia" w:asciiTheme="minorEastAsia" w:hAnsiTheme="minorEastAsia" w:eastAsiaTheme="minorEastAsia" w:cstheme="minorEastAsia"/>
          <w:b/>
          <w:bCs w:val="0"/>
          <w:color w:val="auto"/>
          <w:sz w:val="21"/>
          <w:szCs w:val="21"/>
          <w:highlight w:val="none"/>
          <w:lang w:val="en-US" w:eastAsia="zh-CN"/>
        </w:rPr>
        <w:t>5</w:t>
      </w:r>
      <w:r>
        <w:rPr>
          <w:rFonts w:hint="eastAsia" w:asciiTheme="minorEastAsia" w:hAnsiTheme="minorEastAsia" w:eastAsiaTheme="minorEastAsia" w:cstheme="minorEastAsia"/>
          <w:b/>
          <w:bCs w:val="0"/>
          <w:color w:val="auto"/>
          <w:sz w:val="21"/>
          <w:szCs w:val="21"/>
          <w:highlight w:val="none"/>
        </w:rPr>
        <w:t>000.00元）</w:t>
      </w:r>
    </w:p>
    <w:p w14:paraId="4DF6D82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eastAsia="zh-CN"/>
        </w:rPr>
        <w:t>谈判</w:t>
      </w:r>
      <w:r>
        <w:rPr>
          <w:rFonts w:hint="eastAsia" w:asciiTheme="minorEastAsia" w:hAnsiTheme="minorEastAsia" w:eastAsiaTheme="minorEastAsia" w:cstheme="minorEastAsia"/>
          <w:bCs/>
          <w:color w:val="auto"/>
          <w:sz w:val="21"/>
          <w:szCs w:val="21"/>
          <w:highlight w:val="none"/>
        </w:rPr>
        <w:t>保证金的缴纳方式：优先采用公对公银行转账；不接受现场现金现钞缴纳，也可采用法律法规认可的其他非现金担保形式。谈判保证金须从</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基本账户转出，款项到账后方视为谈判保证金缴纳成功。</w:t>
      </w:r>
    </w:p>
    <w:p w14:paraId="07E86A0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采用银行转账方式的，供应商必须于</w:t>
      </w:r>
      <w:r>
        <w:rPr>
          <w:rFonts w:hint="eastAsia" w:asciiTheme="minorEastAsia" w:hAnsiTheme="minorEastAsia" w:eastAsiaTheme="minorEastAsia" w:cstheme="minorEastAsia"/>
          <w:bCs/>
          <w:color w:val="auto"/>
          <w:sz w:val="21"/>
          <w:szCs w:val="21"/>
          <w:highlight w:val="none"/>
          <w:lang w:eastAsia="zh-CN"/>
        </w:rPr>
        <w:t>响应</w:t>
      </w:r>
      <w:r>
        <w:rPr>
          <w:rFonts w:hint="eastAsia" w:asciiTheme="minorEastAsia" w:hAnsiTheme="minorEastAsia" w:eastAsiaTheme="minorEastAsia" w:cstheme="minorEastAsia"/>
          <w:bCs/>
          <w:color w:val="auto"/>
          <w:sz w:val="21"/>
          <w:szCs w:val="21"/>
          <w:highlight w:val="none"/>
        </w:rPr>
        <w:t>文件递交截止时间前将保证金从供应商的银行账户以转账或电汇形式转出并到达广西德润天怡咨询有限公司，账户如下：</w:t>
      </w:r>
    </w:p>
    <w:p w14:paraId="0B603F2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开户名称：广西德润天怡咨询有限公司</w:t>
      </w:r>
    </w:p>
    <w:p w14:paraId="39586BD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开户银行：柳州银行九洲国际支行</w:t>
      </w:r>
    </w:p>
    <w:p w14:paraId="5E9DD53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银行账号：7060 6500 0000 0001 1579</w:t>
      </w:r>
    </w:p>
    <w:p w14:paraId="766F278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color w:val="auto"/>
          <w:sz w:val="21"/>
          <w:szCs w:val="21"/>
          <w:highlight w:val="none"/>
        </w:rPr>
        <w:t>用支票、汇票、本票或者保函等方式的，在</w:t>
      </w:r>
      <w:r>
        <w:rPr>
          <w:rFonts w:hint="eastAsia" w:asciiTheme="minorEastAsia" w:hAnsiTheme="minorEastAsia" w:eastAsiaTheme="minorEastAsia" w:cstheme="minorEastAsia"/>
          <w:bCs/>
          <w:color w:val="auto"/>
          <w:sz w:val="21"/>
          <w:szCs w:val="21"/>
          <w:highlight w:val="none"/>
          <w:lang w:eastAsia="zh-CN"/>
        </w:rPr>
        <w:t>响应</w:t>
      </w:r>
      <w:r>
        <w:rPr>
          <w:rFonts w:hint="eastAsia" w:asciiTheme="minorEastAsia" w:hAnsiTheme="minorEastAsia" w:eastAsiaTheme="minorEastAsia" w:cstheme="minorEastAsia"/>
          <w:b w:val="0"/>
          <w:bCs/>
          <w:color w:val="auto"/>
          <w:sz w:val="21"/>
          <w:szCs w:val="21"/>
          <w:highlight w:val="none"/>
        </w:rPr>
        <w:t>文件提交截止时间前，供应商必须提交支票、汇票、本票或者保函原件</w:t>
      </w:r>
      <w:r>
        <w:rPr>
          <w:rFonts w:hint="eastAsia" w:asciiTheme="minorEastAsia" w:hAnsiTheme="minorEastAsia" w:eastAsiaTheme="minorEastAsia" w:cstheme="minorEastAsia"/>
          <w:b w:val="0"/>
          <w:bCs/>
          <w:color w:val="auto"/>
          <w:sz w:val="21"/>
          <w:szCs w:val="21"/>
          <w:highlight w:val="none"/>
          <w:lang w:eastAsia="zh-CN"/>
        </w:rPr>
        <w:t>，</w:t>
      </w:r>
      <w:r>
        <w:rPr>
          <w:rFonts w:hint="eastAsia" w:asciiTheme="minorEastAsia" w:hAnsiTheme="minorEastAsia" w:eastAsiaTheme="minorEastAsia" w:cstheme="minorEastAsia"/>
          <w:b w:val="0"/>
          <w:bCs/>
          <w:color w:val="auto"/>
          <w:sz w:val="21"/>
          <w:szCs w:val="21"/>
          <w:highlight w:val="none"/>
        </w:rPr>
        <w:t>否则视为无效</w:t>
      </w:r>
      <w:r>
        <w:rPr>
          <w:rFonts w:hint="eastAsia" w:asciiTheme="minorEastAsia" w:hAnsiTheme="minorEastAsia" w:eastAsiaTheme="minorEastAsia" w:cstheme="minorEastAsia"/>
          <w:bCs/>
          <w:color w:val="auto"/>
          <w:sz w:val="21"/>
          <w:szCs w:val="21"/>
          <w:highlight w:val="none"/>
          <w:lang w:eastAsia="zh-CN"/>
        </w:rPr>
        <w:t>谈判</w:t>
      </w:r>
      <w:r>
        <w:rPr>
          <w:rFonts w:hint="eastAsia" w:asciiTheme="minorEastAsia" w:hAnsiTheme="minorEastAsia" w:eastAsiaTheme="minorEastAsia" w:cstheme="minorEastAsia"/>
          <w:bCs/>
          <w:color w:val="auto"/>
          <w:sz w:val="21"/>
          <w:szCs w:val="21"/>
          <w:highlight w:val="none"/>
        </w:rPr>
        <w:t>保证金</w:t>
      </w:r>
      <w:r>
        <w:rPr>
          <w:rFonts w:hint="eastAsia" w:asciiTheme="minorEastAsia" w:hAnsiTheme="minorEastAsia" w:eastAsiaTheme="minorEastAsia" w:cstheme="minorEastAsia"/>
          <w:b w:val="0"/>
          <w:bCs/>
          <w:color w:val="auto"/>
          <w:sz w:val="21"/>
          <w:szCs w:val="21"/>
          <w:highlight w:val="none"/>
        </w:rPr>
        <w:t>。</w:t>
      </w:r>
    </w:p>
    <w:p w14:paraId="460945A3">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网上查询地址：www.ccgp.gov.cn（中国政府采购网）、zfcg.gxzf.gov.cn（广西壮族自治区政府采购网）、zfcg.lzscz.liuzhou.gov.cn（柳州市政府采购网）；</w:t>
      </w:r>
    </w:p>
    <w:p w14:paraId="715C0DAA">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参与电子</w:t>
      </w:r>
      <w:r>
        <w:rPr>
          <w:rFonts w:hint="eastAsia" w:asciiTheme="minorEastAsia" w:hAnsiTheme="minorEastAsia" w:eastAsiaTheme="minorEastAsia" w:cstheme="minorEastAsia"/>
          <w:bCs/>
          <w:color w:val="auto"/>
          <w:sz w:val="21"/>
          <w:szCs w:val="21"/>
          <w:highlight w:val="none"/>
          <w:lang w:eastAsia="zh-CN"/>
        </w:rPr>
        <w:t>竞标</w:t>
      </w:r>
      <w:r>
        <w:rPr>
          <w:rFonts w:hint="eastAsia" w:asciiTheme="minorEastAsia" w:hAnsiTheme="minorEastAsia" w:eastAsiaTheme="minorEastAsia" w:cstheme="minorEastAsia"/>
          <w:bCs/>
          <w:color w:val="auto"/>
          <w:sz w:val="21"/>
          <w:szCs w:val="21"/>
          <w:highlight w:val="none"/>
        </w:rPr>
        <w:t>特别说明</w:t>
      </w:r>
    </w:p>
    <w:p w14:paraId="7FD8B7EA">
      <w:pPr>
        <w:keepNext w:val="0"/>
        <w:keepLines w:val="0"/>
        <w:pageBreakBefore w:val="0"/>
        <w:widowControl w:val="0"/>
        <w:numPr>
          <w:ilvl w:val="0"/>
          <w:numId w:val="6"/>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本项目通过广西政府采购云平台实行电子</w:t>
      </w:r>
      <w:r>
        <w:rPr>
          <w:rFonts w:hint="eastAsia" w:asciiTheme="minorEastAsia" w:hAnsiTheme="minorEastAsia" w:eastAsiaTheme="minorEastAsia" w:cstheme="minorEastAsia"/>
          <w:bCs/>
          <w:color w:val="auto"/>
          <w:sz w:val="21"/>
          <w:szCs w:val="21"/>
          <w:highlight w:val="none"/>
          <w:lang w:eastAsia="zh-CN"/>
        </w:rPr>
        <w:t>竞标</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应按照本项目</w:t>
      </w:r>
      <w:r>
        <w:rPr>
          <w:rFonts w:hint="eastAsia" w:asciiTheme="minorEastAsia" w:hAnsiTheme="minorEastAsia" w:eastAsiaTheme="minorEastAsia" w:cstheme="minorEastAsia"/>
          <w:bCs/>
          <w:color w:val="auto"/>
          <w:sz w:val="21"/>
          <w:szCs w:val="21"/>
          <w:highlight w:val="none"/>
          <w:lang w:eastAsia="zh-CN"/>
        </w:rPr>
        <w:t>采购</w:t>
      </w:r>
      <w:r>
        <w:rPr>
          <w:rFonts w:hint="eastAsia" w:asciiTheme="minorEastAsia" w:hAnsiTheme="minorEastAsia" w:eastAsiaTheme="minorEastAsia" w:cstheme="minorEastAsia"/>
          <w:bCs/>
          <w:color w:val="auto"/>
          <w:sz w:val="21"/>
          <w:szCs w:val="21"/>
          <w:highlight w:val="none"/>
        </w:rPr>
        <w:t>文件和广西政府采购云平台的要求，通过“广西政府采购云平台电子投标客户端”编制、加密并提交电子</w:t>
      </w:r>
      <w:r>
        <w:rPr>
          <w:rFonts w:hint="eastAsia" w:asciiTheme="minorEastAsia" w:hAnsiTheme="minorEastAsia" w:eastAsiaTheme="minorEastAsia" w:cstheme="minorEastAsia"/>
          <w:bCs/>
          <w:color w:val="auto"/>
          <w:sz w:val="21"/>
          <w:szCs w:val="21"/>
          <w:highlight w:val="none"/>
          <w:lang w:eastAsia="zh-CN"/>
        </w:rPr>
        <w:t>响应</w:t>
      </w:r>
      <w:r>
        <w:rPr>
          <w:rFonts w:hint="eastAsia" w:asciiTheme="minorEastAsia" w:hAnsiTheme="minorEastAsia" w:eastAsiaTheme="minorEastAsia" w:cstheme="minorEastAsia"/>
          <w:bCs/>
          <w:color w:val="auto"/>
          <w:sz w:val="21"/>
          <w:szCs w:val="21"/>
          <w:highlight w:val="none"/>
        </w:rPr>
        <w:t>文件。</w:t>
      </w:r>
    </w:p>
    <w:p w14:paraId="1C84B5C5">
      <w:pPr>
        <w:keepNext w:val="0"/>
        <w:keepLines w:val="0"/>
        <w:pageBreakBefore w:val="0"/>
        <w:widowControl w:val="0"/>
        <w:numPr>
          <w:ilvl w:val="0"/>
          <w:numId w:val="6"/>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参与电子标的</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必须为广西政府采购云平台的正式供应商且申领CA证书，各供应商应在开标前及时完成平台注册、CA证书申领、CA证书绑定、下载投标客户端，熟悉并掌握广西政府采购云平台电子标系统操作。</w:t>
      </w:r>
    </w:p>
    <w:p w14:paraId="292795FA">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①供应商应及时熟悉掌握电子标系统操作指南（见广西政府采购云平台电子卖场首页右上角—服务中心—帮助文档—项目采购）：</w:t>
      </w:r>
    </w:p>
    <w:p w14:paraId="089F795B">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https://service.zcygov.cn/#/knowledges/tree?tag=AG1DtGwBFdiHxlNdhY0r。</w:t>
      </w:r>
    </w:p>
    <w:p w14:paraId="65404F82">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②供应商应及时完成CA申领和绑定（见广西壮族自治区政府采购网—办事服务—下载专区- CA证书办理操作指南）：</w:t>
      </w:r>
    </w:p>
    <w:p w14:paraId="4A1B0C49">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http://zfcg.gxzf.gov.cn/OfficeService/DownloadArea/4759578.html?utm=sites_group_front.b8b6c91.0.0.272124d0107e11ec92d74f64427aa31d</w:t>
      </w:r>
    </w:p>
    <w:p w14:paraId="481F738A">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③供应商通过广西政府采购云平台投标客户端软件制作响应文件，广西政府采购云平台投标客户端软件请供应商自行前往下载并安装：</w:t>
      </w:r>
    </w:p>
    <w:p w14:paraId="76F08818">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https://sitecdn.zcycdn.com/zcy-client/bidding-client-new/official/guangxi/GuangXiSetup.exe。</w:t>
      </w:r>
    </w:p>
    <w:p w14:paraId="63CD45D3">
      <w:pPr>
        <w:keepNext w:val="0"/>
        <w:keepLines w:val="0"/>
        <w:pageBreakBefore w:val="0"/>
        <w:widowControl w:val="0"/>
        <w:numPr>
          <w:ilvl w:val="0"/>
          <w:numId w:val="6"/>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电子标项目不要求参与</w:t>
      </w:r>
      <w:r>
        <w:rPr>
          <w:rFonts w:hint="eastAsia" w:asciiTheme="minorEastAsia" w:hAnsiTheme="minorEastAsia" w:eastAsiaTheme="minorEastAsia" w:cstheme="minorEastAsia"/>
          <w:bCs/>
          <w:color w:val="auto"/>
          <w:sz w:val="21"/>
          <w:szCs w:val="21"/>
          <w:highlight w:val="none"/>
          <w:lang w:eastAsia="zh-CN"/>
        </w:rPr>
        <w:t>竞</w:t>
      </w:r>
      <w:r>
        <w:rPr>
          <w:rFonts w:hint="eastAsia" w:asciiTheme="minorEastAsia" w:hAnsiTheme="minorEastAsia" w:eastAsiaTheme="minorEastAsia" w:cstheme="minorEastAsia"/>
          <w:bCs/>
          <w:color w:val="auto"/>
          <w:sz w:val="21"/>
          <w:szCs w:val="21"/>
          <w:highlight w:val="none"/>
        </w:rPr>
        <w:t>标的</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到现场，但</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应派法定代表人（或分支机构负责人）或委托代理人准时在线出席电子开评标会议，随时关注开评标进度，如在开评标过程中有电子询标，应在规定的时间内对电子询标函进行澄清回复。</w:t>
      </w:r>
    </w:p>
    <w:p w14:paraId="33F3800C">
      <w:pPr>
        <w:keepNext w:val="0"/>
        <w:keepLines w:val="0"/>
        <w:pageBreakBefore w:val="0"/>
        <w:widowControl w:val="0"/>
        <w:numPr>
          <w:ilvl w:val="0"/>
          <w:numId w:val="6"/>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rPr>
        <w:t>因未注册广西政府采购云平台、未办理CA证书、CA证书故障、操作不当等原因造成无法</w:t>
      </w:r>
      <w:r>
        <w:rPr>
          <w:rFonts w:hint="eastAsia" w:asciiTheme="minorEastAsia" w:hAnsiTheme="minorEastAsia" w:eastAsiaTheme="minorEastAsia" w:cstheme="minorEastAsia"/>
          <w:bCs/>
          <w:color w:val="auto"/>
          <w:sz w:val="21"/>
          <w:szCs w:val="21"/>
          <w:highlight w:val="none"/>
          <w:lang w:eastAsia="zh-CN"/>
        </w:rPr>
        <w:t>竞标</w:t>
      </w:r>
      <w:r>
        <w:rPr>
          <w:rFonts w:hint="eastAsia" w:asciiTheme="minorEastAsia" w:hAnsiTheme="minorEastAsia" w:eastAsiaTheme="minorEastAsia" w:cstheme="minorEastAsia"/>
          <w:bCs/>
          <w:color w:val="auto"/>
          <w:sz w:val="21"/>
          <w:szCs w:val="21"/>
          <w:highlight w:val="none"/>
        </w:rPr>
        <w:t>或</w:t>
      </w:r>
      <w:r>
        <w:rPr>
          <w:rFonts w:hint="eastAsia" w:asciiTheme="minorEastAsia" w:hAnsiTheme="minorEastAsia" w:eastAsiaTheme="minorEastAsia" w:cstheme="minorEastAsia"/>
          <w:bCs/>
          <w:color w:val="auto"/>
          <w:kern w:val="2"/>
          <w:sz w:val="21"/>
          <w:szCs w:val="21"/>
          <w:highlight w:val="none"/>
          <w:lang w:val="en-US" w:eastAsia="zh-CN" w:bidi="ar-SA"/>
        </w:rPr>
        <w:t>竞标</w:t>
      </w:r>
      <w:r>
        <w:rPr>
          <w:rFonts w:hint="eastAsia" w:asciiTheme="minorEastAsia" w:hAnsiTheme="minorEastAsia" w:eastAsiaTheme="minorEastAsia" w:cstheme="minorEastAsia"/>
          <w:bCs/>
          <w:color w:val="auto"/>
          <w:sz w:val="21"/>
          <w:szCs w:val="21"/>
          <w:highlight w:val="none"/>
        </w:rPr>
        <w:t>失败等后果由</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自行承担；</w:t>
      </w:r>
    </w:p>
    <w:p w14:paraId="664342C5">
      <w:pPr>
        <w:keepNext w:val="0"/>
        <w:keepLines w:val="0"/>
        <w:pageBreakBefore w:val="0"/>
        <w:widowControl w:val="0"/>
        <w:numPr>
          <w:ilvl w:val="0"/>
          <w:numId w:val="6"/>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供应商在使用广西政府采购云平台参与投标过程中遇到涉及平台使用的任何问题，可致电广西政府采购云平台技术支持热线咨询，联系方式：95763。</w:t>
      </w:r>
    </w:p>
    <w:p w14:paraId="5A1914FC">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对本次招标提出询问，请按以下方式联系</w:t>
      </w:r>
      <w:bookmarkEnd w:id="21"/>
      <w:bookmarkEnd w:id="22"/>
      <w:bookmarkEnd w:id="23"/>
      <w:bookmarkEnd w:id="24"/>
    </w:p>
    <w:p w14:paraId="0F46E1FD">
      <w:pPr>
        <w:keepNext w:val="0"/>
        <w:keepLines w:val="0"/>
        <w:pageBreakBefore w:val="0"/>
        <w:widowControl w:val="0"/>
        <w:numPr>
          <w:ilvl w:val="0"/>
          <w:numId w:val="7"/>
        </w:numPr>
        <w:kinsoku/>
        <w:wordWrap/>
        <w:overflowPunct w:val="0"/>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采购人信息</w:t>
      </w:r>
    </w:p>
    <w:bookmarkEnd w:id="25"/>
    <w:p w14:paraId="7002EFC8">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名 称：融水苗族自治县人民医院</w:t>
      </w:r>
    </w:p>
    <w:p w14:paraId="098C4375">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地址：融水县融水镇拱城街73号</w:t>
      </w:r>
    </w:p>
    <w:p w14:paraId="640353B8">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项目联系人：梁老师</w:t>
      </w:r>
    </w:p>
    <w:p w14:paraId="52C9FDB8">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val="en-US" w:eastAsia="zh-CN"/>
        </w:rPr>
        <w:t>项目联系方式</w:t>
      </w:r>
      <w:r>
        <w:rPr>
          <w:rFonts w:hint="eastAsia" w:asciiTheme="minorEastAsia" w:hAnsiTheme="minorEastAsia" w:eastAsiaTheme="minorEastAsia" w:cstheme="minorEastAsia"/>
          <w:color w:val="auto"/>
          <w:sz w:val="21"/>
          <w:szCs w:val="21"/>
          <w:highlight w:val="none"/>
        </w:rPr>
        <w:t>：</w:t>
      </w:r>
      <w:bookmarkStart w:id="26" w:name="_Toc28359009"/>
      <w:bookmarkStart w:id="27" w:name="_Toc28359086"/>
      <w:r>
        <w:rPr>
          <w:rFonts w:hint="eastAsia" w:asciiTheme="minorEastAsia" w:hAnsiTheme="minorEastAsia" w:eastAsiaTheme="minorEastAsia" w:cstheme="minorEastAsia"/>
          <w:color w:val="auto"/>
          <w:sz w:val="21"/>
          <w:szCs w:val="21"/>
          <w:highlight w:val="none"/>
        </w:rPr>
        <w:t>19142867990</w:t>
      </w:r>
    </w:p>
    <w:p w14:paraId="49F7ED94">
      <w:pPr>
        <w:keepNext w:val="0"/>
        <w:keepLines w:val="0"/>
        <w:pageBreakBefore w:val="0"/>
        <w:widowControl w:val="0"/>
        <w:numPr>
          <w:ilvl w:val="0"/>
          <w:numId w:val="7"/>
        </w:numPr>
        <w:kinsoku/>
        <w:wordWrap/>
        <w:overflowPunct w:val="0"/>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采购代理机构信息</w:t>
      </w:r>
      <w:bookmarkEnd w:id="26"/>
      <w:bookmarkEnd w:id="27"/>
    </w:p>
    <w:p w14:paraId="4CF22258">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名 称：广西德润天怡咨询有限公司</w:t>
      </w:r>
    </w:p>
    <w:p w14:paraId="64BF9342">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　址：柳州市城中区学院路50号鑫中联大厦1栋1单元510室</w:t>
      </w:r>
    </w:p>
    <w:p w14:paraId="427C6959">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项目联系人：谭义杰</w:t>
      </w:r>
    </w:p>
    <w:p w14:paraId="63E6BFE1">
      <w:pPr>
        <w:keepLines w:val="0"/>
        <w:pageBreakBefore w:val="0"/>
        <w:widowControl w:val="0"/>
        <w:kinsoku/>
        <w:overflowPunct w:val="0"/>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bookmarkStart w:id="28" w:name="_Toc11983"/>
      <w:r>
        <w:rPr>
          <w:rFonts w:hint="eastAsia" w:asciiTheme="minorEastAsia" w:hAnsiTheme="minorEastAsia" w:eastAsiaTheme="minorEastAsia" w:cstheme="minorEastAsia"/>
          <w:b w:val="0"/>
          <w:bCs w:val="0"/>
          <w:color w:val="auto"/>
          <w:sz w:val="21"/>
          <w:szCs w:val="21"/>
          <w:highlight w:val="none"/>
          <w:lang w:val="en-US" w:eastAsia="zh-CN"/>
        </w:rPr>
        <w:t>项目</w:t>
      </w:r>
      <w:r>
        <w:rPr>
          <w:rFonts w:hint="eastAsia" w:asciiTheme="minorEastAsia" w:hAnsiTheme="minorEastAsia" w:eastAsiaTheme="minorEastAsia" w:cstheme="minorEastAsia"/>
          <w:b w:val="0"/>
          <w:bCs w:val="0"/>
          <w:color w:val="auto"/>
          <w:sz w:val="21"/>
          <w:szCs w:val="21"/>
          <w:highlight w:val="none"/>
        </w:rPr>
        <w:t>联系方式：</w:t>
      </w:r>
      <w:bookmarkEnd w:id="28"/>
      <w:r>
        <w:rPr>
          <w:rFonts w:hint="eastAsia" w:asciiTheme="minorEastAsia" w:hAnsiTheme="minorEastAsia" w:eastAsiaTheme="minorEastAsia" w:cstheme="minorEastAsia"/>
          <w:b w:val="0"/>
          <w:bCs w:val="0"/>
          <w:color w:val="auto"/>
          <w:sz w:val="21"/>
          <w:szCs w:val="21"/>
          <w:highlight w:val="none"/>
        </w:rPr>
        <w:t>0772-3720755</w:t>
      </w:r>
    </w:p>
    <w:p w14:paraId="08FF4576">
      <w:pPr>
        <w:overflowPunct w:val="0"/>
        <w:spacing w:line="440" w:lineRule="exact"/>
        <w:ind w:right="0" w:firstLine="420" w:firstLineChars="200"/>
        <w:jc w:val="left"/>
        <w:rPr>
          <w:rFonts w:hint="eastAsia" w:asciiTheme="minorEastAsia" w:hAnsiTheme="minorEastAsia" w:eastAsiaTheme="minorEastAsia" w:cstheme="minorEastAsia"/>
          <w:color w:val="auto"/>
          <w:sz w:val="21"/>
          <w:szCs w:val="21"/>
        </w:rPr>
        <w:sectPr>
          <w:footerReference r:id="rId7" w:type="default"/>
          <w:pgSz w:w="11906" w:h="16838"/>
          <w:pgMar w:top="1440" w:right="1800" w:bottom="1440" w:left="1800" w:header="851" w:footer="992" w:gutter="0"/>
          <w:pgNumType w:fmt="decimal" w:start="1"/>
          <w:cols w:space="720" w:num="1"/>
          <w:docGrid w:type="lines" w:linePitch="312" w:charSpace="0"/>
        </w:sectPr>
      </w:pPr>
    </w:p>
    <w:bookmarkEnd w:id="6"/>
    <w:p w14:paraId="24BC04EF">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rPr>
      </w:pPr>
      <w:bookmarkStart w:id="29" w:name="_Toc11037"/>
      <w:bookmarkStart w:id="30" w:name="_Toc28202"/>
      <w:bookmarkStart w:id="31" w:name="_Toc526932591"/>
      <w:r>
        <w:rPr>
          <w:rFonts w:hint="eastAsia" w:asciiTheme="minorEastAsia" w:hAnsiTheme="minorEastAsia" w:eastAsiaTheme="minorEastAsia" w:cstheme="minorEastAsia"/>
          <w:color w:val="auto"/>
          <w:sz w:val="36"/>
          <w:szCs w:val="36"/>
        </w:rPr>
        <w:t>供应商须知</w:t>
      </w:r>
      <w:bookmarkEnd w:id="29"/>
      <w:bookmarkEnd w:id="30"/>
      <w:bookmarkEnd w:id="31"/>
    </w:p>
    <w:p w14:paraId="06408D3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bCs/>
          <w:color w:val="auto"/>
          <w:spacing w:val="6"/>
          <w:sz w:val="32"/>
          <w:szCs w:val="32"/>
        </w:rPr>
        <w:t>供应商须知前附表</w:t>
      </w:r>
    </w:p>
    <w:tbl>
      <w:tblPr>
        <w:tblStyle w:val="27"/>
        <w:tblpPr w:leftFromText="180" w:rightFromText="180" w:vertAnchor="text" w:horzAnchor="page" w:tblpX="1070" w:tblpY="585"/>
        <w:tblOverlap w:val="never"/>
        <w:tblW w:w="980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6"/>
        <w:gridCol w:w="8931"/>
      </w:tblGrid>
      <w:tr w14:paraId="75BC3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7" w:hRule="atLeast"/>
        </w:trPr>
        <w:tc>
          <w:tcPr>
            <w:tcW w:w="876" w:type="dxa"/>
            <w:vAlign w:val="center"/>
          </w:tcPr>
          <w:p w14:paraId="3F5CD336">
            <w:pPr>
              <w:spacing w:before="34"/>
              <w:ind w:left="0"/>
              <w:jc w:val="center"/>
              <w:rPr>
                <w:rFonts w:hint="eastAsia" w:asciiTheme="minorEastAsia" w:hAnsiTheme="minorEastAsia" w:eastAsiaTheme="minorEastAsia" w:cstheme="minorEastAsia"/>
                <w:b/>
                <w:bCs/>
                <w:color w:val="auto"/>
                <w:sz w:val="22"/>
                <w:szCs w:val="28"/>
              </w:rPr>
            </w:pPr>
            <w:r>
              <w:rPr>
                <w:rFonts w:hint="eastAsia" w:asciiTheme="minorEastAsia" w:hAnsiTheme="minorEastAsia" w:eastAsiaTheme="minorEastAsia" w:cstheme="minorEastAsia"/>
                <w:b/>
                <w:bCs/>
                <w:color w:val="auto"/>
                <w:sz w:val="22"/>
                <w:szCs w:val="28"/>
              </w:rPr>
              <w:t>条款号</w:t>
            </w:r>
          </w:p>
        </w:tc>
        <w:tc>
          <w:tcPr>
            <w:tcW w:w="8931" w:type="dxa"/>
            <w:vAlign w:val="center"/>
          </w:tcPr>
          <w:p w14:paraId="47E6C3B0">
            <w:pPr>
              <w:spacing w:before="34"/>
              <w:ind w:left="0"/>
              <w:jc w:val="center"/>
              <w:rPr>
                <w:rFonts w:hint="eastAsia" w:asciiTheme="minorEastAsia" w:hAnsiTheme="minorEastAsia" w:eastAsiaTheme="minorEastAsia" w:cstheme="minorEastAsia"/>
                <w:b/>
                <w:bCs/>
                <w:color w:val="auto"/>
                <w:sz w:val="22"/>
                <w:szCs w:val="28"/>
              </w:rPr>
            </w:pPr>
            <w:r>
              <w:rPr>
                <w:rFonts w:hint="eastAsia" w:asciiTheme="minorEastAsia" w:hAnsiTheme="minorEastAsia" w:eastAsiaTheme="minorEastAsia" w:cstheme="minorEastAsia"/>
                <w:b/>
                <w:bCs/>
                <w:color w:val="auto"/>
                <w:sz w:val="22"/>
                <w:szCs w:val="28"/>
              </w:rPr>
              <w:t>内    容</w:t>
            </w:r>
          </w:p>
        </w:tc>
      </w:tr>
      <w:tr w14:paraId="2CF1E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876" w:type="dxa"/>
            <w:vAlign w:val="center"/>
          </w:tcPr>
          <w:p w14:paraId="21E6AAF3">
            <w:pPr>
              <w:spacing w:before="106"/>
              <w:ind w:left="0"/>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3</w:t>
            </w:r>
          </w:p>
        </w:tc>
        <w:tc>
          <w:tcPr>
            <w:tcW w:w="8931" w:type="dxa"/>
            <w:vAlign w:val="center"/>
          </w:tcPr>
          <w:p w14:paraId="32841BF3">
            <w:pPr>
              <w:keepNext w:val="0"/>
              <w:keepLines w:val="0"/>
              <w:pageBreakBefore w:val="0"/>
              <w:widowControl w:val="0"/>
              <w:kinsoku/>
              <w:wordWrap w:val="0"/>
              <w:overflowPunct/>
              <w:topLinePunct/>
              <w:autoSpaceDE/>
              <w:autoSpaceDN/>
              <w:bidi w:val="0"/>
              <w:adjustRightInd/>
              <w:snapToGrid w:val="0"/>
              <w:spacing w:line="240" w:lineRule="auto"/>
              <w:ind w:left="0" w:right="0" w:rightChars="0" w:firstLine="0" w:firstLineChars="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供应商的资格条件：详见竞争性谈判公告</w:t>
            </w:r>
          </w:p>
        </w:tc>
      </w:tr>
      <w:tr w14:paraId="08387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76" w:type="dxa"/>
            <w:vAlign w:val="center"/>
          </w:tcPr>
          <w:p w14:paraId="33CF707F">
            <w:pPr>
              <w:spacing w:before="32"/>
              <w:ind w:left="0"/>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5.1</w:t>
            </w:r>
          </w:p>
        </w:tc>
        <w:tc>
          <w:tcPr>
            <w:tcW w:w="8931" w:type="dxa"/>
            <w:vAlign w:val="center"/>
          </w:tcPr>
          <w:p w14:paraId="581F629B">
            <w:pPr>
              <w:keepNext w:val="0"/>
              <w:keepLines w:val="0"/>
              <w:pageBreakBefore w:val="0"/>
              <w:widowControl w:val="0"/>
              <w:kinsoku/>
              <w:wordWrap w:val="0"/>
              <w:overflowPunct/>
              <w:topLinePunct/>
              <w:autoSpaceDE/>
              <w:autoSpaceDN/>
              <w:bidi w:val="0"/>
              <w:adjustRightInd/>
              <w:snapToGrid w:val="0"/>
              <w:spacing w:line="240" w:lineRule="auto"/>
              <w:ind w:left="0" w:right="0" w:rightChars="0" w:firstLine="0" w:firstLineChars="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是否接受联合体竞标：详见竞争性谈判公告</w:t>
            </w:r>
          </w:p>
        </w:tc>
      </w:tr>
      <w:tr w14:paraId="3E332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Align w:val="center"/>
          </w:tcPr>
          <w:p w14:paraId="7247EA37">
            <w:pPr>
              <w:spacing w:before="30"/>
              <w:ind w:left="0"/>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6.2</w:t>
            </w:r>
          </w:p>
        </w:tc>
        <w:tc>
          <w:tcPr>
            <w:tcW w:w="8931" w:type="dxa"/>
            <w:vAlign w:val="center"/>
          </w:tcPr>
          <w:p w14:paraId="3FED8271">
            <w:pPr>
              <w:keepNext w:val="0"/>
              <w:keepLines w:val="0"/>
              <w:pageBreakBefore w:val="0"/>
              <w:widowControl w:val="0"/>
              <w:kinsoku/>
              <w:wordWrap w:val="0"/>
              <w:overflowPunct/>
              <w:topLinePunct/>
              <w:autoSpaceDE/>
              <w:autoSpaceDN/>
              <w:bidi w:val="0"/>
              <w:adjustRightInd/>
              <w:snapToGrid w:val="0"/>
              <w:spacing w:line="240" w:lineRule="auto"/>
              <w:ind w:left="0" w:right="0" w:rightChars="0" w:firstLine="0" w:firstLineChars="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本项目不允许分包。</w:t>
            </w:r>
          </w:p>
        </w:tc>
      </w:tr>
      <w:tr w14:paraId="0F0A5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Align w:val="center"/>
          </w:tcPr>
          <w:p w14:paraId="1E47651C">
            <w:pPr>
              <w:spacing w:before="30"/>
              <w:ind w:left="0"/>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12.1.1</w:t>
            </w:r>
          </w:p>
        </w:tc>
        <w:tc>
          <w:tcPr>
            <w:tcW w:w="8931" w:type="dxa"/>
            <w:vAlign w:val="top"/>
          </w:tcPr>
          <w:p w14:paraId="165975D9">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资格证明文件</w:t>
            </w:r>
          </w:p>
          <w:p w14:paraId="277F4B14">
            <w:pPr>
              <w:keepNext w:val="0"/>
              <w:keepLines w:val="0"/>
              <w:pageBreakBefore w:val="0"/>
              <w:widowControl w:val="0"/>
              <w:numPr>
                <w:ilvl w:val="0"/>
                <w:numId w:val="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color w:val="auto"/>
              </w:rPr>
              <w:t>供应商为法人或者其他组织的，证明文件为其营业执照复印件（如营业执照或者事业单位法人证书或者执业许可证等）；供应商为自然人的，证明文件为其身份证复印件；</w:t>
            </w:r>
            <w:r>
              <w:rPr>
                <w:rFonts w:hint="eastAsia" w:asciiTheme="minorEastAsia" w:hAnsiTheme="minorEastAsia" w:eastAsiaTheme="minorEastAsia" w:cstheme="minorEastAsia"/>
                <w:b/>
                <w:bCs/>
                <w:color w:val="auto"/>
              </w:rPr>
              <w:t>（必须提供，否则响应文件按无效响应处理）</w:t>
            </w:r>
          </w:p>
          <w:p w14:paraId="69058583">
            <w:pPr>
              <w:keepNext w:val="0"/>
              <w:keepLines w:val="0"/>
              <w:pageBreakBefore w:val="0"/>
              <w:widowControl w:val="0"/>
              <w:numPr>
                <w:ilvl w:val="0"/>
                <w:numId w:val="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政府采购供应商资格信用承诺函（格式后附）；</w:t>
            </w:r>
            <w:r>
              <w:rPr>
                <w:rFonts w:hint="eastAsia" w:asciiTheme="minorEastAsia" w:hAnsiTheme="minorEastAsia" w:eastAsiaTheme="minorEastAsia" w:cstheme="minorEastAsia"/>
                <w:b/>
                <w:bCs/>
                <w:color w:val="auto"/>
              </w:rPr>
              <w:t>（必须提供，否则按无效响应处理）</w:t>
            </w:r>
          </w:p>
          <w:p w14:paraId="4287A157">
            <w:pPr>
              <w:keepNext w:val="0"/>
              <w:keepLines w:val="0"/>
              <w:pageBreakBefore w:val="0"/>
              <w:widowControl w:val="0"/>
              <w:numPr>
                <w:ilvl w:val="0"/>
                <w:numId w:val="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供应商直接控股股东信息表（格式后附）；</w:t>
            </w:r>
            <w:r>
              <w:rPr>
                <w:rFonts w:hint="eastAsia" w:asciiTheme="minorEastAsia" w:hAnsiTheme="minorEastAsia" w:eastAsiaTheme="minorEastAsia" w:cstheme="minorEastAsia"/>
                <w:b/>
                <w:bCs/>
                <w:color w:val="auto"/>
              </w:rPr>
              <w:t>（必须提供，否则响应文件按无效响应处理）</w:t>
            </w:r>
          </w:p>
          <w:p w14:paraId="5DB3B9BD">
            <w:pPr>
              <w:keepNext w:val="0"/>
              <w:keepLines w:val="0"/>
              <w:pageBreakBefore w:val="0"/>
              <w:widowControl w:val="0"/>
              <w:numPr>
                <w:ilvl w:val="0"/>
                <w:numId w:val="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供应商直接管理关系信息表（格式后附）；</w:t>
            </w:r>
            <w:r>
              <w:rPr>
                <w:rFonts w:hint="eastAsia" w:asciiTheme="minorEastAsia" w:hAnsiTheme="minorEastAsia" w:eastAsiaTheme="minorEastAsia" w:cstheme="minorEastAsia"/>
                <w:b/>
                <w:bCs/>
                <w:color w:val="auto"/>
              </w:rPr>
              <w:t>（必须提供，否则响应文件按无效响应处理）</w:t>
            </w:r>
          </w:p>
          <w:p w14:paraId="375F7A09">
            <w:pPr>
              <w:keepNext w:val="0"/>
              <w:keepLines w:val="0"/>
              <w:pageBreakBefore w:val="0"/>
              <w:widowControl w:val="0"/>
              <w:numPr>
                <w:ilvl w:val="0"/>
                <w:numId w:val="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color w:val="auto"/>
              </w:rPr>
              <w:t>竞标声明（格式后附）；</w:t>
            </w:r>
            <w:r>
              <w:rPr>
                <w:rFonts w:hint="eastAsia" w:asciiTheme="minorEastAsia" w:hAnsiTheme="minorEastAsia" w:eastAsiaTheme="minorEastAsia" w:cstheme="minorEastAsia"/>
                <w:b/>
                <w:bCs/>
                <w:color w:val="auto"/>
              </w:rPr>
              <w:t>（必须提供，否则响应文件按无效响应处理）</w:t>
            </w:r>
          </w:p>
          <w:p w14:paraId="33EFEB2E">
            <w:pPr>
              <w:pStyle w:val="25"/>
              <w:keepNext w:val="0"/>
              <w:keepLines w:val="0"/>
              <w:pageBreakBefore w:val="0"/>
              <w:widowControl w:val="0"/>
              <w:numPr>
                <w:ilvl w:val="0"/>
                <w:numId w:val="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rPr>
              <w:t>本项目的特定资格要求：供应商须具有有效的医疗器械生产或经营相关证明</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竞标人必须提供以证明材料之一：</w:t>
            </w:r>
            <w:r>
              <w:rPr>
                <w:rFonts w:hint="eastAsia" w:asciiTheme="minorEastAsia" w:hAnsiTheme="minorEastAsia" w:eastAsiaTheme="minorEastAsia" w:cstheme="minorEastAsia"/>
                <w:b/>
                <w:bCs/>
                <w:color w:val="auto"/>
              </w:rPr>
              <w:t>（必须提供，否则响应文件按无效响应处理）</w:t>
            </w:r>
          </w:p>
          <w:p w14:paraId="5DC0A4AB">
            <w:pPr>
              <w:keepNext w:val="0"/>
              <w:keepLines w:val="0"/>
              <w:pageBreakBefore w:val="0"/>
              <w:widowControl w:val="0"/>
              <w:numPr>
                <w:ilvl w:val="0"/>
                <w:numId w:val="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供应商为生产企业的，提供《医疗器械生产许可证》复印件（生产第二类、第三类医疗器械适用）；</w:t>
            </w:r>
          </w:p>
          <w:p w14:paraId="18ACDCA5">
            <w:pPr>
              <w:keepNext w:val="0"/>
              <w:keepLines w:val="0"/>
              <w:pageBreakBefore w:val="0"/>
              <w:widowControl w:val="0"/>
              <w:numPr>
                <w:ilvl w:val="0"/>
                <w:numId w:val="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供应商为代理商的，提供《医疗器械经营许可证》或《第二类医疗器械经营备案凭证》复印件（其经营范围须涵盖本次采购的标的物类别，符合规定无需办理的除外）。</w:t>
            </w:r>
          </w:p>
          <w:p w14:paraId="64411D8D">
            <w:pPr>
              <w:keepNext w:val="0"/>
              <w:keepLines w:val="0"/>
              <w:pageBreakBefore w:val="0"/>
              <w:widowControl w:val="0"/>
              <w:numPr>
                <w:ilvl w:val="0"/>
                <w:numId w:val="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除竞争性谈判采购文件规定必须提供以外，供应商认为需要提供的其他证明材料。</w:t>
            </w:r>
          </w:p>
          <w:p w14:paraId="3E1633A6">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2" w:firstLineChars="20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注：</w:t>
            </w:r>
          </w:p>
          <w:p w14:paraId="6AA0586F">
            <w:pPr>
              <w:keepNext w:val="0"/>
              <w:keepLines w:val="0"/>
              <w:pageBreakBefore w:val="0"/>
              <w:widowControl w:val="0"/>
              <w:numPr>
                <w:ilvl w:val="0"/>
                <w:numId w:val="10"/>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以上标明“必须提供”的材料属于复印件的，必须加盖</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lang w:val="en-US" w:eastAsia="zh-CN"/>
              </w:rPr>
              <w:t>公章（或CA电子签章）</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rPr>
              <w:t>否则响应文件按无效响应处理</w:t>
            </w:r>
            <w:r>
              <w:rPr>
                <w:rFonts w:hint="eastAsia" w:asciiTheme="minorEastAsia" w:hAnsiTheme="minorEastAsia" w:eastAsiaTheme="minorEastAsia" w:cstheme="minorEastAsia"/>
                <w:b/>
                <w:color w:val="auto"/>
                <w:szCs w:val="21"/>
                <w:highlight w:val="none"/>
              </w:rPr>
              <w:t>。</w:t>
            </w:r>
          </w:p>
          <w:p w14:paraId="00575A65">
            <w:pPr>
              <w:keepNext w:val="0"/>
              <w:keepLines w:val="0"/>
              <w:pageBreakBefore w:val="0"/>
              <w:widowControl w:val="0"/>
              <w:numPr>
                <w:ilvl w:val="0"/>
                <w:numId w:val="10"/>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竞标声明必须由法定代表人或者委托代理人在规定签章处签字（或CA电子签字章）并加盖</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lang w:val="en-US" w:eastAsia="zh-CN"/>
              </w:rPr>
              <w:t>公章</w:t>
            </w:r>
            <w:r>
              <w:rPr>
                <w:rFonts w:hint="eastAsia" w:asciiTheme="minorEastAsia" w:hAnsiTheme="minorEastAsia" w:eastAsiaTheme="minorEastAsia" w:cstheme="minorEastAsia"/>
                <w:b/>
                <w:bCs/>
                <w:color w:val="auto"/>
                <w:szCs w:val="21"/>
                <w:highlight w:val="none"/>
                <w:lang w:eastAsia="zh-CN"/>
              </w:rPr>
              <w:t>（或</w:t>
            </w:r>
            <w:r>
              <w:rPr>
                <w:rFonts w:hint="eastAsia" w:asciiTheme="minorEastAsia" w:hAnsiTheme="minorEastAsia" w:eastAsiaTheme="minorEastAsia" w:cstheme="minorEastAsia"/>
                <w:b/>
                <w:bCs/>
                <w:color w:val="auto"/>
                <w:szCs w:val="21"/>
                <w:highlight w:val="none"/>
              </w:rPr>
              <w:t>CA电子签章</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rPr>
              <w:t>否则响应文件按无效响应处理</w:t>
            </w:r>
            <w:r>
              <w:rPr>
                <w:rFonts w:hint="eastAsia" w:asciiTheme="minorEastAsia" w:hAnsiTheme="minorEastAsia" w:eastAsiaTheme="minorEastAsia" w:cstheme="minorEastAsia"/>
                <w:b/>
                <w:bCs/>
                <w:color w:val="auto"/>
                <w:szCs w:val="21"/>
                <w:highlight w:val="none"/>
              </w:rPr>
              <w:t>。</w:t>
            </w:r>
          </w:p>
          <w:p w14:paraId="14467A4D">
            <w:pPr>
              <w:keepNext w:val="0"/>
              <w:keepLines w:val="0"/>
              <w:pageBreakBefore w:val="0"/>
              <w:widowControl w:val="0"/>
              <w:numPr>
                <w:ilvl w:val="0"/>
                <w:numId w:val="10"/>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szCs w:val="21"/>
                <w:highlight w:val="none"/>
              </w:rPr>
              <w:t>供应商直接控股、管理关系信息表必须由法定代表人或者委托代理人在规定签章处签字（或CA电子签字章）并加盖</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lang w:val="en-US" w:eastAsia="zh-CN"/>
              </w:rPr>
              <w:t>公章</w:t>
            </w:r>
            <w:r>
              <w:rPr>
                <w:rFonts w:hint="eastAsia" w:asciiTheme="minorEastAsia" w:hAnsiTheme="minorEastAsia" w:eastAsiaTheme="minorEastAsia" w:cstheme="minorEastAsia"/>
                <w:b/>
                <w:bCs/>
                <w:color w:val="auto"/>
                <w:szCs w:val="21"/>
                <w:highlight w:val="none"/>
                <w:lang w:eastAsia="zh-CN"/>
              </w:rPr>
              <w:t>（或</w:t>
            </w:r>
            <w:r>
              <w:rPr>
                <w:rFonts w:hint="eastAsia" w:asciiTheme="minorEastAsia" w:hAnsiTheme="minorEastAsia" w:eastAsiaTheme="minorEastAsia" w:cstheme="minorEastAsia"/>
                <w:b/>
                <w:bCs/>
                <w:color w:val="auto"/>
                <w:szCs w:val="21"/>
                <w:highlight w:val="none"/>
              </w:rPr>
              <w:t>CA电子签章</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rPr>
              <w:t>否则响应文件按无效响应处理</w:t>
            </w:r>
            <w:r>
              <w:rPr>
                <w:rFonts w:hint="eastAsia" w:asciiTheme="minorEastAsia" w:hAnsiTheme="minorEastAsia" w:eastAsiaTheme="minorEastAsia" w:cstheme="minorEastAsia"/>
                <w:b/>
                <w:bCs/>
                <w:color w:val="auto"/>
                <w:szCs w:val="21"/>
                <w:highlight w:val="none"/>
              </w:rPr>
              <w:t>。</w:t>
            </w:r>
          </w:p>
        </w:tc>
      </w:tr>
      <w:tr w14:paraId="6465A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Align w:val="center"/>
          </w:tcPr>
          <w:p w14:paraId="10C78C75">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12.1.2</w:t>
            </w:r>
          </w:p>
        </w:tc>
        <w:tc>
          <w:tcPr>
            <w:tcW w:w="8931" w:type="dxa"/>
            <w:vAlign w:val="top"/>
          </w:tcPr>
          <w:p w14:paraId="5A563E4D">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报价文件</w:t>
            </w:r>
          </w:p>
          <w:p w14:paraId="13867A34">
            <w:pPr>
              <w:keepNext w:val="0"/>
              <w:keepLines w:val="0"/>
              <w:pageBreakBefore w:val="0"/>
              <w:widowControl w:val="0"/>
              <w:numPr>
                <w:ilvl w:val="0"/>
                <w:numId w:val="1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color w:val="auto"/>
              </w:rPr>
              <w:t>竞标报价表（格式后附）；</w:t>
            </w:r>
            <w:r>
              <w:rPr>
                <w:rFonts w:hint="eastAsia" w:asciiTheme="minorEastAsia" w:hAnsiTheme="minorEastAsia" w:eastAsiaTheme="minorEastAsia" w:cstheme="minorEastAsia"/>
                <w:b/>
                <w:bCs/>
                <w:color w:val="auto"/>
              </w:rPr>
              <w:t>（必须提供，否则响应文件按无效响应处理）</w:t>
            </w:r>
          </w:p>
          <w:p w14:paraId="6AEA6FE0">
            <w:pPr>
              <w:keepNext w:val="0"/>
              <w:keepLines w:val="0"/>
              <w:pageBreakBefore w:val="0"/>
              <w:widowControl w:val="0"/>
              <w:numPr>
                <w:ilvl w:val="0"/>
                <w:numId w:val="1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bCs/>
                <w:color w:val="auto"/>
                <w:lang w:val="en-US" w:eastAsia="zh-CN"/>
              </w:rPr>
            </w:pPr>
            <w:r>
              <w:rPr>
                <w:rFonts w:hint="eastAsia" w:asciiTheme="minorEastAsia" w:hAnsiTheme="minorEastAsia" w:eastAsiaTheme="minorEastAsia" w:cstheme="minorEastAsia"/>
                <w:b w:val="0"/>
                <w:bCs w:val="0"/>
                <w:color w:val="auto"/>
                <w:lang w:val="en-US" w:eastAsia="zh-CN"/>
              </w:rPr>
              <w:t>报价明细表</w:t>
            </w:r>
            <w:r>
              <w:rPr>
                <w:rFonts w:hint="eastAsia" w:asciiTheme="minorEastAsia" w:hAnsiTheme="minorEastAsia" w:eastAsiaTheme="minorEastAsia" w:cstheme="minorEastAsia"/>
                <w:b w:val="0"/>
                <w:bCs w:val="0"/>
                <w:color w:val="auto"/>
              </w:rPr>
              <w:t>（格式后附）</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b/>
                <w:bCs/>
                <w:color w:val="auto"/>
              </w:rPr>
              <w:t>（必须提供，否则响应文件按无效响应处理）</w:t>
            </w:r>
          </w:p>
          <w:p w14:paraId="7634BFF9">
            <w:pPr>
              <w:keepNext w:val="0"/>
              <w:keepLines w:val="0"/>
              <w:pageBreakBefore w:val="0"/>
              <w:widowControl w:val="0"/>
              <w:numPr>
                <w:ilvl w:val="0"/>
                <w:numId w:val="1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rPr>
              <w:t>中小企业声明函（格式后附）</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color w:val="auto"/>
                <w:lang w:eastAsia="zh-CN"/>
              </w:rPr>
              <w:t>如有，请提供</w:t>
            </w:r>
            <w:r>
              <w:rPr>
                <w:rFonts w:hint="eastAsia" w:asciiTheme="minorEastAsia" w:hAnsiTheme="minorEastAsia" w:eastAsiaTheme="minorEastAsia" w:cstheme="minorEastAsia"/>
                <w:color w:val="auto"/>
              </w:rPr>
              <w:t>）</w:t>
            </w:r>
          </w:p>
          <w:p w14:paraId="0B7FC000">
            <w:pPr>
              <w:keepNext w:val="0"/>
              <w:keepLines w:val="0"/>
              <w:pageBreakBefore w:val="0"/>
              <w:widowControl w:val="0"/>
              <w:numPr>
                <w:ilvl w:val="0"/>
                <w:numId w:val="1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rPr>
              <w:t>符合本国产品标准的声明函（格式后附）</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color w:val="auto"/>
                <w:lang w:eastAsia="zh-CN"/>
              </w:rPr>
              <w:t>如有，请提供</w:t>
            </w:r>
            <w:r>
              <w:rPr>
                <w:rFonts w:hint="eastAsia" w:asciiTheme="minorEastAsia" w:hAnsiTheme="minorEastAsia" w:eastAsiaTheme="minorEastAsia" w:cstheme="minorEastAsia"/>
                <w:color w:val="auto"/>
              </w:rPr>
              <w:t>）</w:t>
            </w:r>
          </w:p>
          <w:p w14:paraId="5201D075">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2"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注：以上标明“必须提供”</w:t>
            </w:r>
            <w:r>
              <w:rPr>
                <w:rFonts w:hint="eastAsia" w:asciiTheme="minorEastAsia" w:hAnsiTheme="minorEastAsia" w:eastAsiaTheme="minorEastAsia" w:cstheme="minorEastAsia"/>
                <w:b/>
                <w:bCs/>
                <w:color w:val="auto"/>
                <w:lang w:eastAsia="zh-CN"/>
              </w:rPr>
              <w:t>的材料属于复印件的，须</w:t>
            </w:r>
            <w:r>
              <w:rPr>
                <w:rFonts w:hint="eastAsia" w:asciiTheme="minorEastAsia" w:hAnsiTheme="minorEastAsia" w:eastAsiaTheme="minorEastAsia" w:cstheme="minorEastAsia"/>
                <w:b/>
                <w:bCs/>
                <w:color w:val="auto"/>
              </w:rPr>
              <w:t>加盖</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lang w:val="en-US" w:eastAsia="zh-CN"/>
              </w:rPr>
              <w:t>公章</w:t>
            </w:r>
            <w:r>
              <w:rPr>
                <w:rFonts w:hint="eastAsia" w:asciiTheme="minorEastAsia" w:hAnsiTheme="minorEastAsia" w:eastAsiaTheme="minorEastAsia" w:cstheme="minorEastAsia"/>
                <w:b/>
                <w:bCs/>
                <w:color w:val="auto"/>
                <w:szCs w:val="21"/>
                <w:highlight w:val="none"/>
                <w:lang w:eastAsia="zh-CN"/>
              </w:rPr>
              <w:t>（或</w:t>
            </w:r>
            <w:r>
              <w:rPr>
                <w:rFonts w:hint="eastAsia" w:asciiTheme="minorEastAsia" w:hAnsiTheme="minorEastAsia" w:eastAsiaTheme="minorEastAsia" w:cstheme="minorEastAsia"/>
                <w:b/>
                <w:bCs/>
                <w:color w:val="auto"/>
                <w:szCs w:val="21"/>
                <w:highlight w:val="none"/>
              </w:rPr>
              <w:t>CA电子签章</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rPr>
              <w:t>，否则响应文件按无效响应处理。</w:t>
            </w:r>
          </w:p>
        </w:tc>
      </w:tr>
      <w:tr w14:paraId="60E60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Align w:val="center"/>
          </w:tcPr>
          <w:p w14:paraId="0B552E17">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12.1.3</w:t>
            </w:r>
          </w:p>
        </w:tc>
        <w:tc>
          <w:tcPr>
            <w:tcW w:w="8931" w:type="dxa"/>
            <w:vAlign w:val="top"/>
          </w:tcPr>
          <w:p w14:paraId="1507304D">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商务技术文件</w:t>
            </w:r>
          </w:p>
          <w:p w14:paraId="5EA435FF">
            <w:pPr>
              <w:keepNext w:val="0"/>
              <w:keepLines w:val="0"/>
              <w:pageBreakBefore w:val="0"/>
              <w:widowControl w:val="0"/>
              <w:numPr>
                <w:ilvl w:val="0"/>
                <w:numId w:val="12"/>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color w:val="auto"/>
              </w:rPr>
              <w:t>无串通竞标行为的承诺函（格式后附）；</w:t>
            </w:r>
            <w:r>
              <w:rPr>
                <w:rFonts w:hint="eastAsia" w:asciiTheme="minorEastAsia" w:hAnsiTheme="minorEastAsia" w:eastAsiaTheme="minorEastAsia" w:cstheme="minorEastAsia"/>
                <w:b/>
                <w:bCs/>
                <w:color w:val="auto"/>
              </w:rPr>
              <w:t>（必须提供，否则响应文件按无效响应处理）</w:t>
            </w:r>
          </w:p>
          <w:p w14:paraId="4EE4C7B8">
            <w:pPr>
              <w:keepNext w:val="0"/>
              <w:keepLines w:val="0"/>
              <w:pageBreakBefore w:val="0"/>
              <w:widowControl w:val="0"/>
              <w:numPr>
                <w:ilvl w:val="0"/>
                <w:numId w:val="12"/>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法定代表人身份证明及法定代表人有效身份证正反面（格式后附）； </w:t>
            </w:r>
            <w:r>
              <w:rPr>
                <w:rFonts w:hint="eastAsia" w:asciiTheme="minorEastAsia" w:hAnsiTheme="minorEastAsia" w:eastAsiaTheme="minorEastAsia" w:cstheme="minorEastAsia"/>
                <w:b/>
                <w:bCs/>
                <w:color w:val="auto"/>
              </w:rPr>
              <w:t>（必须提供，否则响应文件按无效响应处理）</w:t>
            </w:r>
          </w:p>
          <w:p w14:paraId="50797414">
            <w:pPr>
              <w:keepNext w:val="0"/>
              <w:keepLines w:val="0"/>
              <w:pageBreakBefore w:val="0"/>
              <w:widowControl w:val="0"/>
              <w:numPr>
                <w:ilvl w:val="0"/>
                <w:numId w:val="12"/>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rPr>
              <w:t>授权委托书及委托代理人有效身份证正反面（格式后附）；</w:t>
            </w:r>
            <w:r>
              <w:rPr>
                <w:rFonts w:hint="eastAsia" w:asciiTheme="minorEastAsia" w:hAnsiTheme="minorEastAsia" w:eastAsiaTheme="minorEastAsia" w:cstheme="minorEastAsia"/>
                <w:b/>
                <w:bCs/>
                <w:color w:val="auto"/>
              </w:rPr>
              <w:t>（委托时必须提供，否则响应文件按无效响应处理）</w:t>
            </w:r>
          </w:p>
          <w:p w14:paraId="3F158AF0">
            <w:pPr>
              <w:keepNext w:val="0"/>
              <w:keepLines w:val="0"/>
              <w:pageBreakBefore w:val="0"/>
              <w:widowControl w:val="0"/>
              <w:numPr>
                <w:ilvl w:val="0"/>
                <w:numId w:val="12"/>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保证金缴纳凭证</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b/>
                <w:bCs/>
                <w:color w:val="auto"/>
              </w:rPr>
              <w:t>（必须提供，否则响应文件按无效响应处理）</w:t>
            </w:r>
          </w:p>
          <w:p w14:paraId="505ACA1B">
            <w:pPr>
              <w:keepNext w:val="0"/>
              <w:keepLines w:val="0"/>
              <w:pageBreakBefore w:val="0"/>
              <w:widowControl w:val="0"/>
              <w:numPr>
                <w:ilvl w:val="0"/>
                <w:numId w:val="12"/>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商务要求偏离表（格式后附）；</w:t>
            </w:r>
            <w:r>
              <w:rPr>
                <w:rFonts w:hint="eastAsia" w:asciiTheme="minorEastAsia" w:hAnsiTheme="minorEastAsia" w:eastAsiaTheme="minorEastAsia" w:cstheme="minorEastAsia"/>
                <w:b/>
                <w:bCs/>
                <w:color w:val="auto"/>
              </w:rPr>
              <w:t>（必须提供，否则响应文件按无效响应处理）</w:t>
            </w:r>
          </w:p>
          <w:p w14:paraId="4E3C374B">
            <w:pPr>
              <w:keepNext w:val="0"/>
              <w:keepLines w:val="0"/>
              <w:pageBreakBefore w:val="0"/>
              <w:widowControl w:val="0"/>
              <w:numPr>
                <w:ilvl w:val="0"/>
                <w:numId w:val="12"/>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服务方案及承诺书（格式自拟）；</w:t>
            </w:r>
            <w:r>
              <w:rPr>
                <w:rFonts w:hint="eastAsia" w:asciiTheme="minorEastAsia" w:hAnsiTheme="minorEastAsia" w:eastAsiaTheme="minorEastAsia" w:cstheme="minorEastAsia"/>
                <w:b/>
                <w:bCs/>
                <w:color w:val="auto"/>
              </w:rPr>
              <w:t>（必须提供，否则响应文件按无效响应处理）</w:t>
            </w:r>
          </w:p>
          <w:p w14:paraId="386B5F80">
            <w:pPr>
              <w:keepNext w:val="0"/>
              <w:keepLines w:val="0"/>
              <w:pageBreakBefore w:val="0"/>
              <w:widowControl w:val="0"/>
              <w:numPr>
                <w:ilvl w:val="0"/>
                <w:numId w:val="12"/>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技术要求偏离表（格式后附）；</w:t>
            </w:r>
            <w:r>
              <w:rPr>
                <w:rFonts w:hint="eastAsia" w:asciiTheme="minorEastAsia" w:hAnsiTheme="minorEastAsia" w:eastAsiaTheme="minorEastAsia" w:cstheme="minorEastAsia"/>
                <w:b/>
                <w:bCs/>
                <w:color w:val="auto"/>
              </w:rPr>
              <w:t>（必须提供，否则响应文件按无效响应处理）</w:t>
            </w:r>
          </w:p>
          <w:p w14:paraId="27F30152">
            <w:pPr>
              <w:keepNext w:val="0"/>
              <w:keepLines w:val="0"/>
              <w:pageBreakBefore w:val="0"/>
              <w:widowControl w:val="0"/>
              <w:numPr>
                <w:ilvl w:val="0"/>
                <w:numId w:val="12"/>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对应采购需求的技术要求、商务要求提供的其他文件资料（格式自拟）；</w:t>
            </w:r>
          </w:p>
          <w:p w14:paraId="67423465">
            <w:pPr>
              <w:keepNext w:val="0"/>
              <w:keepLines w:val="0"/>
              <w:pageBreakBefore w:val="0"/>
              <w:widowControl w:val="0"/>
              <w:numPr>
                <w:ilvl w:val="0"/>
                <w:numId w:val="12"/>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供应商认为需要提供的其他有关资料。</w:t>
            </w:r>
          </w:p>
          <w:p w14:paraId="27885948">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2"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注：以上标明“必须提供”</w:t>
            </w:r>
            <w:r>
              <w:rPr>
                <w:rFonts w:hint="eastAsia" w:asciiTheme="minorEastAsia" w:hAnsiTheme="minorEastAsia" w:eastAsiaTheme="minorEastAsia" w:cstheme="minorEastAsia"/>
                <w:b/>
                <w:bCs/>
                <w:color w:val="auto"/>
                <w:lang w:eastAsia="zh-CN"/>
              </w:rPr>
              <w:t>的材料属于复印件的，须</w:t>
            </w:r>
            <w:r>
              <w:rPr>
                <w:rFonts w:hint="eastAsia" w:asciiTheme="minorEastAsia" w:hAnsiTheme="minorEastAsia" w:eastAsiaTheme="minorEastAsia" w:cstheme="minorEastAsia"/>
                <w:b/>
                <w:bCs/>
                <w:color w:val="auto"/>
              </w:rPr>
              <w:t>加盖</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lang w:val="en-US" w:eastAsia="zh-CN"/>
              </w:rPr>
              <w:t>公章</w:t>
            </w:r>
            <w:r>
              <w:rPr>
                <w:rFonts w:hint="eastAsia" w:asciiTheme="minorEastAsia" w:hAnsiTheme="minorEastAsia" w:eastAsiaTheme="minorEastAsia" w:cstheme="minorEastAsia"/>
                <w:b/>
                <w:bCs/>
                <w:color w:val="auto"/>
                <w:szCs w:val="21"/>
                <w:highlight w:val="none"/>
                <w:lang w:eastAsia="zh-CN"/>
              </w:rPr>
              <w:t>（或</w:t>
            </w:r>
            <w:r>
              <w:rPr>
                <w:rFonts w:hint="eastAsia" w:asciiTheme="minorEastAsia" w:hAnsiTheme="minorEastAsia" w:eastAsiaTheme="minorEastAsia" w:cstheme="minorEastAsia"/>
                <w:b/>
                <w:bCs/>
                <w:color w:val="auto"/>
                <w:szCs w:val="21"/>
                <w:highlight w:val="none"/>
              </w:rPr>
              <w:t>CA电子签章</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rPr>
              <w:t>，否则响应文件按无效响应处理。</w:t>
            </w:r>
          </w:p>
        </w:tc>
      </w:tr>
      <w:tr w14:paraId="376C0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0B2E4BED">
            <w:pPr>
              <w:spacing w:before="68"/>
              <w:ind w:left="0" w:leftChars="0"/>
              <w:jc w:val="center"/>
              <w:rPr>
                <w:rFonts w:hint="eastAsia" w:asciiTheme="minorEastAsia" w:hAnsiTheme="minorEastAsia" w:eastAsiaTheme="minorEastAsia" w:cstheme="minorEastAsia"/>
                <w:b/>
                <w:bCs/>
                <w:color w:val="auto"/>
                <w:highlight w:val="none"/>
                <w:lang w:val="en-US" w:eastAsia="en-US"/>
              </w:rPr>
            </w:pPr>
            <w:r>
              <w:rPr>
                <w:rFonts w:hint="eastAsia" w:asciiTheme="minorEastAsia" w:hAnsiTheme="minorEastAsia" w:eastAsiaTheme="minorEastAsia" w:cstheme="minorEastAsia"/>
                <w:b/>
                <w:bCs/>
                <w:color w:val="auto"/>
                <w:highlight w:val="none"/>
              </w:rPr>
              <w:t>15.2</w:t>
            </w:r>
          </w:p>
        </w:tc>
        <w:tc>
          <w:tcPr>
            <w:tcW w:w="8931" w:type="dxa"/>
            <w:shd w:val="clear" w:color="auto" w:fill="auto"/>
            <w:vAlign w:val="top"/>
          </w:tcPr>
          <w:p w14:paraId="2D391E0A">
            <w:pPr>
              <w:keepNext w:val="0"/>
              <w:keepLines w:val="0"/>
              <w:pageBreakBefore w:val="0"/>
              <w:widowControl w:val="0"/>
              <w:kinsoku/>
              <w:wordWrap w:val="0"/>
              <w:overflowPunct/>
              <w:topLinePunct/>
              <w:autoSpaceDE/>
              <w:autoSpaceDN/>
              <w:bidi w:val="0"/>
              <w:adjustRightInd/>
              <w:snapToGrid w:val="0"/>
              <w:spacing w:line="360" w:lineRule="auto"/>
              <w:ind w:right="0" w:rightChars="0"/>
              <w:jc w:val="both"/>
              <w:textAlignment w:val="auto"/>
              <w:rPr>
                <w:rFonts w:hint="eastAsia" w:asciiTheme="minorEastAsia" w:hAnsiTheme="minorEastAsia" w:eastAsiaTheme="minorEastAsia" w:cstheme="minorEastAsia"/>
                <w:color w:val="auto"/>
                <w:highlight w:val="none"/>
                <w:lang w:val="en-US" w:eastAsia="en-US"/>
              </w:rPr>
            </w:pPr>
            <w:r>
              <w:rPr>
                <w:rFonts w:hint="eastAsia" w:asciiTheme="minorEastAsia" w:hAnsiTheme="minorEastAsia" w:eastAsiaTheme="minorEastAsia" w:cstheme="minorEastAsia"/>
                <w:color w:val="auto"/>
                <w:highlight w:val="none"/>
              </w:rPr>
              <w:t>竞标报价包含竞标货物（包括备品备件、专用工具等）的价格，竞标货物运输（如有，含保险）、安装、调试、检验、技术服务、培训和谈判文件要求提供的所有伴随服务、工程等费用和税费。</w:t>
            </w:r>
          </w:p>
        </w:tc>
      </w:tr>
      <w:tr w14:paraId="38C76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2368FA59">
            <w:pPr>
              <w:spacing w:before="57"/>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16.2</w:t>
            </w:r>
          </w:p>
        </w:tc>
        <w:tc>
          <w:tcPr>
            <w:tcW w:w="8931" w:type="dxa"/>
            <w:shd w:val="clear" w:color="auto" w:fill="auto"/>
            <w:vAlign w:val="top"/>
          </w:tcPr>
          <w:p w14:paraId="5C0A84B8">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竞标有效期：首次响应文件提交截止之日起</w:t>
            </w:r>
            <w:r>
              <w:rPr>
                <w:rFonts w:hint="eastAsia" w:asciiTheme="minorEastAsia" w:hAnsiTheme="minorEastAsia" w:eastAsiaTheme="minorEastAsia" w:cstheme="minorEastAsia"/>
                <w:color w:val="auto"/>
                <w:lang w:val="en-US" w:eastAsia="zh-CN"/>
              </w:rPr>
              <w:t>90</w:t>
            </w:r>
            <w:r>
              <w:rPr>
                <w:rFonts w:hint="eastAsia" w:asciiTheme="minorEastAsia" w:hAnsiTheme="minorEastAsia" w:eastAsiaTheme="minorEastAsia" w:cstheme="minorEastAsia"/>
                <w:color w:val="auto"/>
                <w:lang w:eastAsia="zh-CN"/>
              </w:rPr>
              <w:t>日</w:t>
            </w:r>
            <w:r>
              <w:rPr>
                <w:rFonts w:hint="eastAsia" w:asciiTheme="minorEastAsia" w:hAnsiTheme="minorEastAsia" w:eastAsiaTheme="minorEastAsia" w:cstheme="minorEastAsia"/>
                <w:color w:val="auto"/>
              </w:rPr>
              <w:t>。</w:t>
            </w:r>
          </w:p>
        </w:tc>
      </w:tr>
      <w:tr w14:paraId="3ACB2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1A6271AA">
            <w:pPr>
              <w:spacing w:before="31"/>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17.1</w:t>
            </w:r>
          </w:p>
        </w:tc>
        <w:tc>
          <w:tcPr>
            <w:tcW w:w="8931" w:type="dxa"/>
            <w:shd w:val="clear" w:color="auto" w:fill="auto"/>
            <w:vAlign w:val="top"/>
          </w:tcPr>
          <w:p w14:paraId="70ED32A1">
            <w:p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sym w:font="Wingdings 2" w:char="00A3"/>
            </w:r>
            <w:r>
              <w:rPr>
                <w:rFonts w:hint="eastAsia" w:asciiTheme="minorEastAsia" w:hAnsiTheme="minorEastAsia" w:eastAsiaTheme="minorEastAsia" w:cstheme="minorEastAsia"/>
                <w:color w:val="auto"/>
                <w:szCs w:val="21"/>
                <w:highlight w:val="none"/>
              </w:rPr>
              <w:t>本项目不收取</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保证金。</w:t>
            </w:r>
          </w:p>
          <w:p w14:paraId="62FD657A">
            <w:pPr>
              <w:pStyle w:val="25"/>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0" w:firstLineChars="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sym w:font="Wingdings 2" w:char="0052"/>
            </w:r>
            <w:r>
              <w:rPr>
                <w:rFonts w:hint="eastAsia" w:asciiTheme="minorEastAsia" w:hAnsiTheme="minorEastAsia" w:eastAsiaTheme="minorEastAsia" w:cstheme="minorEastAsia"/>
                <w:color w:val="auto"/>
                <w:szCs w:val="21"/>
                <w:highlight w:val="none"/>
              </w:rPr>
              <w:t>本项目收取谈判保证金，具体规定如下：</w:t>
            </w:r>
          </w:p>
          <w:p w14:paraId="2301C5DA">
            <w:pPr>
              <w:pStyle w:val="25"/>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0" w:firstLineChars="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谈判保证金的金额：人民币伍仟元整（¥5000.00元）</w:t>
            </w:r>
          </w:p>
          <w:p w14:paraId="6D7FB8C2">
            <w:pPr>
              <w:pStyle w:val="25"/>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0" w:firstLine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sz w:val="21"/>
                <w:szCs w:val="21"/>
              </w:rPr>
              <w:t>供应商应于截标时间前将</w:t>
            </w:r>
            <w:r>
              <w:rPr>
                <w:rFonts w:hint="eastAsia" w:asciiTheme="minorEastAsia" w:hAnsiTheme="minorEastAsia" w:eastAsiaTheme="minorEastAsia" w:cstheme="minorEastAsia"/>
                <w:color w:val="auto"/>
                <w:sz w:val="21"/>
                <w:szCs w:val="21"/>
                <w:lang w:eastAsia="zh-CN"/>
              </w:rPr>
              <w:t>谈判</w:t>
            </w:r>
            <w:r>
              <w:rPr>
                <w:rFonts w:hint="eastAsia" w:asciiTheme="minorEastAsia" w:hAnsiTheme="minorEastAsia" w:eastAsiaTheme="minorEastAsia" w:cstheme="minorEastAsia"/>
                <w:color w:val="auto"/>
                <w:sz w:val="21"/>
                <w:szCs w:val="21"/>
              </w:rPr>
              <w:t>保证金以电汇、转帐、网上银行支付、支票、汇票、本票、保险或者保函等非现金形式提交至保证金专户，【开户名称：广西德润天怡咨询有限公司；开户银行：柳州银行九洲国际支行；银行账号：70606500000000011579】（以银行入账时间为准）。</w:t>
            </w:r>
          </w:p>
        </w:tc>
      </w:tr>
      <w:tr w14:paraId="1B115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7BE76039">
            <w:pPr>
              <w:spacing w:before="243"/>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18.2</w:t>
            </w:r>
          </w:p>
        </w:tc>
        <w:tc>
          <w:tcPr>
            <w:tcW w:w="8931" w:type="dxa"/>
            <w:shd w:val="clear" w:color="auto" w:fill="auto"/>
            <w:vAlign w:val="top"/>
          </w:tcPr>
          <w:p w14:paraId="21D4E506">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响应文件应按资格证明文件、报价文件、商务技术文件分别编制，并按广西政府采购云平台的要求编制、加密、上传。</w:t>
            </w:r>
          </w:p>
        </w:tc>
      </w:tr>
      <w:tr w14:paraId="61EAB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0FC03F54">
            <w:pPr>
              <w:spacing w:before="274"/>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20.1</w:t>
            </w:r>
          </w:p>
        </w:tc>
        <w:tc>
          <w:tcPr>
            <w:tcW w:w="8931" w:type="dxa"/>
            <w:shd w:val="clear" w:color="auto" w:fill="auto"/>
            <w:vAlign w:val="top"/>
          </w:tcPr>
          <w:p w14:paraId="66D0D9CD">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首次响应文件提交截止时间：详见竞争性谈判公告。</w:t>
            </w:r>
          </w:p>
          <w:p w14:paraId="7CFFB382">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首次响应文件提交地点：详见竞争性谈判公告。</w:t>
            </w:r>
          </w:p>
        </w:tc>
      </w:tr>
      <w:tr w14:paraId="27BD6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1955FEB0">
            <w:pPr>
              <w:spacing w:before="101"/>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24.1</w:t>
            </w:r>
          </w:p>
        </w:tc>
        <w:tc>
          <w:tcPr>
            <w:tcW w:w="8931" w:type="dxa"/>
            <w:shd w:val="clear" w:color="auto" w:fill="auto"/>
            <w:vAlign w:val="top"/>
          </w:tcPr>
          <w:p w14:paraId="68BF729C">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谈判小组的人数：3 人。</w:t>
            </w:r>
          </w:p>
        </w:tc>
      </w:tr>
      <w:tr w14:paraId="37174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27B61D85">
            <w:pPr>
              <w:spacing w:before="69"/>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25.2</w:t>
            </w:r>
          </w:p>
        </w:tc>
        <w:tc>
          <w:tcPr>
            <w:tcW w:w="8931" w:type="dxa"/>
            <w:shd w:val="clear" w:color="auto" w:fill="auto"/>
            <w:vAlign w:val="top"/>
          </w:tcPr>
          <w:p w14:paraId="739D98DF">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采购代理机构将依托电子交易平台发起开始解密指令，供应商的法定代表人或其委托代理人须携带加密时所用的 CA 锁按平台提示和采购文件的规定登录到广西政府采购云平台电子开标大厅签到并在发起解密指令之时起 30 分钟内完成对电子响应文件在线解密。响应文件未按时解密的，视为响应文件无效。</w:t>
            </w:r>
          </w:p>
        </w:tc>
      </w:tr>
      <w:tr w14:paraId="4FC6E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Merge w:val="restart"/>
            <w:shd w:val="clear" w:color="auto" w:fill="auto"/>
            <w:vAlign w:val="center"/>
          </w:tcPr>
          <w:p w14:paraId="496F591D">
            <w:pPr>
              <w:spacing w:before="68"/>
              <w:ind w:left="0" w:leftChars="0"/>
              <w:jc w:val="center"/>
              <w:rPr>
                <w:rFonts w:hint="eastAsia" w:asciiTheme="minorEastAsia" w:hAnsiTheme="minorEastAsia" w:eastAsiaTheme="minorEastAsia" w:cstheme="minorEastAsia"/>
                <w:b/>
                <w:bCs/>
                <w:color w:val="auto"/>
                <w:lang w:val="en-US" w:eastAsia="zh-CN"/>
              </w:rPr>
            </w:pPr>
            <w:r>
              <w:rPr>
                <w:rFonts w:hint="eastAsia" w:asciiTheme="minorEastAsia" w:hAnsiTheme="minorEastAsia" w:eastAsiaTheme="minorEastAsia" w:cstheme="minorEastAsia"/>
                <w:b/>
                <w:bCs/>
                <w:color w:val="auto"/>
                <w:lang w:val="en-US" w:eastAsia="zh-CN"/>
              </w:rPr>
              <w:t>26</w:t>
            </w:r>
          </w:p>
        </w:tc>
        <w:tc>
          <w:tcPr>
            <w:tcW w:w="8931" w:type="dxa"/>
            <w:shd w:val="clear" w:color="auto" w:fill="auto"/>
            <w:vAlign w:val="top"/>
          </w:tcPr>
          <w:p w14:paraId="52253B7A">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商务要求评审中允许负偏离的条款数为</w:t>
            </w:r>
            <w:r>
              <w:rPr>
                <w:rFonts w:hint="eastAsia" w:asciiTheme="minorEastAsia" w:hAnsiTheme="minorEastAsia" w:eastAsiaTheme="minorEastAsia" w:cstheme="minorEastAsia"/>
                <w:color w:val="auto"/>
                <w:highlight w:val="none"/>
                <w:u w:val="single"/>
              </w:rPr>
              <w:t xml:space="preserve">  0</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w:t>
            </w:r>
          </w:p>
          <w:p w14:paraId="0A5D8EE8">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rPr>
              <w:t>技术要求评审中允许负偏离的条款数为</w:t>
            </w:r>
            <w:r>
              <w:rPr>
                <w:rFonts w:hint="eastAsia" w:asciiTheme="minorEastAsia" w:hAnsiTheme="minorEastAsia" w:eastAsiaTheme="minorEastAsia" w:cstheme="minorEastAsia"/>
                <w:color w:val="auto"/>
                <w:highlight w:val="none"/>
                <w:u w:val="single"/>
              </w:rPr>
              <w:t xml:space="preserve">  0</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w:t>
            </w:r>
          </w:p>
        </w:tc>
      </w:tr>
      <w:tr w14:paraId="04683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Merge w:val="continue"/>
            <w:vAlign w:val="center"/>
          </w:tcPr>
          <w:p w14:paraId="2D085218">
            <w:pPr>
              <w:spacing w:before="69"/>
              <w:ind w:left="298" w:leftChars="0"/>
              <w:jc w:val="center"/>
              <w:rPr>
                <w:rFonts w:hint="eastAsia" w:asciiTheme="minorEastAsia" w:hAnsiTheme="minorEastAsia" w:eastAsiaTheme="minorEastAsia" w:cstheme="minorEastAsia"/>
                <w:b/>
                <w:bCs/>
                <w:color w:val="auto"/>
              </w:rPr>
            </w:pPr>
          </w:p>
        </w:tc>
        <w:tc>
          <w:tcPr>
            <w:tcW w:w="8931" w:type="dxa"/>
            <w:shd w:val="clear" w:color="auto" w:fill="auto"/>
            <w:vAlign w:val="top"/>
          </w:tcPr>
          <w:p w14:paraId="7A307595">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谈判的顺序：按照提交首次响应文件的顺序，通知谈判时，若某供应商不在通知现场时，该供应商排序到最后谈判，按照签到的顺序由其下一位供应商先参与谈判。</w:t>
            </w:r>
          </w:p>
        </w:tc>
      </w:tr>
      <w:tr w14:paraId="26E1D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Merge w:val="continue"/>
            <w:vAlign w:val="center"/>
          </w:tcPr>
          <w:p w14:paraId="5CA21D1A">
            <w:pPr>
              <w:spacing w:before="69"/>
              <w:ind w:left="298" w:leftChars="0"/>
              <w:jc w:val="center"/>
              <w:rPr>
                <w:rFonts w:hint="eastAsia" w:asciiTheme="minorEastAsia" w:hAnsiTheme="minorEastAsia" w:eastAsiaTheme="minorEastAsia" w:cstheme="minorEastAsia"/>
                <w:b/>
                <w:bCs/>
                <w:color w:val="auto"/>
              </w:rPr>
            </w:pPr>
          </w:p>
        </w:tc>
        <w:tc>
          <w:tcPr>
            <w:tcW w:w="8931" w:type="dxa"/>
            <w:shd w:val="clear" w:color="auto" w:fill="auto"/>
            <w:vAlign w:val="top"/>
          </w:tcPr>
          <w:p w14:paraId="0B827B3C">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评标价相同时，按照最后报价由低到高顺序依次推荐；最后报价相同时，按节能环保优先、技术指标高优先、质保期长优先、交货期短优先、故障响应时间短优先的顺序依次推荐。</w:t>
            </w:r>
          </w:p>
        </w:tc>
      </w:tr>
      <w:tr w14:paraId="572DC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3C64B9A4">
            <w:pPr>
              <w:spacing w:before="68"/>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28.1</w:t>
            </w:r>
          </w:p>
        </w:tc>
        <w:tc>
          <w:tcPr>
            <w:tcW w:w="8931" w:type="dxa"/>
            <w:shd w:val="clear" w:color="auto" w:fill="auto"/>
            <w:vAlign w:val="top"/>
          </w:tcPr>
          <w:p w14:paraId="4DEE316C">
            <w:pPr>
              <w:keepNext w:val="0"/>
              <w:keepLines w:val="0"/>
              <w:pageBreakBefore w:val="0"/>
              <w:widowControl w:val="0"/>
              <w:kinsoku/>
              <w:wordWrap w:val="0"/>
              <w:overflowPunct/>
              <w:topLinePunct/>
              <w:autoSpaceDE/>
              <w:autoSpaceDN/>
              <w:bidi w:val="0"/>
              <w:adjustRightInd/>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sym w:font="Wingdings 2" w:char="0052"/>
            </w:r>
            <w:r>
              <w:rPr>
                <w:rFonts w:hint="eastAsia" w:asciiTheme="minorEastAsia" w:hAnsiTheme="minorEastAsia" w:eastAsiaTheme="minorEastAsia" w:cstheme="minorEastAsia"/>
                <w:color w:val="auto"/>
                <w:szCs w:val="21"/>
                <w:highlight w:val="none"/>
              </w:rPr>
              <w:t>本项目不收取履约保证金。</w:t>
            </w:r>
          </w:p>
          <w:p w14:paraId="0788AF17">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rPr>
              <w:t>□本项目收取履约保证金，具体规定如下：</w:t>
            </w:r>
          </w:p>
          <w:p w14:paraId="1D89D93C">
            <w:pPr>
              <w:keepNext w:val="0"/>
              <w:keepLines w:val="0"/>
              <w:pageBreakBefore w:val="0"/>
              <w:widowControl w:val="0"/>
              <w:numPr>
                <w:ilvl w:val="0"/>
                <w:numId w:val="13"/>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履约保证金金额：</w:t>
            </w:r>
          </w:p>
          <w:p w14:paraId="431DD3BB">
            <w:pPr>
              <w:keepNext w:val="0"/>
              <w:keepLines w:val="0"/>
              <w:pageBreakBefore w:val="0"/>
              <w:widowControl w:val="0"/>
              <w:numPr>
                <w:ilvl w:val="0"/>
                <w:numId w:val="1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大型企业须缴纳履约保证金金额：合同金额的</w:t>
            </w:r>
            <w:r>
              <w:rPr>
                <w:rFonts w:hint="eastAsia" w:asciiTheme="minorEastAsia" w:hAnsiTheme="minorEastAsia" w:eastAsiaTheme="minorEastAsia" w:cstheme="minorEastAsia"/>
                <w:color w:val="auto"/>
                <w:u w:val="single"/>
              </w:rPr>
              <w:t xml:space="preserve"> 5%</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rPr>
              <w:t>。</w:t>
            </w:r>
          </w:p>
          <w:p w14:paraId="11C0F78C">
            <w:pPr>
              <w:keepNext w:val="0"/>
              <w:keepLines w:val="0"/>
              <w:pageBreakBefore w:val="0"/>
              <w:widowControl w:val="0"/>
              <w:numPr>
                <w:ilvl w:val="0"/>
                <w:numId w:val="1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中型企业须缴纳履约保证金金额：合同金额的</w:t>
            </w:r>
            <w:r>
              <w:rPr>
                <w:rFonts w:hint="eastAsia" w:asciiTheme="minorEastAsia" w:hAnsiTheme="minorEastAsia" w:eastAsiaTheme="minorEastAsia" w:cstheme="minorEastAsia"/>
                <w:color w:val="auto"/>
                <w:u w:val="single"/>
              </w:rPr>
              <w:t xml:space="preserve"> 2%</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rPr>
              <w:t>。</w:t>
            </w:r>
          </w:p>
          <w:p w14:paraId="1A96C4FC">
            <w:pPr>
              <w:keepNext w:val="0"/>
              <w:keepLines w:val="0"/>
              <w:pageBreakBefore w:val="0"/>
              <w:widowControl w:val="0"/>
              <w:numPr>
                <w:ilvl w:val="0"/>
                <w:numId w:val="1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小微企业或监狱企业或残疾人福利性单位：</w:t>
            </w:r>
            <w:r>
              <w:rPr>
                <w:rFonts w:hint="eastAsia" w:asciiTheme="minorEastAsia" w:hAnsiTheme="minorEastAsia" w:eastAsiaTheme="minorEastAsia" w:cstheme="minorEastAsia"/>
                <w:color w:val="auto"/>
                <w:u w:val="single"/>
              </w:rPr>
              <w:t>无须缴纳履约保证金</w:t>
            </w:r>
            <w:r>
              <w:rPr>
                <w:rFonts w:hint="eastAsia" w:asciiTheme="minorEastAsia" w:hAnsiTheme="minorEastAsia" w:eastAsiaTheme="minorEastAsia" w:cstheme="minorEastAsia"/>
                <w:color w:val="auto"/>
              </w:rPr>
              <w:t>。</w:t>
            </w:r>
          </w:p>
          <w:p w14:paraId="73348662">
            <w:pPr>
              <w:keepNext w:val="0"/>
              <w:keepLines w:val="0"/>
              <w:pageBreakBefore w:val="0"/>
              <w:widowControl w:val="0"/>
              <w:numPr>
                <w:ilvl w:val="0"/>
                <w:numId w:val="13"/>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履约保证金提交及退付方式、时间及条件：</w:t>
            </w:r>
          </w:p>
          <w:p w14:paraId="17F5F201">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Chars="20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合同签订前</w:t>
            </w:r>
            <w:r>
              <w:rPr>
                <w:rFonts w:hint="eastAsia" w:asciiTheme="minorEastAsia" w:hAnsiTheme="minorEastAsia" w:eastAsiaTheme="minorEastAsia" w:cstheme="minorEastAsia"/>
                <w:color w:val="auto"/>
                <w:lang w:val="en-US" w:eastAsia="zh-CN"/>
              </w:rPr>
              <w:t>5</w:t>
            </w:r>
            <w:r>
              <w:rPr>
                <w:rFonts w:hint="eastAsia" w:asciiTheme="minorEastAsia" w:hAnsiTheme="minorEastAsia" w:eastAsiaTheme="minorEastAsia" w:cstheme="minorEastAsia"/>
                <w:color w:val="auto"/>
              </w:rPr>
              <w:t xml:space="preserve"> 日内，成交供应商必须以银行转账、支票、汇票、本票或者银行、保险机构出具的保函、保险等非现金方式提交履约保证金。如成交供应商不按双方签订的合同履约的，采购人没收其全部履约保证金，并按合同相关条款追究成交供应商责任。履约保证金在合同履行完毕后 30 日内以非现金方式退还（不计利息）。</w:t>
            </w:r>
          </w:p>
          <w:p w14:paraId="12EFF543">
            <w:pPr>
              <w:keepNext w:val="0"/>
              <w:keepLines w:val="0"/>
              <w:pageBreakBefore w:val="0"/>
              <w:widowControl w:val="0"/>
              <w:numPr>
                <w:ilvl w:val="0"/>
                <w:numId w:val="13"/>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履约保证金账户：</w:t>
            </w:r>
          </w:p>
          <w:p w14:paraId="27B181BA">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名  称：</w:t>
            </w:r>
          </w:p>
          <w:p w14:paraId="607C731F">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开户行：</w:t>
            </w:r>
          </w:p>
          <w:p w14:paraId="19E7BDF8">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账  号：</w:t>
            </w:r>
          </w:p>
          <w:p w14:paraId="0748E6BC">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highlight w:val="none"/>
              </w:rPr>
              <w:t>转账时注明：“融水苗族自治县人民医院麻醉机采购项目”项目履约保证金。</w:t>
            </w:r>
          </w:p>
          <w:p w14:paraId="083B0B9C">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注：</w:t>
            </w:r>
          </w:p>
          <w:p w14:paraId="3F5C29B7">
            <w:pPr>
              <w:keepNext w:val="0"/>
              <w:keepLines w:val="0"/>
              <w:pageBreakBefore w:val="0"/>
              <w:widowControl w:val="0"/>
              <w:numPr>
                <w:ilvl w:val="0"/>
                <w:numId w:val="15"/>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履约保证金不足额缴纳的，或银行、保险机构出具的保函额度不足的或者保函有效期低于合同履行期限（即签订采购合同之日起至履行完合同约定的权利及义务之日止）的，不予签订合同。</w:t>
            </w:r>
          </w:p>
          <w:p w14:paraId="7598EA29">
            <w:pPr>
              <w:keepNext w:val="0"/>
              <w:keepLines w:val="0"/>
              <w:pageBreakBefore w:val="0"/>
              <w:widowControl w:val="0"/>
              <w:numPr>
                <w:ilvl w:val="0"/>
                <w:numId w:val="15"/>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采用银行、保险机构出具的保函的，必须为无条件保函，否则不予签订合同。</w:t>
            </w:r>
          </w:p>
          <w:p w14:paraId="54710866">
            <w:pPr>
              <w:keepNext w:val="0"/>
              <w:keepLines w:val="0"/>
              <w:pageBreakBefore w:val="0"/>
              <w:widowControl w:val="0"/>
              <w:numPr>
                <w:ilvl w:val="0"/>
                <w:numId w:val="15"/>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所称小微企业(含小型、微型企业，下同)应当同时符合以下条件：</w:t>
            </w:r>
          </w:p>
          <w:p w14:paraId="425D220E">
            <w:pPr>
              <w:keepNext w:val="0"/>
              <w:keepLines w:val="0"/>
              <w:pageBreakBefore w:val="0"/>
              <w:widowControl w:val="0"/>
              <w:numPr>
                <w:ilvl w:val="0"/>
                <w:numId w:val="16"/>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符合《关于印发中小企业划型标准规定的通知》（工信部联企业〔2011〕300 号），小微企业划分标准，本项目所属行业为软件和信息技术服务业；</w:t>
            </w:r>
          </w:p>
          <w:p w14:paraId="6CFB4876">
            <w:pPr>
              <w:keepNext w:val="0"/>
              <w:keepLines w:val="0"/>
              <w:pageBreakBefore w:val="0"/>
              <w:widowControl w:val="0"/>
              <w:numPr>
                <w:ilvl w:val="0"/>
                <w:numId w:val="16"/>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提供本企业制造的货物、承担的工程或者服务，或者提供其他小微企业制造的货物。本项所称货物不包括使用中大型企业注册商标的货物；</w:t>
            </w:r>
          </w:p>
          <w:p w14:paraId="33753E63">
            <w:pPr>
              <w:keepNext w:val="0"/>
              <w:keepLines w:val="0"/>
              <w:pageBreakBefore w:val="0"/>
              <w:widowControl w:val="0"/>
              <w:numPr>
                <w:ilvl w:val="0"/>
                <w:numId w:val="16"/>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小型、微型企业提供中大型企业制造的货物的，视同为中大型企业。</w:t>
            </w:r>
          </w:p>
        </w:tc>
      </w:tr>
      <w:tr w14:paraId="07F28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3B6A923E">
            <w:pPr>
              <w:spacing w:before="68"/>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29.1</w:t>
            </w:r>
          </w:p>
        </w:tc>
        <w:tc>
          <w:tcPr>
            <w:tcW w:w="8931" w:type="dxa"/>
            <w:shd w:val="clear" w:color="auto" w:fill="auto"/>
            <w:vAlign w:val="top"/>
          </w:tcPr>
          <w:p w14:paraId="41F8E51E">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签订合同携带的证明材料：</w:t>
            </w:r>
          </w:p>
          <w:p w14:paraId="02A84CBA">
            <w:pPr>
              <w:keepNext w:val="0"/>
              <w:keepLines w:val="0"/>
              <w:pageBreakBefore w:val="0"/>
              <w:widowControl w:val="0"/>
              <w:numPr>
                <w:ilvl w:val="0"/>
                <w:numId w:val="17"/>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委托代理人负责签订合同的，须携带授权委托书及委托代理人身份证原件等其他资格证件及履约保证金缴纳证明材料。</w:t>
            </w:r>
          </w:p>
          <w:p w14:paraId="0032734B">
            <w:pPr>
              <w:keepNext w:val="0"/>
              <w:keepLines w:val="0"/>
              <w:pageBreakBefore w:val="0"/>
              <w:widowControl w:val="0"/>
              <w:numPr>
                <w:ilvl w:val="0"/>
                <w:numId w:val="17"/>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法定代表人负责签订合同的，须携带法定代表人身份证明原件及身份证原件等其他证明材料及履约保证金缴纳证明材料。</w:t>
            </w:r>
          </w:p>
        </w:tc>
      </w:tr>
      <w:tr w14:paraId="3E11B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3A77070A">
            <w:pPr>
              <w:spacing w:before="69"/>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31.2</w:t>
            </w:r>
          </w:p>
        </w:tc>
        <w:tc>
          <w:tcPr>
            <w:tcW w:w="8931" w:type="dxa"/>
            <w:shd w:val="clear" w:color="auto" w:fill="auto"/>
            <w:vAlign w:val="top"/>
          </w:tcPr>
          <w:p w14:paraId="2562F3CC">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接收质疑函方式：以纸质书面形式。</w:t>
            </w:r>
          </w:p>
          <w:p w14:paraId="6F82C2E4">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质疑联系部门及联系方式：</w:t>
            </w:r>
            <w:r>
              <w:rPr>
                <w:rFonts w:hint="eastAsia" w:asciiTheme="minorEastAsia" w:hAnsiTheme="minorEastAsia" w:eastAsiaTheme="minorEastAsia" w:cstheme="minorEastAsia"/>
                <w:color w:val="auto"/>
                <w:lang w:eastAsia="zh-CN"/>
              </w:rPr>
              <w:t>广西德润天怡咨询有限公司</w:t>
            </w:r>
            <w:r>
              <w:rPr>
                <w:rFonts w:hint="eastAsia" w:asciiTheme="minorEastAsia" w:hAnsiTheme="minorEastAsia" w:eastAsiaTheme="minorEastAsia" w:cstheme="minorEastAsia"/>
                <w:color w:val="auto"/>
              </w:rPr>
              <w:t>，质疑联系人：谭义杰；联系电话：0772-</w:t>
            </w:r>
            <w:r>
              <w:rPr>
                <w:rFonts w:hint="eastAsia" w:asciiTheme="minorEastAsia" w:hAnsiTheme="minorEastAsia" w:eastAsiaTheme="minorEastAsia" w:cstheme="minorEastAsia"/>
                <w:color w:val="auto"/>
                <w:lang w:val="en-US" w:eastAsia="zh-CN"/>
              </w:rPr>
              <w:t>3720755</w:t>
            </w:r>
            <w:r>
              <w:rPr>
                <w:rFonts w:hint="eastAsia" w:asciiTheme="minorEastAsia" w:hAnsiTheme="minorEastAsia" w:eastAsiaTheme="minorEastAsia" w:cstheme="minorEastAsia"/>
                <w:color w:val="auto"/>
              </w:rPr>
              <w:t>，通讯地址：柳州市城中区学院路50号鑫中联大厦1栋1单元510室</w:t>
            </w:r>
          </w:p>
          <w:p w14:paraId="6F3F7059">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现场提交质疑办理业务时间：每天8时30分到12时00分，14时30分到17时30分，业务时间以外、双休日和法定节假日不办理业务。</w:t>
            </w:r>
          </w:p>
        </w:tc>
      </w:tr>
      <w:tr w14:paraId="29FF8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2BC20318">
            <w:pPr>
              <w:spacing w:before="68"/>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32.1</w:t>
            </w:r>
          </w:p>
        </w:tc>
        <w:tc>
          <w:tcPr>
            <w:tcW w:w="8931" w:type="dxa"/>
            <w:shd w:val="clear" w:color="auto" w:fill="auto"/>
            <w:vAlign w:val="top"/>
          </w:tcPr>
          <w:p w14:paraId="4899A059">
            <w:pPr>
              <w:keepNext w:val="0"/>
              <w:keepLines w:val="0"/>
              <w:pageBreakBefore w:val="0"/>
              <w:widowControl w:val="0"/>
              <w:numPr>
                <w:ilvl w:val="0"/>
                <w:numId w:val="1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采购代理服务费支付方式：本项目的招标代理服务费按以下收费标准向成交供应商收取，领取成交通知书前，成交供应商应向采购代理机构一次付清招标代理服务费， 否则采购代理机构有权不予以办理。</w:t>
            </w:r>
          </w:p>
          <w:p w14:paraId="0F307439">
            <w:pPr>
              <w:keepNext w:val="0"/>
              <w:keepLines w:val="0"/>
              <w:pageBreakBefore w:val="0"/>
              <w:widowControl w:val="0"/>
              <w:numPr>
                <w:ilvl w:val="0"/>
                <w:numId w:val="1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采购代理服务费收取标准：</w:t>
            </w:r>
          </w:p>
          <w:p w14:paraId="6B004680">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以成交金额为计费额，按本须知正文第32.2条规定的收费计算标准（货物类）采用差额定率累进法计算出收费基准价格，采购代理服务费收费以收费基准价格收取。</w:t>
            </w:r>
          </w:p>
        </w:tc>
      </w:tr>
      <w:tr w14:paraId="51F1E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53908A9E">
            <w:pPr>
              <w:spacing w:before="68"/>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33.1</w:t>
            </w:r>
          </w:p>
        </w:tc>
        <w:tc>
          <w:tcPr>
            <w:tcW w:w="8931" w:type="dxa"/>
            <w:shd w:val="clear" w:color="auto" w:fill="auto"/>
            <w:vAlign w:val="top"/>
          </w:tcPr>
          <w:p w14:paraId="61C0EF78">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20" w:firstLineChars="200"/>
              <w:jc w:val="both"/>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解释：构成本谈判文件的各个组成文件应互为解释，互为说明；除谈判文件中有特别规定外，仅适用于竞标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tc>
      </w:tr>
      <w:tr w14:paraId="70F23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2A518D1E">
            <w:pPr>
              <w:spacing w:before="69"/>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33.2</w:t>
            </w:r>
          </w:p>
        </w:tc>
        <w:tc>
          <w:tcPr>
            <w:tcW w:w="8931" w:type="dxa"/>
            <w:shd w:val="clear" w:color="auto" w:fill="auto"/>
            <w:vAlign w:val="top"/>
          </w:tcPr>
          <w:p w14:paraId="360400F9">
            <w:pPr>
              <w:keepNext w:val="0"/>
              <w:keepLines w:val="0"/>
              <w:pageBreakBefore w:val="0"/>
              <w:widowControl w:val="0"/>
              <w:numPr>
                <w:ilvl w:val="0"/>
                <w:numId w:val="1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谈判文件中描述供应商的“公章”是指根据我国对公章的管理规定，用供应商法定主体行为名称制作的印章（含电子印章），除本谈判文件有特殊规定外，供应商的财务章、部门章、分公司章、工会章、合同章、竞标专用章、业务专用章及银行的转账章、现金收讫章、现金付讫章等其他形式印章均不能代替公章。</w:t>
            </w:r>
          </w:p>
          <w:p w14:paraId="26474F0D">
            <w:pPr>
              <w:keepNext w:val="0"/>
              <w:keepLines w:val="0"/>
              <w:pageBreakBefore w:val="0"/>
              <w:widowControl w:val="0"/>
              <w:numPr>
                <w:ilvl w:val="0"/>
                <w:numId w:val="1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为其他组织或者自然人时，本谈判文件规定的法定代表人指负责人或者自然人。本谈判文件所称负责人是指参加竞标的其他组织营业执照或者执业许可证等证照上的负责人，本谈判文件所称自然人指参与竞标的自然人本人，且应具备独立承担民事责任能力， 自然人应当为年满 18 岁以上成年人（十六周岁以上的未成年人，以自己的劳动收入为主要生活来源的，视为完全民事行为能力人）。</w:t>
            </w:r>
          </w:p>
          <w:p w14:paraId="4E95E2F3">
            <w:pPr>
              <w:keepNext w:val="0"/>
              <w:keepLines w:val="0"/>
              <w:pageBreakBefore w:val="0"/>
              <w:widowControl w:val="0"/>
              <w:numPr>
                <w:ilvl w:val="0"/>
                <w:numId w:val="1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本谈判文件中描述供应商的“签字”是指供应商的法定代表人或者委托代理人在文件规定签署处签名（含电子签名、电子签章）的行为，私章、印鉴等其他形式均不能代替签字。</w:t>
            </w:r>
          </w:p>
          <w:p w14:paraId="2A366FE9">
            <w:pPr>
              <w:keepNext w:val="0"/>
              <w:keepLines w:val="0"/>
              <w:pageBreakBefore w:val="0"/>
              <w:widowControl w:val="0"/>
              <w:numPr>
                <w:ilvl w:val="0"/>
                <w:numId w:val="1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自然人竞标的，谈判文件规定盖章的地方自然人可以加盖手指指印。</w:t>
            </w:r>
          </w:p>
          <w:p w14:paraId="6D5FE089">
            <w:pPr>
              <w:keepNext w:val="0"/>
              <w:keepLines w:val="0"/>
              <w:pageBreakBefore w:val="0"/>
              <w:widowControl w:val="0"/>
              <w:numPr>
                <w:ilvl w:val="0"/>
                <w:numId w:val="1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本谈判文件所称的“以上”“以下”“以内”“届满”，包括本数；所称的“不满”“超过”“以外”，不包括本数。</w:t>
            </w:r>
          </w:p>
        </w:tc>
      </w:tr>
    </w:tbl>
    <w:p w14:paraId="03E95C7D">
      <w:pPr>
        <w:pStyle w:val="9"/>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31"/>
          <w:szCs w:val="31"/>
        </w:rPr>
      </w:pPr>
    </w:p>
    <w:p w14:paraId="2BFF28BE">
      <w:pPr>
        <w:pStyle w:val="9"/>
        <w:spacing w:before="100" w:line="0" w:lineRule="atLeast"/>
        <w:ind w:left="3576"/>
        <w:rPr>
          <w:rFonts w:hint="eastAsia" w:asciiTheme="minorEastAsia" w:hAnsiTheme="minorEastAsia" w:eastAsiaTheme="minorEastAsia" w:cstheme="minorEastAsia"/>
          <w:color w:val="auto"/>
          <w:sz w:val="31"/>
          <w:szCs w:val="31"/>
        </w:rPr>
        <w:sectPr>
          <w:pgSz w:w="11906" w:h="16838"/>
          <w:pgMar w:top="1440" w:right="1800" w:bottom="1440" w:left="1800" w:header="851" w:footer="992" w:gutter="0"/>
          <w:pgNumType w:fmt="decimal"/>
          <w:cols w:space="720" w:num="1"/>
          <w:docGrid w:type="lines" w:linePitch="312" w:charSpace="0"/>
        </w:sectPr>
      </w:pPr>
    </w:p>
    <w:p w14:paraId="363C775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1"/>
        <w:rPr>
          <w:rFonts w:hint="eastAsia" w:asciiTheme="minorEastAsia" w:hAnsiTheme="minorEastAsia" w:eastAsiaTheme="minorEastAsia" w:cstheme="minorEastAsia"/>
          <w:b/>
          <w:bCs/>
          <w:color w:val="auto"/>
          <w:spacing w:val="6"/>
          <w:sz w:val="32"/>
          <w:szCs w:val="32"/>
        </w:rPr>
      </w:pPr>
      <w:r>
        <w:rPr>
          <w:rFonts w:hint="eastAsia" w:asciiTheme="minorEastAsia" w:hAnsiTheme="minorEastAsia" w:eastAsiaTheme="minorEastAsia" w:cstheme="minorEastAsia"/>
          <w:b/>
          <w:bCs/>
          <w:color w:val="auto"/>
          <w:spacing w:val="6"/>
          <w:sz w:val="32"/>
          <w:szCs w:val="32"/>
        </w:rPr>
        <w:t>供应商须知正文</w:t>
      </w:r>
    </w:p>
    <w:p w14:paraId="018F9E23">
      <w:pPr>
        <w:pStyle w:val="9"/>
        <w:keepNext w:val="0"/>
        <w:keepLines w:val="0"/>
        <w:pageBreakBefore w:val="0"/>
        <w:widowControl w:val="0"/>
        <w:numPr>
          <w:ilvl w:val="0"/>
          <w:numId w:val="20"/>
        </w:numPr>
        <w:kinsoku/>
        <w:wordWrap/>
        <w:overflowPunct/>
        <w:topLinePunct w:val="0"/>
        <w:autoSpaceDE/>
        <w:autoSpaceDN/>
        <w:bidi w:val="0"/>
        <w:adjustRightInd/>
        <w:snapToGrid w:val="0"/>
        <w:spacing w:line="360" w:lineRule="auto"/>
        <w:ind w:left="0" w:leftChars="0" w:firstLine="0" w:firstLineChars="0"/>
        <w:jc w:val="center"/>
        <w:textAlignment w:val="auto"/>
        <w:outlineLvl w:val="2"/>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bCs/>
          <w:color w:val="auto"/>
          <w:spacing w:val="-4"/>
          <w:sz w:val="32"/>
          <w:szCs w:val="32"/>
        </w:rPr>
        <w:t>总则</w:t>
      </w:r>
    </w:p>
    <w:p w14:paraId="3D4BA9A9">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7"/>
          <w:sz w:val="21"/>
          <w:szCs w:val="21"/>
        </w:rPr>
        <w:t>适用范围</w:t>
      </w:r>
    </w:p>
    <w:p w14:paraId="10DAD59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1.1 适用法律：本项目采购人、采购代理机构、供应商、谈判小组的相关行为均受《中华人民共和国</w:t>
      </w:r>
      <w:r>
        <w:rPr>
          <w:rFonts w:hint="eastAsia" w:asciiTheme="minorEastAsia" w:hAnsiTheme="minorEastAsia" w:eastAsiaTheme="minorEastAsia" w:cstheme="minorEastAsia"/>
          <w:color w:val="auto"/>
          <w:sz w:val="21"/>
          <w:szCs w:val="21"/>
        </w:rPr>
        <w:t>政府采购法》《中华人民共和国政府采购法实施条例》《</w:t>
      </w:r>
      <w:r>
        <w:rPr>
          <w:rFonts w:hint="eastAsia" w:asciiTheme="minorEastAsia" w:hAnsiTheme="minorEastAsia" w:eastAsiaTheme="minorEastAsia" w:cstheme="minorEastAsia"/>
          <w:color w:val="auto"/>
          <w:spacing w:val="-1"/>
          <w:sz w:val="21"/>
          <w:szCs w:val="21"/>
        </w:rPr>
        <w:t>政府采购非招标采购方式管理办法》及本项目本</w:t>
      </w:r>
      <w:r>
        <w:rPr>
          <w:rFonts w:hint="eastAsia" w:asciiTheme="minorEastAsia" w:hAnsiTheme="minorEastAsia" w:eastAsiaTheme="minorEastAsia" w:cstheme="minorEastAsia"/>
          <w:color w:val="auto"/>
          <w:sz w:val="21"/>
          <w:szCs w:val="21"/>
        </w:rPr>
        <w:t>级和上级财政部门政府采购有关规定的约束</w:t>
      </w:r>
      <w:r>
        <w:rPr>
          <w:rFonts w:hint="eastAsia" w:asciiTheme="minorEastAsia" w:hAnsiTheme="minorEastAsia" w:eastAsiaTheme="minorEastAsia" w:cstheme="minorEastAsia"/>
          <w:color w:val="auto"/>
          <w:spacing w:val="-1"/>
          <w:sz w:val="21"/>
          <w:szCs w:val="21"/>
        </w:rPr>
        <w:t>和保护。</w:t>
      </w:r>
    </w:p>
    <w:p w14:paraId="5415966B">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5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6"/>
          <w:sz w:val="21"/>
          <w:szCs w:val="21"/>
        </w:rPr>
        <w:t>1.2</w:t>
      </w:r>
      <w:r>
        <w:rPr>
          <w:rFonts w:hint="eastAsia" w:asciiTheme="minorEastAsia" w:hAnsiTheme="minorEastAsia" w:eastAsiaTheme="minorEastAsia" w:cstheme="minorEastAsia"/>
          <w:color w:val="auto"/>
          <w:spacing w:val="-33"/>
          <w:sz w:val="21"/>
          <w:szCs w:val="21"/>
        </w:rPr>
        <w:t xml:space="preserve"> </w:t>
      </w:r>
      <w:r>
        <w:rPr>
          <w:rFonts w:hint="eastAsia" w:asciiTheme="minorEastAsia" w:hAnsiTheme="minorEastAsia" w:eastAsiaTheme="minorEastAsia" w:cstheme="minorEastAsia"/>
          <w:color w:val="auto"/>
          <w:spacing w:val="-16"/>
          <w:sz w:val="21"/>
          <w:szCs w:val="21"/>
        </w:rPr>
        <w:t>本竞争性谈判文件（以下简称谈判文件）适用于本项目的所有采购程序和环节（法律、法规另有规定的，</w:t>
      </w:r>
      <w:r>
        <w:rPr>
          <w:rFonts w:hint="eastAsia" w:asciiTheme="minorEastAsia" w:hAnsiTheme="minorEastAsia" w:eastAsiaTheme="minorEastAsia" w:cstheme="minorEastAsia"/>
          <w:color w:val="auto"/>
          <w:spacing w:val="-13"/>
          <w:sz w:val="21"/>
          <w:szCs w:val="21"/>
        </w:rPr>
        <w:t>从其规定）。</w:t>
      </w:r>
    </w:p>
    <w:p w14:paraId="308EC8FA">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定义</w:t>
      </w:r>
    </w:p>
    <w:p w14:paraId="21D9DD6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2.1“采购人”是指依法进行采购的国家机关、事业单位、团体组织。</w:t>
      </w:r>
    </w:p>
    <w:p w14:paraId="5C7850C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color w:val="auto"/>
          <w:spacing w:val="-2"/>
          <w:sz w:val="21"/>
          <w:szCs w:val="21"/>
        </w:rPr>
        <w:t>2.2“采购代理机构”</w:t>
      </w:r>
      <w:r>
        <w:rPr>
          <w:rFonts w:hint="eastAsia" w:asciiTheme="minorEastAsia" w:hAnsiTheme="minorEastAsia" w:eastAsiaTheme="minorEastAsia" w:cstheme="minorEastAsia"/>
          <w:b w:val="0"/>
          <w:bCs w:val="0"/>
          <w:color w:val="auto"/>
          <w:spacing w:val="-2"/>
          <w:sz w:val="21"/>
          <w:szCs w:val="21"/>
        </w:rPr>
        <w:t>是指政府采购集中采购机构和集中采购机构以外的采购代理机构。</w:t>
      </w:r>
    </w:p>
    <w:p w14:paraId="6BBEEBC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2.3“供应商”是指向采购人提供货物、工程或者服务的法人、其他组</w:t>
      </w:r>
      <w:r>
        <w:rPr>
          <w:rFonts w:hint="eastAsia" w:asciiTheme="minorEastAsia" w:hAnsiTheme="minorEastAsia" w:eastAsiaTheme="minorEastAsia" w:cstheme="minorEastAsia"/>
          <w:color w:val="auto"/>
          <w:spacing w:val="-1"/>
          <w:sz w:val="21"/>
          <w:szCs w:val="21"/>
        </w:rPr>
        <w:t>织或者自然人。</w:t>
      </w:r>
    </w:p>
    <w:p w14:paraId="1BDA601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2.4“货物”是指各种形态和种类的物品，包括原材料、燃料、设备、产品等。</w:t>
      </w:r>
    </w:p>
    <w:p w14:paraId="02B8003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2.5“竞标”是指按照本项目竞争性谈判公告或者邀请函规定的方式供应</w:t>
      </w:r>
      <w:r>
        <w:rPr>
          <w:rFonts w:hint="eastAsia" w:asciiTheme="minorEastAsia" w:hAnsiTheme="minorEastAsia" w:eastAsiaTheme="minorEastAsia" w:cstheme="minorEastAsia"/>
          <w:color w:val="auto"/>
          <w:spacing w:val="1"/>
          <w:sz w:val="21"/>
          <w:szCs w:val="21"/>
        </w:rPr>
        <w:t>商获取谈判文件、提交响应</w:t>
      </w:r>
      <w:r>
        <w:rPr>
          <w:rFonts w:hint="eastAsia" w:asciiTheme="minorEastAsia" w:hAnsiTheme="minorEastAsia" w:eastAsiaTheme="minorEastAsia" w:cstheme="minorEastAsia"/>
          <w:color w:val="auto"/>
          <w:spacing w:val="-2"/>
          <w:sz w:val="21"/>
          <w:szCs w:val="21"/>
        </w:rPr>
        <w:t>文件并希望获得标的的行为。</w:t>
      </w:r>
    </w:p>
    <w:p w14:paraId="2F61E64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2.6“售后服务” 是指包含但不限于供应商须承担的备品备件、包装、运输、装卸、保险、货到就位</w:t>
      </w:r>
      <w:r>
        <w:rPr>
          <w:rFonts w:hint="eastAsia" w:asciiTheme="minorEastAsia" w:hAnsiTheme="minorEastAsia" w:eastAsiaTheme="minorEastAsia" w:cstheme="minorEastAsia"/>
          <w:color w:val="auto"/>
          <w:spacing w:val="-2"/>
          <w:sz w:val="21"/>
          <w:szCs w:val="21"/>
        </w:rPr>
        <w:t>以及安装、调试、培训、保修和其他类似的义务。</w:t>
      </w:r>
    </w:p>
    <w:p w14:paraId="6D905C4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2.7“书面形式”是指合同书、信件和数据电文（包括电报、电传、传真、电子数据交换和电子邮件）</w:t>
      </w:r>
      <w:r>
        <w:rPr>
          <w:rFonts w:hint="eastAsia" w:asciiTheme="minorEastAsia" w:hAnsiTheme="minorEastAsia" w:eastAsiaTheme="minorEastAsia" w:cstheme="minorEastAsia"/>
          <w:color w:val="auto"/>
          <w:spacing w:val="-2"/>
          <w:sz w:val="21"/>
          <w:szCs w:val="21"/>
        </w:rPr>
        <w:t>等可以有形地表现所载内容的形式。</w:t>
      </w:r>
    </w:p>
    <w:p w14:paraId="0ECF355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8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9"/>
          <w:sz w:val="21"/>
          <w:szCs w:val="21"/>
        </w:rPr>
        <w:t>2.8“响应文件”是指：供应商根据本谈判文件要求，编制包</w:t>
      </w:r>
      <w:r>
        <w:rPr>
          <w:rFonts w:hint="eastAsia" w:asciiTheme="minorEastAsia" w:hAnsiTheme="minorEastAsia" w:eastAsiaTheme="minorEastAsia" w:cstheme="minorEastAsia"/>
          <w:color w:val="auto"/>
          <w:spacing w:val="-10"/>
          <w:sz w:val="21"/>
          <w:szCs w:val="21"/>
        </w:rPr>
        <w:t>含报价、技术和服务等所有内容的文件。</w:t>
      </w:r>
    </w:p>
    <w:p w14:paraId="3ACC309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2.9 “实质性要求”是指采购需求中带“▲”</w:t>
      </w:r>
      <w:r>
        <w:rPr>
          <w:rFonts w:hint="eastAsia" w:asciiTheme="minorEastAsia" w:hAnsiTheme="minorEastAsia" w:eastAsiaTheme="minorEastAsia" w:cstheme="minorEastAsia"/>
          <w:color w:val="auto"/>
          <w:spacing w:val="-1"/>
          <w:sz w:val="21"/>
          <w:szCs w:val="21"/>
        </w:rPr>
        <w:t>的条款或者不能负偏离的条款或者已经指明不满足按响</w:t>
      </w:r>
      <w:r>
        <w:rPr>
          <w:rFonts w:hint="eastAsia" w:asciiTheme="minorEastAsia" w:hAnsiTheme="minorEastAsia" w:eastAsiaTheme="minorEastAsia" w:cstheme="minorEastAsia"/>
          <w:color w:val="auto"/>
          <w:spacing w:val="-2"/>
          <w:sz w:val="21"/>
          <w:szCs w:val="21"/>
        </w:rPr>
        <w:t>应文件按无效响应处理的条款。</w:t>
      </w:r>
    </w:p>
    <w:p w14:paraId="612BC25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2.10“正偏离”，是指响应文件对谈判文件</w:t>
      </w:r>
      <w:r>
        <w:rPr>
          <w:rFonts w:hint="eastAsia" w:asciiTheme="minorEastAsia" w:hAnsiTheme="minorEastAsia" w:eastAsiaTheme="minorEastAsia" w:cstheme="minorEastAsia"/>
          <w:color w:val="auto"/>
          <w:spacing w:val="-1"/>
          <w:sz w:val="21"/>
          <w:szCs w:val="21"/>
        </w:rPr>
        <w:t>“采购需求”中有关条款作出优于条款要求并有利于采购</w:t>
      </w:r>
      <w:r>
        <w:rPr>
          <w:rFonts w:hint="eastAsia" w:asciiTheme="minorEastAsia" w:hAnsiTheme="minorEastAsia" w:eastAsiaTheme="minorEastAsia" w:cstheme="minorEastAsia"/>
          <w:color w:val="auto"/>
          <w:spacing w:val="-5"/>
          <w:sz w:val="21"/>
          <w:szCs w:val="21"/>
        </w:rPr>
        <w:t>人的响应情形；</w:t>
      </w:r>
    </w:p>
    <w:p w14:paraId="401B12D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2.11“负偏离”，是指响应文件对谈判文件“采购需求”中有关条款作出的响应不满足条款要求，导</w:t>
      </w:r>
      <w:r>
        <w:rPr>
          <w:rFonts w:hint="eastAsia" w:asciiTheme="minorEastAsia" w:hAnsiTheme="minorEastAsia" w:eastAsiaTheme="minorEastAsia" w:cstheme="minorEastAsia"/>
          <w:color w:val="auto"/>
          <w:spacing w:val="-2"/>
          <w:sz w:val="21"/>
          <w:szCs w:val="21"/>
        </w:rPr>
        <w:t>致采购人要求不能得到满足的情形。</w:t>
      </w:r>
    </w:p>
    <w:p w14:paraId="7E6568C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2.12“允许负偏离的条款”是指采购需求中的不属于“实质性要</w:t>
      </w:r>
      <w:r>
        <w:rPr>
          <w:rFonts w:hint="eastAsia" w:asciiTheme="minorEastAsia" w:hAnsiTheme="minorEastAsia" w:eastAsiaTheme="minorEastAsia" w:cstheme="minorEastAsia"/>
          <w:color w:val="auto"/>
          <w:spacing w:val="-1"/>
          <w:sz w:val="21"/>
          <w:szCs w:val="21"/>
        </w:rPr>
        <w:t>求”的条款。</w:t>
      </w:r>
    </w:p>
    <w:p w14:paraId="36A9B9F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2.13“首次报价”是指供应商提交的首次响应文件中的竞标报价。</w:t>
      </w:r>
    </w:p>
    <w:p w14:paraId="32A75A21">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供应商的资格条件</w:t>
      </w:r>
    </w:p>
    <w:p w14:paraId="3DBC721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供应商的资格条件详见“供应商须知前附表”。</w:t>
      </w:r>
    </w:p>
    <w:p w14:paraId="63FFE508">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竞标费用</w:t>
      </w:r>
    </w:p>
    <w:p w14:paraId="23B3814C">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竞标费用：供应商应承担参与本次采购活动有关的所有费用，包括但不限于获取谈判文件、勘查现场、</w:t>
      </w:r>
      <w:r>
        <w:rPr>
          <w:rFonts w:hint="eastAsia" w:asciiTheme="minorEastAsia" w:hAnsiTheme="minorEastAsia" w:eastAsiaTheme="minorEastAsia" w:cstheme="minorEastAsia"/>
          <w:color w:val="auto"/>
          <w:sz w:val="21"/>
          <w:szCs w:val="21"/>
        </w:rPr>
        <w:t>编制和提交响应文件、参加谈判与应答、签订合</w:t>
      </w:r>
      <w:r>
        <w:rPr>
          <w:rFonts w:hint="eastAsia" w:asciiTheme="minorEastAsia" w:hAnsiTheme="minorEastAsia" w:eastAsiaTheme="minorEastAsia" w:cstheme="minorEastAsia"/>
          <w:color w:val="auto"/>
          <w:spacing w:val="-1"/>
          <w:sz w:val="21"/>
          <w:szCs w:val="21"/>
        </w:rPr>
        <w:t>同等，不论竞标结果如何，均应自行承担。</w:t>
      </w:r>
    </w:p>
    <w:p w14:paraId="0FE5F2AC">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联合体竞标</w:t>
      </w:r>
    </w:p>
    <w:p w14:paraId="01CF9B6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5.1</w:t>
      </w:r>
      <w:r>
        <w:rPr>
          <w:rFonts w:hint="eastAsia" w:asciiTheme="minorEastAsia" w:hAnsiTheme="minorEastAsia" w:eastAsiaTheme="minorEastAsia" w:cstheme="minorEastAsia"/>
          <w:color w:val="auto"/>
          <w:spacing w:val="-32"/>
          <w:sz w:val="21"/>
          <w:szCs w:val="21"/>
        </w:rPr>
        <w:t xml:space="preserve"> </w:t>
      </w:r>
      <w:r>
        <w:rPr>
          <w:rFonts w:hint="eastAsia" w:asciiTheme="minorEastAsia" w:hAnsiTheme="minorEastAsia" w:eastAsiaTheme="minorEastAsia" w:cstheme="minorEastAsia"/>
          <w:color w:val="auto"/>
          <w:spacing w:val="-1"/>
          <w:sz w:val="21"/>
          <w:szCs w:val="21"/>
        </w:rPr>
        <w:t>本项目是否接受联合体竞标，详见“供应商须知前附表”。</w:t>
      </w:r>
    </w:p>
    <w:p w14:paraId="7C44A9EA">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转包与分包</w:t>
      </w:r>
    </w:p>
    <w:p w14:paraId="0C30704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6.1</w:t>
      </w:r>
      <w:r>
        <w:rPr>
          <w:rFonts w:hint="eastAsia" w:asciiTheme="minorEastAsia" w:hAnsiTheme="minorEastAsia" w:eastAsiaTheme="minorEastAsia" w:cstheme="minorEastAsia"/>
          <w:color w:val="auto"/>
          <w:spacing w:val="-38"/>
          <w:sz w:val="21"/>
          <w:szCs w:val="21"/>
        </w:rPr>
        <w:t xml:space="preserve"> </w:t>
      </w:r>
      <w:r>
        <w:rPr>
          <w:rFonts w:hint="eastAsia" w:asciiTheme="minorEastAsia" w:hAnsiTheme="minorEastAsia" w:eastAsiaTheme="minorEastAsia" w:cstheme="minorEastAsia"/>
          <w:color w:val="auto"/>
          <w:spacing w:val="-2"/>
          <w:sz w:val="21"/>
          <w:szCs w:val="21"/>
        </w:rPr>
        <w:t>本项目不允许转包。</w:t>
      </w:r>
    </w:p>
    <w:p w14:paraId="03DF055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6.2 本项目是否允许分包详见“供应商须知前附表”，本项目不允许违法分包。</w:t>
      </w:r>
      <w:r>
        <w:rPr>
          <w:rFonts w:hint="eastAsia" w:asciiTheme="minorEastAsia" w:hAnsiTheme="minorEastAsia" w:eastAsiaTheme="minorEastAsia" w:cstheme="minorEastAsia"/>
          <w:color w:val="auto"/>
          <w:spacing w:val="-2"/>
          <w:sz w:val="21"/>
          <w:szCs w:val="21"/>
        </w:rPr>
        <w:t>允许分包的非主体、</w:t>
      </w:r>
      <w:r>
        <w:rPr>
          <w:rFonts w:hint="eastAsia" w:asciiTheme="minorEastAsia" w:hAnsiTheme="minorEastAsia" w:eastAsiaTheme="minorEastAsia" w:cstheme="minorEastAsia"/>
          <w:color w:val="auto"/>
          <w:spacing w:val="4"/>
          <w:sz w:val="21"/>
          <w:szCs w:val="21"/>
        </w:rPr>
        <w:t>非关键性工作，根据法律法规规定承担该工作需要行政许可的，如该工作由供应商</w:t>
      </w:r>
      <w:r>
        <w:rPr>
          <w:rFonts w:hint="eastAsia" w:asciiTheme="minorEastAsia" w:hAnsiTheme="minorEastAsia" w:eastAsiaTheme="minorEastAsia" w:cstheme="minorEastAsia"/>
          <w:color w:val="auto"/>
          <w:spacing w:val="3"/>
          <w:sz w:val="21"/>
          <w:szCs w:val="21"/>
        </w:rPr>
        <w:t>自行承担，供应商应</w:t>
      </w:r>
      <w:r>
        <w:rPr>
          <w:rFonts w:hint="eastAsia" w:asciiTheme="minorEastAsia" w:hAnsiTheme="minorEastAsia" w:eastAsiaTheme="minorEastAsia" w:cstheme="minorEastAsia"/>
          <w:color w:val="auto"/>
          <w:spacing w:val="4"/>
          <w:sz w:val="21"/>
          <w:szCs w:val="21"/>
        </w:rPr>
        <w:t>具备相应的行政许可，如供应商不具备相应的行政许可必须采用分包的方式，但分包供应商应具备相应</w:t>
      </w:r>
      <w:r>
        <w:rPr>
          <w:rFonts w:hint="eastAsia" w:asciiTheme="minorEastAsia" w:hAnsiTheme="minorEastAsia" w:eastAsiaTheme="minorEastAsia" w:cstheme="minorEastAsia"/>
          <w:color w:val="auto"/>
          <w:spacing w:val="-5"/>
          <w:sz w:val="21"/>
          <w:szCs w:val="21"/>
        </w:rPr>
        <w:t>行政许可。</w:t>
      </w:r>
    </w:p>
    <w:p w14:paraId="4E17F9CF">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6.3 供应商根据谈判文件的规定和采购项目的实</w:t>
      </w:r>
      <w:r>
        <w:rPr>
          <w:rFonts w:hint="eastAsia" w:asciiTheme="minorEastAsia" w:hAnsiTheme="minorEastAsia" w:eastAsiaTheme="minorEastAsia" w:cstheme="minorEastAsia"/>
          <w:color w:val="auto"/>
          <w:spacing w:val="-1"/>
          <w:sz w:val="21"/>
          <w:szCs w:val="21"/>
        </w:rPr>
        <w:t>际情况，拟在成交后将成交项目的非主体、非关键性</w:t>
      </w:r>
      <w:r>
        <w:rPr>
          <w:rFonts w:hint="eastAsia" w:asciiTheme="minorEastAsia" w:hAnsiTheme="minorEastAsia" w:eastAsiaTheme="minorEastAsia" w:cstheme="minorEastAsia"/>
          <w:color w:val="auto"/>
          <w:spacing w:val="4"/>
          <w:sz w:val="21"/>
          <w:szCs w:val="21"/>
        </w:rPr>
        <w:t>工作分包的，应当在响应文件中载明分包承担主体，分包承担主体应当具备相应资质条件且不得再次分</w:t>
      </w:r>
      <w:r>
        <w:rPr>
          <w:rFonts w:hint="eastAsia" w:asciiTheme="minorEastAsia" w:hAnsiTheme="minorEastAsia" w:eastAsiaTheme="minorEastAsia" w:cstheme="minorEastAsia"/>
          <w:color w:val="auto"/>
          <w:spacing w:val="-10"/>
          <w:sz w:val="21"/>
          <w:szCs w:val="21"/>
        </w:rPr>
        <w:t>包。</w:t>
      </w:r>
    </w:p>
    <w:p w14:paraId="4002EA28">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特别说明</w:t>
      </w:r>
    </w:p>
    <w:p w14:paraId="1065455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7.1</w:t>
      </w:r>
      <w:r>
        <w:rPr>
          <w:rFonts w:hint="eastAsia" w:asciiTheme="minorEastAsia" w:hAnsiTheme="minorEastAsia" w:eastAsiaTheme="minorEastAsia" w:cstheme="minorEastAsia"/>
          <w:color w:val="auto"/>
          <w:spacing w:val="-23"/>
          <w:sz w:val="21"/>
          <w:szCs w:val="21"/>
        </w:rPr>
        <w:t xml:space="preserve"> </w:t>
      </w:r>
      <w:r>
        <w:rPr>
          <w:rFonts w:hint="eastAsia" w:asciiTheme="minorEastAsia" w:hAnsiTheme="minorEastAsia" w:eastAsiaTheme="minorEastAsia" w:cstheme="minorEastAsia"/>
          <w:color w:val="auto"/>
          <w:spacing w:val="-3"/>
          <w:sz w:val="21"/>
          <w:szCs w:val="21"/>
        </w:rPr>
        <w:t>如果本谈判文件要求提供供应商或制造商的资格、信誉、荣誉、业绩与企业认证等材料的，资格、</w:t>
      </w:r>
      <w:r>
        <w:rPr>
          <w:rFonts w:hint="eastAsia" w:asciiTheme="minorEastAsia" w:hAnsiTheme="minorEastAsia" w:eastAsiaTheme="minorEastAsia" w:cstheme="minorEastAsia"/>
          <w:color w:val="auto"/>
          <w:sz w:val="21"/>
          <w:szCs w:val="21"/>
        </w:rPr>
        <w:t>信誉、荣誉、业绩与企业认证等必须为供应商或者制造商所拥</w:t>
      </w:r>
      <w:r>
        <w:rPr>
          <w:rFonts w:hint="eastAsia" w:asciiTheme="minorEastAsia" w:hAnsiTheme="minorEastAsia" w:eastAsiaTheme="minorEastAsia" w:cstheme="minorEastAsia"/>
          <w:color w:val="auto"/>
          <w:spacing w:val="-1"/>
          <w:sz w:val="21"/>
          <w:szCs w:val="21"/>
        </w:rPr>
        <w:t>有或自身获得。</w:t>
      </w:r>
    </w:p>
    <w:p w14:paraId="43F57A2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7.2 供应商应仔细阅读谈判文件的所有</w:t>
      </w:r>
      <w:r>
        <w:rPr>
          <w:rFonts w:hint="eastAsia" w:asciiTheme="minorEastAsia" w:hAnsiTheme="minorEastAsia" w:eastAsiaTheme="minorEastAsia" w:cstheme="minorEastAsia"/>
          <w:color w:val="auto"/>
          <w:spacing w:val="-1"/>
          <w:sz w:val="21"/>
          <w:szCs w:val="21"/>
        </w:rPr>
        <w:t>内容，按照谈判文件的要求提交响应文件，并对所提供的全部</w:t>
      </w:r>
      <w:r>
        <w:rPr>
          <w:rFonts w:hint="eastAsia" w:asciiTheme="minorEastAsia" w:hAnsiTheme="minorEastAsia" w:eastAsiaTheme="minorEastAsia" w:cstheme="minorEastAsia"/>
          <w:color w:val="auto"/>
          <w:spacing w:val="-3"/>
          <w:sz w:val="21"/>
          <w:szCs w:val="21"/>
        </w:rPr>
        <w:t>资料的真实性承担法律责任。</w:t>
      </w:r>
    </w:p>
    <w:p w14:paraId="0996E41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7.3</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供应商在竞标活动中提供任何虚假材料,其响应文件按无效响应处理，并报监管部门查处；签订合</w:t>
      </w:r>
      <w:r>
        <w:rPr>
          <w:rFonts w:hint="eastAsia" w:asciiTheme="minorEastAsia" w:hAnsiTheme="minorEastAsia" w:eastAsiaTheme="minorEastAsia" w:cstheme="minorEastAsia"/>
          <w:color w:val="auto"/>
          <w:spacing w:val="-1"/>
          <w:sz w:val="21"/>
          <w:szCs w:val="21"/>
        </w:rPr>
        <w:t>同后发现的,成交供应商须依法赔偿采购人，且民事赔偿并不免除违法供应商的行政与刑事责任。</w:t>
      </w:r>
    </w:p>
    <w:p w14:paraId="1F98BE3F">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7.4</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1"/>
          <w:sz w:val="21"/>
          <w:szCs w:val="21"/>
        </w:rPr>
        <w:t>在政府采购活动中，采购人员及相关人员与供应商有下列利害关系之一的，应当回避：</w:t>
      </w:r>
    </w:p>
    <w:p w14:paraId="2257972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（1）参加采购活动前</w:t>
      </w:r>
      <w:r>
        <w:rPr>
          <w:rFonts w:hint="eastAsia" w:asciiTheme="minorEastAsia" w:hAnsiTheme="minorEastAsia" w:eastAsiaTheme="minorEastAsia" w:cstheme="minorEastAsia"/>
          <w:color w:val="auto"/>
          <w:spacing w:val="-26"/>
          <w:sz w:val="21"/>
          <w:szCs w:val="21"/>
        </w:rPr>
        <w:t xml:space="preserve"> </w:t>
      </w:r>
      <w:r>
        <w:rPr>
          <w:rFonts w:hint="eastAsia" w:asciiTheme="minorEastAsia" w:hAnsiTheme="minorEastAsia" w:eastAsiaTheme="minorEastAsia" w:cstheme="minorEastAsia"/>
          <w:color w:val="auto"/>
          <w:spacing w:val="-3"/>
          <w:sz w:val="21"/>
          <w:szCs w:val="21"/>
        </w:rPr>
        <w:t>3</w:t>
      </w:r>
      <w:r>
        <w:rPr>
          <w:rFonts w:hint="eastAsia" w:asciiTheme="minorEastAsia" w:hAnsiTheme="minorEastAsia" w:eastAsiaTheme="minorEastAsia" w:cstheme="minorEastAsia"/>
          <w:color w:val="auto"/>
          <w:spacing w:val="-45"/>
          <w:sz w:val="21"/>
          <w:szCs w:val="21"/>
        </w:rPr>
        <w:t xml:space="preserve"> </w:t>
      </w:r>
      <w:r>
        <w:rPr>
          <w:rFonts w:hint="eastAsia" w:asciiTheme="minorEastAsia" w:hAnsiTheme="minorEastAsia" w:eastAsiaTheme="minorEastAsia" w:cstheme="minorEastAsia"/>
          <w:color w:val="auto"/>
          <w:spacing w:val="-3"/>
          <w:sz w:val="21"/>
          <w:szCs w:val="21"/>
        </w:rPr>
        <w:t>年内与供应商存在劳动关系；</w:t>
      </w:r>
    </w:p>
    <w:p w14:paraId="06D08B4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（2）参加采购活动前</w:t>
      </w:r>
      <w:r>
        <w:rPr>
          <w:rFonts w:hint="eastAsia" w:asciiTheme="minorEastAsia" w:hAnsiTheme="minorEastAsia" w:eastAsiaTheme="minorEastAsia" w:cstheme="minorEastAsia"/>
          <w:color w:val="auto"/>
          <w:spacing w:val="-27"/>
          <w:sz w:val="21"/>
          <w:szCs w:val="21"/>
        </w:rPr>
        <w:t xml:space="preserve"> </w:t>
      </w:r>
      <w:r>
        <w:rPr>
          <w:rFonts w:hint="eastAsia" w:asciiTheme="minorEastAsia" w:hAnsiTheme="minorEastAsia" w:eastAsiaTheme="minorEastAsia" w:cstheme="minorEastAsia"/>
          <w:color w:val="auto"/>
          <w:spacing w:val="-3"/>
          <w:sz w:val="21"/>
          <w:szCs w:val="21"/>
        </w:rPr>
        <w:t>3</w:t>
      </w:r>
      <w:r>
        <w:rPr>
          <w:rFonts w:hint="eastAsia" w:asciiTheme="minorEastAsia" w:hAnsiTheme="minorEastAsia" w:eastAsiaTheme="minorEastAsia" w:cstheme="minorEastAsia"/>
          <w:color w:val="auto"/>
          <w:spacing w:val="-45"/>
          <w:sz w:val="21"/>
          <w:szCs w:val="21"/>
        </w:rPr>
        <w:t xml:space="preserve"> </w:t>
      </w:r>
      <w:r>
        <w:rPr>
          <w:rFonts w:hint="eastAsia" w:asciiTheme="minorEastAsia" w:hAnsiTheme="minorEastAsia" w:eastAsiaTheme="minorEastAsia" w:cstheme="minorEastAsia"/>
          <w:color w:val="auto"/>
          <w:spacing w:val="-3"/>
          <w:sz w:val="21"/>
          <w:szCs w:val="21"/>
        </w:rPr>
        <w:t>年内担任供应商的董事、监事；</w:t>
      </w:r>
    </w:p>
    <w:p w14:paraId="3D0069C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（3）参加采购活动前</w:t>
      </w:r>
      <w:r>
        <w:rPr>
          <w:rFonts w:hint="eastAsia" w:asciiTheme="minorEastAsia" w:hAnsiTheme="minorEastAsia" w:eastAsiaTheme="minorEastAsia" w:cstheme="minorEastAsia"/>
          <w:color w:val="auto"/>
          <w:spacing w:val="-36"/>
          <w:sz w:val="21"/>
          <w:szCs w:val="21"/>
        </w:rPr>
        <w:t xml:space="preserve"> </w:t>
      </w:r>
      <w:r>
        <w:rPr>
          <w:rFonts w:hint="eastAsia" w:asciiTheme="minorEastAsia" w:hAnsiTheme="minorEastAsia" w:eastAsiaTheme="minorEastAsia" w:cstheme="minorEastAsia"/>
          <w:color w:val="auto"/>
          <w:spacing w:val="-2"/>
          <w:sz w:val="21"/>
          <w:szCs w:val="21"/>
        </w:rPr>
        <w:t>3</w:t>
      </w:r>
      <w:r>
        <w:rPr>
          <w:rFonts w:hint="eastAsia" w:asciiTheme="minorEastAsia" w:hAnsiTheme="minorEastAsia" w:eastAsiaTheme="minorEastAsia" w:cstheme="minorEastAsia"/>
          <w:color w:val="auto"/>
          <w:spacing w:val="-45"/>
          <w:sz w:val="21"/>
          <w:szCs w:val="21"/>
        </w:rPr>
        <w:t xml:space="preserve"> </w:t>
      </w:r>
      <w:r>
        <w:rPr>
          <w:rFonts w:hint="eastAsia" w:asciiTheme="minorEastAsia" w:hAnsiTheme="minorEastAsia" w:eastAsiaTheme="minorEastAsia" w:cstheme="minorEastAsia"/>
          <w:color w:val="auto"/>
          <w:spacing w:val="-2"/>
          <w:sz w:val="21"/>
          <w:szCs w:val="21"/>
        </w:rPr>
        <w:t>年内是供应商的控股股东或者实际控制人；</w:t>
      </w:r>
    </w:p>
    <w:p w14:paraId="7D1B352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（4）与供应商的法定代表人或者负责人有夫妻、直系血亲、三代以内旁系血亲或者近姻亲关系；</w:t>
      </w:r>
    </w:p>
    <w:p w14:paraId="653CBEA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（5）与供应商有其他可能影响政府采购活动公平、公正进行的关系。</w:t>
      </w:r>
    </w:p>
    <w:p w14:paraId="29301FD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供应商认为采购人员及相关人员与其他供应商有利</w:t>
      </w:r>
      <w:r>
        <w:rPr>
          <w:rFonts w:hint="eastAsia" w:asciiTheme="minorEastAsia" w:hAnsiTheme="minorEastAsia" w:eastAsiaTheme="minorEastAsia" w:cstheme="minorEastAsia"/>
          <w:color w:val="auto"/>
          <w:spacing w:val="-1"/>
          <w:sz w:val="21"/>
          <w:szCs w:val="21"/>
        </w:rPr>
        <w:t>害关系的，可以向采购人或者采购代理机构书面提出回避申请，并说明理由。采购人或者采购代理机构应当及时询问被申请回避人员，有利害关系的被申请</w:t>
      </w:r>
      <w:r>
        <w:rPr>
          <w:rFonts w:hint="eastAsia" w:asciiTheme="minorEastAsia" w:hAnsiTheme="minorEastAsia" w:eastAsiaTheme="minorEastAsia" w:cstheme="minorEastAsia"/>
          <w:color w:val="auto"/>
          <w:spacing w:val="-5"/>
          <w:sz w:val="21"/>
          <w:szCs w:val="21"/>
        </w:rPr>
        <w:t>回避人员应当回避。</w:t>
      </w:r>
    </w:p>
    <w:p w14:paraId="207364C4">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7.5</w:t>
      </w:r>
      <w:r>
        <w:rPr>
          <w:rFonts w:hint="eastAsia" w:asciiTheme="minorEastAsia" w:hAnsiTheme="minorEastAsia" w:eastAsiaTheme="minorEastAsia" w:cstheme="minorEastAsia"/>
          <w:color w:val="auto"/>
          <w:spacing w:val="-43"/>
          <w:sz w:val="21"/>
          <w:szCs w:val="21"/>
        </w:rPr>
        <w:t xml:space="preserve"> </w:t>
      </w:r>
      <w:r>
        <w:rPr>
          <w:rFonts w:hint="eastAsia" w:asciiTheme="minorEastAsia" w:hAnsiTheme="minorEastAsia" w:eastAsiaTheme="minorEastAsia" w:cstheme="minorEastAsia"/>
          <w:color w:val="auto"/>
          <w:spacing w:val="-1"/>
          <w:sz w:val="21"/>
          <w:szCs w:val="21"/>
        </w:rPr>
        <w:t>有下列情形之一的视为供应商相互串通竞标，响应</w:t>
      </w:r>
      <w:r>
        <w:rPr>
          <w:rFonts w:hint="eastAsia" w:asciiTheme="minorEastAsia" w:hAnsiTheme="minorEastAsia" w:eastAsiaTheme="minorEastAsia" w:cstheme="minorEastAsia"/>
          <w:color w:val="auto"/>
          <w:spacing w:val="-2"/>
          <w:sz w:val="21"/>
          <w:szCs w:val="21"/>
        </w:rPr>
        <w:t>文件将被视为无效：</w:t>
      </w:r>
    </w:p>
    <w:p w14:paraId="6F9DCC34">
      <w:pPr>
        <w:pStyle w:val="9"/>
        <w:keepNext w:val="0"/>
        <w:keepLines w:val="0"/>
        <w:pageBreakBefore w:val="0"/>
        <w:widowControl w:val="0"/>
        <w:numPr>
          <w:ilvl w:val="0"/>
          <w:numId w:val="22"/>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不同供应商的响应文件由同一单位或者个人编制；或者不同投标人报名的IP地址一致的；</w:t>
      </w:r>
    </w:p>
    <w:p w14:paraId="6B58D7EF">
      <w:pPr>
        <w:pStyle w:val="9"/>
        <w:keepNext w:val="0"/>
        <w:keepLines w:val="0"/>
        <w:pageBreakBefore w:val="0"/>
        <w:widowControl w:val="0"/>
        <w:numPr>
          <w:ilvl w:val="0"/>
          <w:numId w:val="22"/>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不同供应商委托同一单位或者个人办理竞标事宜；</w:t>
      </w:r>
    </w:p>
    <w:p w14:paraId="112FA4D1">
      <w:pPr>
        <w:pStyle w:val="9"/>
        <w:keepNext w:val="0"/>
        <w:keepLines w:val="0"/>
        <w:pageBreakBefore w:val="0"/>
        <w:widowControl w:val="0"/>
        <w:numPr>
          <w:ilvl w:val="0"/>
          <w:numId w:val="22"/>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不同的供应商的响应文件载明的项目管</w:t>
      </w:r>
      <w:r>
        <w:rPr>
          <w:rFonts w:hint="eastAsia" w:asciiTheme="minorEastAsia" w:hAnsiTheme="minorEastAsia" w:eastAsiaTheme="minorEastAsia" w:cstheme="minorEastAsia"/>
          <w:color w:val="auto"/>
          <w:spacing w:val="-2"/>
          <w:sz w:val="21"/>
          <w:szCs w:val="21"/>
        </w:rPr>
        <w:t>理员为同一个人；</w:t>
      </w:r>
    </w:p>
    <w:p w14:paraId="15FEAAD6">
      <w:pPr>
        <w:pStyle w:val="9"/>
        <w:keepNext w:val="0"/>
        <w:keepLines w:val="0"/>
        <w:pageBreakBefore w:val="0"/>
        <w:widowControl w:val="0"/>
        <w:numPr>
          <w:ilvl w:val="0"/>
          <w:numId w:val="22"/>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不同供应商的响应文件异常一致或者报</w:t>
      </w:r>
      <w:r>
        <w:rPr>
          <w:rFonts w:hint="eastAsia" w:asciiTheme="minorEastAsia" w:hAnsiTheme="minorEastAsia" w:eastAsiaTheme="minorEastAsia" w:cstheme="minorEastAsia"/>
          <w:color w:val="auto"/>
          <w:spacing w:val="-2"/>
          <w:sz w:val="21"/>
          <w:szCs w:val="21"/>
        </w:rPr>
        <w:t>价呈规律性差异；</w:t>
      </w:r>
    </w:p>
    <w:p w14:paraId="62F66005">
      <w:pPr>
        <w:pStyle w:val="9"/>
        <w:keepNext w:val="0"/>
        <w:keepLines w:val="0"/>
        <w:pageBreakBefore w:val="0"/>
        <w:widowControl w:val="0"/>
        <w:numPr>
          <w:ilvl w:val="0"/>
          <w:numId w:val="22"/>
        </w:numPr>
        <w:kinsoku/>
        <w:wordWrap/>
        <w:overflowPunct/>
        <w:topLinePunct w:val="0"/>
        <w:autoSpaceDE/>
        <w:autoSpaceDN/>
        <w:bidi w:val="0"/>
        <w:adjustRightInd/>
        <w:snapToGrid w:val="0"/>
        <w:spacing w:line="360" w:lineRule="auto"/>
        <w:ind w:left="0" w:leftChars="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不同供应商的响应文件相互混装；</w:t>
      </w:r>
    </w:p>
    <w:p w14:paraId="0DCFEFF8">
      <w:pPr>
        <w:pStyle w:val="9"/>
        <w:keepNext w:val="0"/>
        <w:keepLines w:val="0"/>
        <w:pageBreakBefore w:val="0"/>
        <w:widowControl w:val="0"/>
        <w:numPr>
          <w:ilvl w:val="0"/>
          <w:numId w:val="22"/>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不同供应商的竞标保证金从同一单位或者个人账户转出。</w:t>
      </w:r>
    </w:p>
    <w:p w14:paraId="68B1BC69">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7.6</w:t>
      </w:r>
      <w:r>
        <w:rPr>
          <w:rFonts w:hint="eastAsia" w:asciiTheme="minorEastAsia" w:hAnsiTheme="minorEastAsia" w:eastAsiaTheme="minorEastAsia" w:cstheme="minorEastAsia"/>
          <w:color w:val="auto"/>
          <w:spacing w:val="-27"/>
          <w:sz w:val="21"/>
          <w:szCs w:val="21"/>
        </w:rPr>
        <w:t xml:space="preserve"> </w:t>
      </w:r>
      <w:r>
        <w:rPr>
          <w:rFonts w:hint="eastAsia" w:asciiTheme="minorEastAsia" w:hAnsiTheme="minorEastAsia" w:eastAsiaTheme="minorEastAsia" w:cstheme="minorEastAsia"/>
          <w:color w:val="auto"/>
          <w:spacing w:val="-1"/>
          <w:sz w:val="21"/>
          <w:szCs w:val="21"/>
        </w:rPr>
        <w:t>供应商有下列情形之一的，属于恶意串通行为，将报同级监督管理部门：</w:t>
      </w:r>
    </w:p>
    <w:p w14:paraId="57E74D8A">
      <w:pPr>
        <w:pStyle w:val="9"/>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供应商直接或者间接从采购人或者采</w:t>
      </w:r>
      <w:r>
        <w:rPr>
          <w:rFonts w:hint="eastAsia" w:asciiTheme="minorEastAsia" w:hAnsiTheme="minorEastAsia" w:eastAsiaTheme="minorEastAsia" w:cstheme="minorEastAsia"/>
          <w:color w:val="auto"/>
          <w:spacing w:val="1"/>
          <w:sz w:val="21"/>
          <w:szCs w:val="21"/>
        </w:rPr>
        <w:t>购代理机构处获得其他供应商的相关信息并修改其响应文</w:t>
      </w:r>
      <w:r>
        <w:rPr>
          <w:rFonts w:hint="eastAsia" w:asciiTheme="minorEastAsia" w:hAnsiTheme="minorEastAsia" w:eastAsiaTheme="minorEastAsia" w:cstheme="minorEastAsia"/>
          <w:color w:val="auto"/>
          <w:spacing w:val="-14"/>
          <w:sz w:val="21"/>
          <w:szCs w:val="21"/>
        </w:rPr>
        <w:t>件；</w:t>
      </w:r>
    </w:p>
    <w:p w14:paraId="23E93EFF">
      <w:pPr>
        <w:pStyle w:val="9"/>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供应商按照采购人或者采购代理机构的授意撤换、修改响</w:t>
      </w:r>
      <w:r>
        <w:rPr>
          <w:rFonts w:hint="eastAsia" w:asciiTheme="minorEastAsia" w:hAnsiTheme="minorEastAsia" w:eastAsiaTheme="minorEastAsia" w:cstheme="minorEastAsia"/>
          <w:color w:val="auto"/>
          <w:spacing w:val="-2"/>
          <w:sz w:val="21"/>
          <w:szCs w:val="21"/>
        </w:rPr>
        <w:t>应文件；</w:t>
      </w:r>
    </w:p>
    <w:p w14:paraId="47213ECF">
      <w:pPr>
        <w:pStyle w:val="9"/>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供应商之间协商报价、技术方案等响应文件或者响应文件的实质性内容；</w:t>
      </w:r>
    </w:p>
    <w:p w14:paraId="1A5071A1">
      <w:pPr>
        <w:pStyle w:val="9"/>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属于同一集团、协会、商会等组织成员的供应商按照该组织要求</w:t>
      </w:r>
      <w:r>
        <w:rPr>
          <w:rFonts w:hint="eastAsia" w:asciiTheme="minorEastAsia" w:hAnsiTheme="minorEastAsia" w:eastAsiaTheme="minorEastAsia" w:cstheme="minorEastAsia"/>
          <w:color w:val="auto"/>
          <w:spacing w:val="-1"/>
          <w:sz w:val="21"/>
          <w:szCs w:val="21"/>
        </w:rPr>
        <w:t>协同参加政府采购活动；</w:t>
      </w:r>
    </w:p>
    <w:p w14:paraId="77142D69">
      <w:pPr>
        <w:pStyle w:val="9"/>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供应商之间事先约定一致抬高或者压低报价,或者在政府采购活动中事先约定轮流以高价位或者低价位成交,或者事先约定由某一特定供应商成交,然后再参加竞标；</w:t>
      </w:r>
    </w:p>
    <w:p w14:paraId="3153D7C3">
      <w:pPr>
        <w:pStyle w:val="9"/>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供应商之间商定部分供应商放弃参加政府采购活动或者放</w:t>
      </w:r>
      <w:r>
        <w:rPr>
          <w:rFonts w:hint="eastAsia" w:asciiTheme="minorEastAsia" w:hAnsiTheme="minorEastAsia" w:eastAsiaTheme="minorEastAsia" w:cstheme="minorEastAsia"/>
          <w:color w:val="auto"/>
          <w:spacing w:val="-2"/>
          <w:sz w:val="21"/>
          <w:szCs w:val="21"/>
        </w:rPr>
        <w:t>弃成交；</w:t>
      </w:r>
    </w:p>
    <w:p w14:paraId="656FDC40">
      <w:pPr>
        <w:pStyle w:val="9"/>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供应商与采购人或者采购代理机构之间、</w:t>
      </w:r>
      <w:r>
        <w:rPr>
          <w:rFonts w:hint="eastAsia" w:asciiTheme="minorEastAsia" w:hAnsiTheme="minorEastAsia" w:eastAsiaTheme="minorEastAsia" w:cstheme="minorEastAsia"/>
          <w:color w:val="auto"/>
          <w:spacing w:val="1"/>
          <w:sz w:val="21"/>
          <w:szCs w:val="21"/>
        </w:rPr>
        <w:t>供应商相互之间，为谋求特定供应商成交或者排斥其</w:t>
      </w:r>
      <w:r>
        <w:rPr>
          <w:rFonts w:hint="eastAsia" w:asciiTheme="minorEastAsia" w:hAnsiTheme="minorEastAsia" w:eastAsiaTheme="minorEastAsia" w:cstheme="minorEastAsia"/>
          <w:color w:val="auto"/>
          <w:spacing w:val="-1"/>
          <w:sz w:val="21"/>
          <w:szCs w:val="21"/>
        </w:rPr>
        <w:t>他供应商的其他串通行为。</w:t>
      </w:r>
    </w:p>
    <w:p w14:paraId="452918D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7.7 根据《国务院办公厅关于在政府采购</w:t>
      </w:r>
      <w:r>
        <w:rPr>
          <w:rFonts w:hint="eastAsia" w:asciiTheme="minorEastAsia" w:hAnsiTheme="minorEastAsia" w:eastAsiaTheme="minorEastAsia" w:cstheme="minorEastAsia"/>
          <w:color w:val="auto"/>
          <w:spacing w:val="-1"/>
          <w:sz w:val="21"/>
          <w:szCs w:val="21"/>
        </w:rPr>
        <w:t>中实施本国产品标准及相关政策的通知》（国办发〔2025〕</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pacing w:val="-2"/>
          <w:sz w:val="21"/>
          <w:szCs w:val="21"/>
        </w:rPr>
        <w:t>34</w:t>
      </w:r>
      <w:r>
        <w:rPr>
          <w:rFonts w:hint="eastAsia" w:asciiTheme="minorEastAsia" w:hAnsiTheme="minorEastAsia" w:eastAsiaTheme="minorEastAsia" w:cstheme="minorEastAsia"/>
          <w:color w:val="auto"/>
          <w:spacing w:val="-34"/>
          <w:sz w:val="21"/>
          <w:szCs w:val="21"/>
        </w:rPr>
        <w:t xml:space="preserve"> </w:t>
      </w:r>
      <w:r>
        <w:rPr>
          <w:rFonts w:hint="eastAsia" w:asciiTheme="minorEastAsia" w:hAnsiTheme="minorEastAsia" w:eastAsiaTheme="minorEastAsia" w:cstheme="minorEastAsia"/>
          <w:color w:val="auto"/>
          <w:spacing w:val="-2"/>
          <w:sz w:val="21"/>
          <w:szCs w:val="21"/>
        </w:rPr>
        <w:t>号）的规定，本国产品标准适用于货物，包括政府采购货物项目和服务项目中涉及的货物。适用本国产</w:t>
      </w:r>
      <w:r>
        <w:rPr>
          <w:rFonts w:hint="eastAsia" w:asciiTheme="minorEastAsia" w:hAnsiTheme="minorEastAsia" w:eastAsiaTheme="minorEastAsia" w:cstheme="minorEastAsia"/>
          <w:color w:val="auto"/>
          <w:sz w:val="21"/>
          <w:szCs w:val="21"/>
        </w:rPr>
        <w:t>品标准的货物具体是指《政府采购品目分类目录》中的</w:t>
      </w:r>
      <w:r>
        <w:rPr>
          <w:rFonts w:hint="eastAsia" w:asciiTheme="minorEastAsia" w:hAnsiTheme="minorEastAsia" w:eastAsiaTheme="minorEastAsia" w:cstheme="minorEastAsia"/>
          <w:color w:val="auto"/>
          <w:spacing w:val="-1"/>
          <w:sz w:val="21"/>
          <w:szCs w:val="21"/>
        </w:rPr>
        <w:t>货物类产品，但不包括其中的房屋和构筑物，文物</w:t>
      </w:r>
      <w:r>
        <w:rPr>
          <w:rFonts w:hint="eastAsia" w:asciiTheme="minorEastAsia" w:hAnsiTheme="minorEastAsia" w:eastAsiaTheme="minorEastAsia" w:cstheme="minorEastAsia"/>
          <w:color w:val="auto"/>
          <w:sz w:val="21"/>
          <w:szCs w:val="21"/>
        </w:rPr>
        <w:t>和陈列品，图书和档案，特种动植物，农林牧渔业产品</w:t>
      </w:r>
      <w:r>
        <w:rPr>
          <w:rFonts w:hint="eastAsia" w:asciiTheme="minorEastAsia" w:hAnsiTheme="minorEastAsia" w:eastAsiaTheme="minorEastAsia" w:cstheme="minorEastAsia"/>
          <w:color w:val="auto"/>
          <w:spacing w:val="-1"/>
          <w:sz w:val="21"/>
          <w:szCs w:val="21"/>
        </w:rPr>
        <w:t>，矿与矿物，电力、城市燃气、蒸汽和热水、水，</w:t>
      </w:r>
      <w:r>
        <w:rPr>
          <w:rFonts w:hint="eastAsia" w:asciiTheme="minorEastAsia" w:hAnsiTheme="minorEastAsia" w:eastAsiaTheme="minorEastAsia" w:cstheme="minorEastAsia"/>
          <w:color w:val="auto"/>
          <w:spacing w:val="-2"/>
          <w:sz w:val="21"/>
          <w:szCs w:val="21"/>
        </w:rPr>
        <w:t>食品、饮料和烟草原料，无形资产。</w:t>
      </w:r>
    </w:p>
    <w:p w14:paraId="7D48455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产品在中国境内生产的组件成本占比应当达到规定比例，计算公式为：</w:t>
      </w:r>
    </w:p>
    <w:p w14:paraId="4311B60B">
      <w:pPr>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position w:val="-15"/>
          <w:sz w:val="21"/>
          <w:szCs w:val="21"/>
        </w:rPr>
        <w:drawing>
          <wp:inline distT="0" distB="0" distL="0" distR="0">
            <wp:extent cx="4335145" cy="483235"/>
            <wp:effectExtent l="0" t="0" r="8255" b="12065"/>
            <wp:docPr id="6" name="IM 4"/>
            <wp:cNvGraphicFramePr/>
            <a:graphic xmlns:a="http://schemas.openxmlformats.org/drawingml/2006/main">
              <a:graphicData uri="http://schemas.openxmlformats.org/drawingml/2006/picture">
                <pic:pic xmlns:pic="http://schemas.openxmlformats.org/drawingml/2006/picture">
                  <pic:nvPicPr>
                    <pic:cNvPr id="6" name="IM 4"/>
                    <pic:cNvPicPr/>
                  </pic:nvPicPr>
                  <pic:blipFill>
                    <a:blip r:embed="rId15"/>
                    <a:stretch>
                      <a:fillRect/>
                    </a:stretch>
                  </pic:blipFill>
                  <pic:spPr>
                    <a:xfrm>
                      <a:off x="0" y="0"/>
                      <a:ext cx="4335778" cy="483235"/>
                    </a:xfrm>
                    <a:prstGeom prst="rect">
                      <a:avLst/>
                    </a:prstGeom>
                  </pic:spPr>
                </pic:pic>
              </a:graphicData>
            </a:graphic>
          </wp:inline>
        </w:drawing>
      </w:r>
    </w:p>
    <w:p w14:paraId="330477F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财政部会同有关行业主管部门，分产品确定在中</w:t>
      </w:r>
      <w:r>
        <w:rPr>
          <w:rFonts w:hint="eastAsia" w:asciiTheme="minorEastAsia" w:hAnsiTheme="minorEastAsia" w:eastAsiaTheme="minorEastAsia" w:cstheme="minorEastAsia"/>
          <w:color w:val="auto"/>
          <w:spacing w:val="-1"/>
          <w:sz w:val="21"/>
          <w:szCs w:val="21"/>
        </w:rPr>
        <w:t>国境内生产的组件成本占比应当达到的规定比例。在</w:t>
      </w:r>
      <w:r>
        <w:rPr>
          <w:rFonts w:hint="eastAsia" w:asciiTheme="minorEastAsia" w:hAnsiTheme="minorEastAsia" w:eastAsiaTheme="minorEastAsia" w:cstheme="minorEastAsia"/>
          <w:color w:val="auto"/>
          <w:sz w:val="21"/>
          <w:szCs w:val="21"/>
        </w:rPr>
        <w:t>分产品的中国境内生产的组件成本占比相关要求实施前</w:t>
      </w:r>
      <w:r>
        <w:rPr>
          <w:rFonts w:hint="eastAsia" w:asciiTheme="minorEastAsia" w:hAnsiTheme="minorEastAsia" w:eastAsiaTheme="minorEastAsia" w:cstheme="minorEastAsia"/>
          <w:color w:val="auto"/>
          <w:spacing w:val="-1"/>
          <w:sz w:val="21"/>
          <w:szCs w:val="21"/>
        </w:rPr>
        <w:t>，符合《国务院办公厅关于在政府采购中实施本国</w:t>
      </w:r>
      <w:r>
        <w:rPr>
          <w:rFonts w:hint="eastAsia" w:asciiTheme="minorEastAsia" w:hAnsiTheme="minorEastAsia" w:eastAsiaTheme="minorEastAsia" w:cstheme="minorEastAsia"/>
          <w:color w:val="auto"/>
          <w:sz w:val="21"/>
          <w:szCs w:val="21"/>
        </w:rPr>
        <w:t>产品标准及相关政策的通知》第一条第（一）项条件的产品在政府采购活动中视同本国</w:t>
      </w:r>
      <w:r>
        <w:rPr>
          <w:rFonts w:hint="eastAsia" w:asciiTheme="minorEastAsia" w:hAnsiTheme="minorEastAsia" w:eastAsiaTheme="minorEastAsia" w:cstheme="minorEastAsia"/>
          <w:color w:val="auto"/>
          <w:spacing w:val="-1"/>
          <w:sz w:val="21"/>
          <w:szCs w:val="21"/>
        </w:rPr>
        <w:t>产品。</w:t>
      </w:r>
    </w:p>
    <w:p w14:paraId="560F413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政府采购活动中既有本国产品又有非本国产品参与竞</w:t>
      </w:r>
      <w:r>
        <w:rPr>
          <w:rFonts w:hint="eastAsia" w:asciiTheme="minorEastAsia" w:hAnsiTheme="minorEastAsia" w:eastAsiaTheme="minorEastAsia" w:cstheme="minorEastAsia"/>
          <w:color w:val="auto"/>
          <w:spacing w:val="-1"/>
          <w:sz w:val="21"/>
          <w:szCs w:val="21"/>
        </w:rPr>
        <w:t>争的，依法对本国产品给予价格评审优惠，对本国产品的报价给予</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1"/>
          <w:sz w:val="21"/>
          <w:szCs w:val="21"/>
        </w:rPr>
        <w:t>20%的价格扣除，用扣除后的</w:t>
      </w:r>
      <w:r>
        <w:rPr>
          <w:rFonts w:hint="eastAsia" w:asciiTheme="minorEastAsia" w:hAnsiTheme="minorEastAsia" w:eastAsiaTheme="minorEastAsia" w:cstheme="minorEastAsia"/>
          <w:color w:val="auto"/>
          <w:spacing w:val="-2"/>
          <w:sz w:val="21"/>
          <w:szCs w:val="21"/>
        </w:rPr>
        <w:t>价格参与评审。</w:t>
      </w:r>
    </w:p>
    <w:p w14:paraId="32BE2C5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当采购项目或者采购包中含有多种产品，供应商为该采购项目或者采购包提供的符合本国产品标准的</w:t>
      </w:r>
      <w:r>
        <w:rPr>
          <w:rFonts w:hint="eastAsia" w:asciiTheme="minorEastAsia" w:hAnsiTheme="minorEastAsia" w:eastAsiaTheme="minorEastAsia" w:cstheme="minorEastAsia"/>
          <w:color w:val="auto"/>
          <w:sz w:val="21"/>
          <w:szCs w:val="21"/>
        </w:rPr>
        <w:t xml:space="preserve">产品成本之和占该供应商提供的全部产品成本之和的比例达到 </w:t>
      </w:r>
      <w:r>
        <w:rPr>
          <w:rFonts w:hint="eastAsia" w:asciiTheme="minorEastAsia" w:hAnsiTheme="minorEastAsia" w:eastAsiaTheme="minorEastAsia" w:cstheme="minorEastAsia"/>
          <w:color w:val="auto"/>
          <w:spacing w:val="-1"/>
          <w:sz w:val="21"/>
          <w:szCs w:val="21"/>
        </w:rPr>
        <w:t>80%以上时，依法对该供应商提供的全部产</w:t>
      </w:r>
      <w:r>
        <w:rPr>
          <w:rFonts w:hint="eastAsia" w:asciiTheme="minorEastAsia" w:hAnsiTheme="minorEastAsia" w:eastAsiaTheme="minorEastAsia" w:cstheme="minorEastAsia"/>
          <w:color w:val="auto"/>
          <w:sz w:val="21"/>
          <w:szCs w:val="21"/>
        </w:rPr>
        <w:t>品给予价格评审优惠，即对该供应商提供的全部产品的总报价给</w:t>
      </w:r>
      <w:r>
        <w:rPr>
          <w:rFonts w:hint="eastAsia" w:asciiTheme="minorEastAsia" w:hAnsiTheme="minorEastAsia" w:eastAsiaTheme="minorEastAsia" w:cstheme="minorEastAsia"/>
          <w:color w:val="auto"/>
          <w:spacing w:val="-1"/>
          <w:sz w:val="21"/>
          <w:szCs w:val="21"/>
        </w:rPr>
        <w:t>予 20%的价格扣除，用扣除后的价格参与</w:t>
      </w:r>
      <w:r>
        <w:rPr>
          <w:rFonts w:hint="eastAsia" w:asciiTheme="minorEastAsia" w:hAnsiTheme="minorEastAsia" w:eastAsiaTheme="minorEastAsia" w:cstheme="minorEastAsia"/>
          <w:color w:val="auto"/>
          <w:spacing w:val="-8"/>
          <w:sz w:val="21"/>
          <w:szCs w:val="21"/>
        </w:rPr>
        <w:t>评审。</w:t>
      </w:r>
    </w:p>
    <w:p w14:paraId="1B9EDA4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 w:val="21"/>
          <w:szCs w:val="21"/>
        </w:rPr>
        <w:t>7.8 本项目是否涉及非本国产品参与竞争，</w:t>
      </w:r>
      <w:r>
        <w:rPr>
          <w:rFonts w:hint="eastAsia" w:asciiTheme="minorEastAsia" w:hAnsiTheme="minorEastAsia" w:eastAsiaTheme="minorEastAsia" w:cstheme="minorEastAsia"/>
          <w:color w:val="auto"/>
          <w:spacing w:val="-1"/>
          <w:sz w:val="21"/>
          <w:szCs w:val="21"/>
        </w:rPr>
        <w:t>详见“采购需求”。</w:t>
      </w:r>
    </w:p>
    <w:p w14:paraId="6735BC82">
      <w:pPr>
        <w:pStyle w:val="9"/>
        <w:keepNext w:val="0"/>
        <w:keepLines w:val="0"/>
        <w:pageBreakBefore w:val="0"/>
        <w:widowControl w:val="0"/>
        <w:numPr>
          <w:ilvl w:val="0"/>
          <w:numId w:val="20"/>
        </w:numPr>
        <w:kinsoku/>
        <w:wordWrap/>
        <w:overflowPunct/>
        <w:topLinePunct w:val="0"/>
        <w:autoSpaceDE/>
        <w:autoSpaceDN/>
        <w:bidi w:val="0"/>
        <w:adjustRightInd/>
        <w:snapToGrid w:val="0"/>
        <w:spacing w:line="360" w:lineRule="auto"/>
        <w:ind w:left="0" w:leftChars="0" w:firstLine="0" w:firstLineChars="0"/>
        <w:jc w:val="center"/>
        <w:textAlignment w:val="auto"/>
        <w:outlineLvl w:val="2"/>
        <w:rPr>
          <w:rFonts w:hint="eastAsia" w:asciiTheme="minorEastAsia" w:hAnsiTheme="minorEastAsia" w:eastAsiaTheme="minorEastAsia" w:cstheme="minorEastAsia"/>
          <w:b/>
          <w:bCs/>
          <w:color w:val="auto"/>
          <w:spacing w:val="-4"/>
          <w:sz w:val="32"/>
          <w:szCs w:val="32"/>
        </w:rPr>
      </w:pPr>
      <w:r>
        <w:rPr>
          <w:rFonts w:hint="eastAsia" w:asciiTheme="minorEastAsia" w:hAnsiTheme="minorEastAsia" w:eastAsiaTheme="minorEastAsia" w:cstheme="minorEastAsia"/>
          <w:b/>
          <w:bCs/>
          <w:color w:val="auto"/>
          <w:spacing w:val="-4"/>
          <w:sz w:val="32"/>
          <w:szCs w:val="32"/>
        </w:rPr>
        <w:t>谈判文件</w:t>
      </w:r>
    </w:p>
    <w:p w14:paraId="712C8F46">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谈判文件的构成</w:t>
      </w:r>
    </w:p>
    <w:p w14:paraId="429644A0">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竞争性谈判公告；</w:t>
      </w:r>
    </w:p>
    <w:p w14:paraId="2D25A1FF">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供应商须知；</w:t>
      </w:r>
    </w:p>
    <w:p w14:paraId="6273CEAF">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采购需求；</w:t>
      </w:r>
    </w:p>
    <w:p w14:paraId="49123274">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响应文件格式</w:t>
      </w:r>
    </w:p>
    <w:p w14:paraId="7D2317F7">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合同主要条款</w:t>
      </w:r>
      <w:r>
        <w:rPr>
          <w:rFonts w:hint="eastAsia" w:asciiTheme="minorEastAsia" w:hAnsiTheme="minorEastAsia" w:eastAsiaTheme="minorEastAsia" w:cstheme="minorEastAsia"/>
          <w:color w:val="auto"/>
          <w:sz w:val="21"/>
          <w:szCs w:val="21"/>
          <w:highlight w:val="none"/>
          <w:lang w:eastAsia="zh-CN"/>
        </w:rPr>
        <w:t>及验收书格式</w:t>
      </w:r>
      <w:r>
        <w:rPr>
          <w:rFonts w:hint="eastAsia" w:asciiTheme="minorEastAsia" w:hAnsiTheme="minorEastAsia" w:eastAsiaTheme="minorEastAsia" w:cstheme="minorEastAsia"/>
          <w:color w:val="auto"/>
          <w:sz w:val="21"/>
          <w:szCs w:val="21"/>
          <w:highlight w:val="none"/>
        </w:rPr>
        <w:t>；</w:t>
      </w:r>
    </w:p>
    <w:p w14:paraId="2F08F540">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评审方法及评审标准。</w:t>
      </w:r>
    </w:p>
    <w:p w14:paraId="26D42C50">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供应商的询问</w:t>
      </w:r>
    </w:p>
    <w:p w14:paraId="40B03DBE">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供应商应认真阅读谈判文件的采购需求，如供应商</w:t>
      </w:r>
      <w:r>
        <w:rPr>
          <w:rFonts w:hint="eastAsia" w:asciiTheme="minorEastAsia" w:hAnsiTheme="minorEastAsia" w:eastAsiaTheme="minorEastAsia" w:cstheme="minorEastAsia"/>
          <w:color w:val="auto"/>
          <w:spacing w:val="-1"/>
          <w:sz w:val="21"/>
          <w:szCs w:val="21"/>
        </w:rPr>
        <w:t>对谈判文件有疑问的，如要求采购人作出澄清或者</w:t>
      </w:r>
      <w:r>
        <w:rPr>
          <w:rFonts w:hint="eastAsia" w:asciiTheme="minorEastAsia" w:hAnsiTheme="minorEastAsia" w:eastAsiaTheme="minorEastAsia" w:cstheme="minorEastAsia"/>
          <w:color w:val="auto"/>
          <w:sz w:val="21"/>
          <w:szCs w:val="21"/>
        </w:rPr>
        <w:t>修改的，供应商尽可能在提交首次响应文件截止之日前</w:t>
      </w:r>
      <w:r>
        <w:rPr>
          <w:rFonts w:hint="eastAsia" w:asciiTheme="minorEastAsia" w:hAnsiTheme="minorEastAsia" w:eastAsiaTheme="minorEastAsia" w:cstheme="minorEastAsia"/>
          <w:color w:val="auto"/>
          <w:spacing w:val="-1"/>
          <w:sz w:val="21"/>
          <w:szCs w:val="21"/>
        </w:rPr>
        <w:t>，以纸质书面形式向采购人、采购代理机构提出，否则，由此产生的后果由供应商自行负责。</w:t>
      </w:r>
    </w:p>
    <w:p w14:paraId="1FAB12EA">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谈判文件的澄清和修改</w:t>
      </w:r>
    </w:p>
    <w:p w14:paraId="4263A56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10.1</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2"/>
          <w:sz w:val="21"/>
          <w:szCs w:val="21"/>
        </w:rPr>
        <w:t>提交首次响应文件截止之日前，采购人、采购代理机构或者谈判小组可以对已发</w:t>
      </w:r>
      <w:r>
        <w:rPr>
          <w:rFonts w:hint="eastAsia" w:asciiTheme="minorEastAsia" w:hAnsiTheme="minorEastAsia" w:eastAsiaTheme="minorEastAsia" w:cstheme="minorEastAsia"/>
          <w:color w:val="auto"/>
          <w:spacing w:val="-3"/>
          <w:sz w:val="21"/>
          <w:szCs w:val="21"/>
        </w:rPr>
        <w:t>出的谈判文件进</w:t>
      </w:r>
      <w:r>
        <w:rPr>
          <w:rFonts w:hint="eastAsia" w:asciiTheme="minorEastAsia" w:hAnsiTheme="minorEastAsia" w:eastAsiaTheme="minorEastAsia" w:cstheme="minorEastAsia"/>
          <w:color w:val="auto"/>
          <w:sz w:val="21"/>
          <w:szCs w:val="21"/>
        </w:rPr>
        <w:t>行必要的澄清或者修改，澄清或者修改的内容作为谈判</w:t>
      </w:r>
      <w:r>
        <w:rPr>
          <w:rFonts w:hint="eastAsia" w:asciiTheme="minorEastAsia" w:hAnsiTheme="minorEastAsia" w:eastAsiaTheme="minorEastAsia" w:cstheme="minorEastAsia"/>
          <w:color w:val="auto"/>
          <w:spacing w:val="-1"/>
          <w:sz w:val="21"/>
          <w:szCs w:val="21"/>
        </w:rPr>
        <w:t>文件的组成部分。澄清或者修改将在原公告发布媒</w:t>
      </w:r>
      <w:r>
        <w:rPr>
          <w:rFonts w:hint="eastAsia" w:asciiTheme="minorEastAsia" w:hAnsiTheme="minorEastAsia" w:eastAsiaTheme="minorEastAsia" w:cstheme="minorEastAsia"/>
          <w:color w:val="auto"/>
          <w:sz w:val="21"/>
          <w:szCs w:val="21"/>
        </w:rPr>
        <w:t>体上发布更正公告。澄清或者修改的内容可能影响响</w:t>
      </w:r>
      <w:r>
        <w:rPr>
          <w:rFonts w:hint="eastAsia" w:asciiTheme="minorEastAsia" w:hAnsiTheme="minorEastAsia" w:eastAsiaTheme="minorEastAsia" w:cstheme="minorEastAsia"/>
          <w:color w:val="auto"/>
          <w:spacing w:val="-1"/>
          <w:sz w:val="21"/>
          <w:szCs w:val="21"/>
        </w:rPr>
        <w:t>应文件编制的，采购人、采购代理机构或者谈判小组</w:t>
      </w:r>
      <w:r>
        <w:rPr>
          <w:rFonts w:hint="eastAsia" w:asciiTheme="minorEastAsia" w:hAnsiTheme="minorEastAsia" w:eastAsiaTheme="minorEastAsia" w:cstheme="minorEastAsia"/>
          <w:color w:val="auto"/>
          <w:spacing w:val="-4"/>
          <w:sz w:val="21"/>
          <w:szCs w:val="21"/>
        </w:rPr>
        <w:t>应当在提交首次响应文件截止之日</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4"/>
          <w:sz w:val="21"/>
          <w:szCs w:val="21"/>
        </w:rPr>
        <w:t>3</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4"/>
          <w:sz w:val="21"/>
          <w:szCs w:val="21"/>
        </w:rPr>
        <w:t>个工作日前，在原公</w:t>
      </w:r>
      <w:r>
        <w:rPr>
          <w:rFonts w:hint="eastAsia" w:asciiTheme="minorEastAsia" w:hAnsiTheme="minorEastAsia" w:eastAsiaTheme="minorEastAsia" w:cstheme="minorEastAsia"/>
          <w:color w:val="auto"/>
          <w:spacing w:val="-5"/>
          <w:sz w:val="21"/>
          <w:szCs w:val="21"/>
        </w:rPr>
        <w:t>告发布媒体上发布更正公告；不足</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5"/>
          <w:sz w:val="21"/>
          <w:szCs w:val="21"/>
        </w:rPr>
        <w:t>3</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5"/>
          <w:sz w:val="21"/>
          <w:szCs w:val="21"/>
        </w:rPr>
        <w:t>个工作日的，</w:t>
      </w:r>
      <w:r>
        <w:rPr>
          <w:rFonts w:hint="eastAsia" w:asciiTheme="minorEastAsia" w:hAnsiTheme="minorEastAsia" w:eastAsiaTheme="minorEastAsia" w:cstheme="minorEastAsia"/>
          <w:color w:val="auto"/>
          <w:spacing w:val="-1"/>
          <w:sz w:val="21"/>
          <w:szCs w:val="21"/>
        </w:rPr>
        <w:t>应当顺延提交首次响应文件截止之日。</w:t>
      </w:r>
    </w:p>
    <w:p w14:paraId="15D40DD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10.2</w:t>
      </w:r>
      <w:r>
        <w:rPr>
          <w:rFonts w:hint="eastAsia" w:asciiTheme="minorEastAsia" w:hAnsiTheme="minorEastAsia" w:eastAsiaTheme="minorEastAsia" w:cstheme="minorEastAsia"/>
          <w:color w:val="auto"/>
          <w:spacing w:val="-47"/>
          <w:sz w:val="21"/>
          <w:szCs w:val="21"/>
        </w:rPr>
        <w:t xml:space="preserve"> </w:t>
      </w:r>
      <w:r>
        <w:rPr>
          <w:rFonts w:hint="eastAsia" w:asciiTheme="minorEastAsia" w:hAnsiTheme="minorEastAsia" w:eastAsiaTheme="minorEastAsia" w:cstheme="minorEastAsia"/>
          <w:color w:val="auto"/>
          <w:spacing w:val="-2"/>
          <w:sz w:val="21"/>
          <w:szCs w:val="21"/>
        </w:rPr>
        <w:t>采购人和采购代理机构可以视采购具体情况，变更首次响应文件提交截止时间，并在</w:t>
      </w:r>
      <w:r>
        <w:rPr>
          <w:rFonts w:hint="eastAsia" w:asciiTheme="minorEastAsia" w:hAnsiTheme="minorEastAsia" w:eastAsiaTheme="minorEastAsia" w:cstheme="minorEastAsia"/>
          <w:color w:val="auto"/>
          <w:spacing w:val="-3"/>
          <w:sz w:val="21"/>
          <w:szCs w:val="21"/>
        </w:rPr>
        <w:t>原公告发布</w:t>
      </w:r>
      <w:r>
        <w:rPr>
          <w:rFonts w:hint="eastAsia" w:asciiTheme="minorEastAsia" w:hAnsiTheme="minorEastAsia" w:eastAsiaTheme="minorEastAsia" w:cstheme="minorEastAsia"/>
          <w:color w:val="auto"/>
          <w:spacing w:val="-1"/>
          <w:sz w:val="21"/>
          <w:szCs w:val="21"/>
        </w:rPr>
        <w:t>媒体上发布更正公告。</w:t>
      </w:r>
    </w:p>
    <w:p w14:paraId="7394214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9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6"/>
          <w:sz w:val="21"/>
          <w:szCs w:val="21"/>
        </w:rPr>
        <w:t>10.3</w:t>
      </w:r>
      <w:r>
        <w:rPr>
          <w:rFonts w:hint="eastAsia" w:asciiTheme="minorEastAsia" w:hAnsiTheme="minorEastAsia" w:eastAsiaTheme="minorEastAsia" w:cstheme="minorEastAsia"/>
          <w:color w:val="auto"/>
          <w:spacing w:val="-32"/>
          <w:sz w:val="21"/>
          <w:szCs w:val="21"/>
        </w:rPr>
        <w:t xml:space="preserve"> </w:t>
      </w:r>
      <w:r>
        <w:rPr>
          <w:rFonts w:hint="eastAsia" w:asciiTheme="minorEastAsia" w:hAnsiTheme="minorEastAsia" w:eastAsiaTheme="minorEastAsia" w:cstheme="minorEastAsia"/>
          <w:color w:val="auto"/>
          <w:spacing w:val="-6"/>
          <w:sz w:val="21"/>
          <w:szCs w:val="21"/>
        </w:rPr>
        <w:t>谈判文件澄清、答复、修改、补充的内容为谈判文件的组成部分。</w:t>
      </w:r>
      <w:r>
        <w:rPr>
          <w:rFonts w:hint="eastAsia" w:asciiTheme="minorEastAsia" w:hAnsiTheme="minorEastAsia" w:eastAsiaTheme="minorEastAsia" w:cstheme="minorEastAsia"/>
          <w:b/>
          <w:bCs/>
          <w:color w:val="auto"/>
          <w:spacing w:val="-6"/>
          <w:sz w:val="21"/>
          <w:szCs w:val="21"/>
        </w:rPr>
        <w:t>当谈判文件与谈判文件的澄清、</w:t>
      </w:r>
      <w:r>
        <w:rPr>
          <w:rFonts w:hint="eastAsia" w:asciiTheme="minorEastAsia" w:hAnsiTheme="minorEastAsia" w:eastAsiaTheme="minorEastAsia" w:cstheme="minorEastAsia"/>
          <w:b/>
          <w:bCs/>
          <w:color w:val="auto"/>
          <w:spacing w:val="-2"/>
          <w:sz w:val="21"/>
          <w:szCs w:val="21"/>
        </w:rPr>
        <w:t>答复、修改、补充通知就同一内容的表述不一致时，以最后发出的文件为准。</w:t>
      </w:r>
    </w:p>
    <w:p w14:paraId="3F188514">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3"/>
          <w:sz w:val="21"/>
          <w:szCs w:val="21"/>
        </w:rPr>
        <w:t>10.4</w:t>
      </w:r>
      <w:r>
        <w:rPr>
          <w:rFonts w:hint="eastAsia" w:asciiTheme="minorEastAsia" w:hAnsiTheme="minorEastAsia" w:eastAsiaTheme="minorEastAsia" w:cstheme="minorEastAsia"/>
          <w:color w:val="auto"/>
          <w:spacing w:val="-34"/>
          <w:sz w:val="21"/>
          <w:szCs w:val="21"/>
        </w:rPr>
        <w:t xml:space="preserve"> </w:t>
      </w:r>
      <w:r>
        <w:rPr>
          <w:rFonts w:hint="eastAsia" w:asciiTheme="minorEastAsia" w:hAnsiTheme="minorEastAsia" w:eastAsiaTheme="minorEastAsia" w:cstheme="minorEastAsia"/>
          <w:b/>
          <w:bCs/>
          <w:color w:val="auto"/>
          <w:spacing w:val="-3"/>
          <w:sz w:val="21"/>
          <w:szCs w:val="21"/>
        </w:rPr>
        <w:t>响应文件未按谈判文件的澄清、修改后的内容编制的，其响应文件作无效响应处理。</w:t>
      </w:r>
    </w:p>
    <w:p w14:paraId="56BDA4FC">
      <w:pPr>
        <w:pStyle w:val="9"/>
        <w:keepNext w:val="0"/>
        <w:keepLines w:val="0"/>
        <w:pageBreakBefore w:val="0"/>
        <w:widowControl w:val="0"/>
        <w:numPr>
          <w:ilvl w:val="0"/>
          <w:numId w:val="20"/>
        </w:numPr>
        <w:kinsoku/>
        <w:wordWrap/>
        <w:overflowPunct/>
        <w:topLinePunct w:val="0"/>
        <w:autoSpaceDE/>
        <w:autoSpaceDN/>
        <w:bidi w:val="0"/>
        <w:adjustRightInd/>
        <w:snapToGrid w:val="0"/>
        <w:spacing w:line="360" w:lineRule="auto"/>
        <w:ind w:left="0" w:leftChars="0" w:firstLine="0" w:firstLineChars="0"/>
        <w:jc w:val="center"/>
        <w:textAlignment w:val="auto"/>
        <w:outlineLvl w:val="2"/>
        <w:rPr>
          <w:rFonts w:hint="eastAsia" w:asciiTheme="minorEastAsia" w:hAnsiTheme="minorEastAsia" w:eastAsiaTheme="minorEastAsia" w:cstheme="minorEastAsia"/>
          <w:b/>
          <w:bCs/>
          <w:color w:val="auto"/>
          <w:spacing w:val="-4"/>
          <w:sz w:val="32"/>
          <w:szCs w:val="32"/>
        </w:rPr>
      </w:pPr>
      <w:r>
        <w:rPr>
          <w:rFonts w:hint="eastAsia" w:asciiTheme="minorEastAsia" w:hAnsiTheme="minorEastAsia" w:eastAsiaTheme="minorEastAsia" w:cstheme="minorEastAsia"/>
          <w:b/>
          <w:bCs/>
          <w:color w:val="auto"/>
          <w:spacing w:val="-4"/>
          <w:sz w:val="32"/>
          <w:szCs w:val="32"/>
        </w:rPr>
        <w:t>响应文件的编制</w:t>
      </w:r>
    </w:p>
    <w:p w14:paraId="6CCA428F">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响应文件的编制原则</w:t>
      </w:r>
    </w:p>
    <w:p w14:paraId="1380DFB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供应商必须按照谈判文件的要求编制响应文件，并</w:t>
      </w:r>
      <w:r>
        <w:rPr>
          <w:rFonts w:hint="eastAsia" w:asciiTheme="minorEastAsia" w:hAnsiTheme="minorEastAsia" w:eastAsiaTheme="minorEastAsia" w:cstheme="minorEastAsia"/>
          <w:color w:val="auto"/>
          <w:spacing w:val="-1"/>
          <w:sz w:val="21"/>
          <w:szCs w:val="21"/>
        </w:rPr>
        <w:t>对其提交的响应文件的真实性、合法性承担法律责任。响应文件必须对谈判文件作出实质性响应。</w:t>
      </w:r>
    </w:p>
    <w:p w14:paraId="08C97418">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响应文件的组成</w:t>
      </w:r>
    </w:p>
    <w:p w14:paraId="3493070F">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12.1</w:t>
      </w:r>
      <w:r>
        <w:rPr>
          <w:rFonts w:hint="eastAsia" w:asciiTheme="minorEastAsia" w:hAnsiTheme="minorEastAsia" w:eastAsiaTheme="minorEastAsia" w:cstheme="minorEastAsia"/>
          <w:color w:val="auto"/>
          <w:spacing w:val="-23"/>
          <w:sz w:val="21"/>
          <w:szCs w:val="21"/>
        </w:rPr>
        <w:t xml:space="preserve"> </w:t>
      </w:r>
      <w:r>
        <w:rPr>
          <w:rFonts w:hint="eastAsia" w:asciiTheme="minorEastAsia" w:hAnsiTheme="minorEastAsia" w:eastAsiaTheme="minorEastAsia" w:cstheme="minorEastAsia"/>
          <w:color w:val="auto"/>
          <w:spacing w:val="-2"/>
          <w:sz w:val="21"/>
          <w:szCs w:val="21"/>
        </w:rPr>
        <w:t>响应文件由资格证明文件、报价文件、商务技术文件三部分组成。</w:t>
      </w:r>
    </w:p>
    <w:p w14:paraId="12D5622C">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12.1.1</w:t>
      </w:r>
      <w:r>
        <w:rPr>
          <w:rFonts w:hint="eastAsia" w:asciiTheme="minorEastAsia" w:hAnsiTheme="minorEastAsia" w:eastAsiaTheme="minorEastAsia" w:cstheme="minorEastAsia"/>
          <w:color w:val="auto"/>
          <w:spacing w:val="-19"/>
          <w:sz w:val="21"/>
          <w:szCs w:val="21"/>
        </w:rPr>
        <w:t xml:space="preserve"> </w:t>
      </w:r>
      <w:r>
        <w:rPr>
          <w:rFonts w:hint="eastAsia" w:asciiTheme="minorEastAsia" w:hAnsiTheme="minorEastAsia" w:eastAsiaTheme="minorEastAsia" w:cstheme="minorEastAsia"/>
          <w:color w:val="auto"/>
          <w:spacing w:val="2"/>
          <w:sz w:val="21"/>
          <w:szCs w:val="21"/>
        </w:rPr>
        <w:t>资格证明文件：详见“供应商须知前附表”</w:t>
      </w:r>
    </w:p>
    <w:p w14:paraId="6ED832F7">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3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12.1.2</w:t>
      </w:r>
      <w:r>
        <w:rPr>
          <w:rFonts w:hint="eastAsia" w:asciiTheme="minorEastAsia" w:hAnsiTheme="minorEastAsia" w:eastAsiaTheme="minorEastAsia" w:cstheme="minorEastAsia"/>
          <w:color w:val="auto"/>
          <w:spacing w:val="-38"/>
          <w:sz w:val="21"/>
          <w:szCs w:val="21"/>
        </w:rPr>
        <w:t xml:space="preserve"> </w:t>
      </w:r>
      <w:r>
        <w:rPr>
          <w:rFonts w:hint="eastAsia" w:asciiTheme="minorEastAsia" w:hAnsiTheme="minorEastAsia" w:eastAsiaTheme="minorEastAsia" w:cstheme="minorEastAsia"/>
          <w:color w:val="auto"/>
          <w:spacing w:val="3"/>
          <w:sz w:val="21"/>
          <w:szCs w:val="21"/>
        </w:rPr>
        <w:t>报价文件：详见“供应商须知前附表”</w:t>
      </w:r>
    </w:p>
    <w:p w14:paraId="0A6A8D2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3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12.1.3</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3"/>
          <w:sz w:val="21"/>
          <w:szCs w:val="21"/>
        </w:rPr>
        <w:t>商务技术文件：详见“供应商须</w:t>
      </w:r>
      <w:r>
        <w:rPr>
          <w:rFonts w:hint="eastAsia" w:asciiTheme="minorEastAsia" w:hAnsiTheme="minorEastAsia" w:eastAsiaTheme="minorEastAsia" w:cstheme="minorEastAsia"/>
          <w:color w:val="auto"/>
          <w:spacing w:val="2"/>
          <w:sz w:val="21"/>
          <w:szCs w:val="21"/>
        </w:rPr>
        <w:t>知前附表”</w:t>
      </w:r>
    </w:p>
    <w:p w14:paraId="1E52D967">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计量单位</w:t>
      </w:r>
    </w:p>
    <w:p w14:paraId="4AA6D2A9">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谈判文件已有明确规定的，使用谈判文件规定的</w:t>
      </w:r>
      <w:r>
        <w:rPr>
          <w:rFonts w:hint="eastAsia" w:asciiTheme="minorEastAsia" w:hAnsiTheme="minorEastAsia" w:eastAsiaTheme="minorEastAsia" w:cstheme="minorEastAsia"/>
          <w:color w:val="auto"/>
          <w:spacing w:val="-1"/>
          <w:sz w:val="21"/>
          <w:szCs w:val="21"/>
        </w:rPr>
        <w:t>计量单位；谈判文件没有规定的，应采用中华人民共</w:t>
      </w:r>
      <w:r>
        <w:rPr>
          <w:rFonts w:hint="eastAsia" w:asciiTheme="minorEastAsia" w:hAnsiTheme="minorEastAsia" w:eastAsiaTheme="minorEastAsia" w:cstheme="minorEastAsia"/>
          <w:color w:val="auto"/>
          <w:sz w:val="21"/>
          <w:szCs w:val="21"/>
        </w:rPr>
        <w:t>和国法定计量单位，货币种类为人民币，否则视</w:t>
      </w:r>
      <w:r>
        <w:rPr>
          <w:rFonts w:hint="eastAsia" w:asciiTheme="minorEastAsia" w:hAnsiTheme="minorEastAsia" w:eastAsiaTheme="minorEastAsia" w:cstheme="minorEastAsia"/>
          <w:color w:val="auto"/>
          <w:spacing w:val="-1"/>
          <w:sz w:val="21"/>
          <w:szCs w:val="21"/>
        </w:rPr>
        <w:t>同未响应。</w:t>
      </w:r>
    </w:p>
    <w:p w14:paraId="40847637">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竞标的风险</w:t>
      </w:r>
    </w:p>
    <w:p w14:paraId="2B6CDA07">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供应商没有按照谈判文件要求提供全部资料，或者</w:t>
      </w:r>
      <w:r>
        <w:rPr>
          <w:rFonts w:hint="eastAsia" w:asciiTheme="minorEastAsia" w:hAnsiTheme="minorEastAsia" w:eastAsiaTheme="minorEastAsia" w:cstheme="minorEastAsia"/>
          <w:color w:val="auto"/>
          <w:spacing w:val="-1"/>
          <w:sz w:val="21"/>
          <w:szCs w:val="21"/>
        </w:rPr>
        <w:t>供应商没有对谈判文件在各方面作出实质性响应可能导致其响应文件按无效响应处理，是供应商应当考虑的风险。</w:t>
      </w:r>
    </w:p>
    <w:p w14:paraId="789A43F8">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竞标报价</w:t>
      </w:r>
    </w:p>
    <w:p w14:paraId="1692297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15.1</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竞标报价应按谈判文件中“竞标报价表”格式填写。</w:t>
      </w:r>
    </w:p>
    <w:p w14:paraId="0535F80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15.2</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2"/>
          <w:sz w:val="21"/>
          <w:szCs w:val="21"/>
        </w:rPr>
        <w:t>竞标报价的内容详见“供应商须知前附表”。</w:t>
      </w:r>
    </w:p>
    <w:p w14:paraId="0D19B10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15.3</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3"/>
          <w:sz w:val="21"/>
          <w:szCs w:val="21"/>
        </w:rPr>
        <w:t>竞标报价要求</w:t>
      </w:r>
    </w:p>
    <w:p w14:paraId="1A55DA8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15.3.1供应商的竞标报价应符合以下要求，否则响应文件按无效响应处理：</w:t>
      </w:r>
    </w:p>
    <w:p w14:paraId="63034EA7">
      <w:pPr>
        <w:pStyle w:val="9"/>
        <w:keepNext w:val="0"/>
        <w:keepLines w:val="0"/>
        <w:pageBreakBefore w:val="0"/>
        <w:widowControl w:val="0"/>
        <w:numPr>
          <w:ilvl w:val="0"/>
          <w:numId w:val="25"/>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pacing w:val="-2"/>
          <w:sz w:val="21"/>
          <w:szCs w:val="21"/>
        </w:rPr>
        <w:t>供应商必须就“采购需求”中所竞标分标的全部内容分别作完整唯一总价报价，</w:t>
      </w:r>
      <w:r>
        <w:rPr>
          <w:rFonts w:hint="eastAsia" w:asciiTheme="minorEastAsia" w:hAnsiTheme="minorEastAsia" w:eastAsiaTheme="minorEastAsia" w:cstheme="minorEastAsia"/>
          <w:color w:val="auto"/>
          <w:spacing w:val="-4"/>
          <w:sz w:val="21"/>
          <w:szCs w:val="21"/>
        </w:rPr>
        <w:t>不得存在漏项报价；</w:t>
      </w:r>
    </w:p>
    <w:p w14:paraId="064A7F77">
      <w:pPr>
        <w:pStyle w:val="9"/>
        <w:keepNext w:val="0"/>
        <w:keepLines w:val="0"/>
        <w:pageBreakBefore w:val="0"/>
        <w:widowControl w:val="0"/>
        <w:numPr>
          <w:ilvl w:val="0"/>
          <w:numId w:val="25"/>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供应商必须就所竞标的分标的单项内容</w:t>
      </w:r>
      <w:r>
        <w:rPr>
          <w:rFonts w:hint="eastAsia" w:asciiTheme="minorEastAsia" w:hAnsiTheme="minorEastAsia" w:eastAsiaTheme="minorEastAsia" w:cstheme="minorEastAsia"/>
          <w:color w:val="auto"/>
          <w:spacing w:val="-2"/>
          <w:sz w:val="21"/>
          <w:szCs w:val="21"/>
        </w:rPr>
        <w:t>作唯一报价。</w:t>
      </w:r>
    </w:p>
    <w:p w14:paraId="5730D44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15.3.2 最后报价超过所竞标分标规定的采购预算金额或者最高限价的，其响应文件将按无效响应处</w:t>
      </w:r>
      <w:r>
        <w:rPr>
          <w:rFonts w:hint="eastAsia" w:asciiTheme="minorEastAsia" w:hAnsiTheme="minorEastAsia" w:eastAsiaTheme="minorEastAsia" w:cstheme="minorEastAsia"/>
          <w:color w:val="auto"/>
          <w:spacing w:val="-10"/>
          <w:sz w:val="21"/>
          <w:szCs w:val="21"/>
        </w:rPr>
        <w:t>理。</w:t>
      </w:r>
    </w:p>
    <w:p w14:paraId="16549357">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竞标有效期</w:t>
      </w:r>
    </w:p>
    <w:p w14:paraId="722E768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16.1</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2"/>
          <w:sz w:val="21"/>
          <w:szCs w:val="21"/>
        </w:rPr>
        <w:t>竞标有效期是指为保证采购人有足够的时间在提交响应文件后完成评审、确</w:t>
      </w:r>
      <w:r>
        <w:rPr>
          <w:rFonts w:hint="eastAsia" w:asciiTheme="minorEastAsia" w:hAnsiTheme="minorEastAsia" w:eastAsiaTheme="minorEastAsia" w:cstheme="minorEastAsia"/>
          <w:color w:val="auto"/>
          <w:spacing w:val="-3"/>
          <w:sz w:val="21"/>
          <w:szCs w:val="21"/>
        </w:rPr>
        <w:t>定成交供应商、合同</w:t>
      </w:r>
      <w:r>
        <w:rPr>
          <w:rFonts w:hint="eastAsia" w:asciiTheme="minorEastAsia" w:hAnsiTheme="minorEastAsia" w:eastAsiaTheme="minorEastAsia" w:cstheme="minorEastAsia"/>
          <w:color w:val="auto"/>
          <w:sz w:val="21"/>
          <w:szCs w:val="21"/>
        </w:rPr>
        <w:t>签订等工作而要求供应商提交的响应文件在一定时间内保持有效</w:t>
      </w:r>
      <w:r>
        <w:rPr>
          <w:rFonts w:hint="eastAsia" w:asciiTheme="minorEastAsia" w:hAnsiTheme="minorEastAsia" w:eastAsiaTheme="minorEastAsia" w:cstheme="minorEastAsia"/>
          <w:color w:val="auto"/>
          <w:spacing w:val="-1"/>
          <w:sz w:val="21"/>
          <w:szCs w:val="21"/>
        </w:rPr>
        <w:t>的期限。</w:t>
      </w:r>
    </w:p>
    <w:p w14:paraId="4E18B55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16.2 竞标有效期应由供应商按“供应商须知前附表”规定的期限作出响应。</w:t>
      </w:r>
    </w:p>
    <w:p w14:paraId="7A0529C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16.3</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供应商的响应文件在竞标有效期内均保持有效。</w:t>
      </w:r>
    </w:p>
    <w:p w14:paraId="5AB92314">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竞标保证金</w:t>
      </w:r>
    </w:p>
    <w:p w14:paraId="5D2157C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17.1</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1"/>
          <w:sz w:val="21"/>
          <w:szCs w:val="21"/>
        </w:rPr>
        <w:t>供应商须按“供应商须知前附表”的规定提交竞标保证金。</w:t>
      </w:r>
    </w:p>
    <w:p w14:paraId="3EEB083C">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17.2</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3"/>
          <w:sz w:val="21"/>
          <w:szCs w:val="21"/>
        </w:rPr>
        <w:t>竞标保证金的退还</w:t>
      </w:r>
    </w:p>
    <w:p w14:paraId="0DF7377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8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9"/>
          <w:sz w:val="21"/>
          <w:szCs w:val="21"/>
        </w:rPr>
        <w:t>未成交供应商的竞标保证金自成交通知书发出之</w:t>
      </w:r>
      <w:r>
        <w:rPr>
          <w:rFonts w:hint="eastAsia" w:asciiTheme="minorEastAsia" w:hAnsiTheme="minorEastAsia" w:eastAsiaTheme="minorEastAsia" w:cstheme="minorEastAsia"/>
          <w:color w:val="auto"/>
          <w:spacing w:val="-10"/>
          <w:sz w:val="21"/>
          <w:szCs w:val="21"/>
        </w:rPr>
        <w:t>日起</w:t>
      </w:r>
      <w:r>
        <w:rPr>
          <w:rFonts w:hint="eastAsia" w:asciiTheme="minorEastAsia" w:hAnsiTheme="minorEastAsia" w:eastAsiaTheme="minorEastAsia" w:cstheme="minorEastAsia"/>
          <w:color w:val="auto"/>
          <w:spacing w:val="-62"/>
          <w:sz w:val="21"/>
          <w:szCs w:val="21"/>
          <w:lang w:val="en-US" w:eastAsia="zh-CN"/>
        </w:rPr>
        <w:t>5</w:t>
      </w:r>
      <w:r>
        <w:rPr>
          <w:rFonts w:hint="eastAsia" w:asciiTheme="minorEastAsia" w:hAnsiTheme="minorEastAsia" w:eastAsiaTheme="minorEastAsia" w:cstheme="minorEastAsia"/>
          <w:color w:val="auto"/>
          <w:spacing w:val="-52"/>
          <w:sz w:val="21"/>
          <w:szCs w:val="21"/>
        </w:rPr>
        <w:t xml:space="preserve"> </w:t>
      </w:r>
      <w:r>
        <w:rPr>
          <w:rFonts w:hint="eastAsia" w:asciiTheme="minorEastAsia" w:hAnsiTheme="minorEastAsia" w:eastAsiaTheme="minorEastAsia" w:cstheme="minorEastAsia"/>
          <w:color w:val="auto"/>
          <w:spacing w:val="-10"/>
          <w:sz w:val="21"/>
          <w:szCs w:val="21"/>
        </w:rPr>
        <w:t>个工作日内退还；成交供应商的竞标保证金自签订</w:t>
      </w:r>
      <w:r>
        <w:rPr>
          <w:rFonts w:hint="eastAsia" w:asciiTheme="minorEastAsia" w:hAnsiTheme="minorEastAsia" w:eastAsiaTheme="minorEastAsia" w:cstheme="minorEastAsia"/>
          <w:color w:val="auto"/>
          <w:spacing w:val="-3"/>
          <w:sz w:val="21"/>
          <w:szCs w:val="21"/>
        </w:rPr>
        <w:t>合同之日起</w:t>
      </w:r>
      <w:r>
        <w:rPr>
          <w:rFonts w:hint="eastAsia" w:asciiTheme="minorEastAsia" w:hAnsiTheme="minorEastAsia" w:eastAsiaTheme="minorEastAsia" w:cstheme="minorEastAsia"/>
          <w:color w:val="auto"/>
          <w:spacing w:val="-46"/>
          <w:sz w:val="21"/>
          <w:szCs w:val="21"/>
          <w:lang w:val="en-US" w:eastAsia="zh-CN"/>
        </w:rPr>
        <w:t>5</w:t>
      </w:r>
      <w:r>
        <w:rPr>
          <w:rFonts w:hint="eastAsia" w:asciiTheme="minorEastAsia" w:hAnsiTheme="minorEastAsia" w:eastAsiaTheme="minorEastAsia" w:cstheme="minorEastAsia"/>
          <w:color w:val="auto"/>
          <w:spacing w:val="-3"/>
          <w:sz w:val="21"/>
          <w:szCs w:val="21"/>
        </w:rPr>
        <w:t>个工作日内退还。</w:t>
      </w:r>
    </w:p>
    <w:p w14:paraId="70E6858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17.3</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4"/>
          <w:sz w:val="21"/>
          <w:szCs w:val="21"/>
        </w:rPr>
        <w:t>竞标保证金不计息。</w:t>
      </w:r>
    </w:p>
    <w:p w14:paraId="64C7FA09">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17.4</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2"/>
          <w:sz w:val="21"/>
          <w:szCs w:val="21"/>
        </w:rPr>
        <w:t>供应商有下列情形之一的，竞标保证</w:t>
      </w:r>
      <w:r>
        <w:rPr>
          <w:rFonts w:hint="eastAsia" w:asciiTheme="minorEastAsia" w:hAnsiTheme="minorEastAsia" w:eastAsiaTheme="minorEastAsia" w:cstheme="minorEastAsia"/>
          <w:color w:val="auto"/>
          <w:spacing w:val="-3"/>
          <w:sz w:val="21"/>
          <w:szCs w:val="21"/>
        </w:rPr>
        <w:t>金将不予退还：</w:t>
      </w:r>
    </w:p>
    <w:p w14:paraId="42511589">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供应商在提交首次响应文件截止时间后</w:t>
      </w:r>
      <w:r>
        <w:rPr>
          <w:rFonts w:hint="eastAsia" w:asciiTheme="minorEastAsia" w:hAnsiTheme="minorEastAsia" w:eastAsiaTheme="minorEastAsia" w:cstheme="minorEastAsia"/>
          <w:color w:val="auto"/>
          <w:spacing w:val="-2"/>
          <w:sz w:val="21"/>
          <w:szCs w:val="21"/>
        </w:rPr>
        <w:t>撤回响应文件的；</w:t>
      </w:r>
    </w:p>
    <w:p w14:paraId="04EB42BA">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08"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pacing w:val="-3"/>
          <w:sz w:val="21"/>
          <w:szCs w:val="21"/>
        </w:rPr>
        <w:t>未按规定提交履约保证金的；</w:t>
      </w:r>
    </w:p>
    <w:p w14:paraId="3777BDFC">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供应商在响应文件中提供虚假材料的；</w:t>
      </w:r>
    </w:p>
    <w:p w14:paraId="5EBBC00D">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除因不可抗力或者谈判文件认可的情形以外，成交供应商不与采购人签订合同的；</w:t>
      </w:r>
    </w:p>
    <w:p w14:paraId="15CA62C0">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供应商与采购人、其他供应商或者采购代理机构</w:t>
      </w:r>
      <w:r>
        <w:rPr>
          <w:rFonts w:hint="eastAsia" w:asciiTheme="minorEastAsia" w:hAnsiTheme="minorEastAsia" w:eastAsiaTheme="minorEastAsia" w:cstheme="minorEastAsia"/>
          <w:color w:val="auto"/>
          <w:spacing w:val="-2"/>
          <w:sz w:val="21"/>
          <w:szCs w:val="21"/>
        </w:rPr>
        <w:t>恶意串通的；</w:t>
      </w:r>
    </w:p>
    <w:p w14:paraId="5C6AA2F3">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法律法规规定的其他情形。</w:t>
      </w:r>
    </w:p>
    <w:p w14:paraId="72395C72">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响应文件编制的要求</w:t>
      </w:r>
    </w:p>
    <w:p w14:paraId="4225D27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5"/>
          <w:sz w:val="21"/>
          <w:szCs w:val="21"/>
        </w:rPr>
        <w:t>18.1</w:t>
      </w:r>
      <w:r>
        <w:rPr>
          <w:rFonts w:hint="eastAsia" w:asciiTheme="minorEastAsia" w:hAnsiTheme="minorEastAsia" w:eastAsiaTheme="minorEastAsia" w:cstheme="minorEastAsia"/>
          <w:color w:val="auto"/>
          <w:spacing w:val="-45"/>
          <w:sz w:val="21"/>
          <w:szCs w:val="21"/>
        </w:rPr>
        <w:t xml:space="preserve"> </w:t>
      </w:r>
      <w:r>
        <w:rPr>
          <w:rFonts w:hint="eastAsia" w:asciiTheme="minorEastAsia" w:hAnsiTheme="minorEastAsia" w:eastAsiaTheme="minorEastAsia" w:cstheme="minorEastAsia"/>
          <w:color w:val="auto"/>
          <w:spacing w:val="-5"/>
          <w:sz w:val="21"/>
          <w:szCs w:val="21"/>
        </w:rPr>
        <w:t>供应商应按本谈判文件规定的格式和顺序编制、装订响应文件并标注页码，响应文件内容不完整、</w:t>
      </w:r>
      <w:r>
        <w:rPr>
          <w:rFonts w:hint="eastAsia" w:asciiTheme="minorEastAsia" w:hAnsiTheme="minorEastAsia" w:eastAsiaTheme="minorEastAsia" w:cstheme="minorEastAsia"/>
          <w:color w:val="auto"/>
          <w:spacing w:val="-11"/>
          <w:sz w:val="21"/>
          <w:szCs w:val="21"/>
        </w:rPr>
        <w:t>编排混乱导致响应文件被误读、漏读或者查找不到相关内容的，由此引发的后果由供应商承担。</w:t>
      </w:r>
    </w:p>
    <w:p w14:paraId="25B146A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18.2</w:t>
      </w:r>
      <w:r>
        <w:rPr>
          <w:rFonts w:hint="eastAsia" w:asciiTheme="minorEastAsia" w:hAnsiTheme="minorEastAsia" w:eastAsiaTheme="minorEastAsia" w:cstheme="minorEastAsia"/>
          <w:color w:val="auto"/>
          <w:spacing w:val="-35"/>
          <w:sz w:val="21"/>
          <w:szCs w:val="21"/>
        </w:rPr>
        <w:t xml:space="preserve"> </w:t>
      </w:r>
      <w:r>
        <w:rPr>
          <w:rFonts w:hint="eastAsia" w:asciiTheme="minorEastAsia" w:hAnsiTheme="minorEastAsia" w:eastAsiaTheme="minorEastAsia" w:cstheme="minorEastAsia"/>
          <w:color w:val="auto"/>
          <w:spacing w:val="-2"/>
          <w:sz w:val="21"/>
          <w:szCs w:val="21"/>
        </w:rPr>
        <w:t>响应文件应按资格证明文件、报价文件、商务技术文件分</w:t>
      </w:r>
      <w:r>
        <w:rPr>
          <w:rFonts w:hint="eastAsia" w:asciiTheme="minorEastAsia" w:hAnsiTheme="minorEastAsia" w:eastAsiaTheme="minorEastAsia" w:cstheme="minorEastAsia"/>
          <w:color w:val="auto"/>
          <w:spacing w:val="-3"/>
          <w:sz w:val="21"/>
          <w:szCs w:val="21"/>
        </w:rPr>
        <w:t>别编制电子文件，并按广西政府采购云平台的要求编制、加密、上传。</w:t>
      </w:r>
    </w:p>
    <w:p w14:paraId="7498333F">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18.3</w:t>
      </w:r>
      <w:r>
        <w:rPr>
          <w:rFonts w:hint="eastAsia" w:asciiTheme="minorEastAsia" w:hAnsiTheme="minorEastAsia" w:eastAsiaTheme="minorEastAsia" w:cstheme="minorEastAsia"/>
          <w:color w:val="auto"/>
          <w:spacing w:val="-36"/>
          <w:sz w:val="21"/>
          <w:szCs w:val="21"/>
        </w:rPr>
        <w:t xml:space="preserve"> </w:t>
      </w:r>
      <w:r>
        <w:rPr>
          <w:rFonts w:hint="eastAsia" w:asciiTheme="minorEastAsia" w:hAnsiTheme="minorEastAsia" w:eastAsiaTheme="minorEastAsia" w:cstheme="minorEastAsia"/>
          <w:color w:val="auto"/>
          <w:spacing w:val="-2"/>
          <w:sz w:val="21"/>
          <w:szCs w:val="21"/>
        </w:rPr>
        <w:t>响应文件须由供应商在规定位置盖公章并签字（具体以供</w:t>
      </w:r>
      <w:r>
        <w:rPr>
          <w:rFonts w:hint="eastAsia" w:asciiTheme="minorEastAsia" w:hAnsiTheme="minorEastAsia" w:eastAsiaTheme="minorEastAsia" w:cstheme="minorEastAsia"/>
          <w:color w:val="auto"/>
          <w:spacing w:val="-3"/>
          <w:sz w:val="21"/>
          <w:szCs w:val="21"/>
        </w:rPr>
        <w:t>应商须知前附表或响应文件格式规定为</w:t>
      </w:r>
      <w:r>
        <w:rPr>
          <w:rFonts w:hint="eastAsia" w:asciiTheme="minorEastAsia" w:hAnsiTheme="minorEastAsia" w:eastAsiaTheme="minorEastAsia" w:cstheme="minorEastAsia"/>
          <w:color w:val="auto"/>
          <w:spacing w:val="-2"/>
          <w:sz w:val="21"/>
          <w:szCs w:val="21"/>
        </w:rPr>
        <w:t>准</w:t>
      </w:r>
      <w:r>
        <w:rPr>
          <w:rFonts w:hint="eastAsia" w:asciiTheme="minorEastAsia" w:hAnsiTheme="minorEastAsia" w:eastAsiaTheme="minorEastAsia" w:cstheme="minorEastAsia"/>
          <w:color w:val="auto"/>
          <w:spacing w:val="5"/>
          <w:sz w:val="21"/>
          <w:szCs w:val="21"/>
        </w:rPr>
        <w:t>），</w:t>
      </w:r>
      <w:r>
        <w:rPr>
          <w:rFonts w:hint="eastAsia" w:asciiTheme="minorEastAsia" w:hAnsiTheme="minorEastAsia" w:eastAsiaTheme="minorEastAsia" w:cstheme="minorEastAsia"/>
          <w:color w:val="auto"/>
          <w:spacing w:val="-2"/>
          <w:sz w:val="21"/>
          <w:szCs w:val="21"/>
        </w:rPr>
        <w:t>否则其响应文件按无效响应处理。</w:t>
      </w:r>
    </w:p>
    <w:p w14:paraId="4C5975A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18.4</w:t>
      </w:r>
      <w:r>
        <w:rPr>
          <w:rFonts w:hint="eastAsia" w:asciiTheme="minorEastAsia" w:hAnsiTheme="minorEastAsia" w:eastAsiaTheme="minorEastAsia" w:cstheme="minorEastAsia"/>
          <w:color w:val="auto"/>
          <w:spacing w:val="-36"/>
          <w:sz w:val="21"/>
          <w:szCs w:val="21"/>
        </w:rPr>
        <w:t xml:space="preserve"> </w:t>
      </w:r>
      <w:r>
        <w:rPr>
          <w:rFonts w:hint="eastAsia" w:asciiTheme="minorEastAsia" w:hAnsiTheme="minorEastAsia" w:eastAsiaTheme="minorEastAsia" w:cstheme="minorEastAsia"/>
          <w:color w:val="auto"/>
          <w:spacing w:val="-1"/>
          <w:sz w:val="21"/>
          <w:szCs w:val="21"/>
        </w:rPr>
        <w:t>响应文件中标注的供应商名称应与营业执照（事业单位法人证书、执业许可证</w:t>
      </w:r>
      <w:r>
        <w:rPr>
          <w:rFonts w:hint="eastAsia" w:asciiTheme="minorEastAsia" w:hAnsiTheme="minorEastAsia" w:eastAsiaTheme="minorEastAsia" w:cstheme="minorEastAsia"/>
          <w:color w:val="auto"/>
          <w:spacing w:val="-2"/>
          <w:sz w:val="21"/>
          <w:szCs w:val="21"/>
        </w:rPr>
        <w:t>、自然人身份证）</w:t>
      </w:r>
      <w:r>
        <w:rPr>
          <w:rFonts w:hint="eastAsia" w:asciiTheme="minorEastAsia" w:hAnsiTheme="minorEastAsia" w:eastAsiaTheme="minorEastAsia" w:cstheme="minorEastAsia"/>
          <w:color w:val="auto"/>
          <w:spacing w:val="-1"/>
          <w:sz w:val="21"/>
          <w:szCs w:val="21"/>
        </w:rPr>
        <w:t>及公章一致，否则其响应文件按无效响应处理。</w:t>
      </w:r>
    </w:p>
    <w:p w14:paraId="6B49CE9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18.5</w:t>
      </w:r>
      <w:r>
        <w:rPr>
          <w:rFonts w:hint="eastAsia" w:asciiTheme="minorEastAsia" w:hAnsiTheme="minorEastAsia" w:eastAsiaTheme="minorEastAsia" w:cstheme="minorEastAsia"/>
          <w:color w:val="auto"/>
          <w:spacing w:val="-36"/>
          <w:sz w:val="21"/>
          <w:szCs w:val="21"/>
        </w:rPr>
        <w:t xml:space="preserve"> </w:t>
      </w:r>
      <w:r>
        <w:rPr>
          <w:rFonts w:hint="eastAsia" w:asciiTheme="minorEastAsia" w:hAnsiTheme="minorEastAsia" w:eastAsiaTheme="minorEastAsia" w:cstheme="minorEastAsia"/>
          <w:color w:val="auto"/>
          <w:spacing w:val="-2"/>
          <w:sz w:val="21"/>
          <w:szCs w:val="21"/>
        </w:rPr>
        <w:t>响应文件应尽量避免涂改、行间插字或者删除。如果出现</w:t>
      </w:r>
      <w:r>
        <w:rPr>
          <w:rFonts w:hint="eastAsia" w:asciiTheme="minorEastAsia" w:hAnsiTheme="minorEastAsia" w:eastAsiaTheme="minorEastAsia" w:cstheme="minorEastAsia"/>
          <w:color w:val="auto"/>
          <w:spacing w:val="-3"/>
          <w:sz w:val="21"/>
          <w:szCs w:val="21"/>
        </w:rPr>
        <w:t>上述情况，改动之处应由供应商的法定</w:t>
      </w:r>
      <w:r>
        <w:rPr>
          <w:rFonts w:hint="eastAsia" w:asciiTheme="minorEastAsia" w:hAnsiTheme="minorEastAsia" w:eastAsiaTheme="minorEastAsia" w:cstheme="minorEastAsia"/>
          <w:color w:val="auto"/>
          <w:sz w:val="21"/>
          <w:szCs w:val="21"/>
        </w:rPr>
        <w:t>代表人或者其委托代理人签字或者加盖公章。响应文件因</w:t>
      </w:r>
      <w:r>
        <w:rPr>
          <w:rFonts w:hint="eastAsia" w:asciiTheme="minorEastAsia" w:hAnsiTheme="minorEastAsia" w:eastAsiaTheme="minorEastAsia" w:cstheme="minorEastAsia"/>
          <w:color w:val="auto"/>
          <w:spacing w:val="-1"/>
          <w:sz w:val="21"/>
          <w:szCs w:val="21"/>
        </w:rPr>
        <w:t>涂改、行间插字或者删除导致字迹潦草或者表达不清所引起的后果由供应商承担。</w:t>
      </w:r>
    </w:p>
    <w:p w14:paraId="46890E8E">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响应文件的加密、解密</w:t>
      </w:r>
    </w:p>
    <w:p w14:paraId="42A12307">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19.1</w:t>
      </w:r>
      <w:r>
        <w:rPr>
          <w:rFonts w:hint="eastAsia" w:asciiTheme="minorEastAsia" w:hAnsiTheme="minorEastAsia" w:eastAsiaTheme="minorEastAsia" w:cstheme="minorEastAsia"/>
          <w:color w:val="auto"/>
          <w:spacing w:val="-7"/>
          <w:sz w:val="21"/>
          <w:szCs w:val="21"/>
        </w:rPr>
        <w:t xml:space="preserve"> </w:t>
      </w:r>
      <w:r>
        <w:rPr>
          <w:rFonts w:hint="eastAsia" w:asciiTheme="minorEastAsia" w:hAnsiTheme="minorEastAsia" w:eastAsiaTheme="minorEastAsia" w:cstheme="minorEastAsia"/>
          <w:color w:val="auto"/>
          <w:spacing w:val="-3"/>
          <w:sz w:val="21"/>
          <w:szCs w:val="21"/>
        </w:rPr>
        <w:t>电子响应文件编制完成后，供应商应按广西政府采购云平台的要求进行加密，并在规定时间内解</w:t>
      </w:r>
      <w:r>
        <w:rPr>
          <w:rFonts w:hint="eastAsia" w:asciiTheme="minorEastAsia" w:hAnsiTheme="minorEastAsia" w:eastAsiaTheme="minorEastAsia" w:cstheme="minorEastAsia"/>
          <w:color w:val="auto"/>
          <w:spacing w:val="-1"/>
          <w:sz w:val="21"/>
          <w:szCs w:val="21"/>
        </w:rPr>
        <w:t>密，否则，由此产生的后果由供应商自行负责。</w:t>
      </w:r>
    </w:p>
    <w:p w14:paraId="4392C2CA">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响应文件的提交</w:t>
      </w:r>
    </w:p>
    <w:p w14:paraId="6A392D5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20.1</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1"/>
          <w:sz w:val="21"/>
          <w:szCs w:val="21"/>
        </w:rPr>
        <w:t>供应商必须在“供应商须知前附表”规定的时间和地点提交响应文件。</w:t>
      </w:r>
    </w:p>
    <w:p w14:paraId="4F839C9C">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20.2</w:t>
      </w:r>
      <w:r>
        <w:rPr>
          <w:rFonts w:hint="eastAsia" w:asciiTheme="minorEastAsia" w:hAnsiTheme="minorEastAsia" w:eastAsiaTheme="minorEastAsia" w:cstheme="minorEastAsia"/>
          <w:color w:val="auto"/>
          <w:spacing w:val="-29"/>
          <w:sz w:val="21"/>
          <w:szCs w:val="21"/>
        </w:rPr>
        <w:t xml:space="preserve"> </w:t>
      </w:r>
      <w:r>
        <w:rPr>
          <w:rFonts w:hint="eastAsia" w:asciiTheme="minorEastAsia" w:hAnsiTheme="minorEastAsia" w:eastAsiaTheme="minorEastAsia" w:cstheme="minorEastAsia"/>
          <w:color w:val="auto"/>
          <w:spacing w:val="-1"/>
          <w:sz w:val="21"/>
          <w:szCs w:val="21"/>
        </w:rPr>
        <w:t>本项目为全流程电子化政府采购项目，通过广西政府采购云平台</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"https://www.gcy.zfcg.gxzf.gov.cn/"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rPr>
        <w:t>https://www.gcy.zfcg.gxzf.gov.cn/</w:t>
      </w:r>
      <w:r>
        <w:rPr>
          <w:rFonts w:hint="eastAsia" w:asciiTheme="minorEastAsia" w:hAnsiTheme="minorEastAsia" w:eastAsiaTheme="minorEastAsia" w:cstheme="minorEastAsia"/>
          <w:color w:val="auto"/>
          <w:sz w:val="21"/>
          <w:szCs w:val="21"/>
        </w:rPr>
        <w:fldChar w:fldCharType="end"/>
      </w:r>
      <w:r>
        <w:rPr>
          <w:rFonts w:hint="eastAsia" w:asciiTheme="minorEastAsia" w:hAnsiTheme="minorEastAsia" w:eastAsiaTheme="minorEastAsia" w:cstheme="minorEastAsia"/>
          <w:color w:val="auto"/>
          <w:sz w:val="21"/>
          <w:szCs w:val="21"/>
        </w:rPr>
        <w:t>）实行在线电子竞标，供应商应先安</w:t>
      </w:r>
      <w:r>
        <w:rPr>
          <w:rFonts w:hint="eastAsia" w:asciiTheme="minorEastAsia" w:hAnsiTheme="minorEastAsia" w:eastAsiaTheme="minorEastAsia" w:cstheme="minorEastAsia"/>
          <w:color w:val="auto"/>
          <w:spacing w:val="-1"/>
          <w:sz w:val="21"/>
          <w:szCs w:val="21"/>
        </w:rPr>
        <w:t>装“广西政府采购云平台新</w:t>
      </w:r>
      <w:r>
        <w:rPr>
          <w:rFonts w:hint="eastAsia" w:asciiTheme="minorEastAsia" w:hAnsiTheme="minorEastAsia" w:eastAsiaTheme="minorEastAsia" w:cstheme="minorEastAsia"/>
          <w:color w:val="auto"/>
          <w:sz w:val="21"/>
          <w:szCs w:val="21"/>
        </w:rPr>
        <w:t>版客户端”（请自行前往广西政府采购云平台进行下载</w:t>
      </w:r>
      <w:r>
        <w:rPr>
          <w:rFonts w:hint="eastAsia" w:asciiTheme="minorEastAsia" w:hAnsiTheme="minorEastAsia" w:eastAsiaTheme="minorEastAsia" w:cstheme="minorEastAsia"/>
          <w:color w:val="auto"/>
          <w:spacing w:val="-4"/>
          <w:sz w:val="21"/>
          <w:szCs w:val="21"/>
        </w:rPr>
        <w:t>），</w:t>
      </w:r>
      <w:r>
        <w:rPr>
          <w:rFonts w:hint="eastAsia" w:asciiTheme="minorEastAsia" w:hAnsiTheme="minorEastAsia" w:eastAsiaTheme="minorEastAsia" w:cstheme="minorEastAsia"/>
          <w:color w:val="auto"/>
          <w:sz w:val="21"/>
          <w:szCs w:val="21"/>
        </w:rPr>
        <w:t>并按照本项目竞</w:t>
      </w:r>
      <w:r>
        <w:rPr>
          <w:rFonts w:hint="eastAsia" w:asciiTheme="minorEastAsia" w:hAnsiTheme="minorEastAsia" w:eastAsiaTheme="minorEastAsia" w:cstheme="minorEastAsia"/>
          <w:color w:val="auto"/>
          <w:spacing w:val="-1"/>
          <w:sz w:val="21"/>
          <w:szCs w:val="21"/>
        </w:rPr>
        <w:t>争性磋商文件和广西政府采购云平台的要求编制、加密后在首次响应文件提交截止时间前通过网络上传至广西政府采购云平台，</w:t>
      </w:r>
      <w:r>
        <w:rPr>
          <w:rFonts w:hint="eastAsia" w:asciiTheme="minorEastAsia" w:hAnsiTheme="minorEastAsia" w:eastAsiaTheme="minorEastAsia" w:cstheme="minorEastAsia"/>
          <w:b/>
          <w:bCs/>
          <w:color w:val="auto"/>
          <w:spacing w:val="-1"/>
          <w:sz w:val="21"/>
          <w:szCs w:val="21"/>
        </w:rPr>
        <w:t>供应商</w:t>
      </w:r>
      <w:r>
        <w:rPr>
          <w:rFonts w:hint="eastAsia" w:asciiTheme="minorEastAsia" w:hAnsiTheme="minorEastAsia" w:eastAsiaTheme="minorEastAsia" w:cstheme="minorEastAsia"/>
          <w:b/>
          <w:bCs/>
          <w:color w:val="auto"/>
          <w:spacing w:val="-2"/>
          <w:sz w:val="21"/>
          <w:szCs w:val="21"/>
        </w:rPr>
        <w:t>在广西政府采购云平台提交电子版响应文件时，请填写参加远程开标</w:t>
      </w:r>
      <w:r>
        <w:rPr>
          <w:rFonts w:hint="eastAsia" w:asciiTheme="minorEastAsia" w:hAnsiTheme="minorEastAsia" w:eastAsiaTheme="minorEastAsia" w:cstheme="minorEastAsia"/>
          <w:b/>
          <w:bCs/>
          <w:color w:val="auto"/>
          <w:spacing w:val="-3"/>
          <w:sz w:val="21"/>
          <w:szCs w:val="21"/>
        </w:rPr>
        <w:t>活动经办人联系方式。</w:t>
      </w:r>
    </w:p>
    <w:p w14:paraId="511873C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20.3</w:t>
      </w:r>
      <w:r>
        <w:rPr>
          <w:rFonts w:hint="eastAsia" w:asciiTheme="minorEastAsia" w:hAnsiTheme="minorEastAsia" w:eastAsiaTheme="minorEastAsia" w:cstheme="minorEastAsia"/>
          <w:color w:val="auto"/>
          <w:spacing w:val="-43"/>
          <w:sz w:val="21"/>
          <w:szCs w:val="21"/>
        </w:rPr>
        <w:t xml:space="preserve"> </w:t>
      </w:r>
      <w:r>
        <w:rPr>
          <w:rFonts w:hint="eastAsia" w:asciiTheme="minorEastAsia" w:hAnsiTheme="minorEastAsia" w:eastAsiaTheme="minorEastAsia" w:cstheme="minorEastAsia"/>
          <w:color w:val="auto"/>
          <w:sz w:val="21"/>
          <w:szCs w:val="21"/>
        </w:rPr>
        <w:t>未在规定时间内上传或者未按广西政府采购云平台的</w:t>
      </w:r>
      <w:r>
        <w:rPr>
          <w:rFonts w:hint="eastAsia" w:asciiTheme="minorEastAsia" w:hAnsiTheme="minorEastAsia" w:eastAsiaTheme="minorEastAsia" w:cstheme="minorEastAsia"/>
          <w:color w:val="auto"/>
          <w:spacing w:val="-1"/>
          <w:sz w:val="21"/>
          <w:szCs w:val="21"/>
        </w:rPr>
        <w:t>要求编制、加密的电子响应文件，广西政府采购云平台将拒收。</w:t>
      </w:r>
    </w:p>
    <w:p w14:paraId="0EEEAE5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20.4</w:t>
      </w:r>
      <w:r>
        <w:rPr>
          <w:rFonts w:hint="eastAsia" w:asciiTheme="minorEastAsia" w:hAnsiTheme="minorEastAsia" w:eastAsiaTheme="minorEastAsia" w:cstheme="minorEastAsia"/>
          <w:color w:val="auto"/>
          <w:spacing w:val="-22"/>
          <w:sz w:val="21"/>
          <w:szCs w:val="21"/>
        </w:rPr>
        <w:t xml:space="preserve"> </w:t>
      </w:r>
      <w:r>
        <w:rPr>
          <w:rFonts w:hint="eastAsia" w:asciiTheme="minorEastAsia" w:hAnsiTheme="minorEastAsia" w:eastAsiaTheme="minorEastAsia" w:cstheme="minorEastAsia"/>
          <w:color w:val="auto"/>
          <w:spacing w:val="-1"/>
          <w:sz w:val="21"/>
          <w:szCs w:val="21"/>
        </w:rPr>
        <w:t>电子响应文件提交方式见“竞争性谈判公告”</w:t>
      </w:r>
      <w:r>
        <w:rPr>
          <w:rFonts w:hint="eastAsia" w:asciiTheme="minorEastAsia" w:hAnsiTheme="minorEastAsia" w:eastAsiaTheme="minorEastAsia" w:cstheme="minorEastAsia"/>
          <w:color w:val="auto"/>
          <w:spacing w:val="-2"/>
          <w:sz w:val="21"/>
          <w:szCs w:val="21"/>
        </w:rPr>
        <w:t>。</w:t>
      </w:r>
    </w:p>
    <w:p w14:paraId="632BACA8">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首次响应文件的补充、修改与撤回</w:t>
      </w:r>
    </w:p>
    <w:p w14:paraId="2605A38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21.1</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3"/>
          <w:sz w:val="21"/>
          <w:szCs w:val="21"/>
        </w:rPr>
        <w:t>供应商应当在首次响应文件提交截止时间前完</w:t>
      </w:r>
      <w:r>
        <w:rPr>
          <w:rFonts w:hint="eastAsia" w:asciiTheme="minorEastAsia" w:hAnsiTheme="minorEastAsia" w:eastAsiaTheme="minorEastAsia" w:cstheme="minorEastAsia"/>
          <w:color w:val="auto"/>
          <w:spacing w:val="-4"/>
          <w:sz w:val="21"/>
          <w:szCs w:val="21"/>
        </w:rPr>
        <w:t>成电子响应文件的上传、递交，</w:t>
      </w:r>
      <w:r>
        <w:rPr>
          <w:rFonts w:hint="eastAsia" w:asciiTheme="minorEastAsia" w:hAnsiTheme="minorEastAsia" w:eastAsiaTheme="minorEastAsia" w:cstheme="minorEastAsia"/>
          <w:color w:val="auto"/>
          <w:spacing w:val="-31"/>
          <w:sz w:val="21"/>
          <w:szCs w:val="21"/>
        </w:rPr>
        <w:t xml:space="preserve"> </w:t>
      </w:r>
      <w:r>
        <w:rPr>
          <w:rFonts w:hint="eastAsia" w:asciiTheme="minorEastAsia" w:hAnsiTheme="minorEastAsia" w:eastAsiaTheme="minorEastAsia" w:cstheme="minorEastAsia"/>
          <w:color w:val="auto"/>
          <w:spacing w:val="-4"/>
          <w:sz w:val="21"/>
          <w:szCs w:val="21"/>
        </w:rPr>
        <w:t>首次响应文件提交</w:t>
      </w:r>
      <w:r>
        <w:rPr>
          <w:rFonts w:hint="eastAsia" w:asciiTheme="minorEastAsia" w:hAnsiTheme="minorEastAsia" w:eastAsiaTheme="minorEastAsia" w:cstheme="minorEastAsia"/>
          <w:color w:val="auto"/>
          <w:sz w:val="21"/>
          <w:szCs w:val="21"/>
        </w:rPr>
        <w:t>截止时间前可以补充、修改或者撤回响应文件。补充或者修改</w:t>
      </w:r>
      <w:r>
        <w:rPr>
          <w:rFonts w:hint="eastAsia" w:asciiTheme="minorEastAsia" w:hAnsiTheme="minorEastAsia" w:eastAsiaTheme="minorEastAsia" w:cstheme="minorEastAsia"/>
          <w:color w:val="auto"/>
          <w:spacing w:val="-1"/>
          <w:sz w:val="21"/>
          <w:szCs w:val="21"/>
        </w:rPr>
        <w:t>响应文件的，应当先行撤回原文件，补充、</w:t>
      </w:r>
      <w:r>
        <w:rPr>
          <w:rFonts w:hint="eastAsia" w:asciiTheme="minorEastAsia" w:hAnsiTheme="minorEastAsia" w:eastAsiaTheme="minorEastAsia" w:cstheme="minorEastAsia"/>
          <w:color w:val="auto"/>
          <w:sz w:val="21"/>
          <w:szCs w:val="21"/>
        </w:rPr>
        <w:t>修改后重新上传、递交。首次响应文件提交截止时间前未完成</w:t>
      </w:r>
      <w:r>
        <w:rPr>
          <w:rFonts w:hint="eastAsia" w:asciiTheme="minorEastAsia" w:hAnsiTheme="minorEastAsia" w:eastAsiaTheme="minorEastAsia" w:cstheme="minorEastAsia"/>
          <w:color w:val="auto"/>
          <w:spacing w:val="-1"/>
          <w:sz w:val="21"/>
          <w:szCs w:val="21"/>
        </w:rPr>
        <w:t>上传、递交的，视为撤回响应文件。首次响应文件提交截止时间以后上传递交的响应文件，广西政府采购云平台将予以拒收。</w:t>
      </w:r>
    </w:p>
    <w:p w14:paraId="3B9DCEEA">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首次响应文件的退回</w:t>
      </w:r>
    </w:p>
    <w:p w14:paraId="1A7899DE">
      <w:pPr>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22.1</w:t>
      </w:r>
      <w:r>
        <w:rPr>
          <w:rFonts w:hint="eastAsia" w:asciiTheme="minorEastAsia" w:hAnsiTheme="minorEastAsia" w:eastAsiaTheme="minorEastAsia" w:cstheme="minorEastAsia"/>
          <w:color w:val="auto"/>
          <w:spacing w:val="-47"/>
          <w:sz w:val="21"/>
          <w:szCs w:val="21"/>
        </w:rPr>
        <w:t xml:space="preserve"> </w:t>
      </w:r>
      <w:r>
        <w:rPr>
          <w:rFonts w:hint="eastAsia" w:asciiTheme="minorEastAsia" w:hAnsiTheme="minorEastAsia" w:eastAsiaTheme="minorEastAsia" w:cstheme="minorEastAsia"/>
          <w:color w:val="auto"/>
          <w:spacing w:val="-2"/>
          <w:sz w:val="21"/>
          <w:szCs w:val="21"/>
        </w:rPr>
        <w:t>在首次响应文件提交截止时间止提交响应文件的供应商不足</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3</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2"/>
          <w:sz w:val="21"/>
          <w:szCs w:val="21"/>
        </w:rPr>
        <w:t>家时</w:t>
      </w:r>
      <w:r>
        <w:rPr>
          <w:rFonts w:hint="eastAsia" w:asciiTheme="minorEastAsia" w:hAnsiTheme="minorEastAsia" w:eastAsiaTheme="minorEastAsia" w:cstheme="minorEastAsia"/>
          <w:color w:val="auto"/>
          <w:spacing w:val="-3"/>
          <w:sz w:val="21"/>
          <w:szCs w:val="21"/>
        </w:rPr>
        <w:t>，采购代理机构将根据广西政</w:t>
      </w:r>
      <w:r>
        <w:rPr>
          <w:rFonts w:hint="eastAsia" w:asciiTheme="minorEastAsia" w:hAnsiTheme="minorEastAsia" w:eastAsiaTheme="minorEastAsia" w:cstheme="minorEastAsia"/>
          <w:color w:val="auto"/>
          <w:sz w:val="21"/>
          <w:szCs w:val="21"/>
        </w:rPr>
        <w:t>府采购云平台的操作将电子版响应文件退回，除此之外采</w:t>
      </w:r>
      <w:r>
        <w:rPr>
          <w:rFonts w:hint="eastAsia" w:asciiTheme="minorEastAsia" w:hAnsiTheme="minorEastAsia" w:eastAsiaTheme="minorEastAsia" w:cstheme="minorEastAsia"/>
          <w:color w:val="auto"/>
          <w:spacing w:val="-1"/>
          <w:sz w:val="21"/>
          <w:szCs w:val="21"/>
        </w:rPr>
        <w:t>购人和采购代理机构对已提交的电子响应文件概不退回。</w:t>
      </w:r>
    </w:p>
    <w:p w14:paraId="40575360">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截止时间后的撤回</w:t>
      </w:r>
    </w:p>
    <w:p w14:paraId="34C38EBB">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23.1</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供应商在首次响应文件提交截止时间后书面通知采购人、采购代理机构书面撤回响应文件的，将</w:t>
      </w:r>
      <w:r>
        <w:rPr>
          <w:rFonts w:hint="eastAsia" w:asciiTheme="minorEastAsia" w:hAnsiTheme="minorEastAsia" w:eastAsiaTheme="minorEastAsia" w:cstheme="minorEastAsia"/>
          <w:color w:val="auto"/>
          <w:spacing w:val="-3"/>
          <w:sz w:val="21"/>
          <w:szCs w:val="21"/>
        </w:rPr>
        <w:t>根据本须知正文</w:t>
      </w:r>
      <w:r>
        <w:rPr>
          <w:rFonts w:hint="eastAsia" w:asciiTheme="minorEastAsia" w:hAnsiTheme="minorEastAsia" w:eastAsiaTheme="minorEastAsia" w:cstheme="minorEastAsia"/>
          <w:color w:val="auto"/>
          <w:spacing w:val="-26"/>
          <w:sz w:val="21"/>
          <w:szCs w:val="21"/>
        </w:rPr>
        <w:t xml:space="preserve"> </w:t>
      </w:r>
      <w:r>
        <w:rPr>
          <w:rFonts w:hint="eastAsia" w:asciiTheme="minorEastAsia" w:hAnsiTheme="minorEastAsia" w:eastAsiaTheme="minorEastAsia" w:cstheme="minorEastAsia"/>
          <w:color w:val="auto"/>
          <w:spacing w:val="-3"/>
          <w:sz w:val="21"/>
          <w:szCs w:val="21"/>
        </w:rPr>
        <w:t>17.4</w:t>
      </w:r>
      <w:r>
        <w:rPr>
          <w:rFonts w:hint="eastAsia" w:asciiTheme="minorEastAsia" w:hAnsiTheme="minorEastAsia" w:eastAsiaTheme="minorEastAsia" w:cstheme="minorEastAsia"/>
          <w:color w:val="auto"/>
          <w:spacing w:val="-27"/>
          <w:sz w:val="21"/>
          <w:szCs w:val="21"/>
        </w:rPr>
        <w:t xml:space="preserve"> </w:t>
      </w:r>
      <w:r>
        <w:rPr>
          <w:rFonts w:hint="eastAsia" w:asciiTheme="minorEastAsia" w:hAnsiTheme="minorEastAsia" w:eastAsiaTheme="minorEastAsia" w:cstheme="minorEastAsia"/>
          <w:color w:val="auto"/>
          <w:spacing w:val="-3"/>
          <w:sz w:val="21"/>
          <w:szCs w:val="21"/>
        </w:rPr>
        <w:t>的规定不予退还其竞标保证金。</w:t>
      </w:r>
    </w:p>
    <w:p w14:paraId="0BC1CCAC">
      <w:pPr>
        <w:pStyle w:val="9"/>
        <w:keepNext w:val="0"/>
        <w:keepLines w:val="0"/>
        <w:pageBreakBefore w:val="0"/>
        <w:widowControl w:val="0"/>
        <w:numPr>
          <w:ilvl w:val="0"/>
          <w:numId w:val="20"/>
        </w:numPr>
        <w:kinsoku/>
        <w:wordWrap/>
        <w:overflowPunct/>
        <w:topLinePunct w:val="0"/>
        <w:autoSpaceDE/>
        <w:autoSpaceDN/>
        <w:bidi w:val="0"/>
        <w:adjustRightInd/>
        <w:snapToGrid w:val="0"/>
        <w:spacing w:line="360" w:lineRule="auto"/>
        <w:ind w:left="0" w:leftChars="0" w:firstLine="0" w:firstLineChars="0"/>
        <w:jc w:val="center"/>
        <w:textAlignment w:val="auto"/>
        <w:outlineLvl w:val="2"/>
        <w:rPr>
          <w:rFonts w:hint="eastAsia" w:asciiTheme="minorEastAsia" w:hAnsiTheme="minorEastAsia" w:eastAsiaTheme="minorEastAsia" w:cstheme="minorEastAsia"/>
          <w:b/>
          <w:bCs/>
          <w:color w:val="auto"/>
          <w:spacing w:val="-4"/>
          <w:sz w:val="32"/>
          <w:szCs w:val="32"/>
        </w:rPr>
      </w:pPr>
      <w:r>
        <w:rPr>
          <w:rFonts w:hint="eastAsia" w:asciiTheme="minorEastAsia" w:hAnsiTheme="minorEastAsia" w:eastAsiaTheme="minorEastAsia" w:cstheme="minorEastAsia"/>
          <w:b/>
          <w:bCs/>
          <w:color w:val="auto"/>
          <w:spacing w:val="-4"/>
          <w:sz w:val="32"/>
          <w:szCs w:val="32"/>
        </w:rPr>
        <w:t>评审及谈判</w:t>
      </w:r>
    </w:p>
    <w:p w14:paraId="10DB54B6">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谈判小组成立</w:t>
      </w:r>
    </w:p>
    <w:p w14:paraId="4448FD93">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39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7"/>
          <w:sz w:val="21"/>
          <w:szCs w:val="21"/>
        </w:rPr>
        <w:t>24.1</w:t>
      </w:r>
      <w:r>
        <w:rPr>
          <w:rFonts w:hint="eastAsia" w:asciiTheme="minorEastAsia" w:hAnsiTheme="minorEastAsia" w:eastAsiaTheme="minorEastAsia" w:cstheme="minorEastAsia"/>
          <w:color w:val="auto"/>
          <w:spacing w:val="-35"/>
          <w:sz w:val="21"/>
          <w:szCs w:val="21"/>
        </w:rPr>
        <w:t xml:space="preserve"> </w:t>
      </w:r>
      <w:r>
        <w:rPr>
          <w:rFonts w:hint="eastAsia" w:asciiTheme="minorEastAsia" w:hAnsiTheme="minorEastAsia" w:eastAsiaTheme="minorEastAsia" w:cstheme="minorEastAsia"/>
          <w:color w:val="auto"/>
          <w:spacing w:val="-7"/>
          <w:sz w:val="21"/>
          <w:szCs w:val="21"/>
        </w:rPr>
        <w:t>竞争性谈判小组成立：谈判小组由采购人代表和评审专家共</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7"/>
          <w:sz w:val="21"/>
          <w:szCs w:val="21"/>
        </w:rPr>
        <w:t>3</w:t>
      </w:r>
      <w:r>
        <w:rPr>
          <w:rFonts w:hint="eastAsia" w:asciiTheme="minorEastAsia" w:hAnsiTheme="minorEastAsia" w:eastAsiaTheme="minorEastAsia" w:cstheme="minorEastAsia"/>
          <w:color w:val="auto"/>
          <w:spacing w:val="-43"/>
          <w:sz w:val="21"/>
          <w:szCs w:val="21"/>
        </w:rPr>
        <w:t xml:space="preserve"> </w:t>
      </w:r>
      <w:r>
        <w:rPr>
          <w:rFonts w:hint="eastAsia" w:asciiTheme="minorEastAsia" w:hAnsiTheme="minorEastAsia" w:eastAsiaTheme="minorEastAsia" w:cstheme="minorEastAsia"/>
          <w:color w:val="auto"/>
          <w:spacing w:val="-7"/>
          <w:sz w:val="21"/>
          <w:szCs w:val="21"/>
        </w:rPr>
        <w:t>人以上单数组成，具体人数详见“供</w:t>
      </w:r>
      <w:r>
        <w:rPr>
          <w:rFonts w:hint="eastAsia" w:asciiTheme="minorEastAsia" w:hAnsiTheme="minorEastAsia" w:eastAsiaTheme="minorEastAsia" w:cstheme="minorEastAsia"/>
          <w:color w:val="auto"/>
          <w:sz w:val="21"/>
          <w:szCs w:val="21"/>
        </w:rPr>
        <w:t>应商须知前附表”，其中评审专家人数不得少于竞争性谈</w:t>
      </w:r>
      <w:r>
        <w:rPr>
          <w:rFonts w:hint="eastAsia" w:asciiTheme="minorEastAsia" w:hAnsiTheme="minorEastAsia" w:eastAsiaTheme="minorEastAsia" w:cstheme="minorEastAsia"/>
          <w:color w:val="auto"/>
          <w:spacing w:val="-1"/>
          <w:sz w:val="21"/>
          <w:szCs w:val="21"/>
        </w:rPr>
        <w:t>判小组成员总数的 2/3。采购人不得以评审专家</w:t>
      </w:r>
      <w:r>
        <w:rPr>
          <w:rFonts w:hint="eastAsia" w:asciiTheme="minorEastAsia" w:hAnsiTheme="minorEastAsia" w:eastAsiaTheme="minorEastAsia" w:cstheme="minorEastAsia"/>
          <w:color w:val="auto"/>
          <w:sz w:val="21"/>
          <w:szCs w:val="21"/>
        </w:rPr>
        <w:t>身份参加本部门或者本单位采购项目的评审。采购代理机</w:t>
      </w:r>
      <w:r>
        <w:rPr>
          <w:rFonts w:hint="eastAsia" w:asciiTheme="minorEastAsia" w:hAnsiTheme="minorEastAsia" w:eastAsiaTheme="minorEastAsia" w:cstheme="minorEastAsia"/>
          <w:color w:val="auto"/>
          <w:spacing w:val="-1"/>
          <w:sz w:val="21"/>
          <w:szCs w:val="21"/>
        </w:rPr>
        <w:t>构人员不得参加本机构代理的采购项目的评审。</w:t>
      </w:r>
      <w:r>
        <w:rPr>
          <w:rFonts w:hint="eastAsia" w:asciiTheme="minorEastAsia" w:hAnsiTheme="minorEastAsia" w:eastAsiaTheme="minorEastAsia" w:cstheme="minorEastAsia"/>
          <w:color w:val="auto"/>
          <w:sz w:val="21"/>
          <w:szCs w:val="21"/>
        </w:rPr>
        <w:t>达到公开招标数额标准的货物或者服务采购项目，或者达</w:t>
      </w:r>
      <w:r>
        <w:rPr>
          <w:rFonts w:hint="eastAsia" w:asciiTheme="minorEastAsia" w:hAnsiTheme="minorEastAsia" w:eastAsiaTheme="minorEastAsia" w:cstheme="minorEastAsia"/>
          <w:color w:val="auto"/>
          <w:spacing w:val="-1"/>
          <w:sz w:val="21"/>
          <w:szCs w:val="21"/>
        </w:rPr>
        <w:t>到招标规模标准的政府采购工程，竞争性谈判小</w:t>
      </w:r>
      <w:r>
        <w:rPr>
          <w:rFonts w:hint="eastAsia" w:asciiTheme="minorEastAsia" w:hAnsiTheme="minorEastAsia" w:eastAsiaTheme="minorEastAsia" w:cstheme="minorEastAsia"/>
          <w:color w:val="auto"/>
          <w:spacing w:val="-4"/>
          <w:sz w:val="21"/>
          <w:szCs w:val="21"/>
        </w:rPr>
        <w:t>组应当由</w:t>
      </w:r>
      <w:r>
        <w:rPr>
          <w:rFonts w:hint="eastAsia" w:asciiTheme="minorEastAsia" w:hAnsiTheme="minorEastAsia" w:eastAsiaTheme="minorEastAsia" w:cstheme="minorEastAsia"/>
          <w:color w:val="auto"/>
          <w:spacing w:val="-29"/>
          <w:sz w:val="21"/>
          <w:szCs w:val="21"/>
        </w:rPr>
        <w:t xml:space="preserve"> </w:t>
      </w:r>
      <w:r>
        <w:rPr>
          <w:rFonts w:hint="eastAsia" w:asciiTheme="minorEastAsia" w:hAnsiTheme="minorEastAsia" w:eastAsiaTheme="minorEastAsia" w:cstheme="minorEastAsia"/>
          <w:color w:val="auto"/>
          <w:spacing w:val="-4"/>
          <w:sz w:val="21"/>
          <w:szCs w:val="21"/>
        </w:rPr>
        <w:t>5</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4"/>
          <w:sz w:val="21"/>
          <w:szCs w:val="21"/>
        </w:rPr>
        <w:t>人以上单数组成。</w:t>
      </w:r>
    </w:p>
    <w:p w14:paraId="2173D376">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24.2</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评审专家应当从政府采购评审专家库内相关专业的专家名单中随机抽取。技术复杂、专业性强的</w:t>
      </w:r>
      <w:r>
        <w:rPr>
          <w:rFonts w:hint="eastAsia" w:asciiTheme="minorEastAsia" w:hAnsiTheme="minorEastAsia" w:eastAsiaTheme="minorEastAsia" w:cstheme="minorEastAsia"/>
          <w:color w:val="auto"/>
          <w:sz w:val="21"/>
          <w:szCs w:val="21"/>
        </w:rPr>
        <w:t>竞争性谈判采购项目，通过随机方式难以确</w:t>
      </w:r>
      <w:r>
        <w:rPr>
          <w:rFonts w:hint="eastAsia" w:asciiTheme="minorEastAsia" w:hAnsiTheme="minorEastAsia" w:eastAsiaTheme="minorEastAsia" w:cstheme="minorEastAsia"/>
          <w:color w:val="auto"/>
          <w:spacing w:val="-1"/>
          <w:sz w:val="21"/>
          <w:szCs w:val="21"/>
        </w:rPr>
        <w:t>定合适的评审专家的，经主管预算单位同意，可以自行选定评审专家。技术复杂、专业性强的竞争性谈判采购项目，</w:t>
      </w:r>
      <w:r>
        <w:rPr>
          <w:rFonts w:hint="eastAsia" w:asciiTheme="minorEastAsia" w:hAnsiTheme="minorEastAsia" w:eastAsiaTheme="minorEastAsia" w:cstheme="minorEastAsia"/>
          <w:color w:val="auto"/>
          <w:spacing w:val="-2"/>
          <w:sz w:val="21"/>
          <w:szCs w:val="21"/>
        </w:rPr>
        <w:t>评审专家中应当包含</w:t>
      </w:r>
      <w:r>
        <w:rPr>
          <w:rFonts w:hint="eastAsia" w:asciiTheme="minorEastAsia" w:hAnsiTheme="minorEastAsia" w:eastAsiaTheme="minorEastAsia" w:cstheme="minorEastAsia"/>
          <w:color w:val="auto"/>
          <w:spacing w:val="-30"/>
          <w:sz w:val="21"/>
          <w:szCs w:val="21"/>
        </w:rPr>
        <w:t xml:space="preserve"> </w:t>
      </w:r>
      <w:r>
        <w:rPr>
          <w:rFonts w:hint="eastAsia" w:asciiTheme="minorEastAsia" w:hAnsiTheme="minorEastAsia" w:eastAsiaTheme="minorEastAsia" w:cstheme="minorEastAsia"/>
          <w:color w:val="auto"/>
          <w:spacing w:val="-2"/>
          <w:sz w:val="21"/>
          <w:szCs w:val="21"/>
        </w:rPr>
        <w:t>1</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2"/>
          <w:sz w:val="21"/>
          <w:szCs w:val="21"/>
        </w:rPr>
        <w:t>名法律专家。</w:t>
      </w:r>
    </w:p>
    <w:p w14:paraId="21E9DFB6">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首次响应文件的开启</w:t>
      </w:r>
    </w:p>
    <w:p w14:paraId="2E8595AF">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25.1</w:t>
      </w:r>
      <w:r>
        <w:rPr>
          <w:rFonts w:hint="eastAsia" w:asciiTheme="minorEastAsia" w:hAnsiTheme="minorEastAsia" w:eastAsiaTheme="minorEastAsia" w:cstheme="minorEastAsia"/>
          <w:color w:val="auto"/>
          <w:spacing w:val="-33"/>
          <w:sz w:val="21"/>
          <w:szCs w:val="21"/>
        </w:rPr>
        <w:t xml:space="preserve"> </w:t>
      </w:r>
      <w:r>
        <w:rPr>
          <w:rFonts w:hint="eastAsia" w:asciiTheme="minorEastAsia" w:hAnsiTheme="minorEastAsia" w:eastAsiaTheme="minorEastAsia" w:cstheme="minorEastAsia"/>
          <w:color w:val="auto"/>
          <w:spacing w:val="-1"/>
          <w:sz w:val="21"/>
          <w:szCs w:val="21"/>
        </w:rPr>
        <w:t>首次响应文件由谈判小组或者采购代理机构在“供应商须知前附表”规定的时间开启。</w:t>
      </w:r>
    </w:p>
    <w:p w14:paraId="7D1039FF">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25.2 响应文件解密：采购代理机构将在“供应商须知前附表”</w:t>
      </w:r>
      <w:r>
        <w:rPr>
          <w:rFonts w:hint="eastAsia" w:asciiTheme="minorEastAsia" w:hAnsiTheme="minorEastAsia" w:eastAsiaTheme="minorEastAsia" w:cstheme="minorEastAsia"/>
          <w:color w:val="auto"/>
          <w:spacing w:val="1"/>
          <w:sz w:val="21"/>
          <w:szCs w:val="21"/>
        </w:rPr>
        <w:t>规定的时间通过电子交易平台组织响</w:t>
      </w:r>
      <w:r>
        <w:rPr>
          <w:rFonts w:hint="eastAsia" w:asciiTheme="minorEastAsia" w:hAnsiTheme="minorEastAsia" w:eastAsiaTheme="minorEastAsia" w:cstheme="minorEastAsia"/>
          <w:color w:val="auto"/>
          <w:spacing w:val="-1"/>
          <w:sz w:val="21"/>
          <w:szCs w:val="21"/>
        </w:rPr>
        <w:t>应文件开启，采购代理机构将依托电子交易平台发起开始解密指令，</w:t>
      </w:r>
      <w:r>
        <w:rPr>
          <w:rFonts w:hint="eastAsia" w:asciiTheme="minorEastAsia" w:hAnsiTheme="minorEastAsia" w:eastAsiaTheme="minorEastAsia" w:cstheme="minorEastAsia"/>
          <w:b/>
          <w:bCs/>
          <w:color w:val="auto"/>
          <w:spacing w:val="-1"/>
          <w:sz w:val="21"/>
          <w:szCs w:val="21"/>
        </w:rPr>
        <w:t>供</w:t>
      </w:r>
      <w:r>
        <w:rPr>
          <w:rFonts w:hint="eastAsia" w:asciiTheme="minorEastAsia" w:hAnsiTheme="minorEastAsia" w:eastAsiaTheme="minorEastAsia" w:cstheme="minorEastAsia"/>
          <w:b/>
          <w:bCs/>
          <w:color w:val="auto"/>
          <w:spacing w:val="-2"/>
          <w:sz w:val="21"/>
          <w:szCs w:val="21"/>
        </w:rPr>
        <w:t>应商的法定代表人或其委托代理人须携带加密时所用的</w:t>
      </w:r>
      <w:r>
        <w:rPr>
          <w:rFonts w:hint="eastAsia" w:asciiTheme="minorEastAsia" w:hAnsiTheme="minorEastAsia" w:eastAsiaTheme="minorEastAsia" w:cstheme="minorEastAsia"/>
          <w:color w:val="auto"/>
          <w:spacing w:val="-15"/>
          <w:sz w:val="21"/>
          <w:szCs w:val="21"/>
        </w:rPr>
        <w:t xml:space="preserve"> </w:t>
      </w:r>
      <w:r>
        <w:rPr>
          <w:rFonts w:hint="eastAsia" w:asciiTheme="minorEastAsia" w:hAnsiTheme="minorEastAsia" w:eastAsiaTheme="minorEastAsia" w:cstheme="minorEastAsia"/>
          <w:b/>
          <w:bCs/>
          <w:color w:val="auto"/>
          <w:spacing w:val="-2"/>
          <w:sz w:val="21"/>
          <w:szCs w:val="21"/>
        </w:rPr>
        <w:t>CA</w:t>
      </w:r>
      <w:r>
        <w:rPr>
          <w:rFonts w:hint="eastAsia" w:asciiTheme="minorEastAsia" w:hAnsiTheme="minorEastAsia" w:eastAsiaTheme="minorEastAsia" w:cstheme="minorEastAsia"/>
          <w:color w:val="auto"/>
          <w:spacing w:val="-23"/>
          <w:sz w:val="21"/>
          <w:szCs w:val="21"/>
        </w:rPr>
        <w:t xml:space="preserve"> </w:t>
      </w:r>
      <w:r>
        <w:rPr>
          <w:rFonts w:hint="eastAsia" w:asciiTheme="minorEastAsia" w:hAnsiTheme="minorEastAsia" w:eastAsiaTheme="minorEastAsia" w:cstheme="minorEastAsia"/>
          <w:b/>
          <w:bCs/>
          <w:color w:val="auto"/>
          <w:spacing w:val="-2"/>
          <w:sz w:val="21"/>
          <w:szCs w:val="21"/>
        </w:rPr>
        <w:t>锁按平台提示和采购文件的规定登录到广西政府采购云平台电子开标大厅签到并</w:t>
      </w:r>
      <w:r>
        <w:rPr>
          <w:rFonts w:hint="eastAsia" w:asciiTheme="minorEastAsia" w:hAnsiTheme="minorEastAsia" w:eastAsiaTheme="minorEastAsia" w:cstheme="minorEastAsia"/>
          <w:b/>
          <w:bCs/>
          <w:color w:val="auto"/>
          <w:spacing w:val="-3"/>
          <w:sz w:val="21"/>
          <w:szCs w:val="21"/>
        </w:rPr>
        <w:t>在发起解密指令之时起</w:t>
      </w:r>
      <w:r>
        <w:rPr>
          <w:rFonts w:hint="eastAsia" w:asciiTheme="minorEastAsia" w:hAnsiTheme="minorEastAsia" w:eastAsiaTheme="minorEastAsia" w:cstheme="minorEastAsia"/>
          <w:color w:val="auto"/>
          <w:spacing w:val="-3"/>
          <w:sz w:val="21"/>
          <w:szCs w:val="21"/>
        </w:rPr>
        <w:t xml:space="preserve"> </w:t>
      </w:r>
      <w:r>
        <w:rPr>
          <w:rFonts w:hint="eastAsia" w:asciiTheme="minorEastAsia" w:hAnsiTheme="minorEastAsia" w:eastAsiaTheme="minorEastAsia" w:cstheme="minorEastAsia"/>
          <w:b/>
          <w:bCs/>
          <w:color w:val="auto"/>
          <w:spacing w:val="-3"/>
          <w:sz w:val="21"/>
          <w:szCs w:val="21"/>
        </w:rPr>
        <w:t>30</w:t>
      </w:r>
      <w:r>
        <w:rPr>
          <w:rFonts w:hint="eastAsia" w:asciiTheme="minorEastAsia" w:hAnsiTheme="minorEastAsia" w:eastAsiaTheme="minorEastAsia" w:cstheme="minorEastAsia"/>
          <w:color w:val="auto"/>
          <w:spacing w:val="-3"/>
          <w:sz w:val="21"/>
          <w:szCs w:val="21"/>
        </w:rPr>
        <w:t xml:space="preserve"> </w:t>
      </w:r>
      <w:r>
        <w:rPr>
          <w:rFonts w:hint="eastAsia" w:asciiTheme="minorEastAsia" w:hAnsiTheme="minorEastAsia" w:eastAsiaTheme="minorEastAsia" w:cstheme="minorEastAsia"/>
          <w:b/>
          <w:bCs/>
          <w:color w:val="auto"/>
          <w:spacing w:val="-3"/>
          <w:sz w:val="21"/>
          <w:szCs w:val="21"/>
        </w:rPr>
        <w:t>分钟内完成对电子响应文件在线解密。响应文件未按时解密的，视为响应文件</w:t>
      </w:r>
      <w:r>
        <w:rPr>
          <w:rFonts w:hint="eastAsia" w:asciiTheme="minorEastAsia" w:hAnsiTheme="minorEastAsia" w:eastAsiaTheme="minorEastAsia" w:cstheme="minorEastAsia"/>
          <w:b/>
          <w:bCs/>
          <w:color w:val="auto"/>
          <w:spacing w:val="-2"/>
          <w:sz w:val="21"/>
          <w:szCs w:val="21"/>
        </w:rPr>
        <w:t>无效。</w:t>
      </w:r>
      <w:r>
        <w:rPr>
          <w:rFonts w:hint="eastAsia" w:asciiTheme="minorEastAsia" w:hAnsiTheme="minorEastAsia" w:eastAsiaTheme="minorEastAsia" w:cstheme="minorEastAsia"/>
          <w:color w:val="auto"/>
          <w:spacing w:val="-2"/>
          <w:sz w:val="21"/>
          <w:szCs w:val="21"/>
        </w:rPr>
        <w:t>（解密异常情况处理：详见本章</w:t>
      </w:r>
      <w:r>
        <w:rPr>
          <w:rFonts w:hint="eastAsia" w:asciiTheme="minorEastAsia" w:hAnsiTheme="minorEastAsia" w:eastAsiaTheme="minorEastAsia" w:cstheme="minorEastAsia"/>
          <w:color w:val="auto"/>
          <w:spacing w:val="-36"/>
          <w:sz w:val="21"/>
          <w:szCs w:val="21"/>
        </w:rPr>
        <w:t xml:space="preserve"> </w:t>
      </w:r>
      <w:r>
        <w:rPr>
          <w:rFonts w:hint="eastAsia" w:asciiTheme="minorEastAsia" w:hAnsiTheme="minorEastAsia" w:eastAsiaTheme="minorEastAsia" w:cstheme="minorEastAsia"/>
          <w:color w:val="auto"/>
          <w:spacing w:val="-2"/>
          <w:sz w:val="21"/>
          <w:szCs w:val="21"/>
        </w:rPr>
        <w:t>26.2</w:t>
      </w:r>
      <w:r>
        <w:rPr>
          <w:rFonts w:hint="eastAsia" w:asciiTheme="minorEastAsia" w:hAnsiTheme="minorEastAsia" w:eastAsiaTheme="minorEastAsia" w:cstheme="minorEastAsia"/>
          <w:color w:val="auto"/>
          <w:spacing w:val="-22"/>
          <w:sz w:val="21"/>
          <w:szCs w:val="21"/>
        </w:rPr>
        <w:t xml:space="preserve"> </w:t>
      </w:r>
      <w:r>
        <w:rPr>
          <w:rFonts w:hint="eastAsia" w:asciiTheme="minorEastAsia" w:hAnsiTheme="minorEastAsia" w:eastAsiaTheme="minorEastAsia" w:cstheme="minorEastAsia"/>
          <w:color w:val="auto"/>
          <w:spacing w:val="-2"/>
          <w:sz w:val="21"/>
          <w:szCs w:val="21"/>
        </w:rPr>
        <w:t>电子交易活动的中止。）</w:t>
      </w:r>
    </w:p>
    <w:p w14:paraId="05778D9C">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25.3</w:t>
      </w:r>
      <w:r>
        <w:rPr>
          <w:rFonts w:hint="eastAsia" w:asciiTheme="minorEastAsia" w:hAnsiTheme="minorEastAsia" w:eastAsiaTheme="minorEastAsia" w:cstheme="minorEastAsia"/>
          <w:color w:val="auto"/>
          <w:spacing w:val="-45"/>
          <w:sz w:val="21"/>
          <w:szCs w:val="21"/>
        </w:rPr>
        <w:t xml:space="preserve"> </w:t>
      </w:r>
      <w:r>
        <w:rPr>
          <w:rFonts w:hint="eastAsia" w:asciiTheme="minorEastAsia" w:hAnsiTheme="minorEastAsia" w:eastAsiaTheme="minorEastAsia" w:cstheme="minorEastAsia"/>
          <w:color w:val="auto"/>
          <w:spacing w:val="-2"/>
          <w:sz w:val="21"/>
          <w:szCs w:val="21"/>
        </w:rPr>
        <w:t>成功解密响应文件的供应商不足</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3</w:t>
      </w:r>
      <w:r>
        <w:rPr>
          <w:rFonts w:hint="eastAsia" w:asciiTheme="minorEastAsia" w:hAnsiTheme="minorEastAsia" w:eastAsiaTheme="minorEastAsia" w:cstheme="minorEastAsia"/>
          <w:color w:val="auto"/>
          <w:spacing w:val="-43"/>
          <w:sz w:val="21"/>
          <w:szCs w:val="21"/>
        </w:rPr>
        <w:t xml:space="preserve"> </w:t>
      </w:r>
      <w:r>
        <w:rPr>
          <w:rFonts w:hint="eastAsia" w:asciiTheme="minorEastAsia" w:hAnsiTheme="minorEastAsia" w:eastAsiaTheme="minorEastAsia" w:cstheme="minorEastAsia"/>
          <w:color w:val="auto"/>
          <w:spacing w:val="-2"/>
          <w:sz w:val="21"/>
          <w:szCs w:val="21"/>
        </w:rPr>
        <w:t>家的，</w:t>
      </w:r>
      <w:r>
        <w:rPr>
          <w:rFonts w:hint="eastAsia" w:asciiTheme="minorEastAsia" w:hAnsiTheme="minorEastAsia" w:eastAsiaTheme="minorEastAsia" w:cstheme="minorEastAsia"/>
          <w:color w:val="auto"/>
          <w:spacing w:val="-3"/>
          <w:sz w:val="21"/>
          <w:szCs w:val="21"/>
        </w:rPr>
        <w:t>不得谈判。</w:t>
      </w:r>
    </w:p>
    <w:p w14:paraId="20AC2B84">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评审程序和评定成交的标准</w:t>
      </w:r>
    </w:p>
    <w:p w14:paraId="63DF4EDF">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26.1</w:t>
      </w:r>
      <w:r>
        <w:rPr>
          <w:rFonts w:hint="eastAsia" w:asciiTheme="minorEastAsia" w:hAnsiTheme="minorEastAsia" w:eastAsiaTheme="minorEastAsia" w:cstheme="minorEastAsia"/>
          <w:color w:val="auto"/>
          <w:spacing w:val="-34"/>
          <w:sz w:val="21"/>
          <w:szCs w:val="21"/>
        </w:rPr>
        <w:t xml:space="preserve"> </w:t>
      </w:r>
      <w:r>
        <w:rPr>
          <w:rFonts w:hint="eastAsia" w:asciiTheme="minorEastAsia" w:hAnsiTheme="minorEastAsia" w:eastAsiaTheme="minorEastAsia" w:cstheme="minorEastAsia"/>
          <w:color w:val="auto"/>
          <w:spacing w:val="-2"/>
          <w:sz w:val="21"/>
          <w:szCs w:val="21"/>
        </w:rPr>
        <w:t>谈判小组按照“第四章  评审程序和评定成交的标准”规定的评审程序对响应文件进行评审，并</w:t>
      </w:r>
      <w:r>
        <w:rPr>
          <w:rFonts w:hint="eastAsia" w:asciiTheme="minorEastAsia" w:hAnsiTheme="minorEastAsia" w:eastAsiaTheme="minorEastAsia" w:cstheme="minorEastAsia"/>
          <w:color w:val="auto"/>
          <w:spacing w:val="-1"/>
          <w:sz w:val="21"/>
          <w:szCs w:val="21"/>
        </w:rPr>
        <w:t>按照评定成交的标准推荐成交候选供应商。</w:t>
      </w:r>
    </w:p>
    <w:p w14:paraId="605A6EB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26.2</w:t>
      </w:r>
      <w:r>
        <w:rPr>
          <w:rFonts w:hint="eastAsia" w:asciiTheme="minorEastAsia" w:hAnsiTheme="minorEastAsia" w:eastAsiaTheme="minorEastAsia" w:cstheme="minorEastAsia"/>
          <w:color w:val="auto"/>
          <w:spacing w:val="-22"/>
          <w:sz w:val="21"/>
          <w:szCs w:val="21"/>
        </w:rPr>
        <w:t xml:space="preserve"> </w:t>
      </w:r>
      <w:r>
        <w:rPr>
          <w:rFonts w:hint="eastAsia" w:asciiTheme="minorEastAsia" w:hAnsiTheme="minorEastAsia" w:eastAsiaTheme="minorEastAsia" w:cstheme="minorEastAsia"/>
          <w:color w:val="auto"/>
          <w:spacing w:val="-2"/>
          <w:sz w:val="21"/>
          <w:szCs w:val="21"/>
        </w:rPr>
        <w:t>电子交易活动的中止。采购过程中出现</w:t>
      </w:r>
      <w:r>
        <w:rPr>
          <w:rFonts w:hint="eastAsia" w:asciiTheme="minorEastAsia" w:hAnsiTheme="minorEastAsia" w:eastAsiaTheme="minorEastAsia" w:cstheme="minorEastAsia"/>
          <w:color w:val="auto"/>
          <w:spacing w:val="-3"/>
          <w:sz w:val="21"/>
          <w:szCs w:val="21"/>
        </w:rPr>
        <w:t>以下情形，导致电子交易平台无法正常运行，或者无法保</w:t>
      </w:r>
      <w:r>
        <w:rPr>
          <w:rFonts w:hint="eastAsia" w:asciiTheme="minorEastAsia" w:hAnsiTheme="minorEastAsia" w:eastAsiaTheme="minorEastAsia" w:cstheme="minorEastAsia"/>
          <w:color w:val="auto"/>
          <w:sz w:val="21"/>
          <w:szCs w:val="21"/>
        </w:rPr>
        <w:t>证电子交易的公平、公正和安全时，采购机构可中止电子交</w:t>
      </w:r>
      <w:r>
        <w:rPr>
          <w:rFonts w:hint="eastAsia" w:asciiTheme="minorEastAsia" w:hAnsiTheme="minorEastAsia" w:eastAsiaTheme="minorEastAsia" w:cstheme="minorEastAsia"/>
          <w:color w:val="auto"/>
          <w:spacing w:val="-1"/>
          <w:sz w:val="21"/>
          <w:szCs w:val="21"/>
        </w:rPr>
        <w:t>易活动：</w:t>
      </w:r>
    </w:p>
    <w:p w14:paraId="1E1FF2B0">
      <w:pPr>
        <w:pStyle w:val="9"/>
        <w:keepNext w:val="0"/>
        <w:keepLines w:val="0"/>
        <w:pageBreakBefore w:val="0"/>
        <w:widowControl w:val="0"/>
        <w:numPr>
          <w:ilvl w:val="0"/>
          <w:numId w:val="27"/>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电子交易平台发生故障而无法登录访问的；</w:t>
      </w:r>
    </w:p>
    <w:p w14:paraId="17E0D1B2">
      <w:pPr>
        <w:pStyle w:val="9"/>
        <w:keepNext w:val="0"/>
        <w:keepLines w:val="0"/>
        <w:pageBreakBefore w:val="0"/>
        <w:widowControl w:val="0"/>
        <w:numPr>
          <w:ilvl w:val="0"/>
          <w:numId w:val="27"/>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电子交易平台应用或数据库出现错误，不能进行</w:t>
      </w:r>
      <w:r>
        <w:rPr>
          <w:rFonts w:hint="eastAsia" w:asciiTheme="minorEastAsia" w:hAnsiTheme="minorEastAsia" w:eastAsiaTheme="minorEastAsia" w:cstheme="minorEastAsia"/>
          <w:color w:val="auto"/>
          <w:spacing w:val="-2"/>
          <w:sz w:val="21"/>
          <w:szCs w:val="21"/>
        </w:rPr>
        <w:t>正常操作的；</w:t>
      </w:r>
    </w:p>
    <w:p w14:paraId="32FE9901">
      <w:pPr>
        <w:pStyle w:val="9"/>
        <w:keepNext w:val="0"/>
        <w:keepLines w:val="0"/>
        <w:pageBreakBefore w:val="0"/>
        <w:widowControl w:val="0"/>
        <w:numPr>
          <w:ilvl w:val="0"/>
          <w:numId w:val="27"/>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电子交易平台发现严重安全漏洞，有潜在泄密危险的；</w:t>
      </w:r>
    </w:p>
    <w:p w14:paraId="11FB365C">
      <w:pPr>
        <w:pStyle w:val="9"/>
        <w:keepNext w:val="0"/>
        <w:keepLines w:val="0"/>
        <w:pageBreakBefore w:val="0"/>
        <w:widowControl w:val="0"/>
        <w:numPr>
          <w:ilvl w:val="0"/>
          <w:numId w:val="27"/>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病毒发作导致不能进行正常操作的；</w:t>
      </w:r>
    </w:p>
    <w:p w14:paraId="6FDB0140">
      <w:pPr>
        <w:pStyle w:val="9"/>
        <w:keepNext w:val="0"/>
        <w:keepLines w:val="0"/>
        <w:pageBreakBefore w:val="0"/>
        <w:widowControl w:val="0"/>
        <w:numPr>
          <w:ilvl w:val="0"/>
          <w:numId w:val="27"/>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其他无法保证电子交易的公平、公正和</w:t>
      </w:r>
      <w:r>
        <w:rPr>
          <w:rFonts w:hint="eastAsia" w:asciiTheme="minorEastAsia" w:hAnsiTheme="minorEastAsia" w:eastAsiaTheme="minorEastAsia" w:cstheme="minorEastAsia"/>
          <w:color w:val="auto"/>
          <w:spacing w:val="-2"/>
          <w:sz w:val="21"/>
          <w:szCs w:val="21"/>
        </w:rPr>
        <w:t>安全的情况。</w:t>
      </w:r>
    </w:p>
    <w:p w14:paraId="0908D11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26.3</w:t>
      </w:r>
      <w:r>
        <w:rPr>
          <w:rFonts w:hint="eastAsia" w:asciiTheme="minorEastAsia" w:hAnsiTheme="minorEastAsia" w:eastAsiaTheme="minorEastAsia" w:cstheme="minorEastAsia"/>
          <w:color w:val="auto"/>
          <w:spacing w:val="-28"/>
          <w:sz w:val="21"/>
          <w:szCs w:val="21"/>
        </w:rPr>
        <w:t xml:space="preserve"> </w:t>
      </w:r>
      <w:r>
        <w:rPr>
          <w:rFonts w:hint="eastAsia" w:asciiTheme="minorEastAsia" w:hAnsiTheme="minorEastAsia" w:eastAsiaTheme="minorEastAsia" w:cstheme="minorEastAsia"/>
          <w:color w:val="auto"/>
          <w:spacing w:val="-2"/>
          <w:sz w:val="21"/>
          <w:szCs w:val="21"/>
        </w:rPr>
        <w:t>出现以上情形，不影响采购公平、公正性的，采购代理机构可以待上述情形</w:t>
      </w:r>
      <w:r>
        <w:rPr>
          <w:rFonts w:hint="eastAsia" w:asciiTheme="minorEastAsia" w:hAnsiTheme="minorEastAsia" w:eastAsiaTheme="minorEastAsia" w:cstheme="minorEastAsia"/>
          <w:color w:val="auto"/>
          <w:spacing w:val="-3"/>
          <w:sz w:val="21"/>
          <w:szCs w:val="21"/>
        </w:rPr>
        <w:t>消除后继续组织电子</w:t>
      </w:r>
      <w:r>
        <w:rPr>
          <w:rFonts w:hint="eastAsia" w:asciiTheme="minorEastAsia" w:hAnsiTheme="minorEastAsia" w:eastAsiaTheme="minorEastAsia" w:cstheme="minorEastAsia"/>
          <w:color w:val="auto"/>
          <w:spacing w:val="-1"/>
          <w:sz w:val="21"/>
          <w:szCs w:val="21"/>
        </w:rPr>
        <w:t>交易活动；影响或可能影响采购公平、公正性的，经采购代理机构确认后，应当重新采购。</w:t>
      </w:r>
    </w:p>
    <w:p w14:paraId="32E4ECD5">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确定成交供应商及结果公告</w:t>
      </w:r>
    </w:p>
    <w:p w14:paraId="3C936A4D">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27.1 采购代理机构应当在评审结束后 2</w:t>
      </w:r>
      <w:r>
        <w:rPr>
          <w:rFonts w:hint="eastAsia" w:asciiTheme="minorEastAsia" w:hAnsiTheme="minorEastAsia" w:eastAsiaTheme="minorEastAsia" w:cstheme="minorEastAsia"/>
          <w:color w:val="auto"/>
          <w:spacing w:val="-1"/>
          <w:sz w:val="21"/>
          <w:szCs w:val="21"/>
        </w:rPr>
        <w:t xml:space="preserve"> 个工作日内将评审报告送采购人确认。采购人应当在收到评审报告后</w:t>
      </w:r>
      <w:r>
        <w:rPr>
          <w:rFonts w:hint="eastAsia" w:asciiTheme="minorEastAsia" w:hAnsiTheme="minorEastAsia" w:eastAsiaTheme="minorEastAsia" w:cstheme="minorEastAsia"/>
          <w:color w:val="auto"/>
          <w:spacing w:val="-35"/>
          <w:sz w:val="21"/>
          <w:szCs w:val="21"/>
        </w:rPr>
        <w:t xml:space="preserve"> </w:t>
      </w:r>
      <w:r>
        <w:rPr>
          <w:rFonts w:hint="eastAsia" w:asciiTheme="minorEastAsia" w:hAnsiTheme="minorEastAsia" w:eastAsiaTheme="minorEastAsia" w:cstheme="minorEastAsia"/>
          <w:color w:val="auto"/>
          <w:spacing w:val="-1"/>
          <w:sz w:val="21"/>
          <w:szCs w:val="21"/>
        </w:rPr>
        <w:t>5</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1"/>
          <w:sz w:val="21"/>
          <w:szCs w:val="21"/>
        </w:rPr>
        <w:t>个工作日内，将评审报告提出的排名第一的成交候选人确定为成交供应商，也可以书面授权谈</w:t>
      </w:r>
      <w:r>
        <w:rPr>
          <w:rFonts w:hint="eastAsia" w:asciiTheme="minorEastAsia" w:hAnsiTheme="minorEastAsia" w:eastAsiaTheme="minorEastAsia" w:cstheme="minorEastAsia"/>
          <w:color w:val="auto"/>
          <w:sz w:val="21"/>
          <w:szCs w:val="21"/>
        </w:rPr>
        <w:t>判小组直接确定成交供应商。采购人逾期未确定成交供</w:t>
      </w:r>
      <w:r>
        <w:rPr>
          <w:rFonts w:hint="eastAsia" w:asciiTheme="minorEastAsia" w:hAnsiTheme="minorEastAsia" w:eastAsiaTheme="minorEastAsia" w:cstheme="minorEastAsia"/>
          <w:color w:val="auto"/>
          <w:spacing w:val="-1"/>
          <w:sz w:val="21"/>
          <w:szCs w:val="21"/>
        </w:rPr>
        <w:t>应商且不提出异议的，视为确定评审报告提出的排</w:t>
      </w:r>
      <w:r>
        <w:rPr>
          <w:rFonts w:hint="eastAsia" w:asciiTheme="minorEastAsia" w:hAnsiTheme="minorEastAsia" w:eastAsiaTheme="minorEastAsia" w:cstheme="minorEastAsia"/>
          <w:color w:val="auto"/>
          <w:spacing w:val="-2"/>
          <w:sz w:val="21"/>
          <w:szCs w:val="21"/>
        </w:rPr>
        <w:t>名第一的成交候选人为成交供应商。</w:t>
      </w:r>
    </w:p>
    <w:p w14:paraId="2A242EA2">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27.2采购代理机构应当在成交供应商确定后2个工作日内，在省级以上财政</w:t>
      </w:r>
      <w:r>
        <w:rPr>
          <w:rFonts w:hint="eastAsia" w:asciiTheme="minorEastAsia" w:hAnsiTheme="minorEastAsia" w:eastAsiaTheme="minorEastAsia" w:cstheme="minorEastAsia"/>
          <w:color w:val="auto"/>
          <w:spacing w:val="1"/>
          <w:sz w:val="21"/>
          <w:szCs w:val="21"/>
        </w:rPr>
        <w:t>部门指定的媒体上公告成</w:t>
      </w:r>
      <w:r>
        <w:rPr>
          <w:rFonts w:hint="eastAsia" w:asciiTheme="minorEastAsia" w:hAnsiTheme="minorEastAsia" w:eastAsiaTheme="minorEastAsia" w:cstheme="minorEastAsia"/>
          <w:color w:val="auto"/>
          <w:spacing w:val="3"/>
          <w:sz w:val="21"/>
          <w:szCs w:val="21"/>
        </w:rPr>
        <w:t>交结果，同时向成交供应商发出成交通知书。</w:t>
      </w:r>
      <w:r>
        <w:rPr>
          <w:rFonts w:hint="eastAsia" w:asciiTheme="minorEastAsia" w:hAnsiTheme="minorEastAsia" w:eastAsiaTheme="minorEastAsia" w:cstheme="minorEastAsia"/>
          <w:b/>
          <w:bCs/>
          <w:color w:val="auto"/>
          <w:spacing w:val="3"/>
          <w:sz w:val="21"/>
          <w:szCs w:val="21"/>
        </w:rPr>
        <w:t>采购人或者采购代理机构发出成交</w:t>
      </w:r>
      <w:r>
        <w:rPr>
          <w:rFonts w:hint="eastAsia" w:asciiTheme="minorEastAsia" w:hAnsiTheme="minorEastAsia" w:eastAsiaTheme="minorEastAsia" w:cstheme="minorEastAsia"/>
          <w:b/>
          <w:bCs/>
          <w:color w:val="auto"/>
          <w:spacing w:val="2"/>
          <w:sz w:val="21"/>
          <w:szCs w:val="21"/>
        </w:rPr>
        <w:t>通知书前，应当对成交供应商信用进行查询，对列入失信被执行人、重大税收违法案件当事人名单、政</w:t>
      </w:r>
      <w:r>
        <w:rPr>
          <w:rFonts w:hint="eastAsia" w:asciiTheme="minorEastAsia" w:hAnsiTheme="minorEastAsia" w:eastAsiaTheme="minorEastAsia" w:cstheme="minorEastAsia"/>
          <w:b/>
          <w:bCs/>
          <w:color w:val="auto"/>
          <w:spacing w:val="1"/>
          <w:sz w:val="21"/>
          <w:szCs w:val="21"/>
        </w:rPr>
        <w:t>府采购严重违法失信行</w:t>
      </w:r>
      <w:r>
        <w:rPr>
          <w:rFonts w:hint="eastAsia" w:asciiTheme="minorEastAsia" w:hAnsiTheme="minorEastAsia" w:eastAsiaTheme="minorEastAsia" w:cstheme="minorEastAsia"/>
          <w:b/>
          <w:bCs/>
          <w:color w:val="auto"/>
          <w:spacing w:val="2"/>
          <w:sz w:val="21"/>
          <w:szCs w:val="21"/>
        </w:rPr>
        <w:t>为记录名单及其他不符合《中华人民共和国政府采购法》第二十二条规定条件的</w:t>
      </w:r>
      <w:r>
        <w:rPr>
          <w:rFonts w:hint="eastAsia" w:asciiTheme="minorEastAsia" w:hAnsiTheme="minorEastAsia" w:eastAsiaTheme="minorEastAsia" w:cstheme="minorEastAsia"/>
          <w:b/>
          <w:bCs/>
          <w:color w:val="auto"/>
          <w:spacing w:val="1"/>
          <w:sz w:val="21"/>
          <w:szCs w:val="21"/>
        </w:rPr>
        <w:t>供应商，取消其成交资</w:t>
      </w:r>
      <w:r>
        <w:rPr>
          <w:rFonts w:hint="eastAsia" w:asciiTheme="minorEastAsia" w:hAnsiTheme="minorEastAsia" w:eastAsiaTheme="minorEastAsia" w:cstheme="minorEastAsia"/>
          <w:b/>
          <w:bCs/>
          <w:color w:val="auto"/>
          <w:spacing w:val="3"/>
          <w:sz w:val="21"/>
          <w:szCs w:val="21"/>
        </w:rPr>
        <w:t>格，并确定排名第二的成交候选人为成交供应商。</w:t>
      </w:r>
      <w:r>
        <w:rPr>
          <w:rFonts w:hint="eastAsia" w:asciiTheme="minorEastAsia" w:hAnsiTheme="minorEastAsia" w:eastAsiaTheme="minorEastAsia" w:cstheme="minorEastAsia"/>
          <w:color w:val="auto"/>
          <w:spacing w:val="3"/>
          <w:sz w:val="21"/>
          <w:szCs w:val="21"/>
        </w:rPr>
        <w:t>排名第二的成交候选人因上述规定的同样原因被取消</w:t>
      </w:r>
      <w:r>
        <w:rPr>
          <w:rFonts w:hint="eastAsia" w:asciiTheme="minorEastAsia" w:hAnsiTheme="minorEastAsia" w:eastAsiaTheme="minorEastAsia" w:cstheme="minorEastAsia"/>
          <w:color w:val="auto"/>
          <w:spacing w:val="4"/>
          <w:sz w:val="21"/>
          <w:szCs w:val="21"/>
        </w:rPr>
        <w:t>成交资格的，采购人可以确定排名第三的成交候选人为成交供应商。以上信息查询记录及相关证据与谈</w:t>
      </w:r>
      <w:r>
        <w:rPr>
          <w:rFonts w:hint="eastAsia" w:asciiTheme="minorEastAsia" w:hAnsiTheme="minorEastAsia" w:eastAsiaTheme="minorEastAsia" w:cstheme="minorEastAsia"/>
          <w:color w:val="auto"/>
          <w:spacing w:val="-2"/>
          <w:sz w:val="21"/>
          <w:szCs w:val="21"/>
        </w:rPr>
        <w:t>判文件一并保存。成交供应商享受《政府采购促进中小企业发展管理办法》（财库〔2020〕46</w:t>
      </w:r>
      <w:r>
        <w:rPr>
          <w:rFonts w:hint="eastAsia" w:asciiTheme="minorEastAsia" w:hAnsiTheme="minorEastAsia" w:eastAsiaTheme="minorEastAsia" w:cstheme="minorEastAsia"/>
          <w:color w:val="auto"/>
          <w:spacing w:val="-28"/>
          <w:sz w:val="21"/>
          <w:szCs w:val="21"/>
        </w:rPr>
        <w:t xml:space="preserve"> </w:t>
      </w:r>
      <w:r>
        <w:rPr>
          <w:rFonts w:hint="eastAsia" w:asciiTheme="minorEastAsia" w:hAnsiTheme="minorEastAsia" w:eastAsiaTheme="minorEastAsia" w:cstheme="minorEastAsia"/>
          <w:color w:val="auto"/>
          <w:spacing w:val="-2"/>
          <w:sz w:val="21"/>
          <w:szCs w:val="21"/>
        </w:rPr>
        <w:t>号）规定的</w:t>
      </w:r>
      <w:r>
        <w:rPr>
          <w:rFonts w:hint="eastAsia" w:asciiTheme="minorEastAsia" w:hAnsiTheme="minorEastAsia" w:eastAsiaTheme="minorEastAsia" w:cstheme="minorEastAsia"/>
          <w:color w:val="auto"/>
          <w:spacing w:val="4"/>
          <w:sz w:val="21"/>
          <w:szCs w:val="21"/>
        </w:rPr>
        <w:t>中小企业扶持政策或对本国产品的支持政策的，采购人、采购代理机构应当随成交结果公开成交供应商</w:t>
      </w:r>
      <w:r>
        <w:rPr>
          <w:rFonts w:hint="eastAsia" w:asciiTheme="minorEastAsia" w:hAnsiTheme="minorEastAsia" w:eastAsiaTheme="minorEastAsia" w:cstheme="minorEastAsia"/>
          <w:color w:val="auto"/>
          <w:spacing w:val="-5"/>
          <w:sz w:val="21"/>
          <w:szCs w:val="21"/>
        </w:rPr>
        <w:t>的《中小企业声明函》、《关于符合本国产品标准的声明函》或财政部会同有关部门规定的有关证明文件。</w:t>
      </w:r>
    </w:p>
    <w:p w14:paraId="58BF296A">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27.3 出现下列情形之一的，采购人或者采购代理机构应当终止</w:t>
      </w:r>
      <w:r>
        <w:rPr>
          <w:rFonts w:hint="eastAsia" w:asciiTheme="minorEastAsia" w:hAnsiTheme="minorEastAsia" w:eastAsiaTheme="minorEastAsia" w:cstheme="minorEastAsia"/>
          <w:color w:val="auto"/>
          <w:spacing w:val="1"/>
          <w:sz w:val="21"/>
          <w:szCs w:val="21"/>
        </w:rPr>
        <w:t>竞争性谈判采购活动，发布项目终止</w:t>
      </w:r>
      <w:r>
        <w:rPr>
          <w:rFonts w:hint="eastAsia" w:asciiTheme="minorEastAsia" w:hAnsiTheme="minorEastAsia" w:eastAsiaTheme="minorEastAsia" w:cstheme="minorEastAsia"/>
          <w:color w:val="auto"/>
          <w:spacing w:val="-1"/>
          <w:sz w:val="21"/>
          <w:szCs w:val="21"/>
        </w:rPr>
        <w:t>公告并说明原因，重新开展采购活动：</w:t>
      </w:r>
    </w:p>
    <w:p w14:paraId="00BB4092">
      <w:pPr>
        <w:pStyle w:val="9"/>
        <w:keepNext w:val="0"/>
        <w:keepLines w:val="0"/>
        <w:pageBreakBefore w:val="0"/>
        <w:widowControl w:val="0"/>
        <w:numPr>
          <w:ilvl w:val="0"/>
          <w:numId w:val="28"/>
        </w:numPr>
        <w:kinsoku/>
        <w:wordWrap/>
        <w:overflowPunct/>
        <w:topLinePunct w:val="0"/>
        <w:autoSpaceDE/>
        <w:autoSpaceDN/>
        <w:bidi w:val="0"/>
        <w:adjustRightInd/>
        <w:snapToGrid w:val="0"/>
        <w:spacing w:line="360" w:lineRule="auto"/>
        <w:ind w:left="0" w:leftChars="0" w:right="0" w:firstLine="42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因情况变化，不再符合规定的竞争性谈判采购方式适用</w:t>
      </w:r>
      <w:r>
        <w:rPr>
          <w:rFonts w:hint="eastAsia" w:asciiTheme="minorEastAsia" w:hAnsiTheme="minorEastAsia" w:eastAsiaTheme="minorEastAsia" w:cstheme="minorEastAsia"/>
          <w:color w:val="auto"/>
          <w:spacing w:val="-2"/>
          <w:sz w:val="21"/>
          <w:szCs w:val="21"/>
        </w:rPr>
        <w:t>情形的；</w:t>
      </w:r>
    </w:p>
    <w:p w14:paraId="5B5ED9EB">
      <w:pPr>
        <w:pStyle w:val="9"/>
        <w:keepNext w:val="0"/>
        <w:keepLines w:val="0"/>
        <w:pageBreakBefore w:val="0"/>
        <w:widowControl w:val="0"/>
        <w:numPr>
          <w:ilvl w:val="0"/>
          <w:numId w:val="28"/>
        </w:numPr>
        <w:kinsoku/>
        <w:wordWrap/>
        <w:overflowPunct/>
        <w:topLinePunct w:val="0"/>
        <w:autoSpaceDE/>
        <w:autoSpaceDN/>
        <w:bidi w:val="0"/>
        <w:adjustRightInd/>
        <w:snapToGrid w:val="0"/>
        <w:spacing w:line="360" w:lineRule="auto"/>
        <w:ind w:left="0" w:leftChars="0" w:right="0" w:firstLine="42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出现影响采购公正的违法、违规行为的；</w:t>
      </w:r>
    </w:p>
    <w:p w14:paraId="6D8CB8BD">
      <w:pPr>
        <w:pStyle w:val="9"/>
        <w:keepNext w:val="0"/>
        <w:keepLines w:val="0"/>
        <w:pageBreakBefore w:val="0"/>
        <w:widowControl w:val="0"/>
        <w:numPr>
          <w:ilvl w:val="0"/>
          <w:numId w:val="28"/>
        </w:numPr>
        <w:kinsoku/>
        <w:wordWrap/>
        <w:overflowPunct/>
        <w:topLinePunct w:val="0"/>
        <w:autoSpaceDE/>
        <w:autoSpaceDN/>
        <w:bidi w:val="0"/>
        <w:adjustRightInd/>
        <w:snapToGrid w:val="0"/>
        <w:spacing w:line="360" w:lineRule="auto"/>
        <w:ind w:left="0" w:leftChars="0" w:right="0" w:firstLine="42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在采购过程中符合竞争要求的供应商或者报价未超过采购预算的供应商不足</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1"/>
          <w:sz w:val="21"/>
          <w:szCs w:val="21"/>
        </w:rPr>
        <w:t>3</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1"/>
          <w:sz w:val="21"/>
          <w:szCs w:val="21"/>
        </w:rPr>
        <w:t>家</w:t>
      </w:r>
      <w:r>
        <w:rPr>
          <w:rFonts w:hint="eastAsia" w:asciiTheme="minorEastAsia" w:hAnsiTheme="minorEastAsia" w:eastAsiaTheme="minorEastAsia" w:cstheme="minorEastAsia"/>
          <w:color w:val="auto"/>
          <w:spacing w:val="-2"/>
          <w:sz w:val="21"/>
          <w:szCs w:val="21"/>
        </w:rPr>
        <w:t>的，但“第四</w:t>
      </w:r>
      <w:r>
        <w:rPr>
          <w:rFonts w:hint="eastAsia" w:asciiTheme="minorEastAsia" w:hAnsiTheme="minorEastAsia" w:eastAsiaTheme="minorEastAsia" w:cstheme="minorEastAsia"/>
          <w:color w:val="auto"/>
          <w:spacing w:val="-1"/>
          <w:sz w:val="21"/>
          <w:szCs w:val="21"/>
        </w:rPr>
        <w:t>章 评审程序和评定成交的标准”第</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1"/>
          <w:sz w:val="21"/>
          <w:szCs w:val="21"/>
        </w:rPr>
        <w:t>3.7</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1"/>
          <w:sz w:val="21"/>
          <w:szCs w:val="21"/>
        </w:rPr>
        <w:t>条规</w:t>
      </w:r>
      <w:r>
        <w:rPr>
          <w:rFonts w:hint="eastAsia" w:asciiTheme="minorEastAsia" w:hAnsiTheme="minorEastAsia" w:eastAsiaTheme="minorEastAsia" w:cstheme="minorEastAsia"/>
          <w:color w:val="auto"/>
          <w:spacing w:val="-2"/>
          <w:sz w:val="21"/>
          <w:szCs w:val="21"/>
        </w:rPr>
        <w:t>定的情形除外。</w:t>
      </w:r>
    </w:p>
    <w:p w14:paraId="582B7A90">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27.4</w:t>
      </w:r>
      <w:r>
        <w:rPr>
          <w:rFonts w:hint="eastAsia" w:asciiTheme="minorEastAsia" w:hAnsiTheme="minorEastAsia" w:eastAsiaTheme="minorEastAsia" w:cstheme="minorEastAsia"/>
          <w:color w:val="auto"/>
          <w:spacing w:val="-47"/>
          <w:sz w:val="21"/>
          <w:szCs w:val="21"/>
        </w:rPr>
        <w:t xml:space="preserve"> </w:t>
      </w:r>
      <w:r>
        <w:rPr>
          <w:rFonts w:hint="eastAsia" w:asciiTheme="minorEastAsia" w:hAnsiTheme="minorEastAsia" w:eastAsiaTheme="minorEastAsia" w:cstheme="minorEastAsia"/>
          <w:color w:val="auto"/>
          <w:sz w:val="21"/>
          <w:szCs w:val="21"/>
        </w:rPr>
        <w:t>在采购活动中因重大变故，采购任务取消的，采购人或者采购</w:t>
      </w:r>
      <w:r>
        <w:rPr>
          <w:rFonts w:hint="eastAsia" w:asciiTheme="minorEastAsia" w:hAnsiTheme="minorEastAsia" w:eastAsiaTheme="minorEastAsia" w:cstheme="minorEastAsia"/>
          <w:color w:val="auto"/>
          <w:spacing w:val="-1"/>
          <w:sz w:val="21"/>
          <w:szCs w:val="21"/>
        </w:rPr>
        <w:t>代理机构应当终止采购活动，通</w:t>
      </w:r>
      <w:r>
        <w:rPr>
          <w:rFonts w:hint="eastAsia" w:asciiTheme="minorEastAsia" w:hAnsiTheme="minorEastAsia" w:eastAsiaTheme="minorEastAsia" w:cstheme="minorEastAsia"/>
          <w:color w:val="auto"/>
          <w:spacing w:val="-3"/>
          <w:sz w:val="21"/>
          <w:szCs w:val="21"/>
        </w:rPr>
        <w:t>知所有参加采购活动的供应商。</w:t>
      </w:r>
    </w:p>
    <w:p w14:paraId="424156D6">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27.5</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成交供应商拒绝签订政府采购合同（包括但不限于放弃成交、因不可抗力不能履行合同而放弃签</w:t>
      </w:r>
      <w:r>
        <w:rPr>
          <w:rFonts w:hint="eastAsia" w:asciiTheme="minorEastAsia" w:hAnsiTheme="minorEastAsia" w:eastAsiaTheme="minorEastAsia" w:cstheme="minorEastAsia"/>
          <w:color w:val="auto"/>
          <w:sz w:val="21"/>
          <w:szCs w:val="21"/>
        </w:rPr>
        <w:t>订合同</w:t>
      </w:r>
      <w:r>
        <w:rPr>
          <w:rFonts w:hint="eastAsia" w:asciiTheme="minorEastAsia" w:hAnsiTheme="minorEastAsia" w:eastAsiaTheme="minorEastAsia" w:cstheme="minorEastAsia"/>
          <w:color w:val="auto"/>
          <w:spacing w:val="-7"/>
          <w:sz w:val="21"/>
          <w:szCs w:val="21"/>
        </w:rPr>
        <w:t>），</w:t>
      </w:r>
      <w:r>
        <w:rPr>
          <w:rFonts w:hint="eastAsia" w:asciiTheme="minorEastAsia" w:hAnsiTheme="minorEastAsia" w:eastAsiaTheme="minorEastAsia" w:cstheme="minorEastAsia"/>
          <w:color w:val="auto"/>
          <w:sz w:val="21"/>
          <w:szCs w:val="21"/>
        </w:rPr>
        <w:t>采购人可以按照评审报告推荐的成交候选人名单排序，确定下一候选人</w:t>
      </w:r>
      <w:r>
        <w:rPr>
          <w:rFonts w:hint="eastAsia" w:asciiTheme="minorEastAsia" w:hAnsiTheme="minorEastAsia" w:eastAsiaTheme="minorEastAsia" w:cstheme="minorEastAsia"/>
          <w:color w:val="auto"/>
          <w:spacing w:val="-1"/>
          <w:sz w:val="21"/>
          <w:szCs w:val="21"/>
        </w:rPr>
        <w:t>为成交供应商，也可以</w:t>
      </w:r>
      <w:r>
        <w:rPr>
          <w:rFonts w:hint="eastAsia" w:asciiTheme="minorEastAsia" w:hAnsiTheme="minorEastAsia" w:eastAsiaTheme="minorEastAsia" w:cstheme="minorEastAsia"/>
          <w:color w:val="auto"/>
          <w:sz w:val="21"/>
          <w:szCs w:val="21"/>
        </w:rPr>
        <w:t>重新开展政府采购活动。拒绝签订政府采购合同的成交供应商不得参加对该项目重新开展的采购</w:t>
      </w:r>
      <w:r>
        <w:rPr>
          <w:rFonts w:hint="eastAsia" w:asciiTheme="minorEastAsia" w:hAnsiTheme="minorEastAsia" w:eastAsiaTheme="minorEastAsia" w:cstheme="minorEastAsia"/>
          <w:color w:val="auto"/>
          <w:spacing w:val="-1"/>
          <w:sz w:val="21"/>
          <w:szCs w:val="21"/>
        </w:rPr>
        <w:t>活动。</w:t>
      </w:r>
    </w:p>
    <w:p w14:paraId="372DB930">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履约保证金</w:t>
      </w:r>
    </w:p>
    <w:p w14:paraId="65B69961">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28.1履约保证金的金额、提交方式、退付的时间和条件详见 “供应商须知前附表”。成交供</w:t>
      </w:r>
      <w:r>
        <w:rPr>
          <w:rFonts w:hint="eastAsia" w:asciiTheme="minorEastAsia" w:hAnsiTheme="minorEastAsia" w:eastAsiaTheme="minorEastAsia" w:cstheme="minorEastAsia"/>
          <w:color w:val="auto"/>
          <w:sz w:val="21"/>
          <w:szCs w:val="21"/>
        </w:rPr>
        <w:t>应商未</w:t>
      </w:r>
      <w:r>
        <w:rPr>
          <w:rFonts w:hint="eastAsia" w:asciiTheme="minorEastAsia" w:hAnsiTheme="minorEastAsia" w:eastAsiaTheme="minorEastAsia" w:cstheme="minorEastAsia"/>
          <w:color w:val="auto"/>
          <w:spacing w:val="-1"/>
          <w:sz w:val="21"/>
          <w:szCs w:val="21"/>
        </w:rPr>
        <w:t>按规定提交履约保证金的，视为拒绝与采购人签订合同。</w:t>
      </w:r>
    </w:p>
    <w:p w14:paraId="7E506A22">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28.2</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2"/>
          <w:sz w:val="21"/>
          <w:szCs w:val="21"/>
        </w:rPr>
        <w:t>在履约保证金退还日期前，若成交供应商的开户名称、开户银行、账号有变动的，请以书面形式</w:t>
      </w:r>
      <w:r>
        <w:rPr>
          <w:rFonts w:hint="eastAsia" w:asciiTheme="minorEastAsia" w:hAnsiTheme="minorEastAsia" w:eastAsiaTheme="minorEastAsia" w:cstheme="minorEastAsia"/>
          <w:color w:val="auto"/>
          <w:sz w:val="21"/>
          <w:szCs w:val="21"/>
        </w:rPr>
        <w:t>通知履约保证金收取单位，否则由此产生的后果由成交供应</w:t>
      </w:r>
      <w:r>
        <w:rPr>
          <w:rFonts w:hint="eastAsia" w:asciiTheme="minorEastAsia" w:hAnsiTheme="minorEastAsia" w:eastAsiaTheme="minorEastAsia" w:cstheme="minorEastAsia"/>
          <w:color w:val="auto"/>
          <w:spacing w:val="-1"/>
          <w:sz w:val="21"/>
          <w:szCs w:val="21"/>
        </w:rPr>
        <w:t>商自负。</w:t>
      </w:r>
    </w:p>
    <w:p w14:paraId="1BDDA4DD">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签订合同</w:t>
      </w:r>
    </w:p>
    <w:p w14:paraId="42DE56F6">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29.1成交供应商在收到成交通知书后，按“供应商须知前附表”规定向采购人出示相关证明材料，经采购人核验合格后方可签订合同。</w:t>
      </w:r>
    </w:p>
    <w:p w14:paraId="786EA43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29.2 签订合同时间：按成交通知书的规</w:t>
      </w:r>
      <w:r>
        <w:rPr>
          <w:rFonts w:hint="eastAsia" w:asciiTheme="minorEastAsia" w:hAnsiTheme="minorEastAsia" w:eastAsiaTheme="minorEastAsia" w:cstheme="minorEastAsia"/>
          <w:color w:val="auto"/>
          <w:spacing w:val="-2"/>
          <w:sz w:val="21"/>
          <w:szCs w:val="21"/>
        </w:rPr>
        <w:t>定与采购人签订政府采购合同（最长不能超过</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2"/>
          <w:sz w:val="21"/>
          <w:szCs w:val="21"/>
        </w:rPr>
        <w:t>25 日）。</w:t>
      </w:r>
    </w:p>
    <w:p w14:paraId="3ECF7841">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29.3</w:t>
      </w:r>
      <w:r>
        <w:rPr>
          <w:rFonts w:hint="eastAsia" w:asciiTheme="minorEastAsia" w:hAnsiTheme="minorEastAsia" w:eastAsiaTheme="minorEastAsia" w:cstheme="minorEastAsia"/>
          <w:color w:val="auto"/>
          <w:spacing w:val="-43"/>
          <w:sz w:val="21"/>
          <w:szCs w:val="21"/>
        </w:rPr>
        <w:t xml:space="preserve"> </w:t>
      </w:r>
      <w:r>
        <w:rPr>
          <w:rFonts w:hint="eastAsia" w:asciiTheme="minorEastAsia" w:hAnsiTheme="minorEastAsia" w:eastAsiaTheme="minorEastAsia" w:cstheme="minorEastAsia"/>
          <w:color w:val="auto"/>
          <w:spacing w:val="-1"/>
          <w:sz w:val="21"/>
          <w:szCs w:val="21"/>
        </w:rPr>
        <w:t>成交供应商拒绝与采购人签订合同的，按照本须知正文第</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1"/>
          <w:sz w:val="21"/>
          <w:szCs w:val="21"/>
        </w:rPr>
        <w:t>27.5</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1"/>
          <w:sz w:val="21"/>
          <w:szCs w:val="21"/>
        </w:rPr>
        <w:t>条的规定执行。</w:t>
      </w:r>
    </w:p>
    <w:p w14:paraId="241C91CB">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政府采购合同公告</w:t>
      </w:r>
    </w:p>
    <w:p w14:paraId="582579C6">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根据《中华人民共和国政府采购法实施条例》第</w:t>
      </w:r>
      <w:r>
        <w:rPr>
          <w:rFonts w:hint="eastAsia" w:asciiTheme="minorEastAsia" w:hAnsiTheme="minorEastAsia" w:eastAsiaTheme="minorEastAsia" w:cstheme="minorEastAsia"/>
          <w:color w:val="auto"/>
          <w:spacing w:val="-1"/>
          <w:sz w:val="21"/>
          <w:szCs w:val="21"/>
        </w:rPr>
        <w:t>五十条规定，采购人应当自政府采购合同签订之日起</w:t>
      </w:r>
      <w:r>
        <w:rPr>
          <w:rFonts w:hint="eastAsia" w:asciiTheme="minorEastAsia" w:hAnsiTheme="minorEastAsia" w:eastAsiaTheme="minorEastAsia" w:cstheme="minorEastAsia"/>
          <w:color w:val="auto"/>
          <w:sz w:val="21"/>
          <w:szCs w:val="21"/>
        </w:rPr>
        <w:t>2 个工作日内，将政府采购合同在省级以上人民政</w:t>
      </w:r>
      <w:r>
        <w:rPr>
          <w:rFonts w:hint="eastAsia" w:asciiTheme="minorEastAsia" w:hAnsiTheme="minorEastAsia" w:eastAsiaTheme="minorEastAsia" w:cstheme="minorEastAsia"/>
          <w:color w:val="auto"/>
          <w:spacing w:val="-1"/>
          <w:sz w:val="21"/>
          <w:szCs w:val="21"/>
        </w:rPr>
        <w:t>府财政部门指定的媒体上公告，但政府采购合同中涉及国家秘密、商业秘密的内容除外。</w:t>
      </w:r>
    </w:p>
    <w:p w14:paraId="782DBDA3">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询问、质疑和投诉</w:t>
      </w:r>
    </w:p>
    <w:p w14:paraId="26834EC4">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31.1供应商对政府采购活动事项有疑问</w:t>
      </w:r>
      <w:r>
        <w:rPr>
          <w:rFonts w:hint="eastAsia" w:asciiTheme="minorEastAsia" w:hAnsiTheme="minorEastAsia" w:eastAsiaTheme="minorEastAsia" w:cstheme="minorEastAsia"/>
          <w:color w:val="auto"/>
          <w:spacing w:val="-1"/>
          <w:sz w:val="21"/>
          <w:szCs w:val="21"/>
        </w:rPr>
        <w:t>的，可以向采购人、采购代理机构提出询问，采购人或者采购代理机构应当在</w:t>
      </w:r>
      <w:r>
        <w:rPr>
          <w:rFonts w:hint="eastAsia" w:asciiTheme="minorEastAsia" w:hAnsiTheme="minorEastAsia" w:eastAsiaTheme="minorEastAsia" w:cstheme="minorEastAsia"/>
          <w:color w:val="auto"/>
          <w:spacing w:val="-34"/>
          <w:sz w:val="21"/>
          <w:szCs w:val="21"/>
        </w:rPr>
        <w:t xml:space="preserve"> </w:t>
      </w:r>
      <w:r>
        <w:rPr>
          <w:rFonts w:hint="eastAsia" w:asciiTheme="minorEastAsia" w:hAnsiTheme="minorEastAsia" w:eastAsiaTheme="minorEastAsia" w:cstheme="minorEastAsia"/>
          <w:color w:val="auto"/>
          <w:spacing w:val="-1"/>
          <w:sz w:val="21"/>
          <w:szCs w:val="21"/>
        </w:rPr>
        <w:t>3</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1"/>
          <w:sz w:val="21"/>
          <w:szCs w:val="21"/>
        </w:rPr>
        <w:t>个工作日内对供应商依法提出的询问作出答复，但答复的内容不得涉及商业秘密。</w:t>
      </w:r>
    </w:p>
    <w:p w14:paraId="369EB1E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31.2</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供应商认为谈判文件、采购过程或者成交结果使自己的合法权益受到损害的，应当在知道或者应</w:t>
      </w:r>
      <w:r>
        <w:rPr>
          <w:rFonts w:hint="eastAsia" w:asciiTheme="minorEastAsia" w:hAnsiTheme="minorEastAsia" w:eastAsiaTheme="minorEastAsia" w:cstheme="minorEastAsia"/>
          <w:color w:val="auto"/>
          <w:spacing w:val="-1"/>
          <w:sz w:val="21"/>
          <w:szCs w:val="21"/>
        </w:rPr>
        <w:t>知其权益受到损害之日起</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1"/>
          <w:sz w:val="21"/>
          <w:szCs w:val="21"/>
        </w:rPr>
        <w:t>7</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1"/>
          <w:sz w:val="21"/>
          <w:szCs w:val="21"/>
        </w:rPr>
        <w:t>个工作日内，以纸质书面形式向采购人、采购代理机构提出质疑，接</w:t>
      </w:r>
      <w:r>
        <w:rPr>
          <w:rFonts w:hint="eastAsia" w:asciiTheme="minorEastAsia" w:hAnsiTheme="minorEastAsia" w:eastAsiaTheme="minorEastAsia" w:cstheme="minorEastAsia"/>
          <w:color w:val="auto"/>
          <w:spacing w:val="-2"/>
          <w:sz w:val="21"/>
          <w:szCs w:val="21"/>
        </w:rPr>
        <w:t>收质疑函</w:t>
      </w:r>
      <w:r>
        <w:rPr>
          <w:rFonts w:hint="eastAsia" w:asciiTheme="minorEastAsia" w:hAnsiTheme="minorEastAsia" w:eastAsiaTheme="minorEastAsia" w:cstheme="minorEastAsia"/>
          <w:color w:val="auto"/>
          <w:sz w:val="21"/>
          <w:szCs w:val="21"/>
        </w:rPr>
        <w:t>的方式、联系部门、联系电话和通讯地址等信息详见“供应商须知前附表”。具体质疑</w:t>
      </w:r>
      <w:r>
        <w:rPr>
          <w:rFonts w:hint="eastAsia" w:asciiTheme="minorEastAsia" w:hAnsiTheme="minorEastAsia" w:eastAsiaTheme="minorEastAsia" w:cstheme="minorEastAsia"/>
          <w:color w:val="auto"/>
          <w:spacing w:val="-1"/>
          <w:sz w:val="21"/>
          <w:szCs w:val="21"/>
        </w:rPr>
        <w:t>起算时间如下：</w:t>
      </w:r>
    </w:p>
    <w:p w14:paraId="36ED6034">
      <w:pPr>
        <w:pStyle w:val="9"/>
        <w:keepNext w:val="0"/>
        <w:keepLines w:val="0"/>
        <w:pageBreakBefore w:val="0"/>
        <w:widowControl w:val="0"/>
        <w:numPr>
          <w:ilvl w:val="0"/>
          <w:numId w:val="29"/>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对可以质疑的谈判文件提出质疑的，为获</w:t>
      </w:r>
      <w:r>
        <w:rPr>
          <w:rFonts w:hint="eastAsia" w:asciiTheme="minorEastAsia" w:hAnsiTheme="minorEastAsia" w:eastAsiaTheme="minorEastAsia" w:cstheme="minorEastAsia"/>
          <w:color w:val="auto"/>
          <w:spacing w:val="-2"/>
          <w:sz w:val="21"/>
          <w:szCs w:val="21"/>
        </w:rPr>
        <w:t>取谈判文件之日；</w:t>
      </w:r>
    </w:p>
    <w:p w14:paraId="58D27D36">
      <w:pPr>
        <w:pStyle w:val="9"/>
        <w:keepNext w:val="0"/>
        <w:keepLines w:val="0"/>
        <w:pageBreakBefore w:val="0"/>
        <w:widowControl w:val="0"/>
        <w:numPr>
          <w:ilvl w:val="0"/>
          <w:numId w:val="29"/>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对采购过程提出质疑的，为各采购程序环节结束之日；</w:t>
      </w:r>
    </w:p>
    <w:p w14:paraId="1CCB1E16">
      <w:pPr>
        <w:pStyle w:val="9"/>
        <w:keepNext w:val="0"/>
        <w:keepLines w:val="0"/>
        <w:pageBreakBefore w:val="0"/>
        <w:widowControl w:val="0"/>
        <w:numPr>
          <w:ilvl w:val="0"/>
          <w:numId w:val="29"/>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对成交结果提出质疑的，为成交结果公告期限届满之日。</w:t>
      </w:r>
    </w:p>
    <w:p w14:paraId="5325B929">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31.3</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供应商提出的询问或者质疑超出采购人对采购代理机构委托授权范围的，采购代理机构应当告知</w:t>
      </w:r>
      <w:r>
        <w:rPr>
          <w:rFonts w:hint="eastAsia" w:asciiTheme="minorEastAsia" w:hAnsiTheme="minorEastAsia" w:eastAsiaTheme="minorEastAsia" w:cstheme="minorEastAsia"/>
          <w:color w:val="auto"/>
          <w:sz w:val="21"/>
          <w:szCs w:val="21"/>
        </w:rPr>
        <w:t>供应商向采购人提出。政府采购评审专家应当配合采购人或者采购代理机构答复供应商的询问和</w:t>
      </w:r>
      <w:r>
        <w:rPr>
          <w:rFonts w:hint="eastAsia" w:asciiTheme="minorEastAsia" w:hAnsiTheme="minorEastAsia" w:eastAsiaTheme="minorEastAsia" w:cstheme="minorEastAsia"/>
          <w:color w:val="auto"/>
          <w:spacing w:val="-1"/>
          <w:sz w:val="21"/>
          <w:szCs w:val="21"/>
        </w:rPr>
        <w:t>质疑。</w:t>
      </w:r>
    </w:p>
    <w:p w14:paraId="5E55E8D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31.4</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供应商提出质疑应当提交质疑函和必要的证明材料，针对同一采购程序环节的质疑必须在法定质</w:t>
      </w:r>
      <w:r>
        <w:rPr>
          <w:rFonts w:hint="eastAsia" w:asciiTheme="minorEastAsia" w:hAnsiTheme="minorEastAsia" w:eastAsiaTheme="minorEastAsia" w:cstheme="minorEastAsia"/>
          <w:color w:val="auto"/>
          <w:sz w:val="21"/>
          <w:szCs w:val="21"/>
        </w:rPr>
        <w:t>疑期内一次性提出。质疑函应当包括下列内容（</w:t>
      </w:r>
      <w:r>
        <w:rPr>
          <w:rFonts w:hint="eastAsia" w:asciiTheme="minorEastAsia" w:hAnsiTheme="minorEastAsia" w:eastAsiaTheme="minorEastAsia" w:cstheme="minorEastAsia"/>
          <w:color w:val="auto"/>
          <w:spacing w:val="-1"/>
          <w:sz w:val="21"/>
          <w:szCs w:val="21"/>
        </w:rPr>
        <w:t>质疑函格式后附</w:t>
      </w:r>
      <w:r>
        <w:rPr>
          <w:rFonts w:hint="eastAsia" w:asciiTheme="minorEastAsia" w:hAnsiTheme="minorEastAsia" w:eastAsiaTheme="minorEastAsia" w:cstheme="minorEastAsia"/>
          <w:color w:val="auto"/>
          <w:sz w:val="21"/>
          <w:szCs w:val="21"/>
        </w:rPr>
        <w:t>）：</w:t>
      </w:r>
    </w:p>
    <w:p w14:paraId="516D1E97">
      <w:pPr>
        <w:pStyle w:val="9"/>
        <w:keepNext w:val="0"/>
        <w:keepLines w:val="0"/>
        <w:pageBreakBefore w:val="0"/>
        <w:widowControl w:val="0"/>
        <w:numPr>
          <w:ilvl w:val="0"/>
          <w:numId w:val="30"/>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供应商的姓名或者名称、地址、邮编、联</w:t>
      </w:r>
      <w:r>
        <w:rPr>
          <w:rFonts w:hint="eastAsia" w:asciiTheme="minorEastAsia" w:hAnsiTheme="minorEastAsia" w:eastAsiaTheme="minorEastAsia" w:cstheme="minorEastAsia"/>
          <w:color w:val="auto"/>
          <w:spacing w:val="-2"/>
          <w:sz w:val="21"/>
          <w:szCs w:val="21"/>
        </w:rPr>
        <w:t>系人及联系电话；</w:t>
      </w:r>
    </w:p>
    <w:p w14:paraId="6DF32E46">
      <w:pPr>
        <w:pStyle w:val="9"/>
        <w:keepNext w:val="0"/>
        <w:keepLines w:val="0"/>
        <w:pageBreakBefore w:val="0"/>
        <w:widowControl w:val="0"/>
        <w:numPr>
          <w:ilvl w:val="0"/>
          <w:numId w:val="30"/>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质疑项目的名称、编号；</w:t>
      </w:r>
    </w:p>
    <w:p w14:paraId="614B86C7">
      <w:pPr>
        <w:pStyle w:val="9"/>
        <w:keepNext w:val="0"/>
        <w:keepLines w:val="0"/>
        <w:pageBreakBefore w:val="0"/>
        <w:widowControl w:val="0"/>
        <w:numPr>
          <w:ilvl w:val="0"/>
          <w:numId w:val="30"/>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具体、明确的质疑事项和与质疑事项相关的请求；</w:t>
      </w:r>
    </w:p>
    <w:p w14:paraId="72DDA3F2">
      <w:pPr>
        <w:pStyle w:val="9"/>
        <w:keepNext w:val="0"/>
        <w:keepLines w:val="0"/>
        <w:pageBreakBefore w:val="0"/>
        <w:widowControl w:val="0"/>
        <w:numPr>
          <w:ilvl w:val="0"/>
          <w:numId w:val="30"/>
        </w:numPr>
        <w:kinsoku/>
        <w:wordWrap/>
        <w:overflowPunct/>
        <w:topLinePunct w:val="0"/>
        <w:autoSpaceDE/>
        <w:autoSpaceDN/>
        <w:bidi w:val="0"/>
        <w:adjustRightInd/>
        <w:snapToGrid w:val="0"/>
        <w:spacing w:line="360" w:lineRule="auto"/>
        <w:ind w:left="0" w:leftChars="0" w:right="0" w:firstLine="40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5"/>
          <w:sz w:val="21"/>
          <w:szCs w:val="21"/>
        </w:rPr>
        <w:t>事实依据；</w:t>
      </w:r>
    </w:p>
    <w:p w14:paraId="080BC0C7">
      <w:pPr>
        <w:pStyle w:val="9"/>
        <w:keepNext w:val="0"/>
        <w:keepLines w:val="0"/>
        <w:pageBreakBefore w:val="0"/>
        <w:widowControl w:val="0"/>
        <w:numPr>
          <w:ilvl w:val="0"/>
          <w:numId w:val="30"/>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必要的法律依据；</w:t>
      </w:r>
    </w:p>
    <w:p w14:paraId="4C9E0344">
      <w:pPr>
        <w:pStyle w:val="9"/>
        <w:keepNext w:val="0"/>
        <w:keepLines w:val="0"/>
        <w:pageBreakBefore w:val="0"/>
        <w:widowControl w:val="0"/>
        <w:numPr>
          <w:ilvl w:val="0"/>
          <w:numId w:val="30"/>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提出质疑的日期。</w:t>
      </w:r>
    </w:p>
    <w:p w14:paraId="0C09A875">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供应商为自然人的，应当由本人签字；供应商为法</w:t>
      </w:r>
      <w:r>
        <w:rPr>
          <w:rFonts w:hint="eastAsia" w:asciiTheme="minorEastAsia" w:hAnsiTheme="minorEastAsia" w:eastAsiaTheme="minorEastAsia" w:cstheme="minorEastAsia"/>
          <w:color w:val="auto"/>
          <w:spacing w:val="-1"/>
          <w:sz w:val="21"/>
          <w:szCs w:val="21"/>
        </w:rPr>
        <w:t>人或者其他组织的，应当由法定代表人、主要负责人，或者其委托代理人签字或者盖章，并加盖公章。</w:t>
      </w:r>
    </w:p>
    <w:p w14:paraId="2398D6B6">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31.5</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2"/>
          <w:sz w:val="21"/>
          <w:szCs w:val="21"/>
        </w:rPr>
        <w:t>采购人、采购代理机构认为供应商质疑不成立，或者成立但未对成交结果构成影响的，继续开展</w:t>
      </w:r>
      <w:r>
        <w:rPr>
          <w:rFonts w:hint="eastAsia" w:asciiTheme="minorEastAsia" w:hAnsiTheme="minorEastAsia" w:eastAsiaTheme="minorEastAsia" w:cstheme="minorEastAsia"/>
          <w:color w:val="auto"/>
          <w:spacing w:val="-1"/>
          <w:sz w:val="21"/>
          <w:szCs w:val="21"/>
        </w:rPr>
        <w:t>采购活动；认为供应商质疑成立且影响或者可能影响成交结果的，按照下列情况处理：</w:t>
      </w:r>
    </w:p>
    <w:p w14:paraId="78254455">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（1）对采购文件提出的质疑，依法通过澄清</w:t>
      </w:r>
      <w:r>
        <w:rPr>
          <w:rFonts w:hint="eastAsia" w:asciiTheme="minorEastAsia" w:hAnsiTheme="minorEastAsia" w:eastAsiaTheme="minorEastAsia" w:cstheme="minorEastAsia"/>
          <w:color w:val="auto"/>
          <w:spacing w:val="1"/>
          <w:sz w:val="21"/>
          <w:szCs w:val="21"/>
        </w:rPr>
        <w:t>或者修改可以继续开展采购活动的，澄清或者修改采购</w:t>
      </w:r>
      <w:r>
        <w:rPr>
          <w:rFonts w:hint="eastAsia" w:asciiTheme="minorEastAsia" w:hAnsiTheme="minorEastAsia" w:eastAsiaTheme="minorEastAsia" w:cstheme="minorEastAsia"/>
          <w:color w:val="auto"/>
          <w:sz w:val="21"/>
          <w:szCs w:val="21"/>
        </w:rPr>
        <w:t>文件后继续开展采购活动；否则应当修改采购文件后重新开展</w:t>
      </w:r>
      <w:r>
        <w:rPr>
          <w:rFonts w:hint="eastAsia" w:asciiTheme="minorEastAsia" w:hAnsiTheme="minorEastAsia" w:eastAsiaTheme="minorEastAsia" w:cstheme="minorEastAsia"/>
          <w:color w:val="auto"/>
          <w:spacing w:val="-1"/>
          <w:sz w:val="21"/>
          <w:szCs w:val="21"/>
        </w:rPr>
        <w:t>采购活动。</w:t>
      </w:r>
    </w:p>
    <w:p w14:paraId="3D218922">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（2）对采购过程或者成交结果提出的质疑，合格供应商符合法定数</w:t>
      </w:r>
      <w:r>
        <w:rPr>
          <w:rFonts w:hint="eastAsia" w:asciiTheme="minorEastAsia" w:hAnsiTheme="minorEastAsia" w:eastAsiaTheme="minorEastAsia" w:cstheme="minorEastAsia"/>
          <w:color w:val="auto"/>
          <w:spacing w:val="1"/>
          <w:sz w:val="21"/>
          <w:szCs w:val="21"/>
        </w:rPr>
        <w:t>量时，可以从合格的成交候选人</w:t>
      </w:r>
      <w:r>
        <w:rPr>
          <w:rFonts w:hint="eastAsia" w:asciiTheme="minorEastAsia" w:hAnsiTheme="minorEastAsia" w:eastAsiaTheme="minorEastAsia" w:cstheme="minorEastAsia"/>
          <w:color w:val="auto"/>
          <w:spacing w:val="-1"/>
          <w:sz w:val="21"/>
          <w:szCs w:val="21"/>
        </w:rPr>
        <w:t>中另行确定成交供应商的，应当依法另行确定成交供应商；否则应当重新开展采购活动。</w:t>
      </w:r>
    </w:p>
    <w:p w14:paraId="4DE37F5F">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质疑答复导致成交结果改变的，采购人或者采购代理机构应当将有关情况书面报告本级财政</w:t>
      </w:r>
      <w:r>
        <w:rPr>
          <w:rFonts w:hint="eastAsia" w:asciiTheme="minorEastAsia" w:hAnsiTheme="minorEastAsia" w:eastAsiaTheme="minorEastAsia" w:cstheme="minorEastAsia"/>
          <w:color w:val="auto"/>
          <w:spacing w:val="-1"/>
          <w:sz w:val="21"/>
          <w:szCs w:val="21"/>
        </w:rPr>
        <w:t>部门。</w:t>
      </w:r>
    </w:p>
    <w:p w14:paraId="1D1587E7">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31.6</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质疑供应商对采购人、采购代理机构的答复不满意，或者采购人、采购代理机构未在规定时间内</w:t>
      </w:r>
      <w:r>
        <w:rPr>
          <w:rFonts w:hint="eastAsia" w:asciiTheme="minorEastAsia" w:hAnsiTheme="minorEastAsia" w:eastAsiaTheme="minorEastAsia" w:cstheme="minorEastAsia"/>
          <w:color w:val="auto"/>
          <w:spacing w:val="-1"/>
          <w:sz w:val="21"/>
          <w:szCs w:val="21"/>
        </w:rPr>
        <w:t>作出答复的，可以在答复期满后</w:t>
      </w:r>
      <w:r>
        <w:rPr>
          <w:rFonts w:hint="eastAsia" w:asciiTheme="minorEastAsia" w:hAnsiTheme="minorEastAsia" w:eastAsiaTheme="minorEastAsia" w:cstheme="minorEastAsia"/>
          <w:color w:val="auto"/>
          <w:spacing w:val="-28"/>
          <w:sz w:val="21"/>
          <w:szCs w:val="21"/>
        </w:rPr>
        <w:t xml:space="preserve"> </w:t>
      </w:r>
      <w:r>
        <w:rPr>
          <w:rFonts w:hint="eastAsia" w:asciiTheme="minorEastAsia" w:hAnsiTheme="minorEastAsia" w:eastAsiaTheme="minorEastAsia" w:cstheme="minorEastAsia"/>
          <w:color w:val="auto"/>
          <w:spacing w:val="-1"/>
          <w:sz w:val="21"/>
          <w:szCs w:val="21"/>
        </w:rPr>
        <w:t>15</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1"/>
          <w:sz w:val="21"/>
          <w:szCs w:val="21"/>
        </w:rPr>
        <w:t>个工作</w:t>
      </w:r>
      <w:r>
        <w:rPr>
          <w:rFonts w:hint="eastAsia" w:asciiTheme="minorEastAsia" w:hAnsiTheme="minorEastAsia" w:eastAsiaTheme="minorEastAsia" w:cstheme="minorEastAsia"/>
          <w:color w:val="auto"/>
          <w:spacing w:val="-2"/>
          <w:sz w:val="21"/>
          <w:szCs w:val="21"/>
        </w:rPr>
        <w:t>日内向《政府采购质疑和投诉办法》（财政部令第</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2"/>
          <w:sz w:val="21"/>
          <w:szCs w:val="21"/>
        </w:rPr>
        <w:t>94</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2"/>
          <w:sz w:val="21"/>
          <w:szCs w:val="21"/>
        </w:rPr>
        <w:t>号）第六</w:t>
      </w:r>
      <w:r>
        <w:rPr>
          <w:rFonts w:hint="eastAsia" w:asciiTheme="minorEastAsia" w:hAnsiTheme="minorEastAsia" w:eastAsiaTheme="minorEastAsia" w:cstheme="minorEastAsia"/>
          <w:color w:val="auto"/>
          <w:spacing w:val="-1"/>
          <w:sz w:val="21"/>
          <w:szCs w:val="21"/>
        </w:rPr>
        <w:t>条规定的财政部门提起投诉（投诉书格式后附）。</w:t>
      </w:r>
    </w:p>
    <w:p w14:paraId="58FF56CF">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其他内容</w:t>
      </w:r>
    </w:p>
    <w:p w14:paraId="2107A471">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32.1代理服务费：代理服务收取标准及缴</w:t>
      </w:r>
      <w:r>
        <w:rPr>
          <w:rFonts w:hint="eastAsia" w:asciiTheme="minorEastAsia" w:hAnsiTheme="minorEastAsia" w:eastAsiaTheme="minorEastAsia" w:cstheme="minorEastAsia"/>
          <w:color w:val="auto"/>
          <w:spacing w:val="-1"/>
          <w:sz w:val="21"/>
          <w:szCs w:val="21"/>
        </w:rPr>
        <w:t>费账户详见“供应商须知前附表”，供应商为联合体的，可</w:t>
      </w:r>
      <w:r>
        <w:rPr>
          <w:rFonts w:hint="eastAsia" w:asciiTheme="minorEastAsia" w:hAnsiTheme="minorEastAsia" w:eastAsiaTheme="minorEastAsia" w:cstheme="minorEastAsia"/>
          <w:color w:val="auto"/>
          <w:spacing w:val="-2"/>
          <w:sz w:val="21"/>
          <w:szCs w:val="21"/>
        </w:rPr>
        <w:t>以由联合体中的一方或者多方共同交纳代理服务费。</w:t>
      </w:r>
    </w:p>
    <w:p w14:paraId="47A6FD5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0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32.2</w:t>
      </w:r>
      <w:r>
        <w:rPr>
          <w:rFonts w:hint="eastAsia" w:asciiTheme="minorEastAsia" w:hAnsiTheme="minorEastAsia" w:eastAsiaTheme="minorEastAsia" w:cstheme="minorEastAsia"/>
          <w:color w:val="auto"/>
          <w:spacing w:val="-33"/>
          <w:sz w:val="21"/>
          <w:szCs w:val="21"/>
        </w:rPr>
        <w:t xml:space="preserve"> </w:t>
      </w:r>
      <w:r>
        <w:rPr>
          <w:rFonts w:hint="eastAsia" w:asciiTheme="minorEastAsia" w:hAnsiTheme="minorEastAsia" w:eastAsiaTheme="minorEastAsia" w:cstheme="minorEastAsia"/>
          <w:color w:val="auto"/>
          <w:spacing w:val="-4"/>
          <w:sz w:val="21"/>
          <w:szCs w:val="21"/>
        </w:rPr>
        <w:t>代理服务费收费计算标准：</w:t>
      </w:r>
    </w:p>
    <w:tbl>
      <w:tblPr>
        <w:tblStyle w:val="27"/>
        <w:tblW w:w="924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73"/>
        <w:gridCol w:w="1792"/>
        <w:gridCol w:w="1792"/>
        <w:gridCol w:w="1792"/>
      </w:tblGrid>
      <w:tr w14:paraId="538BC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jc w:val="center"/>
        </w:trPr>
        <w:tc>
          <w:tcPr>
            <w:tcW w:w="3873" w:type="dxa"/>
            <w:tcBorders>
              <w:tl2br w:val="single" w:color="000000" w:sz="2" w:space="0"/>
            </w:tcBorders>
            <w:vAlign w:val="top"/>
          </w:tcPr>
          <w:p w14:paraId="110236A4">
            <w:pPr>
              <w:pStyle w:val="28"/>
              <w:spacing w:before="36" w:line="343" w:lineRule="auto"/>
              <w:ind w:left="120" w:right="1363" w:firstLine="1586"/>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0"/>
              </w:rPr>
              <w:t>费率</w:t>
            </w:r>
            <w:r>
              <w:rPr>
                <w:rFonts w:hint="eastAsia" w:asciiTheme="minorEastAsia" w:hAnsiTheme="minorEastAsia" w:eastAsiaTheme="minorEastAsia" w:cstheme="minorEastAsia"/>
                <w:color w:val="auto"/>
                <w:spacing w:val="-2"/>
              </w:rPr>
              <w:t>金额</w:t>
            </w:r>
          </w:p>
        </w:tc>
        <w:tc>
          <w:tcPr>
            <w:tcW w:w="1792" w:type="dxa"/>
            <w:vAlign w:val="center"/>
          </w:tcPr>
          <w:p w14:paraId="35A9305B">
            <w:pPr>
              <w:pStyle w:val="28"/>
              <w:spacing w:before="240" w:line="22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货物类</w:t>
            </w:r>
          </w:p>
        </w:tc>
        <w:tc>
          <w:tcPr>
            <w:tcW w:w="1792" w:type="dxa"/>
            <w:vAlign w:val="center"/>
          </w:tcPr>
          <w:p w14:paraId="662DA3D7">
            <w:pPr>
              <w:pStyle w:val="28"/>
              <w:spacing w:before="241" w:line="22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服务类</w:t>
            </w:r>
          </w:p>
        </w:tc>
        <w:tc>
          <w:tcPr>
            <w:tcW w:w="1792" w:type="dxa"/>
            <w:vAlign w:val="center"/>
          </w:tcPr>
          <w:p w14:paraId="671E9304">
            <w:pPr>
              <w:pStyle w:val="28"/>
              <w:spacing w:before="241" w:line="22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工程类</w:t>
            </w:r>
          </w:p>
        </w:tc>
      </w:tr>
      <w:tr w14:paraId="083EA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873" w:type="dxa"/>
            <w:vAlign w:val="top"/>
          </w:tcPr>
          <w:p w14:paraId="5DCCFBFF">
            <w:pPr>
              <w:pStyle w:val="28"/>
              <w:spacing w:before="30" w:line="222"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6"/>
              </w:rPr>
              <w:t>100</w:t>
            </w:r>
            <w:r>
              <w:rPr>
                <w:rFonts w:hint="eastAsia" w:asciiTheme="minorEastAsia" w:hAnsiTheme="minorEastAsia" w:eastAsiaTheme="minorEastAsia" w:cstheme="minorEastAsia"/>
                <w:color w:val="auto"/>
                <w:spacing w:val="-34"/>
              </w:rPr>
              <w:t xml:space="preserve"> </w:t>
            </w:r>
            <w:r>
              <w:rPr>
                <w:rFonts w:hint="eastAsia" w:asciiTheme="minorEastAsia" w:hAnsiTheme="minorEastAsia" w:eastAsiaTheme="minorEastAsia" w:cstheme="minorEastAsia"/>
                <w:color w:val="auto"/>
                <w:spacing w:val="-6"/>
              </w:rPr>
              <w:t>万元以下</w:t>
            </w:r>
          </w:p>
        </w:tc>
        <w:tc>
          <w:tcPr>
            <w:tcW w:w="1792" w:type="dxa"/>
            <w:vAlign w:val="center"/>
          </w:tcPr>
          <w:p w14:paraId="4261BFC4">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4"/>
              </w:rPr>
              <w:t>1.5%</w:t>
            </w:r>
          </w:p>
        </w:tc>
        <w:tc>
          <w:tcPr>
            <w:tcW w:w="1792" w:type="dxa"/>
            <w:vAlign w:val="center"/>
          </w:tcPr>
          <w:p w14:paraId="14BFA591">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4"/>
              </w:rPr>
              <w:t>1.5%</w:t>
            </w:r>
          </w:p>
        </w:tc>
        <w:tc>
          <w:tcPr>
            <w:tcW w:w="1792" w:type="dxa"/>
            <w:vAlign w:val="center"/>
          </w:tcPr>
          <w:p w14:paraId="01281B84">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5"/>
              </w:rPr>
              <w:t>1.0%</w:t>
            </w:r>
          </w:p>
        </w:tc>
      </w:tr>
      <w:tr w14:paraId="50564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3873" w:type="dxa"/>
            <w:vAlign w:val="top"/>
          </w:tcPr>
          <w:p w14:paraId="28F76A93">
            <w:pPr>
              <w:pStyle w:val="28"/>
              <w:spacing w:before="33" w:line="222"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100～500</w:t>
            </w:r>
            <w:r>
              <w:rPr>
                <w:rFonts w:hint="eastAsia" w:asciiTheme="minorEastAsia" w:hAnsiTheme="minorEastAsia" w:eastAsiaTheme="minorEastAsia" w:cstheme="minorEastAsia"/>
                <w:color w:val="auto"/>
                <w:spacing w:val="-42"/>
              </w:rPr>
              <w:t xml:space="preserve"> </w:t>
            </w:r>
            <w:r>
              <w:rPr>
                <w:rFonts w:hint="eastAsia" w:asciiTheme="minorEastAsia" w:hAnsiTheme="minorEastAsia" w:eastAsiaTheme="minorEastAsia" w:cstheme="minorEastAsia"/>
                <w:color w:val="auto"/>
                <w:spacing w:val="-3"/>
              </w:rPr>
              <w:t>万元</w:t>
            </w:r>
          </w:p>
        </w:tc>
        <w:tc>
          <w:tcPr>
            <w:tcW w:w="1792" w:type="dxa"/>
            <w:vAlign w:val="center"/>
          </w:tcPr>
          <w:p w14:paraId="366E3FA1">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1.1%</w:t>
            </w:r>
          </w:p>
        </w:tc>
        <w:tc>
          <w:tcPr>
            <w:tcW w:w="1792" w:type="dxa"/>
            <w:vAlign w:val="center"/>
          </w:tcPr>
          <w:p w14:paraId="7E8D846C">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0.8%</w:t>
            </w:r>
          </w:p>
        </w:tc>
        <w:tc>
          <w:tcPr>
            <w:tcW w:w="1792" w:type="dxa"/>
            <w:vAlign w:val="center"/>
          </w:tcPr>
          <w:p w14:paraId="12F7DCD6">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0.7%</w:t>
            </w:r>
          </w:p>
        </w:tc>
      </w:tr>
      <w:tr w14:paraId="2253E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873" w:type="dxa"/>
            <w:vAlign w:val="top"/>
          </w:tcPr>
          <w:p w14:paraId="1B35655A">
            <w:pPr>
              <w:pStyle w:val="28"/>
              <w:spacing w:before="31" w:line="222" w:lineRule="auto"/>
              <w:ind w:left="12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500～1000</w:t>
            </w:r>
            <w:r>
              <w:rPr>
                <w:rFonts w:hint="eastAsia" w:asciiTheme="minorEastAsia" w:hAnsiTheme="minorEastAsia" w:eastAsiaTheme="minorEastAsia" w:cstheme="minorEastAsia"/>
                <w:color w:val="auto"/>
                <w:spacing w:val="-38"/>
              </w:rPr>
              <w:t xml:space="preserve"> </w:t>
            </w:r>
            <w:r>
              <w:rPr>
                <w:rFonts w:hint="eastAsia" w:asciiTheme="minorEastAsia" w:hAnsiTheme="minorEastAsia" w:eastAsiaTheme="minorEastAsia" w:cstheme="minorEastAsia"/>
                <w:color w:val="auto"/>
                <w:spacing w:val="-2"/>
              </w:rPr>
              <w:t>万元</w:t>
            </w:r>
          </w:p>
        </w:tc>
        <w:tc>
          <w:tcPr>
            <w:tcW w:w="1792" w:type="dxa"/>
            <w:vAlign w:val="center"/>
          </w:tcPr>
          <w:p w14:paraId="7CA1FCF3">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0.8%</w:t>
            </w:r>
          </w:p>
        </w:tc>
        <w:tc>
          <w:tcPr>
            <w:tcW w:w="1792" w:type="dxa"/>
            <w:vAlign w:val="center"/>
          </w:tcPr>
          <w:p w14:paraId="063454B3">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0.45%</w:t>
            </w:r>
          </w:p>
        </w:tc>
        <w:tc>
          <w:tcPr>
            <w:tcW w:w="1792" w:type="dxa"/>
            <w:vAlign w:val="center"/>
          </w:tcPr>
          <w:p w14:paraId="4B8AA9E8">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0.55%</w:t>
            </w:r>
          </w:p>
        </w:tc>
      </w:tr>
      <w:tr w14:paraId="0B1AF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3873" w:type="dxa"/>
            <w:vAlign w:val="top"/>
          </w:tcPr>
          <w:p w14:paraId="5DAB45EB">
            <w:pPr>
              <w:pStyle w:val="28"/>
              <w:spacing w:before="31" w:line="222"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1000～5000</w:t>
            </w:r>
            <w:r>
              <w:rPr>
                <w:rFonts w:hint="eastAsia" w:asciiTheme="minorEastAsia" w:hAnsiTheme="minorEastAsia" w:eastAsiaTheme="minorEastAsia" w:cstheme="minorEastAsia"/>
                <w:color w:val="auto"/>
                <w:spacing w:val="-37"/>
              </w:rPr>
              <w:t xml:space="preserve"> </w:t>
            </w:r>
            <w:r>
              <w:rPr>
                <w:rFonts w:hint="eastAsia" w:asciiTheme="minorEastAsia" w:hAnsiTheme="minorEastAsia" w:eastAsiaTheme="minorEastAsia" w:cstheme="minorEastAsia"/>
                <w:color w:val="auto"/>
                <w:spacing w:val="-3"/>
              </w:rPr>
              <w:t>万元</w:t>
            </w:r>
          </w:p>
        </w:tc>
        <w:tc>
          <w:tcPr>
            <w:tcW w:w="1792" w:type="dxa"/>
            <w:vAlign w:val="center"/>
          </w:tcPr>
          <w:p w14:paraId="66219A32">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0.5%</w:t>
            </w:r>
          </w:p>
        </w:tc>
        <w:tc>
          <w:tcPr>
            <w:tcW w:w="1792" w:type="dxa"/>
            <w:vAlign w:val="center"/>
          </w:tcPr>
          <w:p w14:paraId="72011B0F">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0.25%</w:t>
            </w:r>
          </w:p>
        </w:tc>
        <w:tc>
          <w:tcPr>
            <w:tcW w:w="1792" w:type="dxa"/>
            <w:vAlign w:val="center"/>
          </w:tcPr>
          <w:p w14:paraId="028DFDFA">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0.35%</w:t>
            </w:r>
          </w:p>
        </w:tc>
      </w:tr>
      <w:tr w14:paraId="3AB75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873" w:type="dxa"/>
            <w:vAlign w:val="top"/>
          </w:tcPr>
          <w:p w14:paraId="5027D41D">
            <w:pPr>
              <w:pStyle w:val="28"/>
              <w:spacing w:before="31" w:line="222" w:lineRule="auto"/>
              <w:ind w:left="12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5000</w:t>
            </w:r>
            <w:r>
              <w:rPr>
                <w:rFonts w:hint="eastAsia" w:asciiTheme="minorEastAsia" w:hAnsiTheme="minorEastAsia" w:eastAsiaTheme="minorEastAsia" w:cstheme="minorEastAsia"/>
                <w:color w:val="auto"/>
                <w:spacing w:val="-39"/>
              </w:rPr>
              <w:t xml:space="preserve"> </w:t>
            </w:r>
            <w:r>
              <w:rPr>
                <w:rFonts w:hint="eastAsia" w:asciiTheme="minorEastAsia" w:hAnsiTheme="minorEastAsia" w:eastAsiaTheme="minorEastAsia" w:cstheme="minorEastAsia"/>
                <w:color w:val="auto"/>
                <w:spacing w:val="-3"/>
              </w:rPr>
              <w:t>万元～1</w:t>
            </w:r>
            <w:r>
              <w:rPr>
                <w:rFonts w:hint="eastAsia" w:asciiTheme="minorEastAsia" w:hAnsiTheme="minorEastAsia" w:eastAsiaTheme="minorEastAsia" w:cstheme="minorEastAsia"/>
                <w:color w:val="auto"/>
                <w:spacing w:val="-43"/>
              </w:rPr>
              <w:t xml:space="preserve"> </w:t>
            </w:r>
            <w:r>
              <w:rPr>
                <w:rFonts w:hint="eastAsia" w:asciiTheme="minorEastAsia" w:hAnsiTheme="minorEastAsia" w:eastAsiaTheme="minorEastAsia" w:cstheme="minorEastAsia"/>
                <w:color w:val="auto"/>
                <w:spacing w:val="-3"/>
              </w:rPr>
              <w:t>亿元</w:t>
            </w:r>
          </w:p>
        </w:tc>
        <w:tc>
          <w:tcPr>
            <w:tcW w:w="1792" w:type="dxa"/>
            <w:vAlign w:val="center"/>
          </w:tcPr>
          <w:p w14:paraId="729E2FCE">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0.25%</w:t>
            </w:r>
          </w:p>
        </w:tc>
        <w:tc>
          <w:tcPr>
            <w:tcW w:w="1792" w:type="dxa"/>
            <w:vAlign w:val="center"/>
          </w:tcPr>
          <w:p w14:paraId="76E3362C">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0.1%</w:t>
            </w:r>
          </w:p>
        </w:tc>
        <w:tc>
          <w:tcPr>
            <w:tcW w:w="1792" w:type="dxa"/>
            <w:vAlign w:val="center"/>
          </w:tcPr>
          <w:p w14:paraId="56DD92B9">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0.2%</w:t>
            </w:r>
          </w:p>
        </w:tc>
      </w:tr>
      <w:tr w14:paraId="2143D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873" w:type="dxa"/>
            <w:vAlign w:val="top"/>
          </w:tcPr>
          <w:p w14:paraId="070E708A">
            <w:pPr>
              <w:pStyle w:val="28"/>
              <w:spacing w:before="32" w:line="222"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5"/>
              </w:rPr>
              <w:t>1～5</w:t>
            </w:r>
            <w:r>
              <w:rPr>
                <w:rFonts w:hint="eastAsia" w:asciiTheme="minorEastAsia" w:hAnsiTheme="minorEastAsia" w:eastAsiaTheme="minorEastAsia" w:cstheme="minorEastAsia"/>
                <w:color w:val="auto"/>
                <w:spacing w:val="-46"/>
              </w:rPr>
              <w:t xml:space="preserve"> </w:t>
            </w:r>
            <w:r>
              <w:rPr>
                <w:rFonts w:hint="eastAsia" w:asciiTheme="minorEastAsia" w:hAnsiTheme="minorEastAsia" w:eastAsiaTheme="minorEastAsia" w:cstheme="minorEastAsia"/>
                <w:color w:val="auto"/>
                <w:spacing w:val="-5"/>
              </w:rPr>
              <w:t>亿元</w:t>
            </w:r>
          </w:p>
        </w:tc>
        <w:tc>
          <w:tcPr>
            <w:tcW w:w="1792" w:type="dxa"/>
            <w:vAlign w:val="center"/>
          </w:tcPr>
          <w:p w14:paraId="334D8A07">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0.05%</w:t>
            </w:r>
          </w:p>
        </w:tc>
        <w:tc>
          <w:tcPr>
            <w:tcW w:w="1792" w:type="dxa"/>
            <w:vAlign w:val="center"/>
          </w:tcPr>
          <w:p w14:paraId="30064DE8">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0.05%</w:t>
            </w:r>
          </w:p>
        </w:tc>
        <w:tc>
          <w:tcPr>
            <w:tcW w:w="1792" w:type="dxa"/>
            <w:vAlign w:val="center"/>
          </w:tcPr>
          <w:p w14:paraId="7B79C114">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0.05%</w:t>
            </w:r>
          </w:p>
        </w:tc>
      </w:tr>
      <w:tr w14:paraId="40EA1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3873" w:type="dxa"/>
            <w:vAlign w:val="top"/>
          </w:tcPr>
          <w:p w14:paraId="73A468E1">
            <w:pPr>
              <w:pStyle w:val="28"/>
              <w:spacing w:before="35" w:line="222" w:lineRule="auto"/>
              <w:ind w:left="12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5～10</w:t>
            </w:r>
            <w:r>
              <w:rPr>
                <w:rFonts w:hint="eastAsia" w:asciiTheme="minorEastAsia" w:hAnsiTheme="minorEastAsia" w:eastAsiaTheme="minorEastAsia" w:cstheme="minorEastAsia"/>
                <w:color w:val="auto"/>
                <w:spacing w:val="-42"/>
              </w:rPr>
              <w:t xml:space="preserve"> </w:t>
            </w:r>
            <w:r>
              <w:rPr>
                <w:rFonts w:hint="eastAsia" w:asciiTheme="minorEastAsia" w:hAnsiTheme="minorEastAsia" w:eastAsiaTheme="minorEastAsia" w:cstheme="minorEastAsia"/>
                <w:color w:val="auto"/>
                <w:spacing w:val="-3"/>
              </w:rPr>
              <w:t>亿元</w:t>
            </w:r>
          </w:p>
        </w:tc>
        <w:tc>
          <w:tcPr>
            <w:tcW w:w="1792" w:type="dxa"/>
            <w:vAlign w:val="center"/>
          </w:tcPr>
          <w:p w14:paraId="3ABEBE8B">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0.035%</w:t>
            </w:r>
          </w:p>
        </w:tc>
        <w:tc>
          <w:tcPr>
            <w:tcW w:w="1792" w:type="dxa"/>
            <w:vAlign w:val="center"/>
          </w:tcPr>
          <w:p w14:paraId="29A4C7BF">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0.035%</w:t>
            </w:r>
          </w:p>
        </w:tc>
        <w:tc>
          <w:tcPr>
            <w:tcW w:w="1792" w:type="dxa"/>
            <w:vAlign w:val="center"/>
          </w:tcPr>
          <w:p w14:paraId="69B5CAAB">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0.035%</w:t>
            </w:r>
          </w:p>
        </w:tc>
      </w:tr>
      <w:tr w14:paraId="00F6F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873" w:type="dxa"/>
            <w:vAlign w:val="top"/>
          </w:tcPr>
          <w:p w14:paraId="53084CF7">
            <w:pPr>
              <w:pStyle w:val="28"/>
              <w:spacing w:before="33" w:line="222"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4"/>
              </w:rPr>
              <w:t>10～50</w:t>
            </w:r>
            <w:r>
              <w:rPr>
                <w:rFonts w:hint="eastAsia" w:asciiTheme="minorEastAsia" w:hAnsiTheme="minorEastAsia" w:eastAsiaTheme="minorEastAsia" w:cstheme="minorEastAsia"/>
                <w:color w:val="auto"/>
                <w:spacing w:val="-44"/>
              </w:rPr>
              <w:t xml:space="preserve"> </w:t>
            </w:r>
            <w:r>
              <w:rPr>
                <w:rFonts w:hint="eastAsia" w:asciiTheme="minorEastAsia" w:hAnsiTheme="minorEastAsia" w:eastAsiaTheme="minorEastAsia" w:cstheme="minorEastAsia"/>
                <w:color w:val="auto"/>
                <w:spacing w:val="-4"/>
              </w:rPr>
              <w:t>亿元</w:t>
            </w:r>
          </w:p>
        </w:tc>
        <w:tc>
          <w:tcPr>
            <w:tcW w:w="1792" w:type="dxa"/>
            <w:vAlign w:val="center"/>
          </w:tcPr>
          <w:p w14:paraId="671F9CDA">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0.008%</w:t>
            </w:r>
          </w:p>
        </w:tc>
        <w:tc>
          <w:tcPr>
            <w:tcW w:w="1792" w:type="dxa"/>
            <w:vAlign w:val="center"/>
          </w:tcPr>
          <w:p w14:paraId="6660D15F">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0.008%</w:t>
            </w:r>
          </w:p>
        </w:tc>
        <w:tc>
          <w:tcPr>
            <w:tcW w:w="1792" w:type="dxa"/>
            <w:vAlign w:val="center"/>
          </w:tcPr>
          <w:p w14:paraId="256E28B8">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0.008%</w:t>
            </w:r>
          </w:p>
        </w:tc>
      </w:tr>
      <w:tr w14:paraId="7F0BA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3873" w:type="dxa"/>
            <w:vAlign w:val="top"/>
          </w:tcPr>
          <w:p w14:paraId="046F4D9E">
            <w:pPr>
              <w:pStyle w:val="28"/>
              <w:spacing w:before="34" w:line="222" w:lineRule="auto"/>
              <w:ind w:left="12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50～100</w:t>
            </w:r>
            <w:r>
              <w:rPr>
                <w:rFonts w:hint="eastAsia" w:asciiTheme="minorEastAsia" w:hAnsiTheme="minorEastAsia" w:eastAsiaTheme="minorEastAsia" w:cstheme="minorEastAsia"/>
                <w:color w:val="auto"/>
                <w:spacing w:val="-44"/>
              </w:rPr>
              <w:t xml:space="preserve"> </w:t>
            </w:r>
            <w:r>
              <w:rPr>
                <w:rFonts w:hint="eastAsia" w:asciiTheme="minorEastAsia" w:hAnsiTheme="minorEastAsia" w:eastAsiaTheme="minorEastAsia" w:cstheme="minorEastAsia"/>
                <w:color w:val="auto"/>
                <w:spacing w:val="-2"/>
              </w:rPr>
              <w:t>亿元</w:t>
            </w:r>
          </w:p>
        </w:tc>
        <w:tc>
          <w:tcPr>
            <w:tcW w:w="1792" w:type="dxa"/>
            <w:vAlign w:val="center"/>
          </w:tcPr>
          <w:p w14:paraId="3E53C5DC">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0.006%</w:t>
            </w:r>
          </w:p>
        </w:tc>
        <w:tc>
          <w:tcPr>
            <w:tcW w:w="1792" w:type="dxa"/>
            <w:vAlign w:val="center"/>
          </w:tcPr>
          <w:p w14:paraId="1E29F592">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0.006%</w:t>
            </w:r>
          </w:p>
        </w:tc>
        <w:tc>
          <w:tcPr>
            <w:tcW w:w="1792" w:type="dxa"/>
            <w:vAlign w:val="center"/>
          </w:tcPr>
          <w:p w14:paraId="20AF6684">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0.006%</w:t>
            </w:r>
          </w:p>
        </w:tc>
      </w:tr>
      <w:tr w14:paraId="057CF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3873" w:type="dxa"/>
            <w:vAlign w:val="top"/>
          </w:tcPr>
          <w:p w14:paraId="25A278CA">
            <w:pPr>
              <w:pStyle w:val="28"/>
              <w:spacing w:before="34" w:line="223"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5"/>
              </w:rPr>
              <w:t>100</w:t>
            </w:r>
            <w:r>
              <w:rPr>
                <w:rFonts w:hint="eastAsia" w:asciiTheme="minorEastAsia" w:hAnsiTheme="minorEastAsia" w:eastAsiaTheme="minorEastAsia" w:cstheme="minorEastAsia"/>
                <w:color w:val="auto"/>
                <w:spacing w:val="-44"/>
              </w:rPr>
              <w:t xml:space="preserve"> </w:t>
            </w:r>
            <w:r>
              <w:rPr>
                <w:rFonts w:hint="eastAsia" w:asciiTheme="minorEastAsia" w:hAnsiTheme="minorEastAsia" w:eastAsiaTheme="minorEastAsia" w:cstheme="minorEastAsia"/>
                <w:color w:val="auto"/>
                <w:spacing w:val="-5"/>
              </w:rPr>
              <w:t>亿以上</w:t>
            </w:r>
          </w:p>
        </w:tc>
        <w:tc>
          <w:tcPr>
            <w:tcW w:w="1792" w:type="dxa"/>
            <w:vAlign w:val="center"/>
          </w:tcPr>
          <w:p w14:paraId="41289C0A">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0.004%</w:t>
            </w:r>
          </w:p>
        </w:tc>
        <w:tc>
          <w:tcPr>
            <w:tcW w:w="1792" w:type="dxa"/>
            <w:vAlign w:val="center"/>
          </w:tcPr>
          <w:p w14:paraId="2EBC99C7">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0.004%</w:t>
            </w:r>
          </w:p>
        </w:tc>
        <w:tc>
          <w:tcPr>
            <w:tcW w:w="1792" w:type="dxa"/>
            <w:vAlign w:val="center"/>
          </w:tcPr>
          <w:p w14:paraId="51DFC77B">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0.004%</w:t>
            </w:r>
          </w:p>
        </w:tc>
      </w:tr>
    </w:tbl>
    <w:p w14:paraId="61BC64C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6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4"/>
          <w:sz w:val="21"/>
          <w:szCs w:val="21"/>
        </w:rPr>
        <w:t>注：</w:t>
      </w:r>
    </w:p>
    <w:p w14:paraId="7899A3BE">
      <w:pPr>
        <w:pStyle w:val="9"/>
        <w:keepNext w:val="0"/>
        <w:keepLines w:val="0"/>
        <w:pageBreakBefore w:val="0"/>
        <w:widowControl w:val="0"/>
        <w:numPr>
          <w:ilvl w:val="0"/>
          <w:numId w:val="31"/>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按本表费率计算的收费为采购代理的收费基准价格；</w:t>
      </w:r>
    </w:p>
    <w:p w14:paraId="5066AB87">
      <w:pPr>
        <w:pStyle w:val="9"/>
        <w:keepNext w:val="0"/>
        <w:keepLines w:val="0"/>
        <w:pageBreakBefore w:val="0"/>
        <w:widowControl w:val="0"/>
        <w:numPr>
          <w:ilvl w:val="0"/>
          <w:numId w:val="31"/>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采购代理收费按差额定率累进法计算。</w:t>
      </w:r>
    </w:p>
    <w:p w14:paraId="2E80DB0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例如：某货物采购代理业务成交金额或者暂定价为</w:t>
      </w:r>
      <w:r>
        <w:rPr>
          <w:rFonts w:hint="eastAsia" w:asciiTheme="minorEastAsia" w:hAnsiTheme="minorEastAsia" w:eastAsiaTheme="minorEastAsia" w:cstheme="minorEastAsia"/>
          <w:color w:val="auto"/>
          <w:spacing w:val="-31"/>
          <w:sz w:val="21"/>
          <w:szCs w:val="21"/>
        </w:rPr>
        <w:t xml:space="preserve"> </w:t>
      </w:r>
      <w:r>
        <w:rPr>
          <w:rFonts w:hint="eastAsia" w:asciiTheme="minorEastAsia" w:hAnsiTheme="minorEastAsia" w:eastAsiaTheme="minorEastAsia" w:cstheme="minorEastAsia"/>
          <w:color w:val="auto"/>
          <w:spacing w:val="-1"/>
          <w:sz w:val="21"/>
          <w:szCs w:val="21"/>
        </w:rPr>
        <w:t>150</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1"/>
          <w:sz w:val="21"/>
          <w:szCs w:val="21"/>
        </w:rPr>
        <w:t>万元，计算采购代理收费额如下：</w:t>
      </w:r>
    </w:p>
    <w:p w14:paraId="12C3590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5"/>
          <w:sz w:val="21"/>
          <w:szCs w:val="21"/>
        </w:rPr>
        <w:t>100万元×l.5</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pacing w:val="-5"/>
          <w:sz w:val="21"/>
          <w:szCs w:val="21"/>
        </w:rPr>
        <w:t>%＝1.5</w:t>
      </w:r>
      <w:r>
        <w:rPr>
          <w:rFonts w:hint="eastAsia" w:asciiTheme="minorEastAsia" w:hAnsiTheme="minorEastAsia" w:eastAsiaTheme="minorEastAsia" w:cstheme="minorEastAsia"/>
          <w:color w:val="auto"/>
          <w:spacing w:val="9"/>
          <w:sz w:val="21"/>
          <w:szCs w:val="21"/>
        </w:rPr>
        <w:t xml:space="preserve"> </w:t>
      </w:r>
      <w:r>
        <w:rPr>
          <w:rFonts w:hint="eastAsia" w:asciiTheme="minorEastAsia" w:hAnsiTheme="minorEastAsia" w:eastAsiaTheme="minorEastAsia" w:cstheme="minorEastAsia"/>
          <w:color w:val="auto"/>
          <w:spacing w:val="-5"/>
          <w:sz w:val="21"/>
          <w:szCs w:val="21"/>
        </w:rPr>
        <w:t>万元</w:t>
      </w:r>
    </w:p>
    <w:p w14:paraId="7D41CE4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9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7"/>
          <w:sz w:val="21"/>
          <w:szCs w:val="21"/>
        </w:rPr>
        <w:t>（150－100）万元×1.1%＝0.55万元</w:t>
      </w:r>
    </w:p>
    <w:p w14:paraId="41E77E7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合计收费＝1.5＋0.55＝2.05（万元）</w:t>
      </w:r>
    </w:p>
    <w:p w14:paraId="4C094B57">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需要补充的其他内容</w:t>
      </w:r>
    </w:p>
    <w:p w14:paraId="04FBA19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33.1</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1"/>
          <w:sz w:val="21"/>
          <w:szCs w:val="21"/>
        </w:rPr>
        <w:t>本谈判文件解释规则详见“供应商须知前附表”。</w:t>
      </w:r>
    </w:p>
    <w:p w14:paraId="6BEF52A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33.2 其他事项详见“供应商须知前附表”。</w:t>
      </w:r>
    </w:p>
    <w:p w14:paraId="0976F2B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33.3 本谈判文件所称中小企业，是指在中华人民共和国境</w:t>
      </w:r>
      <w:r>
        <w:rPr>
          <w:rFonts w:hint="eastAsia" w:asciiTheme="minorEastAsia" w:hAnsiTheme="minorEastAsia" w:eastAsiaTheme="minorEastAsia" w:cstheme="minorEastAsia"/>
          <w:color w:val="auto"/>
          <w:spacing w:val="1"/>
          <w:sz w:val="21"/>
          <w:szCs w:val="21"/>
        </w:rPr>
        <w:t>内依法设立，依据国务院批准的中小企业</w:t>
      </w:r>
      <w:r>
        <w:rPr>
          <w:rFonts w:hint="eastAsia" w:asciiTheme="minorEastAsia" w:hAnsiTheme="minorEastAsia" w:eastAsiaTheme="minorEastAsia" w:cstheme="minorEastAsia"/>
          <w:color w:val="auto"/>
          <w:spacing w:val="4"/>
          <w:sz w:val="21"/>
          <w:szCs w:val="21"/>
        </w:rPr>
        <w:t>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w:t>
      </w:r>
      <w:r>
        <w:rPr>
          <w:rFonts w:hint="eastAsia" w:asciiTheme="minorEastAsia" w:hAnsiTheme="minorEastAsia" w:eastAsiaTheme="minorEastAsia" w:cstheme="minorEastAsia"/>
          <w:color w:val="auto"/>
          <w:spacing w:val="-6"/>
          <w:sz w:val="21"/>
          <w:szCs w:val="21"/>
        </w:rPr>
        <w:t>扶持政策：</w:t>
      </w:r>
    </w:p>
    <w:p w14:paraId="708DB8B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（1）在货物采购项目中，货物由中小企业制造</w:t>
      </w:r>
      <w:r>
        <w:rPr>
          <w:rFonts w:hint="eastAsia" w:asciiTheme="minorEastAsia" w:hAnsiTheme="minorEastAsia" w:eastAsiaTheme="minorEastAsia" w:cstheme="minorEastAsia"/>
          <w:color w:val="auto"/>
          <w:spacing w:val="1"/>
          <w:sz w:val="21"/>
          <w:szCs w:val="21"/>
        </w:rPr>
        <w:t>，即货物由中小企业生产且使用该中小企业商号或者</w:t>
      </w:r>
      <w:r>
        <w:rPr>
          <w:rFonts w:hint="eastAsia" w:asciiTheme="minorEastAsia" w:hAnsiTheme="minorEastAsia" w:eastAsiaTheme="minorEastAsia" w:cstheme="minorEastAsia"/>
          <w:color w:val="auto"/>
          <w:spacing w:val="-1"/>
          <w:sz w:val="21"/>
          <w:szCs w:val="21"/>
        </w:rPr>
        <w:t>注册商标，不对其中涉及的工程承建商和服务的承接商作出要求；</w:t>
      </w:r>
    </w:p>
    <w:p w14:paraId="4F6D5757">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（2）在工程采购项目中，工程由中小企业承</w:t>
      </w:r>
      <w:r>
        <w:rPr>
          <w:rFonts w:hint="eastAsia" w:asciiTheme="minorEastAsia" w:hAnsiTheme="minorEastAsia" w:eastAsiaTheme="minorEastAsia" w:cstheme="minorEastAsia"/>
          <w:color w:val="auto"/>
          <w:spacing w:val="1"/>
          <w:sz w:val="21"/>
          <w:szCs w:val="21"/>
        </w:rPr>
        <w:t>建，即工程施工单位为中小企业，不对其中涉及的货物</w:t>
      </w:r>
      <w:r>
        <w:rPr>
          <w:rFonts w:hint="eastAsia" w:asciiTheme="minorEastAsia" w:hAnsiTheme="minorEastAsia" w:eastAsiaTheme="minorEastAsia" w:cstheme="minorEastAsia"/>
          <w:color w:val="auto"/>
          <w:spacing w:val="-3"/>
          <w:sz w:val="21"/>
          <w:szCs w:val="21"/>
        </w:rPr>
        <w:t>的制造商和服务的承接商作出要求；</w:t>
      </w:r>
    </w:p>
    <w:p w14:paraId="0E52520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（3）在服务采购项目中，服务由中小企业承接，即提供服务的人员</w:t>
      </w:r>
      <w:r>
        <w:rPr>
          <w:rFonts w:hint="eastAsia" w:asciiTheme="minorEastAsia" w:hAnsiTheme="minorEastAsia" w:eastAsiaTheme="minorEastAsia" w:cstheme="minorEastAsia"/>
          <w:color w:val="auto"/>
          <w:spacing w:val="1"/>
          <w:sz w:val="21"/>
          <w:szCs w:val="21"/>
        </w:rPr>
        <w:t>为中小企业依照《中华人民共和</w:t>
      </w:r>
      <w:r>
        <w:rPr>
          <w:rFonts w:hint="eastAsia" w:asciiTheme="minorEastAsia" w:hAnsiTheme="minorEastAsia" w:eastAsiaTheme="minorEastAsia" w:cstheme="minorEastAsia"/>
          <w:color w:val="auto"/>
          <w:sz w:val="21"/>
          <w:szCs w:val="21"/>
        </w:rPr>
        <w:t>国劳动合同法》订立劳动合同的从业人员，不</w:t>
      </w:r>
      <w:r>
        <w:rPr>
          <w:rFonts w:hint="eastAsia" w:asciiTheme="minorEastAsia" w:hAnsiTheme="minorEastAsia" w:eastAsiaTheme="minorEastAsia" w:cstheme="minorEastAsia"/>
          <w:color w:val="auto"/>
          <w:spacing w:val="-1"/>
          <w:sz w:val="21"/>
          <w:szCs w:val="21"/>
        </w:rPr>
        <w:t>对其中涉及的货物的制造商和工程承建商作出要求。</w:t>
      </w:r>
    </w:p>
    <w:p w14:paraId="5A77234C">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36"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在货物采购项目中，供应商提供的货物既有中小企业制造货物，也有大型企业制造货物的，不享受</w:t>
      </w:r>
      <w:r>
        <w:rPr>
          <w:rFonts w:hint="eastAsia" w:asciiTheme="minorEastAsia" w:hAnsiTheme="minorEastAsia" w:eastAsiaTheme="minorEastAsia" w:cstheme="minorEastAsia"/>
          <w:color w:val="auto"/>
          <w:spacing w:val="3"/>
          <w:sz w:val="21"/>
          <w:szCs w:val="21"/>
        </w:rPr>
        <w:t>本谈判文件规定的中小企业扶持政策。以联合体形式参加政府采购活动，联合体各方均为中小企业的，</w:t>
      </w:r>
      <w:r>
        <w:rPr>
          <w:rFonts w:hint="eastAsia" w:asciiTheme="minorEastAsia" w:hAnsiTheme="minorEastAsia" w:eastAsiaTheme="minorEastAsia" w:cstheme="minorEastAsia"/>
          <w:color w:val="auto"/>
          <w:spacing w:val="-1"/>
          <w:sz w:val="21"/>
          <w:szCs w:val="21"/>
        </w:rPr>
        <w:t>联合体视同中小企业。其中，联合体各方均为小微企业的，联合体视同小微企业。</w:t>
      </w:r>
    </w:p>
    <w:p w14:paraId="62745FCB">
      <w:pPr>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1"/>
          <w:szCs w:val="21"/>
        </w:rPr>
        <w:t>依据本谈判文件规定享受扶持政策获得政府采购</w:t>
      </w:r>
      <w:r>
        <w:rPr>
          <w:rFonts w:hint="eastAsia" w:asciiTheme="minorEastAsia" w:hAnsiTheme="minorEastAsia" w:eastAsiaTheme="minorEastAsia" w:cstheme="minorEastAsia"/>
          <w:color w:val="auto"/>
          <w:spacing w:val="-1"/>
          <w:sz w:val="21"/>
          <w:szCs w:val="21"/>
        </w:rPr>
        <w:t>合同的，小微企业不得将合同分包给大中型企业，中</w:t>
      </w:r>
      <w:r>
        <w:rPr>
          <w:rFonts w:hint="eastAsia" w:asciiTheme="minorEastAsia" w:hAnsiTheme="minorEastAsia" w:eastAsiaTheme="minorEastAsia" w:cstheme="minorEastAsia"/>
          <w:color w:val="auto"/>
          <w:spacing w:val="-2"/>
          <w:sz w:val="21"/>
          <w:szCs w:val="21"/>
        </w:rPr>
        <w:t>型企业不得将合同分包给大型企业。</w:t>
      </w:r>
    </w:p>
    <w:p w14:paraId="490DEA24">
      <w:pPr>
        <w:pStyle w:val="9"/>
        <w:spacing w:before="100" w:line="360" w:lineRule="auto"/>
        <w:ind w:left="3576"/>
        <w:rPr>
          <w:rFonts w:hint="eastAsia" w:asciiTheme="minorEastAsia" w:hAnsiTheme="minorEastAsia" w:eastAsiaTheme="minorEastAsia" w:cstheme="minorEastAsia"/>
          <w:color w:val="auto"/>
          <w:sz w:val="31"/>
          <w:szCs w:val="31"/>
        </w:rPr>
        <w:sectPr>
          <w:pgSz w:w="11906" w:h="16838"/>
          <w:pgMar w:top="1440" w:right="1800" w:bottom="1440" w:left="1800" w:header="851" w:footer="992" w:gutter="0"/>
          <w:pgNumType w:fmt="decimal"/>
          <w:cols w:space="720" w:num="1"/>
          <w:docGrid w:type="lines" w:linePitch="312" w:charSpace="0"/>
        </w:sectPr>
      </w:pPr>
    </w:p>
    <w:p w14:paraId="783FF20E">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rPr>
      </w:pPr>
      <w:bookmarkStart w:id="32" w:name="_Toc16345"/>
      <w:bookmarkStart w:id="33" w:name="_Toc969"/>
      <w:bookmarkStart w:id="34" w:name="_Toc526932592"/>
      <w:r>
        <w:rPr>
          <w:rFonts w:hint="eastAsia" w:asciiTheme="minorEastAsia" w:hAnsiTheme="minorEastAsia" w:eastAsiaTheme="minorEastAsia" w:cstheme="minorEastAsia"/>
          <w:color w:val="auto"/>
          <w:sz w:val="36"/>
          <w:szCs w:val="36"/>
        </w:rPr>
        <w:t>采购需求</w:t>
      </w:r>
      <w:bookmarkEnd w:id="32"/>
      <w:bookmarkEnd w:id="33"/>
      <w:bookmarkEnd w:id="34"/>
    </w:p>
    <w:p w14:paraId="6DDF4734">
      <w:pPr>
        <w:keepNext w:val="0"/>
        <w:keepLines w:val="0"/>
        <w:pageBreakBefore w:val="0"/>
        <w:widowControl w:val="0"/>
        <w:kinsoku/>
        <w:wordWrap/>
        <w:overflowPunct/>
        <w:topLinePunct w:val="0"/>
        <w:autoSpaceDE/>
        <w:autoSpaceDN/>
        <w:bidi w:val="0"/>
        <w:adjustRightInd/>
        <w:snapToGrid w:val="0"/>
        <w:spacing w:line="360" w:lineRule="auto"/>
        <w:ind w:right="0" w:rightChars="0" w:firstLine="482" w:firstLineChars="200"/>
        <w:textAlignment w:val="auto"/>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24"/>
        </w:rPr>
        <w:t>说明：</w:t>
      </w:r>
    </w:p>
    <w:p w14:paraId="29BB76D9">
      <w:pPr>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本一览表中的品牌、型号仅起参考作用，供应商可选用其他品牌型号替代，但这些替代的产品要实质上满足或优于参考品牌、型号及其技术参数性能（配置）要求。</w:t>
      </w:r>
    </w:p>
    <w:p w14:paraId="17CB3E79">
      <w:pPr>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本一览表中参考品牌、型号及技术参数性能（配置）不明确或有误的，或供应商选用其他品牌型号替代的，请说明品牌型号和详细、正确的技术参数性能（配置）同时填写分项报价表和技术响应、偏离情况说明表 。</w:t>
      </w:r>
    </w:p>
    <w:p w14:paraId="65D6ADDA">
      <w:pPr>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“实质性要求”是指采购需求中带“▲”的条款或者不能负偏离的条款或者已经指明不满足按响应文件按无效处理的条款。</w:t>
      </w:r>
    </w:p>
    <w:p w14:paraId="77D8630D">
      <w:pPr>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评审时，谈判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435CE847">
      <w:pPr>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提供相同品牌产品的不同供应商参加同一合同项下响应的，以其中通过资格审查、符合审查且报价最低的参加评审；报价相同的，由采购人自主选择确定一个参加评审的供应商，其他响应为无效响应；非单一产品采购项目中，多家供应商提供的核心产品品牌相同的，视为提供相同品牌产品，核心产品的名称在竞争性谈判文件第三章“采购需求”标明。</w:t>
      </w:r>
    </w:p>
    <w:p w14:paraId="5E47BDB0">
      <w:pPr>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本项目包括以下设备，根据财办库〔2008〕248号文件有关规定，本项目不允许进口产品参加报价。</w:t>
      </w:r>
    </w:p>
    <w:p w14:paraId="0144F73C">
      <w:pPr>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供应商必须为其响应产品侵犯其他供应商或专利人的专利成果承担相应法律责任；同时，具有产品专利的供应商应在其响应文件中提供与其自有产品专利相关的有效证明材料，否则，不能就其产品的专利在本项目响应过程中被侵权问题提出异议。</w:t>
      </w:r>
    </w:p>
    <w:p w14:paraId="4DCD7AA9">
      <w:pPr>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若采购货物属于节能产品政府采购品目清单范围的，供应商的响应货物必须使用政府强制采购的节能产品，品目清单请从中国政府采购网（www.ccgp.gov.cn查询下载），有属于政府强制节能产品的，必须提供响应产品的证明材料（国家确定的认证机构出具的、处于有效期之内的节能产品认证证书材料，加盖供应商CA电子签章），否则其响应无效。</w:t>
      </w:r>
    </w:p>
    <w:p w14:paraId="1D6513B2">
      <w:pPr>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本货物需求一览表的技术参数要求中未特别列明的技术要求参照国家相关技术标准执行，如有最新标准，按最新标准执行。</w:t>
      </w:r>
    </w:p>
    <w:p w14:paraId="737E315E">
      <w:pPr>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rightChars="0" w:firstLine="422" w:firstLineChars="200"/>
        <w:textAlignment w:val="auto"/>
        <w:rPr>
          <w:rFonts w:hint="eastAsia" w:asciiTheme="minorEastAsia" w:hAnsiTheme="minorEastAsia" w:eastAsiaTheme="minorEastAsia" w:cstheme="minorEastAsia"/>
          <w:b/>
          <w:bCs/>
          <w:color w:val="auto"/>
          <w:sz w:val="24"/>
          <w:szCs w:val="21"/>
        </w:rPr>
        <w:sectPr>
          <w:pgSz w:w="11906" w:h="16838"/>
          <w:pgMar w:top="1440" w:right="1800" w:bottom="1440" w:left="1800" w:header="851" w:footer="992" w:gutter="0"/>
          <w:pgNumType w:fmt="decimal"/>
          <w:cols w:space="720" w:num="1"/>
          <w:docGrid w:type="lines" w:linePitch="312" w:charSpace="0"/>
        </w:sectPr>
      </w:pPr>
      <w:r>
        <w:rPr>
          <w:rFonts w:hint="eastAsia" w:asciiTheme="minorEastAsia" w:hAnsiTheme="minorEastAsia" w:eastAsiaTheme="minorEastAsia" w:cstheme="minorEastAsia"/>
          <w:b/>
          <w:bCs/>
          <w:color w:val="auto"/>
          <w:szCs w:val="21"/>
        </w:rPr>
        <w:t>本项目所属行业：</w:t>
      </w:r>
      <w:r>
        <w:rPr>
          <w:rFonts w:hint="eastAsia" w:asciiTheme="minorEastAsia" w:hAnsiTheme="minorEastAsia" w:eastAsiaTheme="minorEastAsia" w:cstheme="minorEastAsia"/>
          <w:b/>
          <w:bCs/>
          <w:color w:val="auto"/>
          <w:sz w:val="21"/>
          <w:szCs w:val="21"/>
          <w:u w:val="none"/>
          <w:lang w:eastAsia="zh-CN"/>
        </w:rPr>
        <w:t>工</w:t>
      </w:r>
      <w:r>
        <w:rPr>
          <w:rFonts w:hint="eastAsia" w:asciiTheme="minorEastAsia" w:hAnsiTheme="minorEastAsia" w:eastAsiaTheme="minorEastAsia" w:cstheme="minorEastAsia"/>
          <w:b/>
          <w:bCs/>
          <w:color w:val="auto"/>
          <w:sz w:val="21"/>
          <w:szCs w:val="21"/>
          <w:u w:val="none"/>
        </w:rPr>
        <w:t>业。</w:t>
      </w:r>
    </w:p>
    <w:tbl>
      <w:tblPr>
        <w:tblStyle w:val="20"/>
        <w:tblW w:w="997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7"/>
        <w:gridCol w:w="465"/>
        <w:gridCol w:w="331"/>
        <w:gridCol w:w="427"/>
        <w:gridCol w:w="428"/>
        <w:gridCol w:w="6733"/>
        <w:gridCol w:w="1161"/>
      </w:tblGrid>
      <w:tr w14:paraId="25CBF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27" w:type="dxa"/>
            <w:tcBorders>
              <w:top w:val="single" w:color="auto" w:sz="4" w:space="0"/>
              <w:left w:val="single" w:color="auto" w:sz="4" w:space="0"/>
              <w:bottom w:val="single" w:color="auto" w:sz="4" w:space="0"/>
              <w:right w:val="single" w:color="auto" w:sz="4" w:space="0"/>
            </w:tcBorders>
            <w:vAlign w:val="center"/>
          </w:tcPr>
          <w:p w14:paraId="32D735BB">
            <w:pPr>
              <w:snapToGrid w:val="0"/>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序号</w:t>
            </w:r>
          </w:p>
        </w:tc>
        <w:tc>
          <w:tcPr>
            <w:tcW w:w="796" w:type="dxa"/>
            <w:gridSpan w:val="2"/>
            <w:tcBorders>
              <w:top w:val="single" w:color="auto" w:sz="4" w:space="0"/>
              <w:left w:val="single" w:color="auto" w:sz="4" w:space="0"/>
              <w:bottom w:val="single" w:color="auto" w:sz="4" w:space="0"/>
              <w:right w:val="single" w:color="auto" w:sz="4" w:space="0"/>
            </w:tcBorders>
            <w:vAlign w:val="center"/>
          </w:tcPr>
          <w:p w14:paraId="13286C98">
            <w:pPr>
              <w:snapToGrid w:val="0"/>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设备名称</w:t>
            </w:r>
          </w:p>
        </w:tc>
        <w:tc>
          <w:tcPr>
            <w:tcW w:w="427" w:type="dxa"/>
            <w:tcBorders>
              <w:top w:val="single" w:color="auto" w:sz="4" w:space="0"/>
              <w:left w:val="single" w:color="auto" w:sz="4" w:space="0"/>
              <w:bottom w:val="single" w:color="auto" w:sz="4" w:space="0"/>
              <w:right w:val="single" w:color="auto" w:sz="4" w:space="0"/>
            </w:tcBorders>
            <w:vAlign w:val="center"/>
          </w:tcPr>
          <w:p w14:paraId="2026F647">
            <w:pPr>
              <w:snapToGrid w:val="0"/>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数量</w:t>
            </w:r>
          </w:p>
        </w:tc>
        <w:tc>
          <w:tcPr>
            <w:tcW w:w="428" w:type="dxa"/>
            <w:tcBorders>
              <w:top w:val="single" w:color="auto" w:sz="4" w:space="0"/>
              <w:left w:val="single" w:color="auto" w:sz="4" w:space="0"/>
              <w:bottom w:val="single" w:color="auto" w:sz="4" w:space="0"/>
              <w:right w:val="single" w:color="auto" w:sz="4" w:space="0"/>
            </w:tcBorders>
            <w:vAlign w:val="center"/>
          </w:tcPr>
          <w:p w14:paraId="4CE4D5BD">
            <w:pPr>
              <w:snapToGrid w:val="0"/>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单位</w:t>
            </w:r>
          </w:p>
        </w:tc>
        <w:tc>
          <w:tcPr>
            <w:tcW w:w="6733" w:type="dxa"/>
            <w:tcBorders>
              <w:top w:val="single" w:color="auto" w:sz="4" w:space="0"/>
              <w:left w:val="single" w:color="auto" w:sz="4" w:space="0"/>
              <w:bottom w:val="single" w:color="auto" w:sz="4" w:space="0"/>
              <w:right w:val="single" w:color="auto" w:sz="4" w:space="0"/>
            </w:tcBorders>
            <w:vAlign w:val="center"/>
          </w:tcPr>
          <w:p w14:paraId="4B4CFD86">
            <w:pPr>
              <w:snapToGrid w:val="0"/>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技术参数及性能（配置）要求</w:t>
            </w:r>
          </w:p>
        </w:tc>
        <w:tc>
          <w:tcPr>
            <w:tcW w:w="1161" w:type="dxa"/>
            <w:tcBorders>
              <w:top w:val="single" w:color="auto" w:sz="4" w:space="0"/>
              <w:left w:val="single" w:color="auto" w:sz="4" w:space="0"/>
              <w:bottom w:val="single" w:color="auto" w:sz="4" w:space="0"/>
              <w:right w:val="single" w:color="auto" w:sz="4" w:space="0"/>
            </w:tcBorders>
            <w:vAlign w:val="center"/>
          </w:tcPr>
          <w:p w14:paraId="41E8BB09">
            <w:pPr>
              <w:snapToGrid w:val="0"/>
              <w:spacing w:line="360" w:lineRule="auto"/>
              <w:jc w:val="center"/>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上限控制单价（元）</w:t>
            </w:r>
          </w:p>
        </w:tc>
      </w:tr>
      <w:tr w14:paraId="1F0ECE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10" w:hRule="atLeast"/>
          <w:jc w:val="center"/>
        </w:trPr>
        <w:tc>
          <w:tcPr>
            <w:tcW w:w="427" w:type="dxa"/>
            <w:tcBorders>
              <w:top w:val="single" w:color="auto" w:sz="4" w:space="0"/>
              <w:left w:val="single" w:color="auto" w:sz="4" w:space="0"/>
              <w:right w:val="single" w:color="auto" w:sz="4" w:space="0"/>
            </w:tcBorders>
            <w:vAlign w:val="center"/>
          </w:tcPr>
          <w:p w14:paraId="71FFB253">
            <w:pPr>
              <w:spacing w:line="36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796" w:type="dxa"/>
            <w:gridSpan w:val="2"/>
            <w:tcBorders>
              <w:top w:val="single" w:color="auto" w:sz="4" w:space="0"/>
              <w:left w:val="single" w:color="auto" w:sz="4" w:space="0"/>
              <w:right w:val="single" w:color="auto" w:sz="4" w:space="0"/>
            </w:tcBorders>
            <w:vAlign w:val="center"/>
          </w:tcPr>
          <w:p w14:paraId="71572BB9">
            <w:pPr>
              <w:spacing w:line="36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麻醉机</w:t>
            </w:r>
          </w:p>
        </w:tc>
        <w:tc>
          <w:tcPr>
            <w:tcW w:w="427" w:type="dxa"/>
            <w:tcBorders>
              <w:top w:val="single" w:color="auto" w:sz="4" w:space="0"/>
              <w:left w:val="single" w:color="auto" w:sz="4" w:space="0"/>
              <w:bottom w:val="single" w:color="auto" w:sz="4" w:space="0"/>
              <w:right w:val="single" w:color="auto" w:sz="4" w:space="0"/>
            </w:tcBorders>
            <w:vAlign w:val="center"/>
          </w:tcPr>
          <w:p w14:paraId="3183FA7A">
            <w:pPr>
              <w:pStyle w:val="19"/>
              <w:spacing w:line="360" w:lineRule="auto"/>
              <w:ind w:left="0" w:leftChars="0" w:firstLine="0" w:firstLineChars="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428" w:type="dxa"/>
            <w:tcBorders>
              <w:top w:val="single" w:color="auto" w:sz="4" w:space="0"/>
              <w:left w:val="single" w:color="auto" w:sz="4" w:space="0"/>
              <w:bottom w:val="single" w:color="auto" w:sz="4" w:space="0"/>
              <w:right w:val="single" w:color="auto" w:sz="4" w:space="0"/>
            </w:tcBorders>
            <w:vAlign w:val="center"/>
          </w:tcPr>
          <w:p w14:paraId="55C2B726">
            <w:pPr>
              <w:pStyle w:val="14"/>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台</w:t>
            </w:r>
          </w:p>
        </w:tc>
        <w:tc>
          <w:tcPr>
            <w:tcW w:w="6733" w:type="dxa"/>
            <w:tcBorders>
              <w:top w:val="single" w:color="auto" w:sz="4" w:space="0"/>
              <w:left w:val="single" w:color="auto" w:sz="4" w:space="0"/>
              <w:bottom w:val="single" w:color="auto" w:sz="4" w:space="0"/>
              <w:right w:val="single" w:color="auto" w:sz="4" w:space="0"/>
            </w:tcBorders>
            <w:vAlign w:val="center"/>
          </w:tcPr>
          <w:p w14:paraId="3A582A89">
            <w:pPr>
              <w:widowControl/>
              <w:numPr>
                <w:ilvl w:val="0"/>
                <w:numId w:val="33"/>
              </w:numPr>
              <w:spacing w:line="400" w:lineRule="exact"/>
              <w:ind w:left="0" w:leftChars="0" w:firstLine="422" w:firstLineChars="20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工作条件及基本配件</w:t>
            </w:r>
          </w:p>
          <w:p w14:paraId="423885D3">
            <w:pPr>
              <w:keepNext w:val="0"/>
              <w:keepLines w:val="0"/>
              <w:pageBreakBefore w:val="0"/>
              <w:widowControl/>
              <w:numPr>
                <w:ilvl w:val="0"/>
                <w:numId w:val="34"/>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工作环境，温度：10℃ -40℃，湿度：15%-95%；</w:t>
            </w:r>
          </w:p>
          <w:p w14:paraId="6C206C48">
            <w:pPr>
              <w:keepNext w:val="0"/>
              <w:keepLines w:val="0"/>
              <w:pageBreakBefore w:val="0"/>
              <w:widowControl/>
              <w:numPr>
                <w:ilvl w:val="0"/>
                <w:numId w:val="34"/>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电源：220V-240V，50/60Hz，支持≥4个辅助电源接口；</w:t>
            </w:r>
          </w:p>
          <w:p w14:paraId="1BBAF20B">
            <w:pPr>
              <w:keepNext w:val="0"/>
              <w:keepLines w:val="0"/>
              <w:pageBreakBefore w:val="0"/>
              <w:widowControl/>
              <w:numPr>
                <w:ilvl w:val="0"/>
                <w:numId w:val="34"/>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▲标配锂电子(非铅酸)后备电池，支持1块电池使用时间≥70分钟，2块电池使用时间≥150分钟；</w:t>
            </w:r>
          </w:p>
          <w:p w14:paraId="51EA185C">
            <w:pPr>
              <w:keepNext w:val="0"/>
              <w:keepLines w:val="0"/>
              <w:pageBreakBefore w:val="0"/>
              <w:widowControl/>
              <w:numPr>
                <w:ilvl w:val="0"/>
                <w:numId w:val="34"/>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标配4个辅助电源接口；</w:t>
            </w:r>
          </w:p>
          <w:p w14:paraId="3AD294C4">
            <w:pPr>
              <w:keepNext w:val="0"/>
              <w:keepLines w:val="0"/>
              <w:pageBreakBefore w:val="0"/>
              <w:widowControl/>
              <w:numPr>
                <w:ilvl w:val="0"/>
                <w:numId w:val="34"/>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接口：1个LAN接口支持网络和软件升级, 1个RS-232接口，1个视频信号接口，2个USB接口；可选配基于无线网卡的网路接口；</w:t>
            </w:r>
          </w:p>
          <w:p w14:paraId="39F0DA58">
            <w:pPr>
              <w:keepNext w:val="0"/>
              <w:keepLines w:val="0"/>
              <w:pageBreakBefore w:val="0"/>
              <w:widowControl/>
              <w:numPr>
                <w:ilvl w:val="0"/>
                <w:numId w:val="34"/>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机架：中央刹车系统，大脚轮配有防缆线缠绕功能，带工作台侧栏杆推车，可选配折叠辅助工作台；</w:t>
            </w:r>
          </w:p>
          <w:p w14:paraId="2E599888">
            <w:pPr>
              <w:keepNext w:val="0"/>
              <w:keepLines w:val="0"/>
              <w:pageBreakBefore w:val="0"/>
              <w:widowControl/>
              <w:numPr>
                <w:ilvl w:val="0"/>
                <w:numId w:val="34"/>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显示屏可360度旋转，俯仰角度可调节，保证站姿和坐姿都能轻松操作；</w:t>
            </w:r>
          </w:p>
          <w:p w14:paraId="3BC8EFD2">
            <w:pPr>
              <w:keepNext w:val="0"/>
              <w:keepLines w:val="0"/>
              <w:pageBreakBefore w:val="0"/>
              <w:widowControl/>
              <w:numPr>
                <w:ilvl w:val="0"/>
                <w:numId w:val="34"/>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适合内窥镜手术模式：具备工作台照明光，且亮度可调，能够在黑暗环境中提供麻醉机工作台面照明；</w:t>
            </w:r>
          </w:p>
          <w:p w14:paraId="0A2DBE47">
            <w:pPr>
              <w:keepNext w:val="0"/>
              <w:keepLines w:val="0"/>
              <w:pageBreakBefore w:val="0"/>
              <w:widowControl/>
              <w:numPr>
                <w:ilvl w:val="0"/>
                <w:numId w:val="34"/>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▲用于对成人、儿童和新生儿的吸入麻醉及呼吸管理。</w:t>
            </w:r>
          </w:p>
          <w:p w14:paraId="6BF1F536">
            <w:pPr>
              <w:widowControl/>
              <w:numPr>
                <w:ilvl w:val="0"/>
                <w:numId w:val="33"/>
              </w:numPr>
              <w:spacing w:line="400" w:lineRule="exact"/>
              <w:ind w:left="0" w:leftChars="0" w:firstLine="422" w:firstLineChars="20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气源</w:t>
            </w:r>
          </w:p>
          <w:p w14:paraId="46423CE2">
            <w:pPr>
              <w:keepNext w:val="0"/>
              <w:keepLines w:val="0"/>
              <w:pageBreakBefore w:val="0"/>
              <w:widowControl/>
              <w:numPr>
                <w:ilvl w:val="0"/>
                <w:numId w:val="35"/>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标配氧气、空气两气源，可选氧气、空气和笑气三气源；</w:t>
            </w:r>
          </w:p>
          <w:p w14:paraId="4A68CE78">
            <w:pPr>
              <w:keepNext w:val="0"/>
              <w:keepLines w:val="0"/>
              <w:pageBreakBefore w:val="0"/>
              <w:widowControl/>
              <w:numPr>
                <w:ilvl w:val="0"/>
                <w:numId w:val="35"/>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具备氧笑联动系统，保证接入氧气和笑气时氧浓度不低于25%；</w:t>
            </w:r>
          </w:p>
          <w:p w14:paraId="2838D392">
            <w:pPr>
              <w:keepNext w:val="0"/>
              <w:keepLines w:val="0"/>
              <w:pageBreakBefore w:val="0"/>
              <w:widowControl/>
              <w:numPr>
                <w:ilvl w:val="0"/>
                <w:numId w:val="35"/>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快速充氧范围25-75L/min。</w:t>
            </w:r>
          </w:p>
          <w:p w14:paraId="128503C1">
            <w:pPr>
              <w:widowControl/>
              <w:numPr>
                <w:ilvl w:val="0"/>
                <w:numId w:val="33"/>
              </w:numPr>
              <w:spacing w:line="400" w:lineRule="exact"/>
              <w:ind w:left="0" w:leftChars="0" w:firstLine="422" w:firstLineChars="20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流量计</w:t>
            </w:r>
          </w:p>
          <w:p w14:paraId="51BAC7A1">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电子显示流量计，空气范围： 0L/min～10L/min，氧气范围：0L/min～12L/min，笑气范围：0L/min～10L/min；</w:t>
            </w:r>
          </w:p>
          <w:p w14:paraId="452BECE7">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电子流量计配备各支路流量数字显示和屏幕虚拟流量管显示，屏幕可显示新鲜气体设置总流量和氧浓度；</w:t>
            </w:r>
          </w:p>
          <w:p w14:paraId="43A5F4A5">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可选配直观的适宜低流量麻醉的新鲜气体流量指示工具；</w:t>
            </w:r>
          </w:p>
          <w:p w14:paraId="73B39D6C">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可选配具备麻药消耗量统计功能；</w:t>
            </w:r>
          </w:p>
          <w:p w14:paraId="3C46DD4E">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具备辅助吸氧流量计；</w:t>
            </w:r>
          </w:p>
          <w:p w14:paraId="14525228">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▲标配高流量给氧功能，流量范围 2-80 L/min，氧浓度设置范围21~100%。</w:t>
            </w:r>
          </w:p>
          <w:p w14:paraId="08C42074">
            <w:pPr>
              <w:widowControl/>
              <w:numPr>
                <w:ilvl w:val="0"/>
                <w:numId w:val="33"/>
              </w:numPr>
              <w:spacing w:line="400" w:lineRule="exact"/>
              <w:ind w:left="0" w:leftChars="0" w:firstLine="422" w:firstLineChars="20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挥发罐</w:t>
            </w:r>
          </w:p>
          <w:p w14:paraId="66437E2C">
            <w:pPr>
              <w:keepNext w:val="0"/>
              <w:keepLines w:val="0"/>
              <w:pageBreakBefore w:val="0"/>
              <w:widowControl/>
              <w:numPr>
                <w:ilvl w:val="0"/>
                <w:numId w:val="37"/>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标配双麻醉罐位；</w:t>
            </w:r>
          </w:p>
          <w:p w14:paraId="2A87C5B6">
            <w:pPr>
              <w:keepNext w:val="0"/>
              <w:keepLines w:val="0"/>
              <w:pageBreakBefore w:val="0"/>
              <w:widowControl/>
              <w:numPr>
                <w:ilvl w:val="0"/>
                <w:numId w:val="37"/>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可选配第三个麻醉罐位；</w:t>
            </w:r>
          </w:p>
          <w:p w14:paraId="41E1C94E">
            <w:pPr>
              <w:keepNext w:val="0"/>
              <w:keepLines w:val="0"/>
              <w:pageBreakBefore w:val="0"/>
              <w:widowControl/>
              <w:numPr>
                <w:ilvl w:val="0"/>
                <w:numId w:val="37"/>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▲标配一个高品质挥发罐（可选:七氟醚、异氟醚、地氟醚），挥发罐和主机同品牌，非其他品牌代工贴牌（非OEM）产品，具备压力、流速和温度补偿。</w:t>
            </w:r>
          </w:p>
          <w:p w14:paraId="4757F65B">
            <w:pPr>
              <w:widowControl/>
              <w:numPr>
                <w:ilvl w:val="0"/>
                <w:numId w:val="33"/>
              </w:numPr>
              <w:spacing w:line="400" w:lineRule="exact"/>
              <w:ind w:left="0" w:leftChars="0" w:firstLine="422" w:firstLineChars="20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呼吸回路</w:t>
            </w:r>
          </w:p>
          <w:p w14:paraId="462F42ED">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一体化集成回路，具有可观测的吸气呼气单向阀，机械气道压力表以及手动/机控切换开关；</w:t>
            </w:r>
          </w:p>
          <w:p w14:paraId="1F9FD184">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回路部件可以耐受134℃高温高压消毒以避免院内交叉感染(包括流量传感器)；</w:t>
            </w:r>
          </w:p>
          <w:p w14:paraId="52368915">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▲二氧化碳吸收罐，容积≤1500ml，满足临床低微流量麻醉需要；</w:t>
            </w:r>
          </w:p>
          <w:p w14:paraId="5B15024E">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内置双流量传感器，分别在吸入端，呼出端，流量传感器用户无需工具可自行校准；</w:t>
            </w:r>
          </w:p>
          <w:p w14:paraId="0EAC526D">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可选配共同新鲜气体输出口（ACGO），输出口无需改装可直接连接特殊的开放式回路，如Bain回路、T管等。也可不选ACGO，以防止误操作；</w:t>
            </w:r>
          </w:p>
          <w:p w14:paraId="42B6FB15">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具有回路整体加温功能，保证回路不受积水影响，保证流量传感器精准及向病人提供温暖气体，避免对呼吸道的刺激；</w:t>
            </w:r>
          </w:p>
          <w:p w14:paraId="5648FB80">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标配CO2旁路功能，在机械通气过程中，更换钠石灰罐无需关停机械通气，可方便直接更换；</w:t>
            </w:r>
          </w:p>
          <w:p w14:paraId="56B889C1">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具备智能回路识别报警系统，当钠石灰罐未安装到位时，机器能智能识别，并报警提示；</w:t>
            </w:r>
          </w:p>
          <w:p w14:paraId="1E16EBAC">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呼吸系统泄漏量≤60mL/min（在3.0kPa压力条件下）。</w:t>
            </w:r>
          </w:p>
          <w:p w14:paraId="59DE92EB">
            <w:pPr>
              <w:widowControl/>
              <w:numPr>
                <w:ilvl w:val="0"/>
                <w:numId w:val="33"/>
              </w:numPr>
              <w:spacing w:line="400" w:lineRule="exact"/>
              <w:ind w:left="0" w:leftChars="0" w:firstLine="422" w:firstLineChars="20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呼吸机</w:t>
            </w:r>
          </w:p>
          <w:p w14:paraId="34B24A61">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▲气动电控呼吸机，全中文操作和显示；</w:t>
            </w:r>
          </w:p>
          <w:p w14:paraId="40F73E1C">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提供辅助/控制通气，标配通气模式：VCV、PCV；可选配/升级压力控制容量保证通气（PCV-VG）和SIMV（SIMV-VC、SIMV-PC）、PS模式， SIMV-VG、CPAP/PS、APRV模式；</w:t>
            </w:r>
          </w:p>
          <w:p w14:paraId="2DCB3BD9">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可根据病人理想体重自动关联潮气量，调节潮气量时可显示潮气量/理想体重；</w:t>
            </w:r>
          </w:p>
          <w:p w14:paraId="4594767D">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容量控制（VCV）潮气量设置范围：10ml-1500ml；</w:t>
            </w:r>
          </w:p>
          <w:p w14:paraId="3031EF41">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吸气压力设置范围：5-70cmH2O；</w:t>
            </w:r>
          </w:p>
          <w:p w14:paraId="71AECE3A">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支持压力：0，3cmH2O～60cmH2O；</w:t>
            </w:r>
          </w:p>
          <w:p w14:paraId="279ACB63">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呼吸频率：2-100次/分钟；</w:t>
            </w:r>
          </w:p>
          <w:p w14:paraId="04F87693">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吸呼比：4:1到1:10；</w:t>
            </w:r>
          </w:p>
          <w:p w14:paraId="2B1368A7">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压力限制范围：10-100cmH2O；</w:t>
            </w:r>
          </w:p>
          <w:p w14:paraId="2D460204">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电子PEEP，显示屏设置，范围：OFF，2-40cmH2O；</w:t>
            </w:r>
          </w:p>
          <w:p w14:paraId="63961E2C">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吸气暂停：OFF，5%-60% ；</w:t>
            </w:r>
          </w:p>
          <w:p w14:paraId="26F7017B">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呼吸机吸气阀峰值流速：180 L/min；</w:t>
            </w:r>
          </w:p>
          <w:p w14:paraId="7D9CCA05">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吸入端，呼出端双流量传感器，实现动态潮气量实时自动补偿功能，补偿新鲜气体变化、气体压缩、回路顺应性变化以及小的回路泄漏造成的吸入潮气量和设置潮气量的误差。具备内置第三基准流量传感器，用户可自行校准吸入和呼出端流量传感器；</w:t>
            </w:r>
          </w:p>
          <w:p w14:paraId="1388925C">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具备心肺旁流模式CPB, 且心肺旁流模式可在手动通气模式和机控通气模式下启动；</w:t>
            </w:r>
          </w:p>
          <w:p w14:paraId="56B45389">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可选配肺保护工具：支持两种复张手法——单周期和多周期，支持定时膨肺功能；</w:t>
            </w:r>
          </w:p>
          <w:p w14:paraId="73366F05">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可选配高频喷射通气功能，提供高频叠加常频喷射通气模式，或提供高频喷射单机，并且支持高频叠加常频通气连接同一通气附件。</w:t>
            </w:r>
          </w:p>
          <w:p w14:paraId="75266869">
            <w:pPr>
              <w:widowControl/>
              <w:numPr>
                <w:ilvl w:val="0"/>
                <w:numId w:val="33"/>
              </w:numPr>
              <w:spacing w:line="400" w:lineRule="exact"/>
              <w:ind w:left="0" w:leftChars="0" w:firstLine="422" w:firstLineChars="20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数字和波形监测</w:t>
            </w:r>
          </w:p>
          <w:p w14:paraId="2B719181">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具备三级声光报警功能，具有独立红黄报警灯显示；</w:t>
            </w:r>
          </w:p>
          <w:p w14:paraId="0A3DCB78">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不小于15英寸彩色触摸屏，可同屏显示波形和呼吸环图；</w:t>
            </w:r>
          </w:p>
          <w:p w14:paraId="39A49B04">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支持显示P-V，V-F，P-F三种类型环图；</w:t>
            </w:r>
          </w:p>
          <w:p w14:paraId="290D3FD0">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电容触摸屏，支持手势操作；</w:t>
            </w:r>
          </w:p>
          <w:p w14:paraId="6C3116BB">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内置≥3槽位插件槽，可直接热插拔插件；</w:t>
            </w:r>
          </w:p>
          <w:p w14:paraId="49DE1054">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插件可在同品牌监护仪和麻醉机之间通用；</w:t>
            </w:r>
          </w:p>
          <w:p w14:paraId="148EF979">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▲可配备插件：AG麻醉气体模块（标配）、EtCO2（可单独选配EtCO2插件，为水槽式设计，以适应全凭静脉无需监测麻醉气体的需求）；</w:t>
            </w:r>
          </w:p>
          <w:p w14:paraId="2615A9A5">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监测参数：呼吸频率、潮气量、分钟通气量、吸呼比、气道压（峰压、平台压、平均压、PEEP）、气道阻力、顺应性、弹性、驱动压；麻醉气体分析（N2O，EtCO2，自动识别五种麻醉气体吸入呼出浓度监测）、呼吸环（P-V，P-F，V-F）监测；可选配氧电池法吸入氧浓度监测；</w:t>
            </w:r>
          </w:p>
          <w:p w14:paraId="4332CA2D">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同屏幕≥5通道波形显示（压力时间波形，流速时间波形，容量时间波形， CO2或麻醉气体浓度波形等）；</w:t>
            </w:r>
          </w:p>
          <w:p w14:paraId="4573E20F">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潮气量监测范围：0-3000ml；</w:t>
            </w:r>
          </w:p>
          <w:p w14:paraId="7DAA36B0">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分钟通气量监测范围：0-100L/min；</w:t>
            </w:r>
          </w:p>
          <w:p w14:paraId="77DF3F9F">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可视化报警，技术报警提示中对于导致报警的原因给于文字和图形提示，具备自动报警限功能；</w:t>
            </w:r>
          </w:p>
          <w:p w14:paraId="4E3C0E07">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图示化自检，系统自检失败时给予文字和图示提醒可能出错的原因；</w:t>
            </w:r>
          </w:p>
          <w:p w14:paraId="761A297C">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可存储至少10000条事件记录，50张屏幕截图；</w:t>
            </w:r>
          </w:p>
          <w:p w14:paraId="31412729">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可存储患者参数趋势图（表）信息至少48小时。</w:t>
            </w:r>
          </w:p>
          <w:p w14:paraId="279099B5">
            <w:pPr>
              <w:widowControl/>
              <w:numPr>
                <w:ilvl w:val="0"/>
                <w:numId w:val="33"/>
              </w:numPr>
              <w:spacing w:line="400" w:lineRule="exact"/>
              <w:ind w:left="0" w:leftChars="0" w:firstLine="422" w:firstLineChars="20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麻醉工作站功能</w:t>
            </w:r>
          </w:p>
          <w:p w14:paraId="1D402043">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可连接同一品牌监护仪，全面监测病人生命体征，监护仪参数可显示在麻醉机上；</w:t>
            </w:r>
          </w:p>
          <w:p w14:paraId="280C8487">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可连接同一品牌输注泵，可在麻醉机屏幕上调节输注泵设置参数，可基于药代药效模型计算吸入麻药和静脉麻药的综合药效；</w:t>
            </w:r>
          </w:p>
          <w:p w14:paraId="1A32F05E">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可扩展连接支持HL7协议的设备。</w:t>
            </w:r>
          </w:p>
        </w:tc>
        <w:tc>
          <w:tcPr>
            <w:tcW w:w="1161" w:type="dxa"/>
            <w:tcBorders>
              <w:top w:val="single" w:color="auto" w:sz="4" w:space="0"/>
              <w:left w:val="single" w:color="auto" w:sz="4" w:space="0"/>
              <w:bottom w:val="single" w:color="auto" w:sz="4" w:space="0"/>
              <w:right w:val="single" w:color="auto" w:sz="4" w:space="0"/>
            </w:tcBorders>
            <w:vAlign w:val="center"/>
          </w:tcPr>
          <w:p w14:paraId="666C9B86">
            <w:pPr>
              <w:pStyle w:val="18"/>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560000.00</w:t>
            </w:r>
          </w:p>
        </w:tc>
      </w:tr>
      <w:tr w14:paraId="633BC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72" w:type="dxa"/>
            <w:gridSpan w:val="7"/>
            <w:tcBorders>
              <w:top w:val="single" w:color="auto" w:sz="4" w:space="0"/>
              <w:left w:val="single" w:color="auto" w:sz="4" w:space="0"/>
              <w:bottom w:val="single" w:color="auto" w:sz="4" w:space="0"/>
              <w:right w:val="single" w:color="auto" w:sz="4" w:space="0"/>
            </w:tcBorders>
            <w:noWrap w:val="0"/>
            <w:vAlign w:val="top"/>
          </w:tcPr>
          <w:p w14:paraId="3022DD2D">
            <w:pPr>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商务要求</w:t>
            </w:r>
          </w:p>
        </w:tc>
      </w:tr>
      <w:tr w14:paraId="2FC0BB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2EB9B5E2">
            <w:pPr>
              <w:widowControl/>
              <w:snapToGrid w:val="0"/>
              <w:spacing w:line="4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交货时间和</w:t>
            </w:r>
          </w:p>
          <w:p w14:paraId="6E3966EC">
            <w:pPr>
              <w:widowControl/>
              <w:snapToGrid w:val="0"/>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 w:val="21"/>
                <w:szCs w:val="21"/>
                <w:highlight w:val="none"/>
              </w:rPr>
              <w:t>地点</w:t>
            </w:r>
          </w:p>
        </w:tc>
        <w:tc>
          <w:tcPr>
            <w:tcW w:w="9080" w:type="dxa"/>
            <w:gridSpan w:val="5"/>
            <w:tcBorders>
              <w:top w:val="single" w:color="auto" w:sz="4" w:space="0"/>
              <w:left w:val="single" w:color="auto" w:sz="4" w:space="0"/>
              <w:bottom w:val="single" w:color="auto" w:sz="4" w:space="0"/>
              <w:right w:val="single" w:color="auto" w:sz="4" w:space="0"/>
            </w:tcBorders>
            <w:noWrap w:val="0"/>
            <w:vAlign w:val="center"/>
          </w:tcPr>
          <w:p w14:paraId="61247D5F">
            <w:pPr>
              <w:snapToGrid w:val="0"/>
              <w:spacing w:line="460" w:lineRule="exact"/>
              <w:ind w:right="-1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交货时间：自签订合同之日起 30天内安装调试完毕并交付使用。</w:t>
            </w:r>
          </w:p>
          <w:p w14:paraId="500E4385">
            <w:pPr>
              <w:snapToGrid w:val="0"/>
              <w:spacing w:line="460" w:lineRule="exact"/>
              <w:ind w:right="-16" w:rightChars="0"/>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sz w:val="21"/>
                <w:szCs w:val="21"/>
                <w:highlight w:val="none"/>
              </w:rPr>
              <w:t>交货地点 (范围)：采购人指定地点。</w:t>
            </w:r>
          </w:p>
        </w:tc>
      </w:tr>
      <w:tr w14:paraId="3484EC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45D51AC7">
            <w:pPr>
              <w:widowControl/>
              <w:snapToGrid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合同签订时间</w:t>
            </w:r>
          </w:p>
        </w:tc>
        <w:tc>
          <w:tcPr>
            <w:tcW w:w="9080" w:type="dxa"/>
            <w:gridSpan w:val="5"/>
            <w:tcBorders>
              <w:top w:val="single" w:color="auto" w:sz="4" w:space="0"/>
              <w:left w:val="single" w:color="auto" w:sz="4" w:space="0"/>
              <w:bottom w:val="single" w:color="auto" w:sz="4" w:space="0"/>
              <w:right w:val="single" w:color="auto" w:sz="4" w:space="0"/>
            </w:tcBorders>
            <w:noWrap w:val="0"/>
            <w:vAlign w:val="center"/>
          </w:tcPr>
          <w:p w14:paraId="1F66688B">
            <w:pPr>
              <w:snapToGrid w:val="0"/>
              <w:spacing w:line="460" w:lineRule="exact"/>
              <w:ind w:right="-16" w:rightChars="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自成交通知书发出之日起 25日内</w:t>
            </w:r>
          </w:p>
        </w:tc>
      </w:tr>
      <w:tr w14:paraId="666BF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5" w:hRule="atLeast"/>
          <w:jc w:val="center"/>
        </w:trPr>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4AD034EE">
            <w:pPr>
              <w:pStyle w:val="28"/>
              <w:spacing w:before="68" w:line="221"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2"/>
                <w:sz w:val="21"/>
                <w:szCs w:val="21"/>
              </w:rPr>
              <w:t>付款条件</w:t>
            </w:r>
          </w:p>
        </w:tc>
        <w:tc>
          <w:tcPr>
            <w:tcW w:w="9080" w:type="dxa"/>
            <w:gridSpan w:val="5"/>
            <w:tcBorders>
              <w:top w:val="single" w:color="auto" w:sz="4" w:space="0"/>
              <w:left w:val="single" w:color="auto" w:sz="4" w:space="0"/>
              <w:bottom w:val="single" w:color="auto" w:sz="4" w:space="0"/>
              <w:right w:val="single" w:color="auto" w:sz="4" w:space="0"/>
            </w:tcBorders>
            <w:noWrap w:val="0"/>
            <w:vAlign w:val="top"/>
          </w:tcPr>
          <w:p w14:paraId="0C387922">
            <w:pPr>
              <w:pStyle w:val="28"/>
              <w:keepNext w:val="0"/>
              <w:keepLines w:val="0"/>
              <w:pageBreakBefore w:val="0"/>
              <w:widowControl w:val="0"/>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合同签订后七个工作日内，成交供应商开具全额合法发票，采购人在收到发票后十五个工作日内向成交供应商支付合同总额的 30%。</w:t>
            </w:r>
          </w:p>
          <w:p w14:paraId="690C4963">
            <w:pPr>
              <w:pStyle w:val="28"/>
              <w:keepNext w:val="0"/>
              <w:keepLines w:val="0"/>
              <w:pageBreakBefore w:val="0"/>
              <w:widowControl w:val="0"/>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设备稳定运行并经采购人验收合格后，成交供应商向采购人申请，采购人收到成交供应商申请后三十个工作日内采购人向成交供应商支付合同总额的 65%。</w:t>
            </w:r>
          </w:p>
          <w:p w14:paraId="068984DD">
            <w:pPr>
              <w:pStyle w:val="28"/>
              <w:keepNext w:val="0"/>
              <w:keepLines w:val="0"/>
              <w:pageBreakBefore w:val="0"/>
              <w:widowControl w:val="0"/>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合同签订一年后，成交供应商按合同履行的，无违约行为，成交供应商向采购人申请，三十个工作日内采购人向成交供应商支付合同总额的 5%（不计利息）。若成交供应商不按约定履行合同的，待成交供应商整改完成后，由成交供应商向采购人申请付款。</w:t>
            </w:r>
          </w:p>
        </w:tc>
      </w:tr>
      <w:tr w14:paraId="3E6FF6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1" w:hRule="atLeast"/>
          <w:jc w:val="center"/>
        </w:trPr>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1BBAE665">
            <w:pPr>
              <w:pStyle w:val="28"/>
              <w:spacing w:before="68" w:line="221"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2"/>
                <w:sz w:val="21"/>
                <w:szCs w:val="21"/>
              </w:rPr>
              <w:t>售后服务要求</w:t>
            </w:r>
          </w:p>
        </w:tc>
        <w:tc>
          <w:tcPr>
            <w:tcW w:w="9080" w:type="dxa"/>
            <w:gridSpan w:val="5"/>
            <w:tcBorders>
              <w:top w:val="single" w:color="auto" w:sz="4" w:space="0"/>
              <w:left w:val="single" w:color="auto" w:sz="4" w:space="0"/>
              <w:bottom w:val="single" w:color="auto" w:sz="4" w:space="0"/>
              <w:right w:val="single" w:color="auto" w:sz="4" w:space="0"/>
            </w:tcBorders>
            <w:noWrap w:val="0"/>
            <w:vAlign w:val="top"/>
          </w:tcPr>
          <w:p w14:paraId="00436893">
            <w:pPr>
              <w:pStyle w:val="28"/>
              <w:keepNext w:val="0"/>
              <w:keepLines w:val="0"/>
              <w:pageBreakBefore w:val="0"/>
              <w:widowControl w:val="0"/>
              <w:numPr>
                <w:ilvl w:val="0"/>
                <w:numId w:val="43"/>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本次采购的硬件及软件质量保修期自最终验收合格之日起不少于 1年，期间产品正常使用下出现任何故障，由成交供应商负责维修。成交后提供原厂工程师或原厂授权的工程师上门安装调试及培训。</w:t>
            </w:r>
          </w:p>
          <w:p w14:paraId="73D80225">
            <w:pPr>
              <w:pStyle w:val="28"/>
              <w:keepNext w:val="0"/>
              <w:keepLines w:val="0"/>
              <w:pageBreakBefore w:val="0"/>
              <w:widowControl w:val="0"/>
              <w:numPr>
                <w:ilvl w:val="0"/>
                <w:numId w:val="43"/>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成交供应商应提供 7×24 小时咨询服务，对于设备在使用过程中出现的问题，在 4 小时内响应，如遇与所供产品有关的问题无法远程解决的，在接用户通知后，10 小时内赶到现场提供服务；12 小时内未解决的成交供应商应提供详细的应急解决方案，24 小时内修复使用，若48 小时内无法排除故障的，则应提供相应的备用设备以保证采购人的正常使用，因成交供应商工作延误，造成采购人损失的，成交供应商应负赔偿责任。</w:t>
            </w:r>
          </w:p>
          <w:p w14:paraId="398419FD">
            <w:pPr>
              <w:pStyle w:val="28"/>
              <w:keepNext w:val="0"/>
              <w:keepLines w:val="0"/>
              <w:pageBreakBefore w:val="0"/>
              <w:widowControl w:val="0"/>
              <w:numPr>
                <w:ilvl w:val="0"/>
                <w:numId w:val="43"/>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响应文件中应注明维修保养期及维保范围，提供保修年限、上门保修服务及货物保养服务说明，超过保修期之后，紧急情况下如何处理问题的说明。</w:t>
            </w:r>
          </w:p>
          <w:p w14:paraId="7DCBBA24">
            <w:pPr>
              <w:pStyle w:val="28"/>
              <w:keepNext w:val="0"/>
              <w:keepLines w:val="0"/>
              <w:pageBreakBefore w:val="0"/>
              <w:widowControl w:val="0"/>
              <w:numPr>
                <w:ilvl w:val="0"/>
                <w:numId w:val="43"/>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在质量保修期内货物非因人为或不可抗拒因素的原因而引起损坏或质量问题，成交供应商应予以技术服务、维修或货物更换，并承担相应费用和零部件的费用。成交供应商须负责设备的安装调试和技术培训，解决货物的使用过程出现的各种问题及提供技术指导。</w:t>
            </w:r>
          </w:p>
        </w:tc>
      </w:tr>
      <w:tr w14:paraId="2005B7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2E0D3E0A">
            <w:pPr>
              <w:widowControl/>
              <w:snapToGrid w:val="0"/>
              <w:spacing w:line="4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验收</w:t>
            </w:r>
          </w:p>
          <w:p w14:paraId="2856543C">
            <w:pPr>
              <w:widowControl/>
              <w:snapToGrid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标准</w:t>
            </w:r>
          </w:p>
        </w:tc>
        <w:tc>
          <w:tcPr>
            <w:tcW w:w="9080" w:type="dxa"/>
            <w:gridSpan w:val="5"/>
            <w:tcBorders>
              <w:top w:val="single" w:color="auto" w:sz="4" w:space="0"/>
              <w:left w:val="single" w:color="auto" w:sz="4" w:space="0"/>
              <w:bottom w:val="single" w:color="auto" w:sz="4" w:space="0"/>
              <w:right w:val="single" w:color="auto" w:sz="4" w:space="0"/>
            </w:tcBorders>
            <w:noWrap w:val="0"/>
            <w:vAlign w:val="center"/>
          </w:tcPr>
          <w:p w14:paraId="7C33ED00">
            <w:pPr>
              <w:pStyle w:val="28"/>
              <w:keepNext w:val="0"/>
              <w:keepLines w:val="0"/>
              <w:pageBreakBefore w:val="0"/>
              <w:widowControl w:val="0"/>
              <w:numPr>
                <w:ilvl w:val="0"/>
                <w:numId w:val="44"/>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采购人对成交供应商提交的货物依据采购文件、响应文件及合同书上的技术规格要求和国家有关质量标准进行现场签收，说明书符合采购文件技术要求的，给予签收，不合格的不予签收。</w:t>
            </w:r>
          </w:p>
          <w:p w14:paraId="69052B64">
            <w:pPr>
              <w:pStyle w:val="28"/>
              <w:keepNext w:val="0"/>
              <w:keepLines w:val="0"/>
              <w:pageBreakBefore w:val="0"/>
              <w:widowControl w:val="0"/>
              <w:numPr>
                <w:ilvl w:val="0"/>
                <w:numId w:val="44"/>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成交供应商交货前应对产品作出全面检查和对验收文件进行整理，并列出清单，作为采购人收货验收和使用的技术条件依据，检验的结果应随货物交采购人。成交供应商不能完整交付货物及本款规定的单证和工具的，必须负责补齐，否则视为未按合同约定交货。</w:t>
            </w:r>
          </w:p>
          <w:p w14:paraId="6731E314">
            <w:pPr>
              <w:pStyle w:val="28"/>
              <w:keepNext w:val="0"/>
              <w:keepLines w:val="0"/>
              <w:pageBreakBefore w:val="0"/>
              <w:widowControl w:val="0"/>
              <w:numPr>
                <w:ilvl w:val="0"/>
                <w:numId w:val="44"/>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成交供应商需负责安装、调试，并培训采购人的使用操作人员，直到产品或设备运行符合技术要求，采购人方可组织验收。</w:t>
            </w:r>
          </w:p>
          <w:p w14:paraId="28296AEB">
            <w:pPr>
              <w:pStyle w:val="28"/>
              <w:keepNext w:val="0"/>
              <w:keepLines w:val="0"/>
              <w:pageBreakBefore w:val="0"/>
              <w:widowControl w:val="0"/>
              <w:numPr>
                <w:ilvl w:val="0"/>
                <w:numId w:val="44"/>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采购人组织验收，成交供应商必须到场配合，验收合格后双方签署验收合格凭证。</w:t>
            </w:r>
          </w:p>
          <w:p w14:paraId="7FC1A6E0">
            <w:pPr>
              <w:pStyle w:val="28"/>
              <w:keepNext w:val="0"/>
              <w:keepLines w:val="0"/>
              <w:pageBreakBefore w:val="0"/>
              <w:widowControl w:val="0"/>
              <w:numPr>
                <w:ilvl w:val="0"/>
                <w:numId w:val="44"/>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其他未尽事宜应参照《关于印发广西壮族自治区政府采购项目履约验收管理办法的通知》 [桂财采〔2015〕22 号]以及《财政部关于进一步加强政府采购需求和履约验收管理的指导意见》 [财库〔2016〕205 号]规定执行。</w:t>
            </w:r>
          </w:p>
        </w:tc>
      </w:tr>
    </w:tbl>
    <w:p w14:paraId="68BDDF43">
      <w:pPr>
        <w:tabs>
          <w:tab w:val="left" w:pos="1676"/>
        </w:tabs>
        <w:spacing w:line="240" w:lineRule="auto"/>
        <w:ind w:right="0" w:rightChars="0"/>
        <w:jc w:val="left"/>
        <w:rPr>
          <w:rFonts w:hint="eastAsia" w:asciiTheme="minorEastAsia" w:hAnsiTheme="minorEastAsia" w:eastAsiaTheme="minorEastAsia" w:cstheme="minorEastAsia"/>
          <w:color w:val="auto"/>
          <w:lang w:eastAsia="zh-CN"/>
        </w:rPr>
        <w:sectPr>
          <w:pgSz w:w="11906" w:h="16838"/>
          <w:pgMar w:top="1440" w:right="1800" w:bottom="1440" w:left="1800" w:header="851" w:footer="992" w:gutter="0"/>
          <w:pgNumType w:fmt="decimal"/>
          <w:cols w:space="720" w:num="1"/>
          <w:docGrid w:type="lines" w:linePitch="312" w:charSpace="0"/>
        </w:sectPr>
      </w:pPr>
    </w:p>
    <w:p w14:paraId="4CE17B87">
      <w:pPr>
        <w:spacing w:line="276" w:lineRule="auto"/>
        <w:jc w:val="center"/>
        <w:rPr>
          <w:rFonts w:hint="eastAsia" w:asciiTheme="minorEastAsia" w:hAnsiTheme="minorEastAsia" w:eastAsiaTheme="minorEastAsia" w:cstheme="minorEastAsia"/>
          <w:bCs/>
          <w:color w:val="auto"/>
          <w:sz w:val="32"/>
          <w:szCs w:val="32"/>
        </w:rPr>
      </w:pPr>
    </w:p>
    <w:p w14:paraId="24DD9610">
      <w:pPr>
        <w:spacing w:line="276" w:lineRule="auto"/>
        <w:jc w:val="center"/>
        <w:rPr>
          <w:rFonts w:hint="eastAsia" w:asciiTheme="minorEastAsia" w:hAnsiTheme="minorEastAsia" w:eastAsiaTheme="minorEastAsia" w:cstheme="minorEastAsia"/>
          <w:bCs/>
          <w:color w:val="auto"/>
          <w:sz w:val="32"/>
          <w:szCs w:val="32"/>
        </w:rPr>
      </w:pPr>
    </w:p>
    <w:p w14:paraId="014CD2DF">
      <w:pPr>
        <w:spacing w:line="276" w:lineRule="auto"/>
        <w:jc w:val="center"/>
        <w:rPr>
          <w:rFonts w:hint="eastAsia" w:asciiTheme="minorEastAsia" w:hAnsiTheme="minorEastAsia" w:eastAsiaTheme="minorEastAsia" w:cstheme="minorEastAsia"/>
          <w:bCs/>
          <w:color w:val="auto"/>
          <w:sz w:val="32"/>
          <w:szCs w:val="32"/>
        </w:rPr>
      </w:pPr>
    </w:p>
    <w:p w14:paraId="7B426CE8">
      <w:pPr>
        <w:spacing w:line="276" w:lineRule="auto"/>
        <w:jc w:val="center"/>
        <w:rPr>
          <w:rFonts w:hint="eastAsia" w:asciiTheme="minorEastAsia" w:hAnsiTheme="minorEastAsia" w:eastAsiaTheme="minorEastAsia" w:cstheme="minorEastAsia"/>
          <w:bCs/>
          <w:color w:val="auto"/>
          <w:sz w:val="32"/>
          <w:szCs w:val="32"/>
        </w:rPr>
      </w:pPr>
    </w:p>
    <w:p w14:paraId="3E58ED74">
      <w:pPr>
        <w:spacing w:line="276" w:lineRule="auto"/>
        <w:jc w:val="center"/>
        <w:rPr>
          <w:rFonts w:hint="eastAsia" w:asciiTheme="minorEastAsia" w:hAnsiTheme="minorEastAsia" w:eastAsiaTheme="minorEastAsia" w:cstheme="minorEastAsia"/>
          <w:bCs/>
          <w:color w:val="auto"/>
          <w:sz w:val="32"/>
          <w:szCs w:val="32"/>
        </w:rPr>
      </w:pPr>
    </w:p>
    <w:p w14:paraId="749A532E">
      <w:pPr>
        <w:spacing w:line="276" w:lineRule="auto"/>
        <w:jc w:val="center"/>
        <w:rPr>
          <w:rFonts w:hint="eastAsia" w:asciiTheme="minorEastAsia" w:hAnsiTheme="minorEastAsia" w:eastAsiaTheme="minorEastAsia" w:cstheme="minorEastAsia"/>
          <w:bCs/>
          <w:color w:val="auto"/>
          <w:sz w:val="32"/>
          <w:szCs w:val="32"/>
        </w:rPr>
      </w:pPr>
    </w:p>
    <w:p w14:paraId="4E695A4F">
      <w:pPr>
        <w:spacing w:line="276" w:lineRule="auto"/>
        <w:jc w:val="center"/>
        <w:rPr>
          <w:rFonts w:hint="eastAsia" w:asciiTheme="minorEastAsia" w:hAnsiTheme="minorEastAsia" w:eastAsiaTheme="minorEastAsia" w:cstheme="minorEastAsia"/>
          <w:bCs/>
          <w:color w:val="auto"/>
          <w:sz w:val="32"/>
          <w:szCs w:val="32"/>
        </w:rPr>
      </w:pPr>
    </w:p>
    <w:p w14:paraId="4836A48B">
      <w:pPr>
        <w:spacing w:line="276" w:lineRule="auto"/>
        <w:jc w:val="center"/>
        <w:rPr>
          <w:rFonts w:hint="eastAsia" w:asciiTheme="minorEastAsia" w:hAnsiTheme="minorEastAsia" w:eastAsiaTheme="minorEastAsia" w:cstheme="minorEastAsia"/>
          <w:bCs/>
          <w:color w:val="auto"/>
          <w:sz w:val="32"/>
          <w:szCs w:val="32"/>
        </w:rPr>
      </w:pPr>
    </w:p>
    <w:p w14:paraId="43914AAF">
      <w:pPr>
        <w:spacing w:line="276" w:lineRule="auto"/>
        <w:jc w:val="center"/>
        <w:rPr>
          <w:rFonts w:hint="eastAsia" w:asciiTheme="minorEastAsia" w:hAnsiTheme="minorEastAsia" w:eastAsiaTheme="minorEastAsia" w:cstheme="minorEastAsia"/>
          <w:bCs/>
          <w:color w:val="auto"/>
          <w:sz w:val="32"/>
          <w:szCs w:val="32"/>
        </w:rPr>
      </w:pPr>
    </w:p>
    <w:p w14:paraId="5E7D9C45">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rPr>
        <w:sectPr>
          <w:pgSz w:w="11906" w:h="16838"/>
          <w:pgMar w:top="1440" w:right="1800" w:bottom="1440" w:left="1800" w:header="851" w:footer="992" w:gutter="0"/>
          <w:pgNumType w:fmt="decimal"/>
          <w:cols w:space="720" w:num="1"/>
          <w:docGrid w:type="lines" w:linePitch="312" w:charSpace="0"/>
        </w:sectPr>
      </w:pPr>
      <w:bookmarkStart w:id="35" w:name="_Toc23589"/>
      <w:bookmarkStart w:id="36" w:name="_Toc504053343"/>
      <w:bookmarkStart w:id="37" w:name="_Toc2320"/>
      <w:bookmarkStart w:id="38" w:name="_Toc526932593"/>
      <w:r>
        <w:rPr>
          <w:rFonts w:hint="eastAsia" w:asciiTheme="minorEastAsia" w:hAnsiTheme="minorEastAsia" w:eastAsiaTheme="minorEastAsia" w:cstheme="minorEastAsia"/>
          <w:color w:val="auto"/>
          <w:sz w:val="36"/>
          <w:szCs w:val="36"/>
        </w:rPr>
        <w:t>响应文件格式</w:t>
      </w:r>
      <w:bookmarkEnd w:id="35"/>
      <w:bookmarkEnd w:id="36"/>
      <w:bookmarkEnd w:id="37"/>
      <w:bookmarkEnd w:id="38"/>
    </w:p>
    <w:p w14:paraId="6F50572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供应商提交电子响应文件须知</w:t>
      </w:r>
    </w:p>
    <w:p w14:paraId="086AF953">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0AEB9E2D">
      <w:pPr>
        <w:keepNext w:val="0"/>
        <w:keepLines w:val="0"/>
        <w:pageBreakBefore w:val="0"/>
        <w:widowControl w:val="0"/>
        <w:numPr>
          <w:ilvl w:val="0"/>
          <w:numId w:val="45"/>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供应商应保证全部声明和问题的回答是真实的和准确的。</w:t>
      </w:r>
    </w:p>
    <w:p w14:paraId="0C1FE098">
      <w:pPr>
        <w:keepNext w:val="0"/>
        <w:keepLines w:val="0"/>
        <w:pageBreakBefore w:val="0"/>
        <w:widowControl w:val="0"/>
        <w:numPr>
          <w:ilvl w:val="0"/>
          <w:numId w:val="45"/>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谈判小组将应用供应商递交的资料作出自己的判断。</w:t>
      </w:r>
    </w:p>
    <w:p w14:paraId="3DF7DC32">
      <w:pPr>
        <w:keepNext w:val="0"/>
        <w:keepLines w:val="0"/>
        <w:pageBreakBefore w:val="0"/>
        <w:widowControl w:val="0"/>
        <w:numPr>
          <w:ilvl w:val="0"/>
          <w:numId w:val="45"/>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供应商递交的材料将在一定期限内被保密保存，不予退还。</w:t>
      </w:r>
    </w:p>
    <w:p w14:paraId="68C72DBF">
      <w:pPr>
        <w:keepNext w:val="0"/>
        <w:keepLines w:val="0"/>
        <w:pageBreakBefore w:val="0"/>
        <w:widowControl w:val="0"/>
        <w:numPr>
          <w:ilvl w:val="0"/>
          <w:numId w:val="45"/>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电子响应文件编制格式及规范要求：</w:t>
      </w:r>
    </w:p>
    <w:p w14:paraId="3C32F272">
      <w:pPr>
        <w:keepNext w:val="0"/>
        <w:keepLines w:val="0"/>
        <w:pageBreakBefore w:val="0"/>
        <w:widowControl w:val="0"/>
        <w:numPr>
          <w:ilvl w:val="0"/>
          <w:numId w:val="46"/>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响应文件应使用广西政府采购云平台客户端软件，并按照本竞争性谈判文件和广西政府采购云平台要求编制并加密响应文件。未按规定加密的响应文件，广西政府采购云平台将拒收。</w:t>
      </w:r>
    </w:p>
    <w:p w14:paraId="098BD523">
      <w:pPr>
        <w:keepNext w:val="0"/>
        <w:keepLines w:val="0"/>
        <w:pageBreakBefore w:val="0"/>
        <w:widowControl w:val="0"/>
        <w:numPr>
          <w:ilvl w:val="0"/>
          <w:numId w:val="46"/>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响应文件制作并加密完成后应在广西政府采购云平台上传完成。</w:t>
      </w:r>
    </w:p>
    <w:p w14:paraId="547C4B66">
      <w:pPr>
        <w:keepNext w:val="0"/>
        <w:keepLines w:val="0"/>
        <w:pageBreakBefore w:val="0"/>
        <w:widowControl w:val="0"/>
        <w:numPr>
          <w:ilvl w:val="0"/>
          <w:numId w:val="46"/>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响应文件应使用CA证书进行电子签章。在签章时，供应商应注意CA电子签章的位置，如因CA电子签章遮挡重要、关键信息导致谈判小组作出对供应商不利评审的，后果由供应商负责。</w:t>
      </w:r>
    </w:p>
    <w:p w14:paraId="3F655DEC">
      <w:pPr>
        <w:keepNext w:val="0"/>
        <w:keepLines w:val="0"/>
        <w:pageBreakBefore w:val="0"/>
        <w:widowControl w:val="0"/>
        <w:numPr>
          <w:ilvl w:val="0"/>
          <w:numId w:val="46"/>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供应商应准确设置评审关联点。未设置或设置错误导致响应文件被误读、漏读或者查找不到相关内容的，是供应商的责任。</w:t>
      </w:r>
    </w:p>
    <w:p w14:paraId="2ED106B8">
      <w:pPr>
        <w:keepNext w:val="0"/>
        <w:keepLines w:val="0"/>
        <w:pageBreakBefore w:val="0"/>
        <w:widowControl w:val="0"/>
        <w:numPr>
          <w:ilvl w:val="0"/>
          <w:numId w:val="46"/>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响应文件所提供的相关材料的尺寸和清晰度应该能够在电脑上被阅读、识别和判断。</w:t>
      </w:r>
    </w:p>
    <w:p w14:paraId="23FB8E79">
      <w:pPr>
        <w:keepNext w:val="0"/>
        <w:keepLines w:val="0"/>
        <w:pageBreakBefore w:val="0"/>
        <w:widowControl w:val="0"/>
        <w:numPr>
          <w:ilvl w:val="0"/>
          <w:numId w:val="46"/>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响应文件内容无法阅读、识别和判断的，视为未提供。</w:t>
      </w:r>
    </w:p>
    <w:p w14:paraId="04957255">
      <w:pPr>
        <w:keepNext w:val="0"/>
        <w:keepLines w:val="0"/>
        <w:pageBreakBefore w:val="0"/>
        <w:widowControl w:val="0"/>
        <w:numPr>
          <w:ilvl w:val="0"/>
          <w:numId w:val="46"/>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响应文件的容量大小须符合广西政府采购云平台规定。</w:t>
      </w:r>
    </w:p>
    <w:p w14:paraId="744FC718">
      <w:pPr>
        <w:keepNext w:val="0"/>
        <w:keepLines w:val="0"/>
        <w:pageBreakBefore w:val="0"/>
        <w:widowControl w:val="0"/>
        <w:numPr>
          <w:ilvl w:val="0"/>
          <w:numId w:val="45"/>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供应商在使用广西政府采购云平台进行投标过程中遇到涉及平台使用的任何问题，可致电平台技术支持热线咨询，联系方式：95763。</w:t>
      </w:r>
    </w:p>
    <w:p w14:paraId="3395E7F8">
      <w:pPr>
        <w:keepNext w:val="0"/>
        <w:keepLines w:val="0"/>
        <w:pageBreakBefore w:val="0"/>
        <w:widowControl w:val="0"/>
        <w:numPr>
          <w:ilvl w:val="0"/>
          <w:numId w:val="45"/>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特别说明</w:t>
      </w:r>
    </w:p>
    <w:p w14:paraId="18F0DF80">
      <w:pPr>
        <w:keepNext w:val="0"/>
        <w:keepLines w:val="0"/>
        <w:pageBreakBefore w:val="0"/>
        <w:widowControl w:val="0"/>
        <w:numPr>
          <w:ilvl w:val="0"/>
          <w:numId w:val="47"/>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响应文件中须加盖公章部分均采用供应商CA电子签章，否则视为响应无效。</w:t>
      </w:r>
    </w:p>
    <w:p w14:paraId="66095855">
      <w:pPr>
        <w:keepNext w:val="0"/>
        <w:keepLines w:val="0"/>
        <w:pageBreakBefore w:val="0"/>
        <w:widowControl w:val="0"/>
        <w:numPr>
          <w:ilvl w:val="0"/>
          <w:numId w:val="47"/>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color w:val="auto"/>
          <w:sz w:val="21"/>
          <w:szCs w:val="21"/>
        </w:rPr>
        <w:sectPr>
          <w:pgSz w:w="11906" w:h="16838"/>
          <w:pgMar w:top="1440" w:right="1800" w:bottom="1440" w:left="1800" w:header="851" w:footer="992" w:gutter="0"/>
          <w:pgNumType w:fmt="decimal"/>
          <w:cols w:space="720" w:num="1"/>
          <w:docGrid w:type="lines" w:linePitch="312" w:charSpace="0"/>
        </w:sectPr>
      </w:pPr>
      <w:r>
        <w:rPr>
          <w:rFonts w:hint="eastAsia" w:asciiTheme="minorEastAsia" w:hAnsiTheme="minorEastAsia" w:eastAsiaTheme="minorEastAsia" w:cstheme="minorEastAsia"/>
          <w:b/>
          <w:color w:val="auto"/>
          <w:sz w:val="21"/>
          <w:szCs w:val="21"/>
        </w:rPr>
        <w:t>竞争性谈判文件中规定须由法定代表人或授权委托代理人签字的内容，如果供应商没有法定代表人或授权委托代理人电子签章，涉及到法定代表人或其授权委托代理人签字或盖章的内容，供应商可以线下签字或盖章后扫描上传，否则视为响应无效。</w:t>
      </w:r>
    </w:p>
    <w:p w14:paraId="295CA3D3">
      <w:pPr>
        <w:snapToGrid w:val="0"/>
        <w:spacing w:before="156" w:beforeLines="50" w:after="50" w:line="360" w:lineRule="exact"/>
        <w:jc w:val="right"/>
        <w:rPr>
          <w:rFonts w:hint="eastAsia" w:asciiTheme="minorEastAsia" w:hAnsiTheme="minorEastAsia" w:eastAsiaTheme="minorEastAsia" w:cstheme="minorEastAsia"/>
          <w:b/>
          <w:bCs/>
          <w:color w:val="auto"/>
          <w:sz w:val="32"/>
          <w:szCs w:val="32"/>
        </w:rPr>
      </w:pPr>
    </w:p>
    <w:p w14:paraId="62058C46">
      <w:pPr>
        <w:snapToGrid w:val="0"/>
        <w:spacing w:before="156" w:beforeLines="50" w:after="50" w:line="360" w:lineRule="exact"/>
        <w:jc w:val="center"/>
        <w:rPr>
          <w:rFonts w:hint="eastAsia" w:asciiTheme="minorEastAsia" w:hAnsiTheme="minorEastAsia" w:eastAsiaTheme="minorEastAsia" w:cstheme="minorEastAsia"/>
          <w:bCs/>
          <w:color w:val="auto"/>
          <w:sz w:val="24"/>
        </w:rPr>
      </w:pPr>
    </w:p>
    <w:p w14:paraId="09E3433B">
      <w:pPr>
        <w:jc w:val="center"/>
        <w:rPr>
          <w:rFonts w:hint="eastAsia" w:asciiTheme="minorEastAsia" w:hAnsiTheme="minorEastAsia" w:eastAsiaTheme="minorEastAsia" w:cstheme="minorEastAsia"/>
          <w:b/>
          <w:bCs/>
          <w:color w:val="auto"/>
          <w:sz w:val="72"/>
          <w:szCs w:val="72"/>
        </w:rPr>
      </w:pPr>
    </w:p>
    <w:p w14:paraId="6E96F430">
      <w:pPr>
        <w:jc w:val="center"/>
        <w:rPr>
          <w:rFonts w:hint="eastAsia" w:asciiTheme="minorEastAsia" w:hAnsiTheme="minorEastAsia" w:eastAsiaTheme="minorEastAsia" w:cstheme="minorEastAsia"/>
          <w:b/>
          <w:bCs/>
          <w:color w:val="auto"/>
          <w:sz w:val="72"/>
          <w:szCs w:val="72"/>
        </w:rPr>
      </w:pPr>
    </w:p>
    <w:p w14:paraId="6D20EF2A">
      <w:pPr>
        <w:jc w:val="center"/>
        <w:rPr>
          <w:rFonts w:hint="eastAsia" w:asciiTheme="minorEastAsia" w:hAnsiTheme="minorEastAsia" w:eastAsiaTheme="minorEastAsia" w:cstheme="minorEastAsia"/>
          <w:b/>
          <w:bCs/>
          <w:color w:val="auto"/>
          <w:sz w:val="72"/>
          <w:szCs w:val="72"/>
        </w:rPr>
      </w:pPr>
    </w:p>
    <w:p w14:paraId="3022D9C3">
      <w:pPr>
        <w:jc w:val="center"/>
        <w:rPr>
          <w:rFonts w:hint="eastAsia" w:asciiTheme="minorEastAsia" w:hAnsiTheme="minorEastAsia" w:eastAsiaTheme="minorEastAsia" w:cstheme="minorEastAsia"/>
          <w:b/>
          <w:bCs/>
          <w:color w:val="auto"/>
          <w:sz w:val="72"/>
          <w:szCs w:val="72"/>
        </w:rPr>
      </w:pPr>
    </w:p>
    <w:p w14:paraId="0B67E0C4">
      <w:pPr>
        <w:jc w:val="center"/>
        <w:rPr>
          <w:rFonts w:hint="eastAsia" w:asciiTheme="minorEastAsia" w:hAnsiTheme="minorEastAsia" w:eastAsiaTheme="minorEastAsia" w:cstheme="minorEastAsia"/>
          <w:b/>
          <w:bCs/>
          <w:color w:val="auto"/>
          <w:sz w:val="72"/>
          <w:szCs w:val="72"/>
        </w:rPr>
      </w:pPr>
    </w:p>
    <w:p w14:paraId="4408DF23">
      <w:pPr>
        <w:keepNext w:val="0"/>
        <w:keepLines w:val="0"/>
        <w:pageBreakBefore w:val="0"/>
        <w:widowControl w:val="0"/>
        <w:numPr>
          <w:ilvl w:val="0"/>
          <w:numId w:val="48"/>
        </w:numPr>
        <w:kinsoku/>
        <w:wordWrap/>
        <w:overflowPunct/>
        <w:topLinePunct w:val="0"/>
        <w:autoSpaceDE/>
        <w:autoSpaceDN/>
        <w:bidi w:val="0"/>
        <w:adjustRightInd/>
        <w:snapToGrid w:val="0"/>
        <w:spacing w:line="360" w:lineRule="auto"/>
        <w:ind w:left="0" w:leftChars="0" w:firstLine="0" w:firstLineChars="0"/>
        <w:jc w:val="center"/>
        <w:textAlignment w:val="auto"/>
        <w:outlineLvl w:val="1"/>
        <w:rPr>
          <w:rFonts w:hint="eastAsia" w:asciiTheme="minorEastAsia" w:hAnsiTheme="minorEastAsia" w:eastAsiaTheme="minorEastAsia" w:cstheme="minorEastAsia"/>
          <w:b/>
          <w:bCs/>
          <w:color w:val="auto"/>
          <w:sz w:val="36"/>
          <w:szCs w:val="36"/>
        </w:rPr>
      </w:pPr>
      <w:r>
        <w:rPr>
          <w:rFonts w:hint="eastAsia" w:asciiTheme="minorEastAsia" w:hAnsiTheme="minorEastAsia" w:eastAsiaTheme="minorEastAsia" w:cstheme="minorEastAsia"/>
          <w:b/>
          <w:bCs/>
          <w:color w:val="auto"/>
          <w:sz w:val="36"/>
          <w:szCs w:val="36"/>
        </w:rPr>
        <w:t>资格文件格式</w:t>
      </w:r>
    </w:p>
    <w:p w14:paraId="23651EA1">
      <w:pPr>
        <w:snapToGrid w:val="0"/>
        <w:spacing w:before="156" w:beforeLines="50" w:after="50" w:line="360" w:lineRule="exact"/>
        <w:jc w:val="center"/>
        <w:rPr>
          <w:rFonts w:hint="eastAsia" w:asciiTheme="minorEastAsia" w:hAnsiTheme="minorEastAsia" w:eastAsiaTheme="minorEastAsia" w:cstheme="minorEastAsia"/>
          <w:b/>
          <w:bCs/>
          <w:color w:val="auto"/>
          <w:sz w:val="44"/>
          <w:szCs w:val="44"/>
        </w:rPr>
      </w:pPr>
    </w:p>
    <w:p w14:paraId="7954C2F4">
      <w:pPr>
        <w:snapToGrid w:val="0"/>
        <w:spacing w:before="156" w:beforeLines="50" w:after="50" w:line="360" w:lineRule="exact"/>
        <w:jc w:val="center"/>
        <w:rPr>
          <w:rFonts w:hint="eastAsia" w:asciiTheme="minorEastAsia" w:hAnsiTheme="minorEastAsia" w:eastAsiaTheme="minorEastAsia" w:cstheme="minorEastAsia"/>
          <w:b/>
          <w:bCs/>
          <w:color w:val="auto"/>
          <w:sz w:val="44"/>
          <w:szCs w:val="44"/>
        </w:rPr>
      </w:pPr>
    </w:p>
    <w:p w14:paraId="43C7FAE2">
      <w:pPr>
        <w:snapToGrid w:val="0"/>
        <w:spacing w:before="156" w:beforeLines="50" w:after="50" w:line="360" w:lineRule="exact"/>
        <w:jc w:val="center"/>
        <w:rPr>
          <w:rFonts w:hint="eastAsia" w:asciiTheme="minorEastAsia" w:hAnsiTheme="minorEastAsia" w:eastAsiaTheme="minorEastAsia" w:cstheme="minorEastAsia"/>
          <w:bCs/>
          <w:color w:val="auto"/>
          <w:sz w:val="24"/>
        </w:rPr>
      </w:pPr>
    </w:p>
    <w:p w14:paraId="69F08DAF">
      <w:pPr>
        <w:snapToGrid/>
        <w:spacing w:before="0" w:beforeLines="-2147483648" w:after="0" w:line="240" w:lineRule="auto"/>
        <w:ind w:right="0" w:rightChars="0"/>
        <w:jc w:val="left"/>
        <w:outlineLvl w:val="9"/>
        <w:rPr>
          <w:rFonts w:hint="eastAsia" w:asciiTheme="minorEastAsia" w:hAnsiTheme="minorEastAsia" w:eastAsiaTheme="minorEastAsia" w:cstheme="minorEastAsia"/>
          <w:color w:val="auto"/>
        </w:rPr>
      </w:pPr>
    </w:p>
    <w:p w14:paraId="4C786DC2">
      <w:pPr>
        <w:snapToGrid/>
        <w:spacing w:before="0" w:beforeLines="-2147483648" w:after="0" w:line="240" w:lineRule="auto"/>
        <w:ind w:right="0" w:rightChars="0"/>
        <w:jc w:val="left"/>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br w:type="page"/>
      </w:r>
    </w:p>
    <w:p w14:paraId="431776A1">
      <w:pPr>
        <w:tabs>
          <w:tab w:val="left" w:pos="3870"/>
          <w:tab w:val="left" w:pos="4085"/>
        </w:tabs>
        <w:snapToGrid w:val="0"/>
        <w:spacing w:line="500" w:lineRule="exact"/>
        <w:jc w:val="left"/>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
          <w:bCs/>
          <w:color w:val="auto"/>
          <w:sz w:val="24"/>
        </w:rPr>
        <w:t>资格文件目录</w:t>
      </w:r>
      <w:r>
        <w:rPr>
          <w:rFonts w:hint="eastAsia" w:asciiTheme="minorEastAsia" w:hAnsiTheme="minorEastAsia" w:eastAsiaTheme="minorEastAsia" w:cstheme="minorEastAsia"/>
          <w:b/>
          <w:color w:val="auto"/>
          <w:sz w:val="24"/>
        </w:rPr>
        <w:t>：</w:t>
      </w:r>
    </w:p>
    <w:p w14:paraId="26FFC42F">
      <w:pPr>
        <w:pStyle w:val="9"/>
        <w:spacing w:before="101" w:line="225"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由</w:t>
      </w:r>
      <w:r>
        <w:rPr>
          <w:rFonts w:hint="eastAsia" w:asciiTheme="minorEastAsia" w:hAnsiTheme="minorEastAsia" w:eastAsiaTheme="minorEastAsia" w:cstheme="minorEastAsia"/>
          <w:b/>
          <w:color w:val="auto"/>
          <w:sz w:val="24"/>
          <w:highlight w:val="none"/>
          <w:lang w:eastAsia="zh-CN"/>
        </w:rPr>
        <w:t>供应商</w:t>
      </w:r>
      <w:r>
        <w:rPr>
          <w:rFonts w:hint="eastAsia" w:asciiTheme="minorEastAsia" w:hAnsiTheme="minorEastAsia" w:eastAsiaTheme="minorEastAsia" w:cstheme="minorEastAsia"/>
          <w:b/>
          <w:color w:val="auto"/>
          <w:sz w:val="24"/>
          <w:highlight w:val="none"/>
        </w:rPr>
        <w:t>根据</w:t>
      </w:r>
      <w:r>
        <w:rPr>
          <w:rFonts w:hint="eastAsia" w:asciiTheme="minorEastAsia" w:hAnsiTheme="minorEastAsia" w:eastAsiaTheme="minorEastAsia" w:cstheme="minorEastAsia"/>
          <w:b/>
          <w:color w:val="auto"/>
          <w:sz w:val="24"/>
          <w:highlight w:val="none"/>
          <w:lang w:eastAsia="zh-CN"/>
        </w:rPr>
        <w:t>竞争性磋商文件</w:t>
      </w:r>
      <w:r>
        <w:rPr>
          <w:rFonts w:hint="eastAsia" w:asciiTheme="minorEastAsia" w:hAnsiTheme="minorEastAsia" w:eastAsiaTheme="minorEastAsia" w:cstheme="minorEastAsia"/>
          <w:b/>
          <w:color w:val="auto"/>
          <w:sz w:val="24"/>
          <w:highlight w:val="none"/>
        </w:rPr>
        <w:t>自行编制</w:t>
      </w:r>
    </w:p>
    <w:p w14:paraId="3E512867">
      <w:pP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p>
    <w:p w14:paraId="0F3C199A">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bCs/>
          <w:color w:val="auto"/>
          <w:spacing w:val="5"/>
          <w:sz w:val="32"/>
          <w:szCs w:val="32"/>
        </w:rPr>
        <w:t>政府采购供应商资格信用承诺函</w:t>
      </w:r>
    </w:p>
    <w:p w14:paraId="29A9B2E0">
      <w:pPr>
        <w:pStyle w:val="9"/>
        <w:keepNext w:val="0"/>
        <w:keepLines w:val="0"/>
        <w:pageBreakBefore w:val="0"/>
        <w:widowControl w:val="0"/>
        <w:kinsoku/>
        <w:wordWrap/>
        <w:overflowPunct/>
        <w:topLinePunct w:val="0"/>
        <w:autoSpaceDE/>
        <w:autoSpaceDN/>
        <w:bidi w:val="0"/>
        <w:adjustRightInd/>
        <w:snapToGrid w:val="0"/>
        <w:spacing w:line="360" w:lineRule="auto"/>
        <w:ind w:right="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0"/>
          <w:sz w:val="24"/>
          <w:szCs w:val="24"/>
        </w:rPr>
        <w:t>致：</w:t>
      </w:r>
      <w:r>
        <w:rPr>
          <w:rFonts w:hint="eastAsia" w:asciiTheme="minorEastAsia" w:hAnsiTheme="minorEastAsia" w:eastAsiaTheme="minorEastAsia" w:cstheme="minorEastAsia"/>
          <w:color w:val="auto"/>
          <w:spacing w:val="10"/>
          <w:sz w:val="24"/>
          <w:szCs w:val="24"/>
          <w:u w:val="single" w:color="auto"/>
          <w:lang w:val="en-US" w:eastAsia="zh-CN"/>
        </w:rPr>
        <w:t xml:space="preserve">              </w:t>
      </w:r>
    </w:p>
    <w:p w14:paraId="674C5E9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568"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2"/>
          <w:sz w:val="24"/>
          <w:szCs w:val="24"/>
        </w:rPr>
        <w:t>我方自愿参加</w:t>
      </w:r>
      <w:r>
        <w:rPr>
          <w:rFonts w:hint="eastAsia" w:asciiTheme="minorEastAsia" w:hAnsiTheme="minorEastAsia" w:eastAsiaTheme="minorEastAsia" w:cstheme="minorEastAsia"/>
          <w:color w:val="auto"/>
          <w:spacing w:val="-101"/>
          <w:sz w:val="24"/>
          <w:szCs w:val="24"/>
        </w:rPr>
        <w:t xml:space="preserve"> </w:t>
      </w:r>
      <w:r>
        <w:rPr>
          <w:rFonts w:hint="eastAsia" w:asciiTheme="minorEastAsia" w:hAnsiTheme="minorEastAsia" w:eastAsiaTheme="minorEastAsia" w:cstheme="minorEastAsia"/>
          <w:color w:val="auto"/>
          <w:spacing w:val="22"/>
          <w:sz w:val="24"/>
          <w:szCs w:val="24"/>
          <w:u w:val="single" w:color="auto"/>
        </w:rPr>
        <w:t xml:space="preserve">   </w:t>
      </w:r>
      <w:r>
        <w:rPr>
          <w:rFonts w:hint="eastAsia" w:asciiTheme="minorEastAsia" w:hAnsiTheme="minorEastAsia" w:eastAsiaTheme="minorEastAsia" w:cstheme="minorEastAsia"/>
          <w:color w:val="auto"/>
          <w:spacing w:val="22"/>
          <w:sz w:val="24"/>
          <w:szCs w:val="24"/>
          <w:u w:val="single" w:color="auto"/>
          <w:lang w:val="en-US" w:eastAsia="zh-CN"/>
        </w:rPr>
        <w:t xml:space="preserve">     </w:t>
      </w:r>
      <w:r>
        <w:rPr>
          <w:rFonts w:hint="eastAsia" w:asciiTheme="minorEastAsia" w:hAnsiTheme="minorEastAsia" w:eastAsiaTheme="minorEastAsia" w:cstheme="minorEastAsia"/>
          <w:color w:val="auto"/>
          <w:spacing w:val="8"/>
          <w:sz w:val="24"/>
          <w:szCs w:val="24"/>
        </w:rPr>
        <w:t>项目（项目编号：</w:t>
      </w:r>
      <w:r>
        <w:rPr>
          <w:rFonts w:hint="eastAsia" w:asciiTheme="minorEastAsia" w:hAnsiTheme="minorEastAsia" w:eastAsiaTheme="minorEastAsia" w:cstheme="minorEastAsia"/>
          <w:color w:val="auto"/>
          <w:spacing w:val="-84"/>
          <w:sz w:val="24"/>
          <w:szCs w:val="24"/>
        </w:rPr>
        <w:t xml:space="preserve"> </w:t>
      </w:r>
      <w:r>
        <w:rPr>
          <w:rFonts w:hint="eastAsia" w:asciiTheme="minorEastAsia" w:hAnsiTheme="minorEastAsia" w:eastAsiaTheme="minorEastAsia" w:cstheme="minorEastAsia"/>
          <w:color w:val="auto"/>
          <w:spacing w:val="8"/>
          <w:sz w:val="24"/>
          <w:szCs w:val="24"/>
          <w:u w:val="single" w:color="auto"/>
        </w:rPr>
        <w:t xml:space="preserve">  </w:t>
      </w:r>
      <w:r>
        <w:rPr>
          <w:rFonts w:hint="eastAsia" w:asciiTheme="minorEastAsia" w:hAnsiTheme="minorEastAsia" w:eastAsiaTheme="minorEastAsia" w:cstheme="minorEastAsia"/>
          <w:color w:val="auto"/>
          <w:sz w:val="24"/>
          <w:szCs w:val="24"/>
          <w:u w:val="single" w:color="auto"/>
          <w:lang w:val="en-US" w:eastAsia="zh-CN"/>
        </w:rPr>
        <w:t xml:space="preserve">       </w:t>
      </w:r>
      <w:r>
        <w:rPr>
          <w:rFonts w:hint="eastAsia" w:asciiTheme="minorEastAsia" w:hAnsiTheme="minorEastAsia" w:eastAsiaTheme="minorEastAsia" w:cstheme="minorEastAsia"/>
          <w:color w:val="auto"/>
          <w:spacing w:val="18"/>
          <w:sz w:val="24"/>
          <w:szCs w:val="24"/>
          <w:u w:val="single" w:color="auto"/>
        </w:rPr>
        <w:t xml:space="preserve"> </w:t>
      </w:r>
      <w:r>
        <w:rPr>
          <w:rFonts w:hint="eastAsia" w:asciiTheme="minorEastAsia" w:hAnsiTheme="minorEastAsia" w:eastAsiaTheme="minorEastAsia" w:cstheme="minorEastAsia"/>
          <w:color w:val="auto"/>
          <w:spacing w:val="-98"/>
          <w:sz w:val="24"/>
          <w:szCs w:val="24"/>
        </w:rPr>
        <w:t xml:space="preserve"> </w:t>
      </w:r>
      <w:r>
        <w:rPr>
          <w:rFonts w:hint="eastAsia" w:asciiTheme="minorEastAsia" w:hAnsiTheme="minorEastAsia" w:eastAsiaTheme="minorEastAsia" w:cstheme="minorEastAsia"/>
          <w:color w:val="auto"/>
          <w:spacing w:val="8"/>
          <w:sz w:val="24"/>
          <w:szCs w:val="24"/>
        </w:rPr>
        <w:t>）的政府采购活动，</w:t>
      </w:r>
      <w:r>
        <w:rPr>
          <w:rFonts w:hint="eastAsia" w:asciiTheme="minorEastAsia" w:hAnsiTheme="minorEastAsia" w:eastAsiaTheme="minorEastAsia" w:cstheme="minorEastAsia"/>
          <w:color w:val="auto"/>
          <w:spacing w:val="-75"/>
          <w:sz w:val="24"/>
          <w:szCs w:val="24"/>
        </w:rPr>
        <w:t xml:space="preserve"> </w:t>
      </w:r>
      <w:r>
        <w:rPr>
          <w:rFonts w:hint="eastAsia" w:asciiTheme="minorEastAsia" w:hAnsiTheme="minorEastAsia" w:eastAsiaTheme="minorEastAsia" w:cstheme="minorEastAsia"/>
          <w:color w:val="auto"/>
          <w:spacing w:val="8"/>
          <w:sz w:val="24"/>
          <w:szCs w:val="24"/>
        </w:rPr>
        <w:t>并</w:t>
      </w:r>
      <w:r>
        <w:rPr>
          <w:rFonts w:hint="eastAsia" w:asciiTheme="minorEastAsia" w:hAnsiTheme="minorEastAsia" w:eastAsiaTheme="minorEastAsia" w:cstheme="minorEastAsia"/>
          <w:color w:val="auto"/>
          <w:spacing w:val="11"/>
          <w:sz w:val="24"/>
          <w:szCs w:val="24"/>
        </w:rPr>
        <w:t>郑重承诺我方符合《中华人民共和国政府采购法》第二十二</w:t>
      </w:r>
      <w:r>
        <w:rPr>
          <w:rFonts w:hint="eastAsia" w:asciiTheme="minorEastAsia" w:hAnsiTheme="minorEastAsia" w:eastAsiaTheme="minorEastAsia" w:cstheme="minorEastAsia"/>
          <w:color w:val="auto"/>
          <w:spacing w:val="10"/>
          <w:sz w:val="24"/>
          <w:szCs w:val="24"/>
        </w:rPr>
        <w:t>条规定的条件：</w:t>
      </w:r>
    </w:p>
    <w:p w14:paraId="691DA21C">
      <w:pPr>
        <w:keepNext w:val="0"/>
        <w:keepLines w:val="0"/>
        <w:pageBreakBefore w:val="0"/>
        <w:widowControl w:val="0"/>
        <w:numPr>
          <w:ilvl w:val="0"/>
          <w:numId w:val="49"/>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具有独立承担民事责任的能力；</w:t>
      </w:r>
    </w:p>
    <w:p w14:paraId="0CE31C2D">
      <w:pPr>
        <w:keepNext w:val="0"/>
        <w:keepLines w:val="0"/>
        <w:pageBreakBefore w:val="0"/>
        <w:widowControl w:val="0"/>
        <w:numPr>
          <w:ilvl w:val="0"/>
          <w:numId w:val="49"/>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具有良好的商业信誉和健全的财务会计制度；</w:t>
      </w:r>
    </w:p>
    <w:p w14:paraId="092ED82D">
      <w:pPr>
        <w:keepNext w:val="0"/>
        <w:keepLines w:val="0"/>
        <w:pageBreakBefore w:val="0"/>
        <w:widowControl w:val="0"/>
        <w:numPr>
          <w:ilvl w:val="0"/>
          <w:numId w:val="49"/>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具有履行合同所必需的设备和专业技术能力；</w:t>
      </w:r>
    </w:p>
    <w:p w14:paraId="12C3A4D1">
      <w:pPr>
        <w:keepNext w:val="0"/>
        <w:keepLines w:val="0"/>
        <w:pageBreakBefore w:val="0"/>
        <w:widowControl w:val="0"/>
        <w:numPr>
          <w:ilvl w:val="0"/>
          <w:numId w:val="49"/>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有依法缴纳税收和社会保障资金的良好记录；</w:t>
      </w:r>
    </w:p>
    <w:p w14:paraId="5DF757A5">
      <w:pPr>
        <w:keepNext w:val="0"/>
        <w:keepLines w:val="0"/>
        <w:pageBreakBefore w:val="0"/>
        <w:widowControl w:val="0"/>
        <w:numPr>
          <w:ilvl w:val="0"/>
          <w:numId w:val="49"/>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参加政府采购活动前三年内，在经营活动中没有重大违法记录；</w:t>
      </w:r>
    </w:p>
    <w:p w14:paraId="17E618F4">
      <w:pPr>
        <w:keepNext w:val="0"/>
        <w:keepLines w:val="0"/>
        <w:pageBreakBefore w:val="0"/>
        <w:widowControl w:val="0"/>
        <w:numPr>
          <w:ilvl w:val="0"/>
          <w:numId w:val="49"/>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法律、行政法规规定的其他条件。</w:t>
      </w:r>
    </w:p>
    <w:p w14:paraId="47C921DE">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50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我方保证上述承诺事项的真实性，</w:t>
      </w:r>
      <w:r>
        <w:rPr>
          <w:rFonts w:hint="eastAsia" w:asciiTheme="minorEastAsia" w:hAnsiTheme="minorEastAsia" w:eastAsiaTheme="minorEastAsia" w:cstheme="minorEastAsia"/>
          <w:color w:val="auto"/>
          <w:spacing w:val="-70"/>
          <w:sz w:val="24"/>
          <w:szCs w:val="24"/>
        </w:rPr>
        <w:t xml:space="preserve"> </w:t>
      </w:r>
      <w:r>
        <w:rPr>
          <w:rFonts w:hint="eastAsia" w:asciiTheme="minorEastAsia" w:hAnsiTheme="minorEastAsia" w:eastAsiaTheme="minorEastAsia" w:cstheme="minorEastAsia"/>
          <w:color w:val="auto"/>
          <w:spacing w:val="7"/>
          <w:sz w:val="24"/>
          <w:szCs w:val="24"/>
        </w:rPr>
        <w:t>如有弄虚作假或其他违法违规行为，</w:t>
      </w:r>
      <w:r>
        <w:rPr>
          <w:rFonts w:hint="eastAsia" w:asciiTheme="minorEastAsia" w:hAnsiTheme="minorEastAsia" w:eastAsiaTheme="minorEastAsia" w:cstheme="minorEastAsia"/>
          <w:color w:val="auto"/>
          <w:spacing w:val="10"/>
          <w:sz w:val="24"/>
          <w:szCs w:val="24"/>
        </w:rPr>
        <w:t>愿意承担一切法律责任，并承担因此所造成的一切损失。</w:t>
      </w:r>
    </w:p>
    <w:p w14:paraId="2E613C9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7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1"/>
          <w:sz w:val="24"/>
          <w:szCs w:val="24"/>
        </w:rPr>
        <w:t>特此声明！</w:t>
      </w:r>
    </w:p>
    <w:p w14:paraId="57D2FF46">
      <w:pPr>
        <w:spacing w:line="360" w:lineRule="auto"/>
        <w:rPr>
          <w:rFonts w:hint="eastAsia" w:asciiTheme="minorEastAsia" w:hAnsiTheme="minorEastAsia" w:eastAsiaTheme="minorEastAsia" w:cstheme="minorEastAsia"/>
          <w:color w:val="auto"/>
          <w:sz w:val="24"/>
          <w:szCs w:val="24"/>
        </w:rPr>
      </w:pPr>
    </w:p>
    <w:p w14:paraId="7CACE364">
      <w:pPr>
        <w:spacing w:line="360" w:lineRule="auto"/>
        <w:rPr>
          <w:rFonts w:hint="eastAsia" w:asciiTheme="minorEastAsia" w:hAnsiTheme="minorEastAsia" w:eastAsiaTheme="minorEastAsia" w:cstheme="minorEastAsia"/>
          <w:color w:val="auto"/>
          <w:sz w:val="24"/>
          <w:szCs w:val="24"/>
        </w:rPr>
      </w:pPr>
    </w:p>
    <w:p w14:paraId="6AD51BF0">
      <w:pPr>
        <w:spacing w:line="360" w:lineRule="auto"/>
        <w:rPr>
          <w:rFonts w:hint="eastAsia" w:asciiTheme="minorEastAsia" w:hAnsiTheme="minorEastAsia" w:eastAsiaTheme="minorEastAsia" w:cstheme="minorEastAsia"/>
          <w:color w:val="auto"/>
          <w:sz w:val="24"/>
          <w:szCs w:val="24"/>
        </w:rPr>
      </w:pPr>
    </w:p>
    <w:p w14:paraId="7C6453C9">
      <w:pPr>
        <w:pStyle w:val="9"/>
        <w:keepNext w:val="0"/>
        <w:keepLines w:val="0"/>
        <w:pageBreakBefore w:val="0"/>
        <w:widowControl w:val="0"/>
        <w:kinsoku/>
        <w:wordWrap/>
        <w:overflowPunct/>
        <w:topLinePunct w:val="0"/>
        <w:autoSpaceDE/>
        <w:autoSpaceDN/>
        <w:bidi w:val="0"/>
        <w:adjustRightInd/>
        <w:snapToGrid w:val="0"/>
        <w:spacing w:line="480" w:lineRule="auto"/>
        <w:ind w:left="0" w:firstLine="1428" w:firstLineChars="6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法定代表人或委托代理人</w:t>
      </w:r>
      <w:r>
        <w:rPr>
          <w:rFonts w:hint="eastAsia" w:asciiTheme="minorEastAsia" w:hAnsiTheme="minorEastAsia" w:eastAsiaTheme="minorEastAsia" w:cstheme="minorEastAsia"/>
          <w:b/>
          <w:bCs/>
          <w:color w:val="auto"/>
          <w:spacing w:val="-1"/>
          <w:sz w:val="24"/>
          <w:szCs w:val="24"/>
        </w:rPr>
        <w:t>（签字或</w:t>
      </w:r>
      <w:r>
        <w:rPr>
          <w:rFonts w:hint="eastAsia" w:asciiTheme="minorEastAsia" w:hAnsiTheme="minorEastAsia" w:eastAsiaTheme="minorEastAsia" w:cstheme="minorEastAsia"/>
          <w:b/>
          <w:bCs/>
          <w:color w:val="auto"/>
          <w:spacing w:val="-1"/>
          <w:sz w:val="24"/>
          <w:szCs w:val="24"/>
          <w:lang w:val="en-US" w:eastAsia="zh-CN"/>
        </w:rPr>
        <w:t>CA</w:t>
      </w:r>
      <w:r>
        <w:rPr>
          <w:rFonts w:hint="eastAsia" w:asciiTheme="minorEastAsia" w:hAnsiTheme="minorEastAsia" w:eastAsiaTheme="minorEastAsia" w:cstheme="minorEastAsia"/>
          <w:b/>
          <w:bCs/>
          <w:color w:val="auto"/>
          <w:sz w:val="24"/>
          <w:szCs w:val="24"/>
          <w:highlight w:val="none"/>
        </w:rPr>
        <w:t>电子签字章</w:t>
      </w:r>
      <w:r>
        <w:rPr>
          <w:rFonts w:hint="eastAsia" w:asciiTheme="minorEastAsia" w:hAnsiTheme="minorEastAsia" w:eastAsiaTheme="minorEastAsia" w:cstheme="minorEastAsia"/>
          <w:b/>
          <w:bCs/>
          <w:color w:val="auto"/>
          <w:spacing w:val="-19"/>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0BE0D51">
      <w:pPr>
        <w:pStyle w:val="9"/>
        <w:keepNext w:val="0"/>
        <w:keepLines w:val="0"/>
        <w:pageBreakBefore w:val="0"/>
        <w:widowControl w:val="0"/>
        <w:kinsoku/>
        <w:wordWrap/>
        <w:overflowPunct/>
        <w:topLinePunct w:val="0"/>
        <w:autoSpaceDE/>
        <w:autoSpaceDN/>
        <w:bidi w:val="0"/>
        <w:adjustRightInd/>
        <w:snapToGrid w:val="0"/>
        <w:spacing w:line="480" w:lineRule="auto"/>
        <w:ind w:left="2937" w:leftChars="1200" w:hanging="417" w:hangingChars="183"/>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政府采购供应商</w:t>
      </w:r>
      <w:r>
        <w:rPr>
          <w:rFonts w:hint="eastAsia" w:asciiTheme="minorEastAsia" w:hAnsiTheme="minorEastAsia" w:eastAsiaTheme="minorEastAsia" w:cstheme="minorEastAsia"/>
          <w:b/>
          <w:bCs/>
          <w:color w:val="auto"/>
          <w:spacing w:val="-6"/>
          <w:sz w:val="24"/>
          <w:szCs w:val="24"/>
        </w:rPr>
        <w:t>（公章或</w:t>
      </w:r>
      <w:r>
        <w:rPr>
          <w:rFonts w:hint="eastAsia" w:asciiTheme="minorEastAsia" w:hAnsiTheme="minorEastAsia" w:eastAsiaTheme="minorEastAsia" w:cstheme="minorEastAsia"/>
          <w:b/>
          <w:bCs/>
          <w:color w:val="auto"/>
          <w:spacing w:val="-6"/>
          <w:sz w:val="24"/>
          <w:szCs w:val="24"/>
          <w:lang w:val="en-US" w:eastAsia="zh-CN"/>
        </w:rPr>
        <w:t>CA</w:t>
      </w:r>
      <w:r>
        <w:rPr>
          <w:rFonts w:hint="eastAsia" w:asciiTheme="minorEastAsia" w:hAnsiTheme="minorEastAsia" w:eastAsiaTheme="minorEastAsia" w:cstheme="minorEastAsia"/>
          <w:b/>
          <w:bCs/>
          <w:color w:val="auto"/>
          <w:spacing w:val="-6"/>
          <w:sz w:val="24"/>
          <w:szCs w:val="24"/>
        </w:rPr>
        <w:t>电子</w:t>
      </w:r>
      <w:r>
        <w:rPr>
          <w:rFonts w:hint="eastAsia" w:asciiTheme="minorEastAsia" w:hAnsiTheme="minorEastAsia" w:eastAsiaTheme="minorEastAsia" w:cstheme="minorEastAsia"/>
          <w:b/>
          <w:bCs/>
          <w:color w:val="auto"/>
          <w:spacing w:val="-6"/>
          <w:sz w:val="24"/>
          <w:szCs w:val="24"/>
          <w:lang w:eastAsia="zh-CN"/>
        </w:rPr>
        <w:t>签</w:t>
      </w:r>
      <w:r>
        <w:rPr>
          <w:rFonts w:hint="eastAsia" w:asciiTheme="minorEastAsia" w:hAnsiTheme="minorEastAsia" w:eastAsiaTheme="minorEastAsia" w:cstheme="minorEastAsia"/>
          <w:b/>
          <w:bCs/>
          <w:color w:val="auto"/>
          <w:spacing w:val="-6"/>
          <w:sz w:val="24"/>
          <w:szCs w:val="24"/>
        </w:rPr>
        <w:t>章</w:t>
      </w:r>
      <w:r>
        <w:rPr>
          <w:rFonts w:hint="eastAsia" w:asciiTheme="minorEastAsia" w:hAnsiTheme="minorEastAsia" w:eastAsiaTheme="minorEastAsia" w:cstheme="minorEastAsia"/>
          <w:b/>
          <w:bCs/>
          <w:color w:val="auto"/>
          <w:spacing w:val="-5"/>
          <w:sz w:val="24"/>
          <w:szCs w:val="24"/>
        </w:rPr>
        <w:t>）</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081F11E9">
      <w:pPr>
        <w:pStyle w:val="9"/>
        <w:spacing w:before="101" w:line="225" w:lineRule="auto"/>
        <w:ind w:left="3004"/>
        <w:jc w:val="right"/>
        <w:rPr>
          <w:rFonts w:hint="eastAsia" w:asciiTheme="minorEastAsia" w:hAnsiTheme="minorEastAsia" w:eastAsiaTheme="minorEastAsia" w:cstheme="minorEastAsia"/>
          <w:color w:val="auto"/>
          <w:spacing w:val="-24"/>
          <w:sz w:val="24"/>
          <w:szCs w:val="24"/>
          <w:u w:val="none"/>
        </w:rPr>
      </w:pPr>
      <w:r>
        <w:rPr>
          <w:rFonts w:hint="eastAsia" w:asciiTheme="minorEastAsia" w:hAnsiTheme="minorEastAsia" w:eastAsiaTheme="minorEastAsia" w:cstheme="minorEastAsia"/>
          <w:color w:val="auto"/>
          <w:spacing w:val="-24"/>
          <w:sz w:val="24"/>
          <w:szCs w:val="24"/>
          <w:lang w:val="en-US" w:eastAsia="zh-CN"/>
        </w:rPr>
        <w:t xml:space="preserve"> </w:t>
      </w:r>
      <w:r>
        <w:rPr>
          <w:rFonts w:hint="eastAsia" w:asciiTheme="minorEastAsia" w:hAnsiTheme="minorEastAsia" w:eastAsiaTheme="minorEastAsia" w:cstheme="minorEastAsia"/>
          <w:color w:val="auto"/>
          <w:spacing w:val="-24"/>
          <w:sz w:val="24"/>
          <w:szCs w:val="24"/>
        </w:rPr>
        <w:t>日期</w:t>
      </w:r>
      <w:r>
        <w:rPr>
          <w:rFonts w:hint="eastAsia" w:asciiTheme="minorEastAsia" w:hAnsiTheme="minorEastAsia" w:eastAsiaTheme="minorEastAsia" w:cstheme="minorEastAsia"/>
          <w:color w:val="auto"/>
          <w:spacing w:val="-24"/>
          <w:sz w:val="24"/>
          <w:szCs w:val="24"/>
          <w:lang w:val="en-US" w:eastAsia="zh-CN"/>
        </w:rPr>
        <w:t xml:space="preserve"> </w:t>
      </w:r>
      <w:r>
        <w:rPr>
          <w:rFonts w:hint="eastAsia" w:asciiTheme="minorEastAsia" w:hAnsiTheme="minorEastAsia" w:eastAsiaTheme="minorEastAsia" w:cstheme="minorEastAsia"/>
          <w:color w:val="auto"/>
          <w:spacing w:val="-24"/>
          <w:sz w:val="24"/>
          <w:szCs w:val="24"/>
          <w:lang w:eastAsia="zh-CN"/>
        </w:rPr>
        <w:t>：</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182D5DC6">
      <w:pPr>
        <w:pStyle w:val="9"/>
        <w:spacing w:before="101" w:line="225" w:lineRule="auto"/>
        <w:ind w:left="3004"/>
        <w:rPr>
          <w:rFonts w:hint="eastAsia" w:asciiTheme="minorEastAsia" w:hAnsiTheme="minorEastAsia" w:eastAsiaTheme="minorEastAsia" w:cstheme="minorEastAsia"/>
          <w:color w:val="auto"/>
          <w:spacing w:val="-24"/>
          <w:sz w:val="24"/>
          <w:szCs w:val="24"/>
          <w:u w:val="none"/>
        </w:rPr>
        <w:sectPr>
          <w:footerReference r:id="rId8" w:type="default"/>
          <w:pgSz w:w="11912" w:h="16841"/>
          <w:pgMar w:top="1440" w:right="1800" w:bottom="1440" w:left="1800" w:header="0" w:footer="779" w:gutter="0"/>
          <w:pgNumType w:fmt="decimal"/>
          <w:cols w:space="720" w:num="1"/>
        </w:sectPr>
      </w:pPr>
    </w:p>
    <w:p w14:paraId="7A1F5DCC">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供应商直接控股股东信息表</w:t>
      </w:r>
    </w:p>
    <w:p w14:paraId="6E535471">
      <w:pPr>
        <w:spacing w:line="42" w:lineRule="exact"/>
        <w:rPr>
          <w:rFonts w:hint="eastAsia" w:asciiTheme="minorEastAsia" w:hAnsiTheme="minorEastAsia" w:eastAsiaTheme="minorEastAsia" w:cstheme="minorEastAsia"/>
          <w:color w:val="auto"/>
        </w:rPr>
      </w:pPr>
    </w:p>
    <w:tbl>
      <w:tblPr>
        <w:tblStyle w:val="27"/>
        <w:tblW w:w="95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8"/>
        <w:gridCol w:w="2489"/>
        <w:gridCol w:w="1363"/>
        <w:gridCol w:w="4017"/>
        <w:gridCol w:w="820"/>
      </w:tblGrid>
      <w:tr w14:paraId="3CEB55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jc w:val="center"/>
        </w:trPr>
        <w:tc>
          <w:tcPr>
            <w:tcW w:w="828" w:type="dxa"/>
            <w:shd w:val="clear" w:color="auto" w:fill="EAE3D8"/>
            <w:vAlign w:val="center"/>
          </w:tcPr>
          <w:p w14:paraId="6590354F">
            <w:pPr>
              <w:pStyle w:val="28"/>
              <w:keepNext w:val="0"/>
              <w:keepLines w:val="0"/>
              <w:pageBreakBefore w:val="0"/>
              <w:widowControl w:val="0"/>
              <w:kinsoku/>
              <w:wordWrap/>
              <w:overflowPunct/>
              <w:topLinePunct w:val="0"/>
              <w:autoSpaceDE/>
              <w:autoSpaceDN/>
              <w:bidi w:val="0"/>
              <w:adjustRightInd/>
              <w:snapToGrid w:val="0"/>
              <w:spacing w:line="222"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5"/>
                <w:sz w:val="24"/>
                <w:szCs w:val="24"/>
              </w:rPr>
              <w:t>序号</w:t>
            </w:r>
          </w:p>
        </w:tc>
        <w:tc>
          <w:tcPr>
            <w:tcW w:w="2489" w:type="dxa"/>
            <w:shd w:val="clear" w:color="auto" w:fill="EAE3D8"/>
            <w:vAlign w:val="center"/>
          </w:tcPr>
          <w:p w14:paraId="0D6F16E2">
            <w:pPr>
              <w:pStyle w:val="28"/>
              <w:keepNext w:val="0"/>
              <w:keepLines w:val="0"/>
              <w:pageBreakBefore w:val="0"/>
              <w:widowControl w:val="0"/>
              <w:kinsoku/>
              <w:wordWrap/>
              <w:overflowPunct/>
              <w:topLinePunct w:val="0"/>
              <w:autoSpaceDE/>
              <w:autoSpaceDN/>
              <w:bidi w:val="0"/>
              <w:adjustRightInd/>
              <w:snapToGrid w:val="0"/>
              <w:spacing w:line="221"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4"/>
                <w:sz w:val="24"/>
                <w:szCs w:val="24"/>
              </w:rPr>
              <w:t>直接控股股东名称</w:t>
            </w:r>
          </w:p>
        </w:tc>
        <w:tc>
          <w:tcPr>
            <w:tcW w:w="1363" w:type="dxa"/>
            <w:shd w:val="clear" w:color="auto" w:fill="EAE3D8"/>
            <w:vAlign w:val="center"/>
          </w:tcPr>
          <w:p w14:paraId="71B150B8">
            <w:pPr>
              <w:pStyle w:val="28"/>
              <w:keepNext w:val="0"/>
              <w:keepLines w:val="0"/>
              <w:pageBreakBefore w:val="0"/>
              <w:widowControl w:val="0"/>
              <w:kinsoku/>
              <w:wordWrap/>
              <w:overflowPunct/>
              <w:topLinePunct w:val="0"/>
              <w:autoSpaceDE/>
              <w:autoSpaceDN/>
              <w:bidi w:val="0"/>
              <w:adjustRightInd/>
              <w:snapToGrid w:val="0"/>
              <w:spacing w:line="222"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11"/>
                <w:sz w:val="24"/>
                <w:szCs w:val="24"/>
              </w:rPr>
              <w:t>出资比例</w:t>
            </w:r>
          </w:p>
        </w:tc>
        <w:tc>
          <w:tcPr>
            <w:tcW w:w="4017" w:type="dxa"/>
            <w:shd w:val="clear" w:color="auto" w:fill="EAE3D8"/>
            <w:vAlign w:val="center"/>
          </w:tcPr>
          <w:p w14:paraId="7100A071">
            <w:pPr>
              <w:pStyle w:val="28"/>
              <w:keepNext w:val="0"/>
              <w:keepLines w:val="0"/>
              <w:pageBreakBefore w:val="0"/>
              <w:widowControl w:val="0"/>
              <w:kinsoku/>
              <w:wordWrap/>
              <w:overflowPunct/>
              <w:topLinePunct w:val="0"/>
              <w:autoSpaceDE/>
              <w:autoSpaceDN/>
              <w:bidi w:val="0"/>
              <w:adjustRightInd/>
              <w:snapToGrid w:val="0"/>
              <w:spacing w:line="220" w:lineRule="auto"/>
              <w:ind w:left="0"/>
              <w:jc w:val="center"/>
              <w:textAlignment w:val="auto"/>
              <w:rPr>
                <w:rFonts w:hint="eastAsia" w:asciiTheme="minorEastAsia" w:hAnsiTheme="minorEastAsia" w:eastAsiaTheme="minorEastAsia" w:cstheme="minorEastAsia"/>
                <w:b/>
                <w:bCs/>
                <w:color w:val="auto"/>
                <w:spacing w:val="-4"/>
                <w:sz w:val="24"/>
                <w:szCs w:val="24"/>
              </w:rPr>
            </w:pPr>
            <w:r>
              <w:rPr>
                <w:rFonts w:hint="eastAsia" w:asciiTheme="minorEastAsia" w:hAnsiTheme="minorEastAsia" w:eastAsiaTheme="minorEastAsia" w:cstheme="minorEastAsia"/>
                <w:b/>
                <w:bCs/>
                <w:color w:val="auto"/>
                <w:spacing w:val="-4"/>
                <w:sz w:val="24"/>
                <w:szCs w:val="24"/>
              </w:rPr>
              <w:t>身份证号码或者统一社会信用</w:t>
            </w:r>
          </w:p>
          <w:p w14:paraId="3DBD71F8">
            <w:pPr>
              <w:pStyle w:val="28"/>
              <w:keepNext w:val="0"/>
              <w:keepLines w:val="0"/>
              <w:pageBreakBefore w:val="0"/>
              <w:widowControl w:val="0"/>
              <w:kinsoku/>
              <w:wordWrap/>
              <w:overflowPunct/>
              <w:topLinePunct w:val="0"/>
              <w:autoSpaceDE/>
              <w:autoSpaceDN/>
              <w:bidi w:val="0"/>
              <w:adjustRightInd/>
              <w:snapToGrid w:val="0"/>
              <w:spacing w:line="22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4"/>
                <w:sz w:val="24"/>
                <w:szCs w:val="24"/>
              </w:rPr>
              <w:t>代</w:t>
            </w:r>
            <w:r>
              <w:rPr>
                <w:rFonts w:hint="eastAsia" w:asciiTheme="minorEastAsia" w:hAnsiTheme="minorEastAsia" w:eastAsiaTheme="minorEastAsia" w:cstheme="minorEastAsia"/>
                <w:b/>
                <w:bCs/>
                <w:color w:val="auto"/>
                <w:spacing w:val="-3"/>
                <w:sz w:val="24"/>
                <w:szCs w:val="24"/>
              </w:rPr>
              <w:t>码</w:t>
            </w:r>
          </w:p>
        </w:tc>
        <w:tc>
          <w:tcPr>
            <w:tcW w:w="820" w:type="dxa"/>
            <w:shd w:val="clear" w:color="auto" w:fill="EAE3D8"/>
            <w:vAlign w:val="center"/>
          </w:tcPr>
          <w:p w14:paraId="3392FACA">
            <w:pPr>
              <w:pStyle w:val="28"/>
              <w:keepNext w:val="0"/>
              <w:keepLines w:val="0"/>
              <w:pageBreakBefore w:val="0"/>
              <w:widowControl w:val="0"/>
              <w:kinsoku/>
              <w:wordWrap/>
              <w:overflowPunct/>
              <w:topLinePunct w:val="0"/>
              <w:autoSpaceDE/>
              <w:autoSpaceDN/>
              <w:bidi w:val="0"/>
              <w:adjustRightInd/>
              <w:snapToGrid w:val="0"/>
              <w:spacing w:line="222"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7"/>
                <w:sz w:val="24"/>
                <w:szCs w:val="24"/>
              </w:rPr>
              <w:t>备注</w:t>
            </w:r>
          </w:p>
        </w:tc>
      </w:tr>
      <w:tr w14:paraId="5649C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jc w:val="center"/>
        </w:trPr>
        <w:tc>
          <w:tcPr>
            <w:tcW w:w="828" w:type="dxa"/>
            <w:shd w:val="clear" w:color="auto" w:fill="F8F8F8"/>
            <w:vAlign w:val="center"/>
          </w:tcPr>
          <w:p w14:paraId="3855AFA2">
            <w:pPr>
              <w:pStyle w:val="28"/>
              <w:keepNext w:val="0"/>
              <w:keepLines w:val="0"/>
              <w:pageBreakBefore w:val="0"/>
              <w:widowControl w:val="0"/>
              <w:kinsoku/>
              <w:wordWrap/>
              <w:overflowPunct/>
              <w:topLinePunct w:val="0"/>
              <w:autoSpaceDE/>
              <w:autoSpaceDN/>
              <w:bidi w:val="0"/>
              <w:adjustRightInd/>
              <w:snapToGrid w:val="0"/>
              <w:spacing w:line="242"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2489" w:type="dxa"/>
            <w:shd w:val="clear" w:color="auto" w:fill="F8F8F8"/>
            <w:vAlign w:val="center"/>
          </w:tcPr>
          <w:p w14:paraId="65760979">
            <w:pPr>
              <w:keepNext w:val="0"/>
              <w:keepLines w:val="0"/>
              <w:pageBreakBefore w:val="0"/>
              <w:widowControl w:val="0"/>
              <w:kinsoku/>
              <w:wordWrap/>
              <w:overflowPunct/>
              <w:topLinePunct w:val="0"/>
              <w:autoSpaceDE/>
              <w:autoSpaceDN/>
              <w:bidi w:val="0"/>
              <w:adjustRightInd/>
              <w:snapToGrid w:val="0"/>
              <w:ind w:left="0"/>
              <w:jc w:val="center"/>
              <w:textAlignment w:val="auto"/>
              <w:rPr>
                <w:rFonts w:hint="eastAsia" w:asciiTheme="minorEastAsia" w:hAnsiTheme="minorEastAsia" w:eastAsiaTheme="minorEastAsia" w:cstheme="minorEastAsia"/>
                <w:color w:val="auto"/>
                <w:sz w:val="24"/>
                <w:szCs w:val="24"/>
              </w:rPr>
            </w:pPr>
          </w:p>
        </w:tc>
        <w:tc>
          <w:tcPr>
            <w:tcW w:w="1363" w:type="dxa"/>
            <w:shd w:val="clear" w:color="auto" w:fill="F8F8F8"/>
            <w:vAlign w:val="top"/>
          </w:tcPr>
          <w:p w14:paraId="0FA81CE1">
            <w:pPr>
              <w:rPr>
                <w:rFonts w:hint="eastAsia" w:asciiTheme="minorEastAsia" w:hAnsiTheme="minorEastAsia" w:eastAsiaTheme="minorEastAsia" w:cstheme="minorEastAsia"/>
                <w:color w:val="auto"/>
                <w:sz w:val="21"/>
              </w:rPr>
            </w:pPr>
          </w:p>
        </w:tc>
        <w:tc>
          <w:tcPr>
            <w:tcW w:w="4017" w:type="dxa"/>
            <w:shd w:val="clear" w:color="auto" w:fill="F8F8F8"/>
            <w:vAlign w:val="top"/>
          </w:tcPr>
          <w:p w14:paraId="324EF895">
            <w:pPr>
              <w:rPr>
                <w:rFonts w:hint="eastAsia" w:asciiTheme="minorEastAsia" w:hAnsiTheme="minorEastAsia" w:eastAsiaTheme="minorEastAsia" w:cstheme="minorEastAsia"/>
                <w:color w:val="auto"/>
                <w:sz w:val="21"/>
              </w:rPr>
            </w:pPr>
          </w:p>
        </w:tc>
        <w:tc>
          <w:tcPr>
            <w:tcW w:w="820" w:type="dxa"/>
            <w:shd w:val="clear" w:color="auto" w:fill="F8F8F8"/>
            <w:vAlign w:val="top"/>
          </w:tcPr>
          <w:p w14:paraId="063DA953">
            <w:pPr>
              <w:rPr>
                <w:rFonts w:hint="eastAsia" w:asciiTheme="minorEastAsia" w:hAnsiTheme="minorEastAsia" w:eastAsiaTheme="minorEastAsia" w:cstheme="minorEastAsia"/>
                <w:color w:val="auto"/>
                <w:sz w:val="21"/>
              </w:rPr>
            </w:pPr>
          </w:p>
        </w:tc>
      </w:tr>
      <w:tr w14:paraId="72045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828" w:type="dxa"/>
            <w:shd w:val="clear" w:color="auto" w:fill="F8F8F8"/>
            <w:vAlign w:val="center"/>
          </w:tcPr>
          <w:p w14:paraId="042D2E81">
            <w:pPr>
              <w:pStyle w:val="28"/>
              <w:keepNext w:val="0"/>
              <w:keepLines w:val="0"/>
              <w:pageBreakBefore w:val="0"/>
              <w:widowControl w:val="0"/>
              <w:kinsoku/>
              <w:wordWrap/>
              <w:overflowPunct/>
              <w:topLinePunct w:val="0"/>
              <w:autoSpaceDE/>
              <w:autoSpaceDN/>
              <w:bidi w:val="0"/>
              <w:adjustRightInd/>
              <w:snapToGrid w:val="0"/>
              <w:spacing w:line="242"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2489" w:type="dxa"/>
            <w:shd w:val="clear" w:color="auto" w:fill="F8F8F8"/>
            <w:vAlign w:val="center"/>
          </w:tcPr>
          <w:p w14:paraId="5B9FD15D">
            <w:pPr>
              <w:keepNext w:val="0"/>
              <w:keepLines w:val="0"/>
              <w:pageBreakBefore w:val="0"/>
              <w:widowControl w:val="0"/>
              <w:kinsoku/>
              <w:wordWrap/>
              <w:overflowPunct/>
              <w:topLinePunct w:val="0"/>
              <w:autoSpaceDE/>
              <w:autoSpaceDN/>
              <w:bidi w:val="0"/>
              <w:adjustRightInd/>
              <w:snapToGrid w:val="0"/>
              <w:ind w:left="0"/>
              <w:jc w:val="center"/>
              <w:textAlignment w:val="auto"/>
              <w:rPr>
                <w:rFonts w:hint="eastAsia" w:asciiTheme="minorEastAsia" w:hAnsiTheme="minorEastAsia" w:eastAsiaTheme="minorEastAsia" w:cstheme="minorEastAsia"/>
                <w:color w:val="auto"/>
                <w:sz w:val="24"/>
                <w:szCs w:val="24"/>
              </w:rPr>
            </w:pPr>
          </w:p>
        </w:tc>
        <w:tc>
          <w:tcPr>
            <w:tcW w:w="1363" w:type="dxa"/>
            <w:shd w:val="clear" w:color="auto" w:fill="F8F8F8"/>
            <w:vAlign w:val="top"/>
          </w:tcPr>
          <w:p w14:paraId="0563128E">
            <w:pPr>
              <w:rPr>
                <w:rFonts w:hint="eastAsia" w:asciiTheme="minorEastAsia" w:hAnsiTheme="minorEastAsia" w:eastAsiaTheme="minorEastAsia" w:cstheme="minorEastAsia"/>
                <w:color w:val="auto"/>
                <w:sz w:val="21"/>
              </w:rPr>
            </w:pPr>
          </w:p>
        </w:tc>
        <w:tc>
          <w:tcPr>
            <w:tcW w:w="4017" w:type="dxa"/>
            <w:shd w:val="clear" w:color="auto" w:fill="F8F8F8"/>
            <w:vAlign w:val="top"/>
          </w:tcPr>
          <w:p w14:paraId="25997074">
            <w:pPr>
              <w:rPr>
                <w:rFonts w:hint="eastAsia" w:asciiTheme="minorEastAsia" w:hAnsiTheme="minorEastAsia" w:eastAsiaTheme="minorEastAsia" w:cstheme="minorEastAsia"/>
                <w:color w:val="auto"/>
                <w:sz w:val="21"/>
              </w:rPr>
            </w:pPr>
          </w:p>
        </w:tc>
        <w:tc>
          <w:tcPr>
            <w:tcW w:w="820" w:type="dxa"/>
            <w:shd w:val="clear" w:color="auto" w:fill="F8F8F8"/>
            <w:vAlign w:val="top"/>
          </w:tcPr>
          <w:p w14:paraId="142CE67F">
            <w:pPr>
              <w:rPr>
                <w:rFonts w:hint="eastAsia" w:asciiTheme="minorEastAsia" w:hAnsiTheme="minorEastAsia" w:eastAsiaTheme="minorEastAsia" w:cstheme="minorEastAsia"/>
                <w:color w:val="auto"/>
                <w:sz w:val="21"/>
              </w:rPr>
            </w:pPr>
          </w:p>
        </w:tc>
      </w:tr>
      <w:tr w14:paraId="7F968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jc w:val="center"/>
        </w:trPr>
        <w:tc>
          <w:tcPr>
            <w:tcW w:w="828" w:type="dxa"/>
            <w:shd w:val="clear" w:color="auto" w:fill="F8F8F8"/>
            <w:vAlign w:val="center"/>
          </w:tcPr>
          <w:p w14:paraId="4A62D5D8">
            <w:pPr>
              <w:pStyle w:val="28"/>
              <w:keepNext w:val="0"/>
              <w:keepLines w:val="0"/>
              <w:pageBreakBefore w:val="0"/>
              <w:widowControl w:val="0"/>
              <w:kinsoku/>
              <w:wordWrap/>
              <w:overflowPunct/>
              <w:topLinePunct w:val="0"/>
              <w:autoSpaceDE/>
              <w:autoSpaceDN/>
              <w:bidi w:val="0"/>
              <w:adjustRightInd/>
              <w:snapToGrid w:val="0"/>
              <w:spacing w:line="241"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2489" w:type="dxa"/>
            <w:shd w:val="clear" w:color="auto" w:fill="F8F8F8"/>
            <w:vAlign w:val="center"/>
          </w:tcPr>
          <w:p w14:paraId="7F3DAB1A">
            <w:pPr>
              <w:keepNext w:val="0"/>
              <w:keepLines w:val="0"/>
              <w:pageBreakBefore w:val="0"/>
              <w:widowControl w:val="0"/>
              <w:kinsoku/>
              <w:wordWrap/>
              <w:overflowPunct/>
              <w:topLinePunct w:val="0"/>
              <w:autoSpaceDE/>
              <w:autoSpaceDN/>
              <w:bidi w:val="0"/>
              <w:adjustRightInd/>
              <w:snapToGrid w:val="0"/>
              <w:ind w:left="0"/>
              <w:jc w:val="center"/>
              <w:textAlignment w:val="auto"/>
              <w:rPr>
                <w:rFonts w:hint="eastAsia" w:asciiTheme="minorEastAsia" w:hAnsiTheme="minorEastAsia" w:eastAsiaTheme="minorEastAsia" w:cstheme="minorEastAsia"/>
                <w:color w:val="auto"/>
                <w:sz w:val="24"/>
                <w:szCs w:val="24"/>
              </w:rPr>
            </w:pPr>
          </w:p>
        </w:tc>
        <w:tc>
          <w:tcPr>
            <w:tcW w:w="1363" w:type="dxa"/>
            <w:shd w:val="clear" w:color="auto" w:fill="F8F8F8"/>
            <w:vAlign w:val="top"/>
          </w:tcPr>
          <w:p w14:paraId="14622C46">
            <w:pPr>
              <w:rPr>
                <w:rFonts w:hint="eastAsia" w:asciiTheme="minorEastAsia" w:hAnsiTheme="minorEastAsia" w:eastAsiaTheme="minorEastAsia" w:cstheme="minorEastAsia"/>
                <w:color w:val="auto"/>
                <w:sz w:val="21"/>
              </w:rPr>
            </w:pPr>
          </w:p>
        </w:tc>
        <w:tc>
          <w:tcPr>
            <w:tcW w:w="4017" w:type="dxa"/>
            <w:shd w:val="clear" w:color="auto" w:fill="F8F8F8"/>
            <w:vAlign w:val="top"/>
          </w:tcPr>
          <w:p w14:paraId="0FB619C6">
            <w:pPr>
              <w:rPr>
                <w:rFonts w:hint="eastAsia" w:asciiTheme="minorEastAsia" w:hAnsiTheme="minorEastAsia" w:eastAsiaTheme="minorEastAsia" w:cstheme="minorEastAsia"/>
                <w:color w:val="auto"/>
                <w:sz w:val="21"/>
              </w:rPr>
            </w:pPr>
          </w:p>
        </w:tc>
        <w:tc>
          <w:tcPr>
            <w:tcW w:w="820" w:type="dxa"/>
            <w:shd w:val="clear" w:color="auto" w:fill="F8F8F8"/>
            <w:vAlign w:val="top"/>
          </w:tcPr>
          <w:p w14:paraId="7CD46229">
            <w:pPr>
              <w:rPr>
                <w:rFonts w:hint="eastAsia" w:asciiTheme="minorEastAsia" w:hAnsiTheme="minorEastAsia" w:eastAsiaTheme="minorEastAsia" w:cstheme="minorEastAsia"/>
                <w:color w:val="auto"/>
                <w:sz w:val="21"/>
              </w:rPr>
            </w:pPr>
          </w:p>
        </w:tc>
      </w:tr>
      <w:tr w14:paraId="7EE68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828" w:type="dxa"/>
            <w:shd w:val="clear" w:color="auto" w:fill="F8F8F8"/>
            <w:vAlign w:val="center"/>
          </w:tcPr>
          <w:p w14:paraId="1DDD7137">
            <w:pPr>
              <w:pStyle w:val="28"/>
              <w:keepNext w:val="0"/>
              <w:keepLines w:val="0"/>
              <w:pageBreakBefore w:val="0"/>
              <w:widowControl w:val="0"/>
              <w:kinsoku/>
              <w:wordWrap/>
              <w:overflowPunct/>
              <w:topLinePunct w:val="0"/>
              <w:autoSpaceDE/>
              <w:autoSpaceDN/>
              <w:bidi w:val="0"/>
              <w:adjustRightInd/>
              <w:snapToGrid w:val="0"/>
              <w:spacing w:line="443" w:lineRule="exact"/>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position w:val="3"/>
                <w:sz w:val="24"/>
                <w:szCs w:val="24"/>
              </w:rPr>
              <w:t>……</w:t>
            </w:r>
          </w:p>
        </w:tc>
        <w:tc>
          <w:tcPr>
            <w:tcW w:w="2489" w:type="dxa"/>
            <w:shd w:val="clear" w:color="auto" w:fill="F8F8F8"/>
            <w:vAlign w:val="center"/>
          </w:tcPr>
          <w:p w14:paraId="180F45DF">
            <w:pPr>
              <w:keepNext w:val="0"/>
              <w:keepLines w:val="0"/>
              <w:pageBreakBefore w:val="0"/>
              <w:widowControl w:val="0"/>
              <w:kinsoku/>
              <w:wordWrap/>
              <w:overflowPunct/>
              <w:topLinePunct w:val="0"/>
              <w:autoSpaceDE/>
              <w:autoSpaceDN/>
              <w:bidi w:val="0"/>
              <w:adjustRightInd/>
              <w:snapToGrid w:val="0"/>
              <w:ind w:left="0"/>
              <w:jc w:val="center"/>
              <w:textAlignment w:val="auto"/>
              <w:rPr>
                <w:rFonts w:hint="eastAsia" w:asciiTheme="minorEastAsia" w:hAnsiTheme="minorEastAsia" w:eastAsiaTheme="minorEastAsia" w:cstheme="minorEastAsia"/>
                <w:color w:val="auto"/>
                <w:sz w:val="24"/>
                <w:szCs w:val="24"/>
              </w:rPr>
            </w:pPr>
          </w:p>
        </w:tc>
        <w:tc>
          <w:tcPr>
            <w:tcW w:w="1363" w:type="dxa"/>
            <w:shd w:val="clear" w:color="auto" w:fill="F8F8F8"/>
            <w:vAlign w:val="top"/>
          </w:tcPr>
          <w:p w14:paraId="6ED5B632">
            <w:pPr>
              <w:rPr>
                <w:rFonts w:hint="eastAsia" w:asciiTheme="minorEastAsia" w:hAnsiTheme="minorEastAsia" w:eastAsiaTheme="minorEastAsia" w:cstheme="minorEastAsia"/>
                <w:color w:val="auto"/>
                <w:sz w:val="21"/>
              </w:rPr>
            </w:pPr>
          </w:p>
        </w:tc>
        <w:tc>
          <w:tcPr>
            <w:tcW w:w="4017" w:type="dxa"/>
            <w:shd w:val="clear" w:color="auto" w:fill="F8F8F8"/>
            <w:vAlign w:val="top"/>
          </w:tcPr>
          <w:p w14:paraId="3EE1A06F">
            <w:pPr>
              <w:rPr>
                <w:rFonts w:hint="eastAsia" w:asciiTheme="minorEastAsia" w:hAnsiTheme="minorEastAsia" w:eastAsiaTheme="minorEastAsia" w:cstheme="minorEastAsia"/>
                <w:color w:val="auto"/>
                <w:sz w:val="21"/>
              </w:rPr>
            </w:pPr>
          </w:p>
        </w:tc>
        <w:tc>
          <w:tcPr>
            <w:tcW w:w="820" w:type="dxa"/>
            <w:shd w:val="clear" w:color="auto" w:fill="F8F8F8"/>
            <w:vAlign w:val="top"/>
          </w:tcPr>
          <w:p w14:paraId="725ED425">
            <w:pPr>
              <w:rPr>
                <w:rFonts w:hint="eastAsia" w:asciiTheme="minorEastAsia" w:hAnsiTheme="minorEastAsia" w:eastAsiaTheme="minorEastAsia" w:cstheme="minorEastAsia"/>
                <w:color w:val="auto"/>
                <w:sz w:val="21"/>
              </w:rPr>
            </w:pPr>
          </w:p>
        </w:tc>
      </w:tr>
    </w:tbl>
    <w:p w14:paraId="138F053E">
      <w:pPr>
        <w:pStyle w:val="9"/>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17"/>
          <w:sz w:val="24"/>
          <w:szCs w:val="24"/>
        </w:rPr>
        <w:t>注：</w:t>
      </w:r>
    </w:p>
    <w:p w14:paraId="2CCE3335">
      <w:pPr>
        <w:pStyle w:val="9"/>
        <w:keepNext w:val="0"/>
        <w:keepLines w:val="0"/>
        <w:pageBreakBefore w:val="0"/>
        <w:widowControl w:val="0"/>
        <w:numPr>
          <w:ilvl w:val="0"/>
          <w:numId w:val="50"/>
        </w:numPr>
        <w:kinsoku/>
        <w:wordWrap/>
        <w:overflowPunct/>
        <w:topLinePunct w:val="0"/>
        <w:autoSpaceDE/>
        <w:autoSpaceDN/>
        <w:bidi w:val="0"/>
        <w:adjustRightInd/>
        <w:snapToGrid w:val="0"/>
        <w:spacing w:line="360" w:lineRule="auto"/>
        <w:ind w:left="0" w:leftChars="0" w:right="0" w:firstLine="476"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直接控股股东：是指其出资额占有限责任公司资本总额百分之五十以上或者其持有的</w:t>
      </w:r>
      <w:r>
        <w:rPr>
          <w:rFonts w:hint="eastAsia" w:asciiTheme="minorEastAsia" w:hAnsiTheme="minorEastAsia" w:eastAsiaTheme="minorEastAsia" w:cstheme="minorEastAsia"/>
          <w:color w:val="auto"/>
          <w:sz w:val="24"/>
          <w:szCs w:val="24"/>
        </w:rPr>
        <w:t>股份占股份有限公司股份总额百分之五十以上的股东；出资额或者</w:t>
      </w:r>
      <w:r>
        <w:rPr>
          <w:rFonts w:hint="eastAsia" w:asciiTheme="minorEastAsia" w:hAnsiTheme="minorEastAsia" w:eastAsiaTheme="minorEastAsia" w:cstheme="minorEastAsia"/>
          <w:color w:val="auto"/>
          <w:spacing w:val="-1"/>
          <w:sz w:val="24"/>
          <w:szCs w:val="24"/>
        </w:rPr>
        <w:t>持有股份的比例虽然不足</w:t>
      </w:r>
      <w:r>
        <w:rPr>
          <w:rFonts w:hint="eastAsia" w:asciiTheme="minorEastAsia" w:hAnsiTheme="minorEastAsia" w:eastAsiaTheme="minorEastAsia" w:cstheme="minorEastAsia"/>
          <w:color w:val="auto"/>
          <w:sz w:val="24"/>
          <w:szCs w:val="24"/>
        </w:rPr>
        <w:t>百分之五十，但依其出资额或者持有的股份所享有的表决权已足以</w:t>
      </w:r>
      <w:r>
        <w:rPr>
          <w:rFonts w:hint="eastAsia" w:asciiTheme="minorEastAsia" w:hAnsiTheme="minorEastAsia" w:eastAsiaTheme="minorEastAsia" w:cstheme="minorEastAsia"/>
          <w:color w:val="auto"/>
          <w:spacing w:val="-1"/>
          <w:sz w:val="24"/>
          <w:szCs w:val="24"/>
        </w:rPr>
        <w:t>对股东会、股东大会的决</w:t>
      </w:r>
      <w:r>
        <w:rPr>
          <w:rFonts w:hint="eastAsia" w:asciiTheme="minorEastAsia" w:hAnsiTheme="minorEastAsia" w:eastAsiaTheme="minorEastAsia" w:cstheme="minorEastAsia"/>
          <w:color w:val="auto"/>
          <w:spacing w:val="-4"/>
          <w:sz w:val="24"/>
          <w:szCs w:val="24"/>
        </w:rPr>
        <w:t>议产生重大影响的股东。</w:t>
      </w:r>
    </w:p>
    <w:p w14:paraId="0B0912BD">
      <w:pPr>
        <w:pStyle w:val="9"/>
        <w:keepNext w:val="0"/>
        <w:keepLines w:val="0"/>
        <w:pageBreakBefore w:val="0"/>
        <w:widowControl w:val="0"/>
        <w:numPr>
          <w:ilvl w:val="0"/>
          <w:numId w:val="50"/>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本表所指的控股关系仅限于直接控股关系，不包括间</w:t>
      </w:r>
      <w:r>
        <w:rPr>
          <w:rFonts w:hint="eastAsia" w:asciiTheme="minorEastAsia" w:hAnsiTheme="minorEastAsia" w:eastAsiaTheme="minorEastAsia" w:cstheme="minorEastAsia"/>
          <w:color w:val="auto"/>
          <w:spacing w:val="-1"/>
          <w:sz w:val="24"/>
          <w:szCs w:val="24"/>
        </w:rPr>
        <w:t>接的控股关系。公司实际控制人</w:t>
      </w:r>
      <w:r>
        <w:rPr>
          <w:rFonts w:hint="eastAsia" w:asciiTheme="minorEastAsia" w:hAnsiTheme="minorEastAsia" w:eastAsiaTheme="minorEastAsia" w:cstheme="minorEastAsia"/>
          <w:color w:val="auto"/>
          <w:spacing w:val="-2"/>
          <w:sz w:val="24"/>
          <w:szCs w:val="24"/>
        </w:rPr>
        <w:t>与公司之间的关系不属于本表所指的直接控股关系。</w:t>
      </w:r>
    </w:p>
    <w:p w14:paraId="5A77F372">
      <w:pPr>
        <w:pStyle w:val="9"/>
        <w:keepNext w:val="0"/>
        <w:keepLines w:val="0"/>
        <w:pageBreakBefore w:val="0"/>
        <w:widowControl w:val="0"/>
        <w:numPr>
          <w:ilvl w:val="0"/>
          <w:numId w:val="50"/>
        </w:numPr>
        <w:kinsoku/>
        <w:wordWrap/>
        <w:overflowPunct/>
        <w:topLinePunct w:val="0"/>
        <w:autoSpaceDE/>
        <w:autoSpaceDN/>
        <w:bidi w:val="0"/>
        <w:adjustRightInd/>
        <w:snapToGrid w:val="0"/>
        <w:spacing w:line="360" w:lineRule="auto"/>
        <w:ind w:left="0" w:leftChars="0" w:right="0" w:firstLine="46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供应商不存在直接控股股东的，则填</w:t>
      </w:r>
      <w:r>
        <w:rPr>
          <w:rFonts w:hint="eastAsia" w:asciiTheme="minorEastAsia" w:hAnsiTheme="minorEastAsia" w:eastAsiaTheme="minorEastAsia" w:cstheme="minorEastAsia"/>
          <w:color w:val="auto"/>
          <w:spacing w:val="-3"/>
          <w:sz w:val="24"/>
          <w:szCs w:val="24"/>
          <w:lang w:eastAsia="zh-CN"/>
        </w:rPr>
        <w:t>“</w:t>
      </w:r>
      <w:r>
        <w:rPr>
          <w:rFonts w:hint="eastAsia" w:asciiTheme="minorEastAsia" w:hAnsiTheme="minorEastAsia" w:eastAsiaTheme="minorEastAsia" w:cstheme="minorEastAsia"/>
          <w:color w:val="auto"/>
          <w:spacing w:val="-3"/>
          <w:sz w:val="24"/>
          <w:szCs w:val="24"/>
        </w:rPr>
        <w:t>无</w:t>
      </w:r>
      <w:r>
        <w:rPr>
          <w:rFonts w:hint="eastAsia" w:asciiTheme="minorEastAsia" w:hAnsiTheme="minorEastAsia" w:eastAsiaTheme="minorEastAsia" w:cstheme="minorEastAsia"/>
          <w:color w:val="auto"/>
          <w:spacing w:val="-3"/>
          <w:sz w:val="24"/>
          <w:szCs w:val="24"/>
          <w:lang w:eastAsia="zh-CN"/>
        </w:rPr>
        <w:t>”</w:t>
      </w:r>
      <w:r>
        <w:rPr>
          <w:rFonts w:hint="eastAsia" w:asciiTheme="minorEastAsia" w:hAnsiTheme="minorEastAsia" w:eastAsiaTheme="minorEastAsia" w:cstheme="minorEastAsia"/>
          <w:color w:val="auto"/>
          <w:spacing w:val="-3"/>
          <w:sz w:val="24"/>
          <w:szCs w:val="24"/>
        </w:rPr>
        <w:t>。</w:t>
      </w:r>
    </w:p>
    <w:p w14:paraId="64C96546">
      <w:pPr>
        <w:spacing w:line="262" w:lineRule="auto"/>
        <w:rPr>
          <w:rFonts w:hint="eastAsia" w:asciiTheme="minorEastAsia" w:hAnsiTheme="minorEastAsia" w:eastAsiaTheme="minorEastAsia" w:cstheme="minorEastAsia"/>
          <w:color w:val="auto"/>
          <w:sz w:val="21"/>
        </w:rPr>
      </w:pPr>
    </w:p>
    <w:p w14:paraId="4A4700C7">
      <w:pPr>
        <w:spacing w:line="262" w:lineRule="auto"/>
        <w:rPr>
          <w:rFonts w:hint="eastAsia" w:asciiTheme="minorEastAsia" w:hAnsiTheme="minorEastAsia" w:eastAsiaTheme="minorEastAsia" w:cstheme="minorEastAsia"/>
          <w:color w:val="auto"/>
          <w:sz w:val="21"/>
        </w:rPr>
      </w:pPr>
    </w:p>
    <w:p w14:paraId="019CF7B5">
      <w:pPr>
        <w:spacing w:line="262" w:lineRule="auto"/>
        <w:rPr>
          <w:rFonts w:hint="eastAsia" w:asciiTheme="minorEastAsia" w:hAnsiTheme="minorEastAsia" w:eastAsiaTheme="minorEastAsia" w:cstheme="minorEastAsia"/>
          <w:color w:val="auto"/>
          <w:sz w:val="21"/>
        </w:rPr>
      </w:pPr>
    </w:p>
    <w:p w14:paraId="226EE78E">
      <w:pPr>
        <w:spacing w:line="262" w:lineRule="auto"/>
        <w:rPr>
          <w:rFonts w:hint="eastAsia" w:asciiTheme="minorEastAsia" w:hAnsiTheme="minorEastAsia" w:eastAsiaTheme="minorEastAsia" w:cstheme="minorEastAsia"/>
          <w:color w:val="auto"/>
          <w:sz w:val="21"/>
        </w:rPr>
      </w:pPr>
    </w:p>
    <w:p w14:paraId="65605162">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1428" w:firstLineChars="6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法定代表人或委托代理人</w:t>
      </w:r>
      <w:r>
        <w:rPr>
          <w:rFonts w:hint="eastAsia" w:asciiTheme="minorEastAsia" w:hAnsiTheme="minorEastAsia" w:eastAsiaTheme="minorEastAsia" w:cstheme="minorEastAsia"/>
          <w:b/>
          <w:bCs/>
          <w:color w:val="auto"/>
          <w:spacing w:val="-1"/>
          <w:sz w:val="24"/>
          <w:szCs w:val="24"/>
        </w:rPr>
        <w:t>（签字或</w:t>
      </w:r>
      <w:r>
        <w:rPr>
          <w:rFonts w:hint="eastAsia" w:asciiTheme="minorEastAsia" w:hAnsiTheme="minorEastAsia" w:eastAsiaTheme="minorEastAsia" w:cstheme="minorEastAsia"/>
          <w:b/>
          <w:bCs/>
          <w:color w:val="auto"/>
          <w:spacing w:val="-1"/>
          <w:sz w:val="24"/>
          <w:szCs w:val="24"/>
          <w:lang w:val="en-US" w:eastAsia="zh-CN"/>
        </w:rPr>
        <w:t>CA</w:t>
      </w:r>
      <w:r>
        <w:rPr>
          <w:rFonts w:hint="eastAsia" w:asciiTheme="minorEastAsia" w:hAnsiTheme="minorEastAsia" w:eastAsiaTheme="minorEastAsia" w:cstheme="minorEastAsia"/>
          <w:b/>
          <w:bCs/>
          <w:color w:val="auto"/>
          <w:sz w:val="24"/>
          <w:szCs w:val="24"/>
          <w:highlight w:val="none"/>
        </w:rPr>
        <w:t>电子签字章</w:t>
      </w:r>
      <w:r>
        <w:rPr>
          <w:rFonts w:hint="eastAsia" w:asciiTheme="minorEastAsia" w:hAnsiTheme="minorEastAsia" w:eastAsiaTheme="minorEastAsia" w:cstheme="minorEastAsia"/>
          <w:b/>
          <w:bCs/>
          <w:color w:val="auto"/>
          <w:spacing w:val="-19"/>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055B4279">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3579" w:firstLineChars="157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供应商</w:t>
      </w:r>
      <w:r>
        <w:rPr>
          <w:rFonts w:hint="eastAsia" w:asciiTheme="minorEastAsia" w:hAnsiTheme="minorEastAsia" w:eastAsiaTheme="minorEastAsia" w:cstheme="minorEastAsia"/>
          <w:b/>
          <w:bCs/>
          <w:color w:val="auto"/>
          <w:spacing w:val="-6"/>
          <w:sz w:val="24"/>
          <w:szCs w:val="24"/>
        </w:rPr>
        <w:t>（公章或</w:t>
      </w:r>
      <w:r>
        <w:rPr>
          <w:rFonts w:hint="eastAsia" w:asciiTheme="minorEastAsia" w:hAnsiTheme="minorEastAsia" w:eastAsiaTheme="minorEastAsia" w:cstheme="minorEastAsia"/>
          <w:b/>
          <w:bCs/>
          <w:color w:val="auto"/>
          <w:spacing w:val="-6"/>
          <w:sz w:val="24"/>
          <w:szCs w:val="24"/>
          <w:lang w:val="en-US" w:eastAsia="zh-CN"/>
        </w:rPr>
        <w:t>CA</w:t>
      </w:r>
      <w:r>
        <w:rPr>
          <w:rFonts w:hint="eastAsia" w:asciiTheme="minorEastAsia" w:hAnsiTheme="minorEastAsia" w:eastAsiaTheme="minorEastAsia" w:cstheme="minorEastAsia"/>
          <w:b/>
          <w:bCs/>
          <w:color w:val="auto"/>
          <w:spacing w:val="-6"/>
          <w:sz w:val="24"/>
          <w:szCs w:val="24"/>
        </w:rPr>
        <w:t>电子</w:t>
      </w:r>
      <w:r>
        <w:rPr>
          <w:rFonts w:hint="eastAsia" w:asciiTheme="minorEastAsia" w:hAnsiTheme="minorEastAsia" w:eastAsiaTheme="minorEastAsia" w:cstheme="minorEastAsia"/>
          <w:b/>
          <w:bCs/>
          <w:color w:val="auto"/>
          <w:spacing w:val="-6"/>
          <w:sz w:val="24"/>
          <w:szCs w:val="24"/>
          <w:lang w:eastAsia="zh-CN"/>
        </w:rPr>
        <w:t>签</w:t>
      </w:r>
      <w:r>
        <w:rPr>
          <w:rFonts w:hint="eastAsia" w:asciiTheme="minorEastAsia" w:hAnsiTheme="minorEastAsia" w:eastAsiaTheme="minorEastAsia" w:cstheme="minorEastAsia"/>
          <w:b/>
          <w:bCs/>
          <w:color w:val="auto"/>
          <w:spacing w:val="-6"/>
          <w:sz w:val="24"/>
          <w:szCs w:val="24"/>
        </w:rPr>
        <w:t>章</w:t>
      </w:r>
      <w:r>
        <w:rPr>
          <w:rFonts w:hint="eastAsia" w:asciiTheme="minorEastAsia" w:hAnsiTheme="minorEastAsia" w:eastAsiaTheme="minorEastAsia" w:cstheme="minorEastAsia"/>
          <w:b/>
          <w:bCs/>
          <w:color w:val="auto"/>
          <w:spacing w:val="-5"/>
          <w:sz w:val="24"/>
          <w:szCs w:val="24"/>
        </w:rPr>
        <w:t>）</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38FD0D9E">
      <w:pPr>
        <w:pStyle w:val="9"/>
        <w:keepNext w:val="0"/>
        <w:keepLines w:val="0"/>
        <w:pageBreakBefore w:val="0"/>
        <w:widowControl w:val="0"/>
        <w:kinsoku/>
        <w:wordWrap/>
        <w:overflowPunct/>
        <w:topLinePunct w:val="0"/>
        <w:autoSpaceDE/>
        <w:autoSpaceDN/>
        <w:bidi w:val="0"/>
        <w:adjustRightInd/>
        <w:snapToGrid w:val="0"/>
        <w:spacing w:line="480" w:lineRule="auto"/>
        <w:ind w:left="0" w:leftChars="0"/>
        <w:jc w:val="righ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2339D706">
      <w:pPr>
        <w:spacing w:line="220" w:lineRule="auto"/>
        <w:rPr>
          <w:rFonts w:hint="eastAsia" w:asciiTheme="minorEastAsia" w:hAnsiTheme="minorEastAsia" w:eastAsiaTheme="minorEastAsia" w:cstheme="minorEastAsia"/>
          <w:color w:val="auto"/>
          <w:sz w:val="24"/>
          <w:szCs w:val="24"/>
        </w:rPr>
      </w:pPr>
    </w:p>
    <w:p w14:paraId="496415B3">
      <w:pPr>
        <w:spacing w:line="240" w:lineRule="auto"/>
        <w:rPr>
          <w:rFonts w:hint="eastAsia" w:asciiTheme="minorEastAsia" w:hAnsiTheme="minorEastAsia" w:eastAsiaTheme="minorEastAsia" w:cstheme="minorEastAsia"/>
          <w:color w:val="auto"/>
          <w:kern w:val="2"/>
          <w:sz w:val="21"/>
          <w:szCs w:val="24"/>
          <w:lang w:val="en-US" w:eastAsia="zh-CN" w:bidi="ar-SA"/>
        </w:rPr>
      </w:pPr>
    </w:p>
    <w:p w14:paraId="757BBDBA">
      <w:pPr>
        <w:spacing w:line="240" w:lineRule="auto"/>
        <w:rPr>
          <w:rFonts w:hint="eastAsia" w:asciiTheme="minorEastAsia" w:hAnsiTheme="minorEastAsia" w:eastAsiaTheme="minorEastAsia" w:cstheme="minorEastAsia"/>
          <w:color w:val="auto"/>
          <w:lang w:val="en-US" w:eastAsia="zh-CN"/>
        </w:rPr>
      </w:pPr>
    </w:p>
    <w:p w14:paraId="0B77F23B">
      <w:pPr>
        <w:spacing w:line="240" w:lineRule="auto"/>
        <w:rPr>
          <w:rFonts w:hint="eastAsia" w:asciiTheme="minorEastAsia" w:hAnsiTheme="minorEastAsia" w:eastAsiaTheme="minorEastAsia" w:cstheme="minorEastAsia"/>
          <w:color w:val="auto"/>
          <w:lang w:val="en-US" w:eastAsia="zh-CN"/>
        </w:rPr>
      </w:pPr>
    </w:p>
    <w:p w14:paraId="32AF5957">
      <w:pPr>
        <w:spacing w:line="240" w:lineRule="auto"/>
        <w:rPr>
          <w:rFonts w:hint="eastAsia" w:asciiTheme="minorEastAsia" w:hAnsiTheme="minorEastAsia" w:eastAsiaTheme="minorEastAsia" w:cstheme="minorEastAsia"/>
          <w:color w:val="auto"/>
          <w:lang w:val="en-US" w:eastAsia="zh-CN"/>
        </w:rPr>
      </w:pPr>
    </w:p>
    <w:p w14:paraId="1F46C330">
      <w:pPr>
        <w:spacing w:line="240" w:lineRule="auto"/>
        <w:rPr>
          <w:rFonts w:hint="eastAsia" w:asciiTheme="minorEastAsia" w:hAnsiTheme="minorEastAsia" w:eastAsiaTheme="minorEastAsia" w:cstheme="minorEastAsia"/>
          <w:color w:val="auto"/>
          <w:lang w:val="en-US" w:eastAsia="zh-CN"/>
        </w:rPr>
      </w:pPr>
    </w:p>
    <w:p w14:paraId="2FCAEB78">
      <w:pPr>
        <w:spacing w:line="240" w:lineRule="auto"/>
        <w:rPr>
          <w:rFonts w:hint="eastAsia" w:asciiTheme="minorEastAsia" w:hAnsiTheme="minorEastAsia" w:eastAsiaTheme="minorEastAsia" w:cstheme="minorEastAsia"/>
          <w:color w:val="auto"/>
          <w:lang w:val="en-US" w:eastAsia="zh-CN"/>
        </w:rPr>
      </w:pPr>
    </w:p>
    <w:p w14:paraId="7047AD8C">
      <w:pPr>
        <w:spacing w:line="240" w:lineRule="auto"/>
        <w:rPr>
          <w:rFonts w:hint="eastAsia" w:asciiTheme="minorEastAsia" w:hAnsiTheme="minorEastAsia" w:eastAsiaTheme="minorEastAsia" w:cstheme="minorEastAsia"/>
          <w:color w:val="auto"/>
          <w:lang w:val="en-US" w:eastAsia="zh-CN"/>
        </w:rPr>
      </w:pPr>
    </w:p>
    <w:p w14:paraId="0D14C23C">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lang w:val="zh-CN" w:eastAsia="zh-CN"/>
        </w:rPr>
        <w:t>供应商直接管理关系信息表</w:t>
      </w:r>
    </w:p>
    <w:tbl>
      <w:tblPr>
        <w:tblStyle w:val="27"/>
        <w:tblW w:w="91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4"/>
        <w:gridCol w:w="3330"/>
        <w:gridCol w:w="3288"/>
        <w:gridCol w:w="1566"/>
      </w:tblGrid>
      <w:tr w14:paraId="77CBC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54" w:type="dxa"/>
            <w:shd w:val="clear" w:color="auto" w:fill="EAE3D8"/>
            <w:vAlign w:val="center"/>
          </w:tcPr>
          <w:p w14:paraId="69017D41">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5"/>
                <w:sz w:val="24"/>
                <w:szCs w:val="24"/>
              </w:rPr>
              <w:t>序号</w:t>
            </w:r>
          </w:p>
        </w:tc>
        <w:tc>
          <w:tcPr>
            <w:tcW w:w="3330" w:type="dxa"/>
            <w:shd w:val="clear" w:color="auto" w:fill="EAE3D8"/>
            <w:vAlign w:val="center"/>
          </w:tcPr>
          <w:p w14:paraId="228F2A30">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4"/>
                <w:sz w:val="24"/>
                <w:szCs w:val="24"/>
              </w:rPr>
              <w:t>直接管理关系单位名称</w:t>
            </w:r>
          </w:p>
        </w:tc>
        <w:tc>
          <w:tcPr>
            <w:tcW w:w="3288" w:type="dxa"/>
            <w:shd w:val="clear" w:color="auto" w:fill="EAE3D8"/>
            <w:vAlign w:val="center"/>
          </w:tcPr>
          <w:p w14:paraId="33F84312">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5"/>
                <w:sz w:val="24"/>
                <w:szCs w:val="24"/>
              </w:rPr>
              <w:t>统一社会信用代码</w:t>
            </w:r>
          </w:p>
        </w:tc>
        <w:tc>
          <w:tcPr>
            <w:tcW w:w="1566" w:type="dxa"/>
            <w:shd w:val="clear" w:color="auto" w:fill="EAE3D8"/>
            <w:vAlign w:val="center"/>
          </w:tcPr>
          <w:p w14:paraId="0113AB07">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7"/>
                <w:sz w:val="24"/>
                <w:szCs w:val="24"/>
              </w:rPr>
              <w:t>备注</w:t>
            </w:r>
          </w:p>
        </w:tc>
      </w:tr>
      <w:tr w14:paraId="700D0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54" w:type="dxa"/>
            <w:shd w:val="clear" w:color="auto" w:fill="F8F8F8"/>
            <w:vAlign w:val="center"/>
          </w:tcPr>
          <w:p w14:paraId="3F62F389">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3330" w:type="dxa"/>
            <w:shd w:val="clear" w:color="auto" w:fill="F8F8F8"/>
            <w:vAlign w:val="center"/>
          </w:tcPr>
          <w:p w14:paraId="36345ADC">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3288" w:type="dxa"/>
            <w:shd w:val="clear" w:color="auto" w:fill="F8F8F8"/>
            <w:vAlign w:val="center"/>
          </w:tcPr>
          <w:p w14:paraId="3596945C">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1566" w:type="dxa"/>
            <w:shd w:val="clear" w:color="auto" w:fill="F8F8F8"/>
            <w:vAlign w:val="center"/>
          </w:tcPr>
          <w:p w14:paraId="02BF30D2">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r>
      <w:tr w14:paraId="7C17B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54" w:type="dxa"/>
            <w:shd w:val="clear" w:color="auto" w:fill="F8F8F8"/>
            <w:vAlign w:val="center"/>
          </w:tcPr>
          <w:p w14:paraId="6442FC81">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3330" w:type="dxa"/>
            <w:shd w:val="clear" w:color="auto" w:fill="F8F8F8"/>
            <w:vAlign w:val="center"/>
          </w:tcPr>
          <w:p w14:paraId="052B3273">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3288" w:type="dxa"/>
            <w:shd w:val="clear" w:color="auto" w:fill="F8F8F8"/>
            <w:vAlign w:val="center"/>
          </w:tcPr>
          <w:p w14:paraId="0CD097F2">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1566" w:type="dxa"/>
            <w:shd w:val="clear" w:color="auto" w:fill="F8F8F8"/>
            <w:vAlign w:val="center"/>
          </w:tcPr>
          <w:p w14:paraId="63F176F1">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r>
      <w:tr w14:paraId="304BE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54" w:type="dxa"/>
            <w:shd w:val="clear" w:color="auto" w:fill="F8F8F8"/>
            <w:vAlign w:val="center"/>
          </w:tcPr>
          <w:p w14:paraId="1B314774">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3330" w:type="dxa"/>
            <w:shd w:val="clear" w:color="auto" w:fill="F8F8F8"/>
            <w:vAlign w:val="center"/>
          </w:tcPr>
          <w:p w14:paraId="4E01CE61">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3288" w:type="dxa"/>
            <w:shd w:val="clear" w:color="auto" w:fill="F8F8F8"/>
            <w:vAlign w:val="center"/>
          </w:tcPr>
          <w:p w14:paraId="061DC7F5">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1566" w:type="dxa"/>
            <w:shd w:val="clear" w:color="auto" w:fill="F8F8F8"/>
            <w:vAlign w:val="center"/>
          </w:tcPr>
          <w:p w14:paraId="76D330F7">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r>
      <w:tr w14:paraId="67EF9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954" w:type="dxa"/>
            <w:shd w:val="clear" w:color="auto" w:fill="F8F8F8"/>
            <w:vAlign w:val="center"/>
          </w:tcPr>
          <w:p w14:paraId="05991690">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position w:val="3"/>
                <w:sz w:val="24"/>
                <w:szCs w:val="24"/>
              </w:rPr>
              <w:t>……</w:t>
            </w:r>
          </w:p>
        </w:tc>
        <w:tc>
          <w:tcPr>
            <w:tcW w:w="3330" w:type="dxa"/>
            <w:shd w:val="clear" w:color="auto" w:fill="F8F8F8"/>
            <w:vAlign w:val="center"/>
          </w:tcPr>
          <w:p w14:paraId="7256C508">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3288" w:type="dxa"/>
            <w:shd w:val="clear" w:color="auto" w:fill="F8F8F8"/>
            <w:vAlign w:val="center"/>
          </w:tcPr>
          <w:p w14:paraId="33D8877D">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1566" w:type="dxa"/>
            <w:shd w:val="clear" w:color="auto" w:fill="F8F8F8"/>
            <w:vAlign w:val="center"/>
          </w:tcPr>
          <w:p w14:paraId="11F8ABB1">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r>
    </w:tbl>
    <w:p w14:paraId="05BC47A3">
      <w:pPr>
        <w:pStyle w:val="9"/>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17"/>
          <w:sz w:val="24"/>
          <w:szCs w:val="24"/>
        </w:rPr>
        <w:t>注：</w:t>
      </w:r>
    </w:p>
    <w:p w14:paraId="3BA67F2F">
      <w:pPr>
        <w:pStyle w:val="9"/>
        <w:keepNext w:val="0"/>
        <w:keepLines w:val="0"/>
        <w:pageBreakBefore w:val="0"/>
        <w:widowControl w:val="0"/>
        <w:numPr>
          <w:ilvl w:val="0"/>
          <w:numId w:val="51"/>
        </w:numPr>
        <w:kinsoku/>
        <w:wordWrap/>
        <w:overflowPunct/>
        <w:topLinePunct w:val="0"/>
        <w:autoSpaceDE/>
        <w:autoSpaceDN/>
        <w:bidi w:val="0"/>
        <w:adjustRightInd/>
        <w:snapToGrid w:val="0"/>
        <w:spacing w:line="360" w:lineRule="auto"/>
        <w:ind w:left="0" w:leftChars="0" w:right="0" w:firstLine="476" w:firstLineChars="200"/>
        <w:textAlignment w:val="auto"/>
        <w:rPr>
          <w:rFonts w:hint="eastAsia" w:asciiTheme="minorEastAsia" w:hAnsiTheme="minorEastAsia" w:eastAsiaTheme="minorEastAsia" w:cstheme="minorEastAsia"/>
          <w:color w:val="auto"/>
          <w:spacing w:val="-1"/>
          <w:sz w:val="24"/>
          <w:szCs w:val="24"/>
        </w:rPr>
      </w:pPr>
      <w:r>
        <w:rPr>
          <w:rFonts w:hint="eastAsia" w:asciiTheme="minorEastAsia" w:hAnsiTheme="minorEastAsia" w:eastAsiaTheme="minorEastAsia" w:cstheme="minorEastAsia"/>
          <w:color w:val="auto"/>
          <w:spacing w:val="-1"/>
          <w:sz w:val="24"/>
          <w:szCs w:val="24"/>
        </w:rPr>
        <w:t>管理关系：是指不具有出资持股关系的其他单位之间存在的管理与被管理关系，如一些上下级关系的事业单位和团体组织。</w:t>
      </w:r>
    </w:p>
    <w:p w14:paraId="2355F1C6">
      <w:pPr>
        <w:pStyle w:val="9"/>
        <w:keepNext w:val="0"/>
        <w:keepLines w:val="0"/>
        <w:pageBreakBefore w:val="0"/>
        <w:widowControl w:val="0"/>
        <w:numPr>
          <w:ilvl w:val="0"/>
          <w:numId w:val="51"/>
        </w:numPr>
        <w:kinsoku/>
        <w:wordWrap/>
        <w:overflowPunct/>
        <w:topLinePunct w:val="0"/>
        <w:autoSpaceDE/>
        <w:autoSpaceDN/>
        <w:bidi w:val="0"/>
        <w:adjustRightInd/>
        <w:snapToGrid w:val="0"/>
        <w:spacing w:line="360" w:lineRule="auto"/>
        <w:ind w:left="0" w:leftChars="0" w:right="0" w:firstLine="476" w:firstLineChars="200"/>
        <w:textAlignment w:val="auto"/>
        <w:rPr>
          <w:rFonts w:hint="eastAsia" w:asciiTheme="minorEastAsia" w:hAnsiTheme="minorEastAsia" w:eastAsiaTheme="minorEastAsia" w:cstheme="minorEastAsia"/>
          <w:color w:val="auto"/>
          <w:spacing w:val="-1"/>
          <w:sz w:val="24"/>
          <w:szCs w:val="24"/>
        </w:rPr>
      </w:pPr>
      <w:r>
        <w:rPr>
          <w:rFonts w:hint="eastAsia" w:asciiTheme="minorEastAsia" w:hAnsiTheme="minorEastAsia" w:eastAsiaTheme="minorEastAsia" w:cstheme="minorEastAsia"/>
          <w:color w:val="auto"/>
          <w:spacing w:val="-1"/>
          <w:sz w:val="24"/>
          <w:szCs w:val="24"/>
        </w:rPr>
        <w:t>本表所指的管理关系仅限于直接管理关系，不包括间接的管理关系。</w:t>
      </w:r>
    </w:p>
    <w:p w14:paraId="71010A72">
      <w:pPr>
        <w:pStyle w:val="9"/>
        <w:keepNext w:val="0"/>
        <w:keepLines w:val="0"/>
        <w:pageBreakBefore w:val="0"/>
        <w:widowControl w:val="0"/>
        <w:numPr>
          <w:ilvl w:val="0"/>
          <w:numId w:val="51"/>
        </w:numPr>
        <w:kinsoku/>
        <w:wordWrap/>
        <w:overflowPunct/>
        <w:topLinePunct w:val="0"/>
        <w:autoSpaceDE/>
        <w:autoSpaceDN/>
        <w:bidi w:val="0"/>
        <w:adjustRightInd/>
        <w:snapToGrid w:val="0"/>
        <w:spacing w:line="360" w:lineRule="auto"/>
        <w:ind w:left="0" w:leftChars="0" w:right="0" w:firstLine="476" w:firstLineChars="200"/>
        <w:textAlignment w:val="auto"/>
        <w:rPr>
          <w:rFonts w:hint="eastAsia" w:asciiTheme="minorEastAsia" w:hAnsiTheme="minorEastAsia" w:eastAsiaTheme="minorEastAsia" w:cstheme="minorEastAsia"/>
          <w:color w:val="auto"/>
          <w:spacing w:val="-1"/>
          <w:sz w:val="24"/>
          <w:szCs w:val="24"/>
        </w:rPr>
      </w:pPr>
      <w:r>
        <w:rPr>
          <w:rFonts w:hint="eastAsia" w:asciiTheme="minorEastAsia" w:hAnsiTheme="minorEastAsia" w:eastAsiaTheme="minorEastAsia" w:cstheme="minorEastAsia"/>
          <w:color w:val="auto"/>
          <w:spacing w:val="-1"/>
          <w:sz w:val="24"/>
          <w:szCs w:val="24"/>
        </w:rPr>
        <w:t>供应商不存在直接管理关系的，则填</w:t>
      </w:r>
      <w:r>
        <w:rPr>
          <w:rFonts w:hint="eastAsia" w:asciiTheme="minorEastAsia" w:hAnsiTheme="minorEastAsia" w:eastAsiaTheme="minorEastAsia" w:cstheme="minorEastAsia"/>
          <w:color w:val="auto"/>
          <w:spacing w:val="-1"/>
          <w:sz w:val="24"/>
          <w:szCs w:val="24"/>
          <w:lang w:eastAsia="zh-CN"/>
        </w:rPr>
        <w:t>“</w:t>
      </w:r>
      <w:r>
        <w:rPr>
          <w:rFonts w:hint="eastAsia" w:asciiTheme="minorEastAsia" w:hAnsiTheme="minorEastAsia" w:eastAsiaTheme="minorEastAsia" w:cstheme="minorEastAsia"/>
          <w:color w:val="auto"/>
          <w:spacing w:val="-1"/>
          <w:sz w:val="24"/>
          <w:szCs w:val="24"/>
        </w:rPr>
        <w:t>无</w:t>
      </w:r>
      <w:r>
        <w:rPr>
          <w:rFonts w:hint="eastAsia" w:asciiTheme="minorEastAsia" w:hAnsiTheme="minorEastAsia" w:eastAsiaTheme="minorEastAsia" w:cstheme="minorEastAsia"/>
          <w:color w:val="auto"/>
          <w:spacing w:val="-1"/>
          <w:sz w:val="24"/>
          <w:szCs w:val="24"/>
          <w:lang w:eastAsia="zh-CN"/>
        </w:rPr>
        <w:t>”</w:t>
      </w:r>
      <w:r>
        <w:rPr>
          <w:rFonts w:hint="eastAsia" w:asciiTheme="minorEastAsia" w:hAnsiTheme="minorEastAsia" w:eastAsiaTheme="minorEastAsia" w:cstheme="minorEastAsia"/>
          <w:color w:val="auto"/>
          <w:spacing w:val="-1"/>
          <w:sz w:val="24"/>
          <w:szCs w:val="24"/>
        </w:rPr>
        <w:t>。</w:t>
      </w:r>
    </w:p>
    <w:p w14:paraId="09916E47">
      <w:pPr>
        <w:snapToGrid w:val="0"/>
        <w:spacing w:before="50" w:after="50"/>
        <w:ind w:right="-611" w:rightChars="-291"/>
        <w:jc w:val="left"/>
        <w:rPr>
          <w:rFonts w:hint="eastAsia" w:asciiTheme="minorEastAsia" w:hAnsiTheme="minorEastAsia" w:eastAsiaTheme="minorEastAsia" w:cstheme="minorEastAsia"/>
          <w:b/>
          <w:bCs/>
          <w:color w:val="auto"/>
          <w:sz w:val="24"/>
        </w:rPr>
      </w:pPr>
    </w:p>
    <w:p w14:paraId="6D2EEED7">
      <w:pPr>
        <w:snapToGrid/>
        <w:spacing w:before="0" w:after="0"/>
        <w:ind w:right="0" w:rightChars="0"/>
        <w:jc w:val="left"/>
        <w:rPr>
          <w:rFonts w:hint="eastAsia" w:asciiTheme="minorEastAsia" w:hAnsiTheme="minorEastAsia" w:eastAsiaTheme="minorEastAsia" w:cstheme="minorEastAsia"/>
          <w:color w:val="auto"/>
          <w:kern w:val="2"/>
          <w:sz w:val="21"/>
          <w:szCs w:val="24"/>
          <w:lang w:val="en-US" w:eastAsia="zh-CN" w:bidi="ar-SA"/>
        </w:rPr>
      </w:pPr>
    </w:p>
    <w:p w14:paraId="5A3F7B5B">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5F9E67C1">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557DCA61">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40337A5D">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737E5F83">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1440" w:firstLineChars="6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lang w:val="en-US" w:eastAsia="zh-CN"/>
        </w:rPr>
        <w:tab/>
      </w:r>
      <w:r>
        <w:rPr>
          <w:rFonts w:hint="eastAsia" w:asciiTheme="minorEastAsia" w:hAnsiTheme="minorEastAsia" w:eastAsiaTheme="minorEastAsia" w:cstheme="minorEastAsia"/>
          <w:color w:val="auto"/>
          <w:spacing w:val="-1"/>
          <w:sz w:val="24"/>
          <w:szCs w:val="24"/>
        </w:rPr>
        <w:t>法定代表人或委托代理人</w:t>
      </w:r>
      <w:r>
        <w:rPr>
          <w:rFonts w:hint="eastAsia" w:asciiTheme="minorEastAsia" w:hAnsiTheme="minorEastAsia" w:eastAsiaTheme="minorEastAsia" w:cstheme="minorEastAsia"/>
          <w:b/>
          <w:bCs/>
          <w:color w:val="auto"/>
          <w:spacing w:val="-1"/>
          <w:sz w:val="24"/>
          <w:szCs w:val="24"/>
        </w:rPr>
        <w:t>（签字或</w:t>
      </w:r>
      <w:r>
        <w:rPr>
          <w:rFonts w:hint="eastAsia" w:asciiTheme="minorEastAsia" w:hAnsiTheme="minorEastAsia" w:eastAsiaTheme="minorEastAsia" w:cstheme="minorEastAsia"/>
          <w:b/>
          <w:bCs/>
          <w:color w:val="auto"/>
          <w:spacing w:val="-1"/>
          <w:sz w:val="24"/>
          <w:szCs w:val="24"/>
          <w:lang w:val="en-US" w:eastAsia="zh-CN"/>
        </w:rPr>
        <w:t>CA</w:t>
      </w:r>
      <w:r>
        <w:rPr>
          <w:rFonts w:hint="eastAsia" w:asciiTheme="minorEastAsia" w:hAnsiTheme="minorEastAsia" w:eastAsiaTheme="minorEastAsia" w:cstheme="minorEastAsia"/>
          <w:b/>
          <w:bCs/>
          <w:color w:val="auto"/>
          <w:sz w:val="24"/>
          <w:szCs w:val="24"/>
          <w:highlight w:val="none"/>
        </w:rPr>
        <w:t>电子签字章</w:t>
      </w:r>
      <w:r>
        <w:rPr>
          <w:rFonts w:hint="eastAsia" w:asciiTheme="minorEastAsia" w:hAnsiTheme="minorEastAsia" w:eastAsiaTheme="minorEastAsia" w:cstheme="minorEastAsia"/>
          <w:b/>
          <w:bCs/>
          <w:color w:val="auto"/>
          <w:spacing w:val="-19"/>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5B9469D">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3579" w:firstLineChars="157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供应商</w:t>
      </w:r>
      <w:r>
        <w:rPr>
          <w:rFonts w:hint="eastAsia" w:asciiTheme="minorEastAsia" w:hAnsiTheme="minorEastAsia" w:eastAsiaTheme="minorEastAsia" w:cstheme="minorEastAsia"/>
          <w:b/>
          <w:bCs/>
          <w:color w:val="auto"/>
          <w:spacing w:val="-6"/>
          <w:sz w:val="24"/>
          <w:szCs w:val="24"/>
        </w:rPr>
        <w:t>（公章或</w:t>
      </w:r>
      <w:r>
        <w:rPr>
          <w:rFonts w:hint="eastAsia" w:asciiTheme="minorEastAsia" w:hAnsiTheme="minorEastAsia" w:eastAsiaTheme="minorEastAsia" w:cstheme="minorEastAsia"/>
          <w:b/>
          <w:bCs/>
          <w:color w:val="auto"/>
          <w:spacing w:val="-6"/>
          <w:sz w:val="24"/>
          <w:szCs w:val="24"/>
          <w:lang w:val="en-US" w:eastAsia="zh-CN"/>
        </w:rPr>
        <w:t>CA</w:t>
      </w:r>
      <w:r>
        <w:rPr>
          <w:rFonts w:hint="eastAsia" w:asciiTheme="minorEastAsia" w:hAnsiTheme="minorEastAsia" w:eastAsiaTheme="minorEastAsia" w:cstheme="minorEastAsia"/>
          <w:b/>
          <w:bCs/>
          <w:color w:val="auto"/>
          <w:spacing w:val="-6"/>
          <w:sz w:val="24"/>
          <w:szCs w:val="24"/>
        </w:rPr>
        <w:t>电子</w:t>
      </w:r>
      <w:r>
        <w:rPr>
          <w:rFonts w:hint="eastAsia" w:asciiTheme="minorEastAsia" w:hAnsiTheme="minorEastAsia" w:eastAsiaTheme="minorEastAsia" w:cstheme="minorEastAsia"/>
          <w:b/>
          <w:bCs/>
          <w:color w:val="auto"/>
          <w:spacing w:val="-6"/>
          <w:sz w:val="24"/>
          <w:szCs w:val="24"/>
          <w:lang w:eastAsia="zh-CN"/>
        </w:rPr>
        <w:t>签</w:t>
      </w:r>
      <w:r>
        <w:rPr>
          <w:rFonts w:hint="eastAsia" w:asciiTheme="minorEastAsia" w:hAnsiTheme="minorEastAsia" w:eastAsiaTheme="minorEastAsia" w:cstheme="minorEastAsia"/>
          <w:b/>
          <w:bCs/>
          <w:color w:val="auto"/>
          <w:spacing w:val="-6"/>
          <w:sz w:val="24"/>
          <w:szCs w:val="24"/>
        </w:rPr>
        <w:t>章</w:t>
      </w:r>
      <w:r>
        <w:rPr>
          <w:rFonts w:hint="eastAsia" w:asciiTheme="minorEastAsia" w:hAnsiTheme="minorEastAsia" w:eastAsiaTheme="minorEastAsia" w:cstheme="minorEastAsia"/>
          <w:b/>
          <w:bCs/>
          <w:color w:val="auto"/>
          <w:spacing w:val="-5"/>
          <w:sz w:val="24"/>
          <w:szCs w:val="24"/>
        </w:rPr>
        <w:t>）</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31C77D4D">
      <w:pPr>
        <w:pStyle w:val="9"/>
        <w:keepNext w:val="0"/>
        <w:keepLines w:val="0"/>
        <w:pageBreakBefore w:val="0"/>
        <w:widowControl w:val="0"/>
        <w:kinsoku/>
        <w:wordWrap/>
        <w:overflowPunct/>
        <w:topLinePunct w:val="0"/>
        <w:autoSpaceDE/>
        <w:autoSpaceDN/>
        <w:bidi w:val="0"/>
        <w:adjustRightInd/>
        <w:snapToGrid w:val="0"/>
        <w:spacing w:line="360" w:lineRule="auto"/>
        <w:ind w:left="0"/>
        <w:jc w:val="right"/>
        <w:textAlignment w:val="auto"/>
        <w:rPr>
          <w:rFonts w:hint="eastAsia" w:asciiTheme="minorEastAsia" w:hAnsiTheme="minorEastAsia" w:eastAsiaTheme="minorEastAsia" w:cstheme="minorEastAsia"/>
          <w:color w:val="auto"/>
          <w:spacing w:val="-24"/>
          <w:sz w:val="24"/>
          <w:szCs w:val="24"/>
          <w:u w:val="none"/>
        </w:rPr>
        <w:sectPr>
          <w:footerReference r:id="rId9" w:type="default"/>
          <w:pgSz w:w="11912" w:h="16841"/>
          <w:pgMar w:top="1440" w:right="1800" w:bottom="1440" w:left="1800" w:header="0" w:footer="779" w:gutter="0"/>
          <w:pgNumType w:fmt="decimal"/>
          <w:cols w:space="720" w:num="1"/>
        </w:sectPr>
      </w:pP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240D103">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竞标声明</w:t>
      </w:r>
    </w:p>
    <w:p w14:paraId="0A3F8194">
      <w:pPr>
        <w:pStyle w:val="9"/>
        <w:keepNext w:val="0"/>
        <w:keepLines w:val="0"/>
        <w:pageBreakBefore w:val="0"/>
        <w:widowControl w:val="0"/>
        <w:kinsoku/>
        <w:wordWrap w:val="0"/>
        <w:overflowPunct/>
        <w:topLinePunct/>
        <w:autoSpaceDE/>
        <w:autoSpaceDN/>
        <w:bidi w:val="0"/>
        <w:adjustRightInd/>
        <w:snapToGrid w:val="0"/>
        <w:spacing w:line="360" w:lineRule="auto"/>
        <w:ind w:right="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pacing w:val="-1"/>
          <w:sz w:val="24"/>
          <w:szCs w:val="24"/>
        </w:rPr>
        <w:t>致：</w:t>
      </w:r>
      <w:r>
        <w:rPr>
          <w:rFonts w:hint="eastAsia" w:asciiTheme="minorEastAsia" w:hAnsiTheme="minorEastAsia" w:eastAsiaTheme="minorEastAsia" w:cstheme="minorEastAsia"/>
          <w:color w:val="auto"/>
          <w:spacing w:val="-1"/>
          <w:sz w:val="24"/>
          <w:szCs w:val="24"/>
          <w:u w:val="single" w:color="auto"/>
          <w:lang w:val="en-US" w:eastAsia="zh-CN"/>
        </w:rPr>
        <w:t xml:space="preserve">                            </w:t>
      </w:r>
    </w:p>
    <w:p w14:paraId="2AE1D853">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44"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我方</w:t>
      </w:r>
      <w:r>
        <w:rPr>
          <w:rFonts w:hint="eastAsia" w:asciiTheme="minorEastAsia" w:hAnsiTheme="minorEastAsia" w:eastAsiaTheme="minorEastAsia" w:cstheme="minorEastAsia"/>
          <w:color w:val="auto"/>
          <w:spacing w:val="-9"/>
          <w:sz w:val="24"/>
          <w:szCs w:val="24"/>
          <w:u w:val="single" w:color="auto"/>
        </w:rPr>
        <w:t>（供应商名称）</w:t>
      </w:r>
      <w:r>
        <w:rPr>
          <w:rFonts w:hint="eastAsia" w:asciiTheme="minorEastAsia" w:hAnsiTheme="minorEastAsia" w:eastAsiaTheme="minorEastAsia" w:cstheme="minorEastAsia"/>
          <w:color w:val="auto"/>
          <w:spacing w:val="-9"/>
          <w:sz w:val="24"/>
          <w:szCs w:val="24"/>
        </w:rPr>
        <w:t>系中华人民共和国合法供应商，经营地址</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9"/>
          <w:sz w:val="24"/>
          <w:szCs w:val="24"/>
        </w:rPr>
        <w:t>。</w:t>
      </w:r>
    </w:p>
    <w:p w14:paraId="4D951368">
      <w:pPr>
        <w:pStyle w:val="9"/>
        <w:keepNext w:val="0"/>
        <w:keepLines w:val="0"/>
        <w:pageBreakBefore w:val="0"/>
        <w:widowControl w:val="0"/>
        <w:tabs>
          <w:tab w:val="left" w:pos="135"/>
        </w:tabs>
        <w:kinsoku/>
        <w:wordWrap w:val="0"/>
        <w:overflowPunct/>
        <w:topLinePunct/>
        <w:autoSpaceDE/>
        <w:autoSpaceDN/>
        <w:bidi w:val="0"/>
        <w:adjustRightInd/>
        <w:snapToGrid w:val="0"/>
        <w:spacing w:line="360" w:lineRule="auto"/>
        <w:ind w:right="0" w:firstLine="604"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1"/>
          <w:sz w:val="24"/>
          <w:szCs w:val="24"/>
        </w:rPr>
        <w:t>我方愿意参加贵方</w:t>
      </w:r>
      <w:r>
        <w:rPr>
          <w:rFonts w:hint="eastAsia" w:asciiTheme="minorEastAsia" w:hAnsiTheme="minorEastAsia" w:eastAsiaTheme="minorEastAsia" w:cstheme="minorEastAsia"/>
          <w:color w:val="auto"/>
          <w:spacing w:val="-67"/>
          <w:sz w:val="24"/>
          <w:szCs w:val="24"/>
        </w:rPr>
        <w:t xml:space="preserve"> </w:t>
      </w:r>
      <w:r>
        <w:rPr>
          <w:rFonts w:hint="eastAsia" w:asciiTheme="minorEastAsia" w:hAnsiTheme="minorEastAsia" w:eastAsiaTheme="minorEastAsia" w:cstheme="minorEastAsia"/>
          <w:color w:val="auto"/>
          <w:spacing w:val="31"/>
          <w:sz w:val="24"/>
          <w:szCs w:val="24"/>
        </w:rPr>
        <w:t>组织的</w:t>
      </w:r>
      <w:r>
        <w:rPr>
          <w:rFonts w:hint="eastAsia" w:asciiTheme="minorEastAsia" w:hAnsiTheme="minorEastAsia" w:eastAsiaTheme="minorEastAsia" w:cstheme="minorEastAsia"/>
          <w:color w:val="auto"/>
          <w:spacing w:val="31"/>
          <w:sz w:val="24"/>
          <w:szCs w:val="24"/>
          <w:u w:val="single" w:color="auto"/>
          <w:lang w:val="en-US" w:eastAsia="zh-CN"/>
        </w:rPr>
        <w:t xml:space="preserve">              </w:t>
      </w:r>
      <w:r>
        <w:rPr>
          <w:rFonts w:hint="eastAsia" w:asciiTheme="minorEastAsia" w:hAnsiTheme="minorEastAsia" w:eastAsiaTheme="minorEastAsia" w:cstheme="minorEastAsia"/>
          <w:color w:val="auto"/>
          <w:spacing w:val="-4"/>
          <w:sz w:val="24"/>
          <w:szCs w:val="24"/>
        </w:rPr>
        <w:t>项目的竞标，为便于贵方公正、择优地确定</w:t>
      </w:r>
      <w:r>
        <w:rPr>
          <w:rFonts w:hint="eastAsia" w:asciiTheme="minorEastAsia" w:hAnsiTheme="minorEastAsia" w:eastAsiaTheme="minorEastAsia" w:cstheme="minorEastAsia"/>
          <w:color w:val="auto"/>
          <w:spacing w:val="-5"/>
          <w:sz w:val="24"/>
          <w:szCs w:val="24"/>
        </w:rPr>
        <w:t>成交供应商及其竞</w:t>
      </w:r>
      <w:r>
        <w:rPr>
          <w:rFonts w:hint="eastAsia" w:asciiTheme="minorEastAsia" w:hAnsiTheme="minorEastAsia" w:eastAsiaTheme="minorEastAsia" w:cstheme="minorEastAsia"/>
          <w:color w:val="auto"/>
          <w:spacing w:val="-2"/>
          <w:sz w:val="24"/>
          <w:szCs w:val="24"/>
        </w:rPr>
        <w:t>标产品和服务，我方就本次竞标有关事项郑重声</w:t>
      </w:r>
      <w:r>
        <w:rPr>
          <w:rFonts w:hint="eastAsia" w:asciiTheme="minorEastAsia" w:hAnsiTheme="minorEastAsia" w:eastAsiaTheme="minorEastAsia" w:cstheme="minorEastAsia"/>
          <w:color w:val="auto"/>
          <w:spacing w:val="-3"/>
          <w:sz w:val="24"/>
          <w:szCs w:val="24"/>
        </w:rPr>
        <w:t>明如下：</w:t>
      </w:r>
    </w:p>
    <w:p w14:paraId="1551ACAE">
      <w:pPr>
        <w:pStyle w:val="9"/>
        <w:keepNext w:val="0"/>
        <w:keepLines w:val="0"/>
        <w:pageBreakBefore w:val="0"/>
        <w:widowControl w:val="0"/>
        <w:numPr>
          <w:ilvl w:val="0"/>
          <w:numId w:val="52"/>
        </w:numPr>
        <w:kinsoku/>
        <w:wordWrap w:val="0"/>
        <w:overflowPunct/>
        <w:topLinePunct/>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我方向贵方提交的所有响应文件、资料都是准确的和真</w:t>
      </w:r>
      <w:r>
        <w:rPr>
          <w:rFonts w:hint="eastAsia" w:asciiTheme="minorEastAsia" w:hAnsiTheme="minorEastAsia" w:eastAsiaTheme="minorEastAsia" w:cstheme="minorEastAsia"/>
          <w:color w:val="auto"/>
          <w:spacing w:val="-3"/>
          <w:sz w:val="24"/>
          <w:szCs w:val="24"/>
        </w:rPr>
        <w:t>实的。</w:t>
      </w:r>
    </w:p>
    <w:p w14:paraId="68ED2529">
      <w:pPr>
        <w:pStyle w:val="9"/>
        <w:keepNext w:val="0"/>
        <w:keepLines w:val="0"/>
        <w:pageBreakBefore w:val="0"/>
        <w:widowControl w:val="0"/>
        <w:numPr>
          <w:ilvl w:val="0"/>
          <w:numId w:val="52"/>
        </w:numPr>
        <w:kinsoku/>
        <w:wordWrap w:val="0"/>
        <w:overflowPunct/>
        <w:topLinePunct/>
        <w:autoSpaceDE/>
        <w:autoSpaceDN/>
        <w:bidi w:val="0"/>
        <w:adjustRightInd/>
        <w:snapToGrid w:val="0"/>
        <w:spacing w:line="360" w:lineRule="auto"/>
        <w:ind w:left="0" w:leftChars="0" w:right="0" w:firstLine="48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我方不是为本次采购项目提供整体设计、规范编制或者项</w:t>
      </w:r>
      <w:r>
        <w:rPr>
          <w:rFonts w:hint="eastAsia" w:asciiTheme="minorEastAsia" w:hAnsiTheme="minorEastAsia" w:eastAsiaTheme="minorEastAsia" w:cstheme="minorEastAsia"/>
          <w:color w:val="auto"/>
          <w:sz w:val="24"/>
          <w:szCs w:val="24"/>
        </w:rPr>
        <w:t>目管理、监理、检测等服务</w:t>
      </w:r>
      <w:r>
        <w:rPr>
          <w:rFonts w:hint="eastAsia" w:asciiTheme="minorEastAsia" w:hAnsiTheme="minorEastAsia" w:eastAsiaTheme="minorEastAsia" w:cstheme="minorEastAsia"/>
          <w:color w:val="auto"/>
          <w:spacing w:val="-6"/>
          <w:sz w:val="24"/>
          <w:szCs w:val="24"/>
        </w:rPr>
        <w:t>的供应商。</w:t>
      </w:r>
    </w:p>
    <w:p w14:paraId="5E0A56F7">
      <w:pPr>
        <w:pStyle w:val="9"/>
        <w:keepNext w:val="0"/>
        <w:keepLines w:val="0"/>
        <w:pageBreakBefore w:val="0"/>
        <w:widowControl w:val="0"/>
        <w:numPr>
          <w:ilvl w:val="0"/>
          <w:numId w:val="52"/>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在此，我方宣布同意如下：</w:t>
      </w:r>
    </w:p>
    <w:p w14:paraId="602C98DD">
      <w:pPr>
        <w:pStyle w:val="9"/>
        <w:keepNext w:val="0"/>
        <w:keepLines w:val="0"/>
        <w:pageBreakBefore w:val="0"/>
        <w:widowControl w:val="0"/>
        <w:numPr>
          <w:ilvl w:val="0"/>
          <w:numId w:val="53"/>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将按谈判文件的约定履行合同责任和义务；</w:t>
      </w:r>
    </w:p>
    <w:p w14:paraId="4E01B05C">
      <w:pPr>
        <w:pStyle w:val="9"/>
        <w:keepNext w:val="0"/>
        <w:keepLines w:val="0"/>
        <w:pageBreakBefore w:val="0"/>
        <w:widowControl w:val="0"/>
        <w:numPr>
          <w:ilvl w:val="0"/>
          <w:numId w:val="53"/>
        </w:numPr>
        <w:kinsoku/>
        <w:wordWrap w:val="0"/>
        <w:overflowPunct/>
        <w:topLinePunct/>
        <w:autoSpaceDE/>
        <w:autoSpaceDN/>
        <w:bidi w:val="0"/>
        <w:adjustRightInd/>
        <w:snapToGrid w:val="0"/>
        <w:spacing w:line="360" w:lineRule="auto"/>
        <w:ind w:left="0" w:leftChars="0" w:right="0" w:firstLine="46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已详细审查全部谈判文件，包括补遗文件（如有</w:t>
      </w:r>
      <w:r>
        <w:rPr>
          <w:rFonts w:hint="eastAsia" w:asciiTheme="minorEastAsia" w:hAnsiTheme="minorEastAsia" w:eastAsiaTheme="minorEastAsia" w:cstheme="minorEastAsia"/>
          <w:color w:val="auto"/>
          <w:spacing w:val="1"/>
          <w:sz w:val="24"/>
          <w:szCs w:val="24"/>
        </w:rPr>
        <w:t>）；</w:t>
      </w:r>
    </w:p>
    <w:p w14:paraId="3FFA3025">
      <w:pPr>
        <w:pStyle w:val="9"/>
        <w:keepNext w:val="0"/>
        <w:keepLines w:val="0"/>
        <w:pageBreakBefore w:val="0"/>
        <w:widowControl w:val="0"/>
        <w:numPr>
          <w:ilvl w:val="0"/>
          <w:numId w:val="53"/>
        </w:numPr>
        <w:kinsoku/>
        <w:wordWrap w:val="0"/>
        <w:overflowPunct/>
        <w:topLinePunct/>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同意提供按照贵方可能要求的与谈判有关的一切数据或</w:t>
      </w:r>
      <w:r>
        <w:rPr>
          <w:rFonts w:hint="eastAsia" w:asciiTheme="minorEastAsia" w:hAnsiTheme="minorEastAsia" w:eastAsiaTheme="minorEastAsia" w:cstheme="minorEastAsia"/>
          <w:color w:val="auto"/>
          <w:spacing w:val="-3"/>
          <w:sz w:val="24"/>
          <w:szCs w:val="24"/>
        </w:rPr>
        <w:t>者资料；</w:t>
      </w:r>
    </w:p>
    <w:p w14:paraId="7E772482">
      <w:pPr>
        <w:pStyle w:val="9"/>
        <w:keepNext w:val="0"/>
        <w:keepLines w:val="0"/>
        <w:pageBreakBefore w:val="0"/>
        <w:widowControl w:val="0"/>
        <w:numPr>
          <w:ilvl w:val="0"/>
          <w:numId w:val="53"/>
        </w:numPr>
        <w:kinsoku/>
        <w:wordWrap w:val="0"/>
        <w:overflowPunct/>
        <w:topLinePunct/>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响应谈判文件规定的竞标有效期。</w:t>
      </w:r>
    </w:p>
    <w:p w14:paraId="795950D5">
      <w:pPr>
        <w:pStyle w:val="9"/>
        <w:keepNext w:val="0"/>
        <w:keepLines w:val="0"/>
        <w:pageBreakBefore w:val="0"/>
        <w:widowControl w:val="0"/>
        <w:numPr>
          <w:ilvl w:val="0"/>
          <w:numId w:val="52"/>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5"/>
          <w:sz w:val="24"/>
          <w:szCs w:val="24"/>
        </w:rPr>
        <w:t>我方承诺符合《中华人民共和国政府采购法》第二十二条规定：</w:t>
      </w:r>
    </w:p>
    <w:p w14:paraId="5F37DB33">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具有独立承担民事责任的能力；</w:t>
      </w:r>
    </w:p>
    <w:p w14:paraId="33C5864C">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具有良好的商业信誉和健全的财务会计制度；</w:t>
      </w:r>
    </w:p>
    <w:p w14:paraId="02AFD650">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具有履行合同所必需的设备和专业技术能力；</w:t>
      </w:r>
    </w:p>
    <w:p w14:paraId="4D16AC5B">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有依法缴纳税收和社会保障资金的良好记录；</w:t>
      </w:r>
    </w:p>
    <w:p w14:paraId="48677080">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参加政府采购活动前三年内，在经营活动中没有重大违法记录；</w:t>
      </w:r>
    </w:p>
    <w:p w14:paraId="1EBB8998">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法律、行政法规规定的其他条件。</w:t>
      </w:r>
    </w:p>
    <w:p w14:paraId="54891298">
      <w:pPr>
        <w:pStyle w:val="9"/>
        <w:keepNext w:val="0"/>
        <w:keepLines w:val="0"/>
        <w:pageBreakBefore w:val="0"/>
        <w:widowControl w:val="0"/>
        <w:numPr>
          <w:ilvl w:val="0"/>
          <w:numId w:val="52"/>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5"/>
          <w:sz w:val="24"/>
          <w:szCs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8FF1EA1">
      <w:pPr>
        <w:pStyle w:val="9"/>
        <w:keepNext w:val="0"/>
        <w:keepLines w:val="0"/>
        <w:pageBreakBefore w:val="0"/>
        <w:widowControl w:val="0"/>
        <w:numPr>
          <w:ilvl w:val="0"/>
          <w:numId w:val="52"/>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5"/>
          <w:sz w:val="24"/>
          <w:szCs w:val="24"/>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188E3F2D">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6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□我方本次响应文件内容中未涉及商业秘密；</w:t>
      </w:r>
    </w:p>
    <w:p w14:paraId="405183C3">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□我方本次响应文件涉及商业秘密的内容有</w:t>
      </w: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1"/>
          <w:sz w:val="24"/>
          <w:szCs w:val="24"/>
        </w:rPr>
        <w:t>；</w:t>
      </w:r>
    </w:p>
    <w:p w14:paraId="710783CC">
      <w:pPr>
        <w:pStyle w:val="9"/>
        <w:keepNext w:val="0"/>
        <w:keepLines w:val="0"/>
        <w:pageBreakBefore w:val="0"/>
        <w:widowControl w:val="0"/>
        <w:numPr>
          <w:ilvl w:val="0"/>
          <w:numId w:val="52"/>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5"/>
          <w:sz w:val="24"/>
          <w:szCs w:val="24"/>
        </w:rPr>
        <w:t>与本谈判有关的一切正式往来信函请寄：</w:t>
      </w:r>
      <w:r>
        <w:rPr>
          <w:rFonts w:hint="eastAsia" w:asciiTheme="minorEastAsia" w:hAnsiTheme="minorEastAsia" w:eastAsiaTheme="minorEastAsia" w:cstheme="minorEastAsia"/>
          <w:color w:val="auto"/>
          <w:spacing w:val="-5"/>
          <w:sz w:val="24"/>
          <w:szCs w:val="24"/>
          <w:u w:val="single"/>
        </w:rPr>
        <w:t xml:space="preserve">               </w:t>
      </w:r>
      <w:r>
        <w:rPr>
          <w:rFonts w:hint="eastAsia" w:asciiTheme="minorEastAsia" w:hAnsiTheme="minorEastAsia" w:eastAsiaTheme="minorEastAsia" w:cstheme="minorEastAsia"/>
          <w:color w:val="auto"/>
          <w:spacing w:val="-5"/>
          <w:sz w:val="24"/>
          <w:szCs w:val="24"/>
        </w:rPr>
        <w:t>邮政编号：</w:t>
      </w:r>
      <w:r>
        <w:rPr>
          <w:rFonts w:hint="eastAsia" w:asciiTheme="minorEastAsia" w:hAnsiTheme="minorEastAsia" w:eastAsiaTheme="minorEastAsia" w:cstheme="minorEastAsia"/>
          <w:color w:val="auto"/>
          <w:spacing w:val="-5"/>
          <w:sz w:val="24"/>
          <w:szCs w:val="24"/>
          <w:u w:val="single"/>
        </w:rPr>
        <w:t xml:space="preserve"> </w:t>
      </w:r>
      <w:r>
        <w:rPr>
          <w:rFonts w:hint="eastAsia" w:asciiTheme="minorEastAsia" w:hAnsiTheme="minorEastAsia" w:eastAsiaTheme="minorEastAsia" w:cstheme="minorEastAsia"/>
          <w:color w:val="auto"/>
          <w:spacing w:val="-5"/>
          <w:sz w:val="24"/>
          <w:szCs w:val="24"/>
          <w:u w:val="single"/>
          <w:lang w:val="en-US" w:eastAsia="zh-CN"/>
        </w:rPr>
        <w:t xml:space="preserve">    </w:t>
      </w:r>
      <w:r>
        <w:rPr>
          <w:rFonts w:hint="eastAsia" w:asciiTheme="minorEastAsia" w:hAnsiTheme="minorEastAsia" w:eastAsiaTheme="minorEastAsia" w:cstheme="minorEastAsia"/>
          <w:color w:val="auto"/>
          <w:spacing w:val="-5"/>
          <w:sz w:val="24"/>
          <w:szCs w:val="24"/>
          <w:u w:val="single"/>
        </w:rPr>
        <w:t xml:space="preserve"> </w:t>
      </w:r>
    </w:p>
    <w:p w14:paraId="1544B5C1">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5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电话/传真：</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38"/>
          <w:sz w:val="24"/>
          <w:szCs w:val="24"/>
        </w:rPr>
        <w:t xml:space="preserve"> </w:t>
      </w:r>
      <w:r>
        <w:rPr>
          <w:rFonts w:hint="eastAsia" w:asciiTheme="minorEastAsia" w:hAnsiTheme="minorEastAsia" w:eastAsiaTheme="minorEastAsia" w:cstheme="minorEastAsia"/>
          <w:color w:val="auto"/>
          <w:spacing w:val="-7"/>
          <w:sz w:val="24"/>
          <w:szCs w:val="24"/>
        </w:rPr>
        <w:t>电子函件：</w:t>
      </w:r>
      <w:r>
        <w:rPr>
          <w:rFonts w:hint="eastAsia" w:asciiTheme="minorEastAsia" w:hAnsiTheme="minorEastAsia" w:eastAsiaTheme="minorEastAsia" w:cstheme="minorEastAsia"/>
          <w:color w:val="auto"/>
          <w:sz w:val="24"/>
          <w:szCs w:val="24"/>
          <w:u w:val="single" w:color="auto"/>
        </w:rPr>
        <w:t xml:space="preserve">             </w:t>
      </w:r>
    </w:p>
    <w:p w14:paraId="1823E3E4">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开户银行：</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3"/>
          <w:sz w:val="24"/>
          <w:szCs w:val="24"/>
          <w:u w:val="single" w:color="auto"/>
        </w:rPr>
        <w:t xml:space="preserve">          </w:t>
      </w:r>
      <w:r>
        <w:rPr>
          <w:rFonts w:hint="eastAsia" w:asciiTheme="minorEastAsia" w:hAnsiTheme="minorEastAsia" w:eastAsiaTheme="minorEastAsia" w:cstheme="minorEastAsia"/>
          <w:color w:val="auto"/>
          <w:spacing w:val="6"/>
          <w:sz w:val="24"/>
          <w:szCs w:val="24"/>
        </w:rPr>
        <w:t xml:space="preserve">  </w:t>
      </w:r>
      <w:r>
        <w:rPr>
          <w:rFonts w:hint="eastAsia" w:asciiTheme="minorEastAsia" w:hAnsiTheme="minorEastAsia" w:eastAsiaTheme="minorEastAsia" w:cstheme="minorEastAsia"/>
          <w:color w:val="auto"/>
          <w:spacing w:val="-3"/>
          <w:sz w:val="24"/>
          <w:szCs w:val="24"/>
        </w:rPr>
        <w:t>账号：</w:t>
      </w:r>
      <w:r>
        <w:rPr>
          <w:rFonts w:hint="eastAsia" w:asciiTheme="minorEastAsia" w:hAnsiTheme="minorEastAsia" w:eastAsiaTheme="minorEastAsia" w:cstheme="minorEastAsia"/>
          <w:color w:val="auto"/>
          <w:spacing w:val="-3"/>
          <w:sz w:val="24"/>
          <w:szCs w:val="24"/>
          <w:u w:val="single" w:color="auto"/>
        </w:rPr>
        <w:t xml:space="preserve">                      </w:t>
      </w:r>
    </w:p>
    <w:p w14:paraId="5A0DF1DF">
      <w:pPr>
        <w:pStyle w:val="9"/>
        <w:keepNext w:val="0"/>
        <w:keepLines w:val="0"/>
        <w:pageBreakBefore w:val="0"/>
        <w:widowControl w:val="0"/>
        <w:numPr>
          <w:ilvl w:val="0"/>
          <w:numId w:val="52"/>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5"/>
          <w:sz w:val="24"/>
          <w:szCs w:val="24"/>
        </w:rPr>
        <w:t>以上事项如有虚假或者隐瞒，我方愿意承担一切后果，并不再寻求任何旨在减轻或者免除法律责任的辩解。</w:t>
      </w:r>
    </w:p>
    <w:p w14:paraId="55DA8E59">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5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特此承诺。</w:t>
      </w:r>
    </w:p>
    <w:p w14:paraId="0F827395">
      <w:pPr>
        <w:tabs>
          <w:tab w:val="left" w:pos="5982"/>
        </w:tabs>
        <w:snapToGrid/>
        <w:spacing w:before="0" w:after="0"/>
        <w:ind w:right="0" w:rightChars="0"/>
        <w:jc w:val="left"/>
        <w:rPr>
          <w:rFonts w:hint="eastAsia" w:asciiTheme="minorEastAsia" w:hAnsiTheme="minorEastAsia" w:eastAsiaTheme="minorEastAsia" w:cstheme="minorEastAsia"/>
          <w:color w:val="auto"/>
          <w:lang w:val="en-US" w:eastAsia="zh-CN"/>
        </w:rPr>
      </w:pPr>
    </w:p>
    <w:p w14:paraId="33B8AE2E">
      <w:pPr>
        <w:snapToGrid/>
        <w:spacing w:before="0" w:after="0"/>
        <w:ind w:right="0" w:rightChars="0"/>
        <w:jc w:val="left"/>
        <w:rPr>
          <w:rFonts w:hint="eastAsia" w:asciiTheme="minorEastAsia" w:hAnsiTheme="minorEastAsia" w:eastAsiaTheme="minorEastAsia" w:cstheme="minorEastAsia"/>
          <w:color w:val="auto"/>
          <w:kern w:val="2"/>
          <w:sz w:val="21"/>
          <w:szCs w:val="24"/>
          <w:lang w:val="en-US" w:eastAsia="zh-CN" w:bidi="ar-SA"/>
        </w:rPr>
      </w:pPr>
    </w:p>
    <w:p w14:paraId="013D49CF">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202724B0">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0AAB29E9">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70F36B81">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342DD371">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1440" w:firstLineChars="6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lang w:val="en-US" w:eastAsia="zh-CN"/>
        </w:rPr>
        <w:tab/>
      </w:r>
      <w:r>
        <w:rPr>
          <w:rFonts w:hint="eastAsia" w:asciiTheme="minorEastAsia" w:hAnsiTheme="minorEastAsia" w:eastAsiaTheme="minorEastAsia" w:cstheme="minorEastAsia"/>
          <w:color w:val="auto"/>
          <w:lang w:val="en-US" w:eastAsia="zh-CN"/>
        </w:rPr>
        <w:tab/>
      </w:r>
      <w:r>
        <w:rPr>
          <w:rFonts w:hint="eastAsia" w:asciiTheme="minorEastAsia" w:hAnsiTheme="minorEastAsia" w:eastAsiaTheme="minorEastAsia" w:cstheme="minorEastAsia"/>
          <w:color w:val="auto"/>
          <w:spacing w:val="-1"/>
          <w:sz w:val="24"/>
          <w:szCs w:val="24"/>
        </w:rPr>
        <w:t>法定代表人或委托代理人</w:t>
      </w:r>
      <w:r>
        <w:rPr>
          <w:rFonts w:hint="eastAsia" w:asciiTheme="minorEastAsia" w:hAnsiTheme="minorEastAsia" w:eastAsiaTheme="minorEastAsia" w:cstheme="minorEastAsia"/>
          <w:b/>
          <w:bCs/>
          <w:color w:val="auto"/>
          <w:spacing w:val="-1"/>
          <w:sz w:val="24"/>
          <w:szCs w:val="24"/>
        </w:rPr>
        <w:t>（签字或</w:t>
      </w:r>
      <w:r>
        <w:rPr>
          <w:rFonts w:hint="eastAsia" w:asciiTheme="minorEastAsia" w:hAnsiTheme="minorEastAsia" w:eastAsiaTheme="minorEastAsia" w:cstheme="minorEastAsia"/>
          <w:b/>
          <w:bCs/>
          <w:color w:val="auto"/>
          <w:spacing w:val="-1"/>
          <w:sz w:val="24"/>
          <w:szCs w:val="24"/>
          <w:lang w:val="en-US" w:eastAsia="zh-CN"/>
        </w:rPr>
        <w:t>CA</w:t>
      </w:r>
      <w:r>
        <w:rPr>
          <w:rFonts w:hint="eastAsia" w:asciiTheme="minorEastAsia" w:hAnsiTheme="minorEastAsia" w:eastAsiaTheme="minorEastAsia" w:cstheme="minorEastAsia"/>
          <w:b/>
          <w:bCs/>
          <w:color w:val="auto"/>
          <w:sz w:val="24"/>
          <w:szCs w:val="24"/>
          <w:highlight w:val="none"/>
        </w:rPr>
        <w:t>电子签字章</w:t>
      </w:r>
      <w:r>
        <w:rPr>
          <w:rFonts w:hint="eastAsia" w:asciiTheme="minorEastAsia" w:hAnsiTheme="minorEastAsia" w:eastAsiaTheme="minorEastAsia" w:cstheme="minorEastAsia"/>
          <w:b/>
          <w:bCs/>
          <w:color w:val="auto"/>
          <w:spacing w:val="-19"/>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1B5C08CA">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3579" w:firstLineChars="157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供应商</w:t>
      </w:r>
      <w:r>
        <w:rPr>
          <w:rFonts w:hint="eastAsia" w:asciiTheme="minorEastAsia" w:hAnsiTheme="minorEastAsia" w:eastAsiaTheme="minorEastAsia" w:cstheme="minorEastAsia"/>
          <w:b/>
          <w:bCs/>
          <w:color w:val="auto"/>
          <w:spacing w:val="-6"/>
          <w:sz w:val="24"/>
          <w:szCs w:val="24"/>
        </w:rPr>
        <w:t>（公章或</w:t>
      </w:r>
      <w:r>
        <w:rPr>
          <w:rFonts w:hint="eastAsia" w:asciiTheme="minorEastAsia" w:hAnsiTheme="minorEastAsia" w:eastAsiaTheme="minorEastAsia" w:cstheme="minorEastAsia"/>
          <w:b/>
          <w:bCs/>
          <w:color w:val="auto"/>
          <w:spacing w:val="-6"/>
          <w:sz w:val="24"/>
          <w:szCs w:val="24"/>
          <w:lang w:val="en-US" w:eastAsia="zh-CN"/>
        </w:rPr>
        <w:t>CA</w:t>
      </w:r>
      <w:r>
        <w:rPr>
          <w:rFonts w:hint="eastAsia" w:asciiTheme="minorEastAsia" w:hAnsiTheme="minorEastAsia" w:eastAsiaTheme="minorEastAsia" w:cstheme="minorEastAsia"/>
          <w:b/>
          <w:bCs/>
          <w:color w:val="auto"/>
          <w:spacing w:val="-6"/>
          <w:sz w:val="24"/>
          <w:szCs w:val="24"/>
        </w:rPr>
        <w:t>电子</w:t>
      </w:r>
      <w:r>
        <w:rPr>
          <w:rFonts w:hint="eastAsia" w:asciiTheme="minorEastAsia" w:hAnsiTheme="minorEastAsia" w:eastAsiaTheme="minorEastAsia" w:cstheme="minorEastAsia"/>
          <w:b/>
          <w:bCs/>
          <w:color w:val="auto"/>
          <w:spacing w:val="-6"/>
          <w:sz w:val="24"/>
          <w:szCs w:val="24"/>
          <w:lang w:eastAsia="zh-CN"/>
        </w:rPr>
        <w:t>签</w:t>
      </w:r>
      <w:r>
        <w:rPr>
          <w:rFonts w:hint="eastAsia" w:asciiTheme="minorEastAsia" w:hAnsiTheme="minorEastAsia" w:eastAsiaTheme="minorEastAsia" w:cstheme="minorEastAsia"/>
          <w:b/>
          <w:bCs/>
          <w:color w:val="auto"/>
          <w:spacing w:val="-6"/>
          <w:sz w:val="24"/>
          <w:szCs w:val="24"/>
        </w:rPr>
        <w:t>章</w:t>
      </w:r>
      <w:r>
        <w:rPr>
          <w:rFonts w:hint="eastAsia" w:asciiTheme="minorEastAsia" w:hAnsiTheme="minorEastAsia" w:eastAsiaTheme="minorEastAsia" w:cstheme="minorEastAsia"/>
          <w:b/>
          <w:bCs/>
          <w:color w:val="auto"/>
          <w:spacing w:val="-5"/>
          <w:sz w:val="24"/>
          <w:szCs w:val="24"/>
        </w:rPr>
        <w:t>）</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83E97B6">
      <w:pPr>
        <w:pStyle w:val="9"/>
        <w:keepNext w:val="0"/>
        <w:keepLines w:val="0"/>
        <w:pageBreakBefore w:val="0"/>
        <w:widowControl w:val="0"/>
        <w:kinsoku/>
        <w:wordWrap/>
        <w:overflowPunct/>
        <w:topLinePunct w:val="0"/>
        <w:autoSpaceDE/>
        <w:autoSpaceDN/>
        <w:bidi w:val="0"/>
        <w:adjustRightInd/>
        <w:snapToGrid w:val="0"/>
        <w:spacing w:line="360" w:lineRule="auto"/>
        <w:ind w:left="0"/>
        <w:jc w:val="right"/>
        <w:textAlignment w:val="auto"/>
        <w:rPr>
          <w:rFonts w:hint="eastAsia" w:asciiTheme="minorEastAsia" w:hAnsiTheme="minorEastAsia" w:eastAsiaTheme="minorEastAsia" w:cstheme="minorEastAsia"/>
          <w:color w:val="auto"/>
          <w:sz w:val="24"/>
          <w:szCs w:val="24"/>
        </w:rPr>
        <w:sectPr>
          <w:footerReference r:id="rId10" w:type="default"/>
          <w:pgSz w:w="11912" w:h="16841"/>
          <w:pgMar w:top="1440" w:right="1800" w:bottom="1440" w:left="1800" w:header="0" w:footer="779" w:gutter="0"/>
          <w:pgNumType w:fmt="decimal"/>
          <w:cols w:space="720" w:num="1"/>
        </w:sectPr>
      </w:pP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548F066F">
      <w:pPr>
        <w:jc w:val="center"/>
        <w:rPr>
          <w:rFonts w:hint="eastAsia" w:asciiTheme="minorEastAsia" w:hAnsiTheme="minorEastAsia" w:eastAsiaTheme="minorEastAsia" w:cstheme="minorEastAsia"/>
          <w:b/>
          <w:bCs/>
          <w:color w:val="auto"/>
          <w:sz w:val="56"/>
          <w:szCs w:val="56"/>
        </w:rPr>
      </w:pPr>
    </w:p>
    <w:p w14:paraId="7337226C">
      <w:pPr>
        <w:jc w:val="center"/>
        <w:rPr>
          <w:rFonts w:hint="eastAsia" w:asciiTheme="minorEastAsia" w:hAnsiTheme="minorEastAsia" w:eastAsiaTheme="minorEastAsia" w:cstheme="minorEastAsia"/>
          <w:b/>
          <w:bCs/>
          <w:color w:val="auto"/>
          <w:sz w:val="56"/>
          <w:szCs w:val="56"/>
        </w:rPr>
      </w:pPr>
    </w:p>
    <w:p w14:paraId="5311F68B">
      <w:pPr>
        <w:jc w:val="center"/>
        <w:rPr>
          <w:rFonts w:hint="eastAsia" w:asciiTheme="minorEastAsia" w:hAnsiTheme="minorEastAsia" w:eastAsiaTheme="minorEastAsia" w:cstheme="minorEastAsia"/>
          <w:b/>
          <w:bCs/>
          <w:color w:val="auto"/>
          <w:sz w:val="56"/>
          <w:szCs w:val="56"/>
        </w:rPr>
      </w:pPr>
    </w:p>
    <w:p w14:paraId="406F0700">
      <w:pPr>
        <w:jc w:val="center"/>
        <w:rPr>
          <w:rFonts w:hint="eastAsia" w:asciiTheme="minorEastAsia" w:hAnsiTheme="minorEastAsia" w:eastAsiaTheme="minorEastAsia" w:cstheme="minorEastAsia"/>
          <w:b/>
          <w:bCs/>
          <w:color w:val="auto"/>
          <w:sz w:val="56"/>
          <w:szCs w:val="56"/>
        </w:rPr>
      </w:pPr>
    </w:p>
    <w:p w14:paraId="7ED31643">
      <w:pPr>
        <w:jc w:val="center"/>
        <w:rPr>
          <w:rFonts w:hint="eastAsia" w:asciiTheme="minorEastAsia" w:hAnsiTheme="minorEastAsia" w:eastAsiaTheme="minorEastAsia" w:cstheme="minorEastAsia"/>
          <w:b/>
          <w:bCs/>
          <w:color w:val="auto"/>
          <w:sz w:val="56"/>
          <w:szCs w:val="56"/>
        </w:rPr>
      </w:pPr>
    </w:p>
    <w:p w14:paraId="6163AF3E">
      <w:pPr>
        <w:jc w:val="center"/>
        <w:rPr>
          <w:rFonts w:hint="eastAsia" w:asciiTheme="minorEastAsia" w:hAnsiTheme="minorEastAsia" w:eastAsiaTheme="minorEastAsia" w:cstheme="minorEastAsia"/>
          <w:b/>
          <w:bCs/>
          <w:color w:val="auto"/>
          <w:sz w:val="56"/>
          <w:szCs w:val="56"/>
        </w:rPr>
      </w:pPr>
    </w:p>
    <w:p w14:paraId="6D63D10C">
      <w:pPr>
        <w:jc w:val="center"/>
        <w:rPr>
          <w:rFonts w:hint="eastAsia" w:asciiTheme="minorEastAsia" w:hAnsiTheme="minorEastAsia" w:eastAsiaTheme="minorEastAsia" w:cstheme="minorEastAsia"/>
          <w:b/>
          <w:bCs/>
          <w:color w:val="auto"/>
          <w:sz w:val="56"/>
          <w:szCs w:val="56"/>
        </w:rPr>
      </w:pPr>
    </w:p>
    <w:p w14:paraId="55714933">
      <w:pPr>
        <w:keepNext w:val="0"/>
        <w:keepLines w:val="0"/>
        <w:pageBreakBefore w:val="0"/>
        <w:widowControl w:val="0"/>
        <w:numPr>
          <w:ilvl w:val="0"/>
          <w:numId w:val="48"/>
        </w:numPr>
        <w:kinsoku/>
        <w:wordWrap/>
        <w:overflowPunct/>
        <w:topLinePunct w:val="0"/>
        <w:autoSpaceDE/>
        <w:autoSpaceDN/>
        <w:bidi w:val="0"/>
        <w:adjustRightInd/>
        <w:snapToGrid w:val="0"/>
        <w:spacing w:line="360" w:lineRule="auto"/>
        <w:ind w:left="0" w:leftChars="0" w:firstLine="0" w:firstLineChars="0"/>
        <w:jc w:val="center"/>
        <w:textAlignment w:val="auto"/>
        <w:outlineLvl w:val="1"/>
        <w:rPr>
          <w:rFonts w:hint="eastAsia" w:asciiTheme="minorEastAsia" w:hAnsiTheme="minorEastAsia" w:eastAsiaTheme="minorEastAsia" w:cstheme="minorEastAsia"/>
          <w:b/>
          <w:bCs/>
          <w:color w:val="auto"/>
          <w:sz w:val="36"/>
          <w:szCs w:val="36"/>
        </w:rPr>
      </w:pPr>
      <w:r>
        <w:rPr>
          <w:rFonts w:hint="eastAsia" w:asciiTheme="minorEastAsia" w:hAnsiTheme="minorEastAsia" w:eastAsiaTheme="minorEastAsia" w:cstheme="minorEastAsia"/>
          <w:b/>
          <w:bCs/>
          <w:color w:val="auto"/>
          <w:sz w:val="36"/>
          <w:szCs w:val="36"/>
        </w:rPr>
        <w:t>报价要求文件格式</w:t>
      </w:r>
    </w:p>
    <w:p w14:paraId="108E0AE2">
      <w:pPr>
        <w:snapToGrid w:val="0"/>
        <w:spacing w:before="156" w:beforeLines="50" w:after="50" w:line="360" w:lineRule="exact"/>
        <w:jc w:val="center"/>
        <w:rPr>
          <w:rFonts w:hint="eastAsia" w:asciiTheme="minorEastAsia" w:hAnsiTheme="minorEastAsia" w:eastAsiaTheme="minorEastAsia" w:cstheme="minorEastAsia"/>
          <w:b/>
          <w:bCs/>
          <w:color w:val="auto"/>
          <w:sz w:val="44"/>
          <w:szCs w:val="44"/>
        </w:rPr>
      </w:pPr>
    </w:p>
    <w:p w14:paraId="1171C8B5">
      <w:pPr>
        <w:snapToGrid w:val="0"/>
        <w:spacing w:before="156" w:beforeLines="50" w:after="50" w:line="360" w:lineRule="exact"/>
        <w:jc w:val="center"/>
        <w:rPr>
          <w:rFonts w:hint="eastAsia" w:asciiTheme="minorEastAsia" w:hAnsiTheme="minorEastAsia" w:eastAsiaTheme="minorEastAsia" w:cstheme="minorEastAsia"/>
          <w:b/>
          <w:bCs/>
          <w:color w:val="auto"/>
          <w:sz w:val="44"/>
          <w:szCs w:val="44"/>
        </w:rPr>
      </w:pPr>
    </w:p>
    <w:p w14:paraId="500EE252">
      <w:pPr>
        <w:snapToGrid w:val="0"/>
        <w:spacing w:before="50"/>
        <w:ind w:right="-611" w:rightChars="-291"/>
        <w:jc w:val="left"/>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br w:type="page"/>
      </w:r>
    </w:p>
    <w:p w14:paraId="54D926AC">
      <w:pPr>
        <w:snapToGrid w:val="0"/>
        <w:spacing w:before="50" w:after="50"/>
        <w:ind w:right="-611" w:rightChars="-291"/>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 w:val="24"/>
        </w:rPr>
        <w:t>报价要求文件目录：</w:t>
      </w:r>
    </w:p>
    <w:p w14:paraId="4BEEC392">
      <w:pPr>
        <w:pStyle w:val="9"/>
        <w:spacing w:before="101" w:line="225"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由</w:t>
      </w:r>
      <w:r>
        <w:rPr>
          <w:rFonts w:hint="eastAsia" w:asciiTheme="minorEastAsia" w:hAnsiTheme="minorEastAsia" w:eastAsiaTheme="minorEastAsia" w:cstheme="minorEastAsia"/>
          <w:b/>
          <w:color w:val="auto"/>
          <w:sz w:val="24"/>
          <w:highlight w:val="none"/>
          <w:lang w:eastAsia="zh-CN"/>
        </w:rPr>
        <w:t>供应商</w:t>
      </w:r>
      <w:r>
        <w:rPr>
          <w:rFonts w:hint="eastAsia" w:asciiTheme="minorEastAsia" w:hAnsiTheme="minorEastAsia" w:eastAsiaTheme="minorEastAsia" w:cstheme="minorEastAsia"/>
          <w:b/>
          <w:color w:val="auto"/>
          <w:sz w:val="24"/>
          <w:highlight w:val="none"/>
        </w:rPr>
        <w:t>根据</w:t>
      </w:r>
      <w:r>
        <w:rPr>
          <w:rFonts w:hint="eastAsia" w:asciiTheme="minorEastAsia" w:hAnsiTheme="minorEastAsia" w:eastAsiaTheme="minorEastAsia" w:cstheme="minorEastAsia"/>
          <w:b/>
          <w:color w:val="auto"/>
          <w:sz w:val="24"/>
          <w:highlight w:val="none"/>
          <w:lang w:eastAsia="zh-CN"/>
        </w:rPr>
        <w:t>竞争性磋商文件</w:t>
      </w:r>
      <w:r>
        <w:rPr>
          <w:rFonts w:hint="eastAsia" w:asciiTheme="minorEastAsia" w:hAnsiTheme="minorEastAsia" w:eastAsiaTheme="minorEastAsia" w:cstheme="minorEastAsia"/>
          <w:b/>
          <w:color w:val="auto"/>
          <w:sz w:val="24"/>
          <w:highlight w:val="none"/>
        </w:rPr>
        <w:t>自行编制</w:t>
      </w:r>
    </w:p>
    <w:p w14:paraId="492705EE">
      <w:pPr>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br w:type="page"/>
      </w:r>
    </w:p>
    <w:p w14:paraId="4C3F6407">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报 价 表</w:t>
      </w:r>
    </w:p>
    <w:tbl>
      <w:tblPr>
        <w:tblStyle w:val="20"/>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7610"/>
      </w:tblGrid>
      <w:tr w14:paraId="7F51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511" w:type="dxa"/>
            <w:tcBorders>
              <w:top w:val="single" w:color="auto" w:sz="4" w:space="0"/>
              <w:left w:val="single" w:color="auto" w:sz="4" w:space="0"/>
              <w:bottom w:val="single" w:color="auto" w:sz="4" w:space="0"/>
              <w:right w:val="single" w:color="auto" w:sz="4" w:space="0"/>
            </w:tcBorders>
            <w:vAlign w:val="center"/>
          </w:tcPr>
          <w:p w14:paraId="132205F6">
            <w:pPr>
              <w:spacing w:line="276" w:lineRule="auto"/>
              <w:ind w:right="-6" w:rightChars="-3"/>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项目名称</w:t>
            </w:r>
          </w:p>
        </w:tc>
        <w:tc>
          <w:tcPr>
            <w:tcW w:w="7610" w:type="dxa"/>
            <w:tcBorders>
              <w:top w:val="single" w:color="auto" w:sz="4" w:space="0"/>
              <w:left w:val="single" w:color="auto" w:sz="4" w:space="0"/>
              <w:bottom w:val="single" w:color="auto" w:sz="4" w:space="0"/>
              <w:right w:val="single" w:color="auto" w:sz="4" w:space="0"/>
            </w:tcBorders>
            <w:vAlign w:val="center"/>
          </w:tcPr>
          <w:p w14:paraId="09AC367E">
            <w:pPr>
              <w:spacing w:line="276" w:lineRule="auto"/>
              <w:ind w:right="-611" w:rightChars="-291"/>
              <w:jc w:val="center"/>
              <w:rPr>
                <w:rFonts w:hint="eastAsia" w:asciiTheme="minorEastAsia" w:hAnsiTheme="minorEastAsia" w:eastAsiaTheme="minorEastAsia" w:cstheme="minorEastAsia"/>
                <w:color w:val="auto"/>
                <w:sz w:val="24"/>
              </w:rPr>
            </w:pPr>
          </w:p>
        </w:tc>
      </w:tr>
      <w:tr w14:paraId="269B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11" w:type="dxa"/>
            <w:tcBorders>
              <w:top w:val="single" w:color="auto" w:sz="4" w:space="0"/>
              <w:left w:val="single" w:color="auto" w:sz="4" w:space="0"/>
              <w:bottom w:val="single" w:color="auto" w:sz="4" w:space="0"/>
              <w:right w:val="single" w:color="auto" w:sz="4" w:space="0"/>
            </w:tcBorders>
            <w:vAlign w:val="center"/>
          </w:tcPr>
          <w:p w14:paraId="7E569F02">
            <w:pPr>
              <w:spacing w:line="276" w:lineRule="auto"/>
              <w:ind w:right="-6" w:rightChars="-3"/>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项目编号</w:t>
            </w:r>
          </w:p>
        </w:tc>
        <w:tc>
          <w:tcPr>
            <w:tcW w:w="7610" w:type="dxa"/>
            <w:tcBorders>
              <w:top w:val="single" w:color="auto" w:sz="4" w:space="0"/>
              <w:left w:val="single" w:color="auto" w:sz="4" w:space="0"/>
              <w:bottom w:val="single" w:color="auto" w:sz="4" w:space="0"/>
              <w:right w:val="single" w:color="auto" w:sz="4" w:space="0"/>
            </w:tcBorders>
            <w:vAlign w:val="center"/>
          </w:tcPr>
          <w:p w14:paraId="0D53BA7A">
            <w:pPr>
              <w:widowControl/>
              <w:spacing w:line="276" w:lineRule="auto"/>
              <w:ind w:right="-611" w:rightChars="-291"/>
              <w:jc w:val="left"/>
              <w:rPr>
                <w:rFonts w:hint="eastAsia" w:asciiTheme="minorEastAsia" w:hAnsiTheme="minorEastAsia" w:eastAsiaTheme="minorEastAsia" w:cstheme="minorEastAsia"/>
                <w:color w:val="auto"/>
                <w:sz w:val="24"/>
              </w:rPr>
            </w:pPr>
          </w:p>
        </w:tc>
      </w:tr>
      <w:tr w14:paraId="079F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511" w:type="dxa"/>
            <w:vAlign w:val="center"/>
          </w:tcPr>
          <w:p w14:paraId="628CB01B">
            <w:pPr>
              <w:spacing w:line="276" w:lineRule="auto"/>
              <w:ind w:right="-6" w:rightChars="-3"/>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总报价</w:t>
            </w:r>
          </w:p>
        </w:tc>
        <w:tc>
          <w:tcPr>
            <w:tcW w:w="7610" w:type="dxa"/>
            <w:vAlign w:val="center"/>
          </w:tcPr>
          <w:p w14:paraId="0BF02375">
            <w:pPr>
              <w:spacing w:line="276" w:lineRule="auto"/>
              <w:ind w:right="-611" w:rightChars="-291"/>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人民币（大写）</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rPr>
              <w:t>）</w:t>
            </w:r>
          </w:p>
        </w:tc>
      </w:tr>
      <w:tr w14:paraId="0817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511" w:type="dxa"/>
            <w:vAlign w:val="center"/>
          </w:tcPr>
          <w:p w14:paraId="295EDF3C">
            <w:pPr>
              <w:spacing w:line="276" w:lineRule="auto"/>
              <w:ind w:right="-6" w:rightChars="-3"/>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合同履约</w:t>
            </w:r>
          </w:p>
          <w:p w14:paraId="546AAF49">
            <w:pPr>
              <w:spacing w:line="276" w:lineRule="auto"/>
              <w:ind w:right="-6" w:rightChars="-3"/>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期限</w:t>
            </w:r>
          </w:p>
        </w:tc>
        <w:tc>
          <w:tcPr>
            <w:tcW w:w="7610" w:type="dxa"/>
            <w:vAlign w:val="center"/>
          </w:tcPr>
          <w:p w14:paraId="3852B3B5">
            <w:pPr>
              <w:spacing w:line="276" w:lineRule="auto"/>
              <w:ind w:right="-611" w:rightChars="-291"/>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自签订合同之日起30天内安装调试完毕并交付使用。</w:t>
            </w:r>
          </w:p>
        </w:tc>
      </w:tr>
    </w:tbl>
    <w:p w14:paraId="45C6DFA4">
      <w:pPr>
        <w:spacing w:line="276" w:lineRule="auto"/>
        <w:ind w:right="-611" w:rightChars="-291"/>
        <w:rPr>
          <w:rFonts w:hint="eastAsia" w:asciiTheme="minorEastAsia" w:hAnsiTheme="minorEastAsia" w:eastAsiaTheme="minorEastAsia" w:cstheme="minorEastAsia"/>
          <w:color w:val="auto"/>
          <w:sz w:val="24"/>
        </w:rPr>
      </w:pPr>
    </w:p>
    <w:p w14:paraId="12A048FE">
      <w:pPr>
        <w:spacing w:line="276" w:lineRule="auto"/>
        <w:ind w:right="-611" w:rightChars="-291"/>
        <w:rPr>
          <w:rFonts w:hint="eastAsia" w:asciiTheme="minorEastAsia" w:hAnsiTheme="minorEastAsia" w:eastAsiaTheme="minorEastAsia" w:cstheme="minorEastAsia"/>
          <w:color w:val="auto"/>
          <w:sz w:val="24"/>
        </w:rPr>
      </w:pPr>
    </w:p>
    <w:p w14:paraId="59833191">
      <w:pPr>
        <w:spacing w:line="276" w:lineRule="auto"/>
        <w:ind w:right="-611" w:rightChars="-291"/>
        <w:rPr>
          <w:rFonts w:hint="eastAsia" w:asciiTheme="minorEastAsia" w:hAnsiTheme="minorEastAsia" w:eastAsiaTheme="minorEastAsia" w:cstheme="minorEastAsia"/>
          <w:color w:val="auto"/>
          <w:sz w:val="24"/>
        </w:rPr>
      </w:pPr>
    </w:p>
    <w:p w14:paraId="76ED0977">
      <w:pPr>
        <w:keepNext w:val="0"/>
        <w:keepLines w:val="0"/>
        <w:pageBreakBefore w:val="0"/>
        <w:widowControl w:val="0"/>
        <w:kinsoku/>
        <w:wordWrap/>
        <w:overflowPunct/>
        <w:topLinePunct w:val="0"/>
        <w:autoSpaceDE/>
        <w:autoSpaceDN/>
        <w:bidi w:val="0"/>
        <w:adjustRightInd/>
        <w:snapToGrid w:val="0"/>
        <w:spacing w:line="480" w:lineRule="auto"/>
        <w:ind w:right="-611" w:rightChars="-291" w:firstLine="1680" w:firstLineChars="700"/>
        <w:textAlignment w:val="auto"/>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法定代表人或委托代理人</w:t>
      </w:r>
      <w:r>
        <w:rPr>
          <w:rFonts w:hint="eastAsia" w:asciiTheme="minorEastAsia" w:hAnsiTheme="minorEastAsia" w:eastAsiaTheme="minorEastAsia" w:cstheme="minorEastAsia"/>
          <w:b/>
          <w:color w:val="auto"/>
          <w:sz w:val="24"/>
        </w:rPr>
        <w:t>（签字或CA电子签字章）：</w:t>
      </w:r>
      <w:r>
        <w:rPr>
          <w:rFonts w:hint="eastAsia" w:asciiTheme="minorEastAsia" w:hAnsiTheme="minorEastAsia" w:eastAsiaTheme="minorEastAsia" w:cstheme="minorEastAsia"/>
          <w:color w:val="auto"/>
          <w:sz w:val="24"/>
          <w:u w:val="single"/>
        </w:rPr>
        <w:t xml:space="preserve">                  </w:t>
      </w:r>
    </w:p>
    <w:p w14:paraId="517C8AB9">
      <w:pPr>
        <w:keepNext w:val="0"/>
        <w:keepLines w:val="0"/>
        <w:pageBreakBefore w:val="0"/>
        <w:widowControl w:val="0"/>
        <w:kinsoku/>
        <w:wordWrap/>
        <w:overflowPunct/>
        <w:topLinePunct w:val="0"/>
        <w:autoSpaceDE/>
        <w:autoSpaceDN/>
        <w:bidi w:val="0"/>
        <w:adjustRightInd/>
        <w:snapToGrid w:val="0"/>
        <w:spacing w:line="480" w:lineRule="auto"/>
        <w:ind w:right="-611" w:rightChars="-291" w:firstLine="2880" w:firstLineChars="1200"/>
        <w:textAlignment w:val="auto"/>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供应商名称</w:t>
      </w:r>
      <w:r>
        <w:rPr>
          <w:rFonts w:hint="eastAsia" w:asciiTheme="minorEastAsia" w:hAnsiTheme="minorEastAsia" w:eastAsiaTheme="minorEastAsia" w:cstheme="minorEastAsia"/>
          <w:b/>
          <w:color w:val="auto"/>
          <w:sz w:val="24"/>
        </w:rPr>
        <w:t>（</w:t>
      </w:r>
      <w:r>
        <w:rPr>
          <w:rFonts w:hint="eastAsia" w:asciiTheme="minorEastAsia" w:hAnsiTheme="minorEastAsia" w:eastAsiaTheme="minorEastAsia" w:cstheme="minorEastAsia"/>
          <w:b/>
          <w:bCs/>
          <w:color w:val="auto"/>
          <w:sz w:val="24"/>
        </w:rPr>
        <w:t>公章或CA电子签章</w:t>
      </w:r>
      <w:r>
        <w:rPr>
          <w:rFonts w:hint="eastAsia" w:asciiTheme="minorEastAsia" w:hAnsiTheme="minorEastAsia" w:eastAsiaTheme="minorEastAsia" w:cstheme="minorEastAsia"/>
          <w:b/>
          <w:color w:val="auto"/>
          <w:sz w:val="24"/>
        </w:rPr>
        <w:t>）</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u w:val="single"/>
        </w:rPr>
        <w:t xml:space="preserve">                            </w:t>
      </w:r>
    </w:p>
    <w:p w14:paraId="79593BCA">
      <w:pPr>
        <w:keepNext w:val="0"/>
        <w:keepLines w:val="0"/>
        <w:pageBreakBefore w:val="0"/>
        <w:widowControl w:val="0"/>
        <w:kinsoku/>
        <w:wordWrap/>
        <w:overflowPunct/>
        <w:topLinePunct w:val="0"/>
        <w:autoSpaceDE/>
        <w:autoSpaceDN/>
        <w:bidi w:val="0"/>
        <w:adjustRightInd/>
        <w:snapToGrid w:val="0"/>
        <w:spacing w:line="480" w:lineRule="auto"/>
        <w:ind w:right="-611" w:rightChars="-291"/>
        <w:jc w:val="right"/>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021C1CC">
      <w:pPr>
        <w:spacing w:line="276" w:lineRule="auto"/>
        <w:ind w:right="-611" w:rightChars="-291"/>
        <w:rPr>
          <w:rFonts w:hint="eastAsia" w:asciiTheme="minorEastAsia" w:hAnsiTheme="minorEastAsia" w:eastAsiaTheme="minorEastAsia" w:cstheme="minorEastAsia"/>
          <w:b/>
          <w:color w:val="auto"/>
          <w:sz w:val="24"/>
        </w:rPr>
      </w:pPr>
    </w:p>
    <w:p w14:paraId="3D9FC990">
      <w:pPr>
        <w:spacing w:line="276" w:lineRule="auto"/>
        <w:ind w:right="-611" w:rightChars="-291"/>
        <w:rPr>
          <w:rFonts w:hint="eastAsia" w:asciiTheme="minorEastAsia" w:hAnsiTheme="minorEastAsia" w:eastAsiaTheme="minorEastAsia" w:cstheme="minorEastAsia"/>
          <w:b/>
          <w:color w:val="auto"/>
          <w:sz w:val="24"/>
        </w:rPr>
      </w:pPr>
    </w:p>
    <w:p w14:paraId="055AD287">
      <w:pPr>
        <w:spacing w:line="360" w:lineRule="auto"/>
        <w:ind w:right="0" w:rightChars="0"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注：</w:t>
      </w:r>
    </w:p>
    <w:p w14:paraId="0EE74150">
      <w:pPr>
        <w:numPr>
          <w:ilvl w:val="0"/>
          <w:numId w:val="55"/>
        </w:numPr>
        <w:spacing w:line="360" w:lineRule="auto"/>
        <w:ind w:left="0" w:leftChars="0" w:right="0" w:rightChars="0"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此项材料必须以PDF格式上传；</w:t>
      </w:r>
    </w:p>
    <w:p w14:paraId="5DDF35B8">
      <w:pPr>
        <w:numPr>
          <w:ilvl w:val="0"/>
          <w:numId w:val="55"/>
        </w:numPr>
        <w:spacing w:line="360" w:lineRule="auto"/>
        <w:ind w:left="0" w:leftChars="0" w:right="0" w:rightChars="0"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报价一经涂改，应在涂改处加盖供应商CA电子签章或者由法定代表人或授权委托代理人签字或盖章，否则将视为无效响应；</w:t>
      </w:r>
    </w:p>
    <w:p w14:paraId="0239D009">
      <w:pPr>
        <w:numPr>
          <w:ilvl w:val="0"/>
          <w:numId w:val="55"/>
        </w:numPr>
        <w:spacing w:line="360" w:lineRule="auto"/>
        <w:ind w:left="0" w:leftChars="0" w:right="0" w:rightChars="0"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此表为完成本采购项目所需的全部报价总价</w:t>
      </w:r>
      <w:r>
        <w:rPr>
          <w:rFonts w:hint="eastAsia" w:asciiTheme="minorEastAsia" w:hAnsiTheme="minorEastAsia" w:eastAsiaTheme="minorEastAsia" w:cstheme="minorEastAsia"/>
          <w:color w:val="auto"/>
          <w:sz w:val="24"/>
          <w:lang w:eastAsia="zh-CN"/>
        </w:rPr>
        <w:t>。</w:t>
      </w:r>
    </w:p>
    <w:p w14:paraId="4E51BB9E">
      <w:pPr>
        <w:adjustRightInd w:val="0"/>
        <w:snapToGrid w:val="0"/>
        <w:spacing w:line="276" w:lineRule="auto"/>
        <w:ind w:right="-611" w:rightChars="-291"/>
        <w:jc w:val="left"/>
        <w:rPr>
          <w:rFonts w:hint="eastAsia" w:asciiTheme="minorEastAsia" w:hAnsiTheme="minorEastAsia" w:eastAsiaTheme="minorEastAsia" w:cstheme="minorEastAsia"/>
          <w:b/>
          <w:color w:val="auto"/>
          <w:sz w:val="24"/>
        </w:rPr>
        <w:sectPr>
          <w:footerReference r:id="rId11" w:type="default"/>
          <w:pgSz w:w="11906" w:h="16838"/>
          <w:pgMar w:top="1440" w:right="1800" w:bottom="1440" w:left="1800" w:header="851" w:footer="992" w:gutter="0"/>
          <w:pgNumType w:fmt="decimal"/>
          <w:cols w:space="720" w:num="1"/>
          <w:docGrid w:type="lines" w:linePitch="312" w:charSpace="0"/>
        </w:sectPr>
      </w:pPr>
    </w:p>
    <w:p w14:paraId="61FEC028">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报价</w:t>
      </w:r>
      <w:r>
        <w:rPr>
          <w:rFonts w:hint="eastAsia" w:asciiTheme="minorEastAsia" w:hAnsiTheme="minorEastAsia" w:eastAsiaTheme="minorEastAsia" w:cstheme="minorEastAsia"/>
          <w:b/>
          <w:bCs/>
          <w:color w:val="auto"/>
          <w:spacing w:val="5"/>
          <w:sz w:val="32"/>
          <w:szCs w:val="32"/>
          <w:lang w:eastAsia="zh-CN"/>
        </w:rPr>
        <w:t>明细</w:t>
      </w:r>
      <w:r>
        <w:rPr>
          <w:rFonts w:hint="eastAsia" w:asciiTheme="minorEastAsia" w:hAnsiTheme="minorEastAsia" w:eastAsiaTheme="minorEastAsia" w:cstheme="minorEastAsia"/>
          <w:b/>
          <w:bCs/>
          <w:color w:val="auto"/>
          <w:spacing w:val="5"/>
          <w:sz w:val="32"/>
          <w:szCs w:val="32"/>
        </w:rPr>
        <w:t>表</w:t>
      </w:r>
    </w:p>
    <w:p w14:paraId="4BC38D3E">
      <w:pPr>
        <w:spacing w:line="500" w:lineRule="exact"/>
        <w:ind w:right="-611" w:rightChars="-291"/>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项目名称：</w:t>
      </w:r>
      <w:r>
        <w:rPr>
          <w:rFonts w:hint="eastAsia" w:asciiTheme="minorEastAsia" w:hAnsiTheme="minorEastAsia" w:eastAsiaTheme="minorEastAsia" w:cstheme="minorEastAsia"/>
          <w:color w:val="auto"/>
          <w:sz w:val="24"/>
          <w:u w:val="single"/>
        </w:rPr>
        <w:t xml:space="preserve">                   </w:t>
      </w:r>
    </w:p>
    <w:p w14:paraId="07A5502F">
      <w:pPr>
        <w:spacing w:line="500" w:lineRule="exact"/>
        <w:ind w:right="-611" w:rightChars="-291"/>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项目编号：</w:t>
      </w:r>
      <w:r>
        <w:rPr>
          <w:rFonts w:hint="eastAsia" w:asciiTheme="minorEastAsia" w:hAnsiTheme="minorEastAsia" w:eastAsiaTheme="minorEastAsia" w:cstheme="minorEastAsia"/>
          <w:color w:val="auto"/>
          <w:sz w:val="24"/>
          <w:u w:val="single"/>
        </w:rPr>
        <w:t xml:space="preserve">                   </w:t>
      </w:r>
    </w:p>
    <w:tbl>
      <w:tblPr>
        <w:tblStyle w:val="20"/>
        <w:tblW w:w="867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9"/>
        <w:gridCol w:w="944"/>
        <w:gridCol w:w="1162"/>
        <w:gridCol w:w="918"/>
        <w:gridCol w:w="1011"/>
        <w:gridCol w:w="1393"/>
        <w:gridCol w:w="1115"/>
        <w:gridCol w:w="1049"/>
        <w:gridCol w:w="546"/>
      </w:tblGrid>
      <w:tr w14:paraId="5AE874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0"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14:paraId="516C5A02">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项号</w:t>
            </w:r>
          </w:p>
        </w:tc>
        <w:tc>
          <w:tcPr>
            <w:tcW w:w="944" w:type="dxa"/>
            <w:tcBorders>
              <w:top w:val="single" w:color="auto" w:sz="4" w:space="0"/>
              <w:left w:val="single" w:color="auto" w:sz="4" w:space="0"/>
              <w:bottom w:val="single" w:color="auto" w:sz="4" w:space="0"/>
              <w:right w:val="single" w:color="auto" w:sz="4" w:space="0"/>
            </w:tcBorders>
            <w:vAlign w:val="center"/>
          </w:tcPr>
          <w:p w14:paraId="4749C631">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货物</w:t>
            </w:r>
          </w:p>
          <w:p w14:paraId="16EC7C3B">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名称</w:t>
            </w:r>
          </w:p>
        </w:tc>
        <w:tc>
          <w:tcPr>
            <w:tcW w:w="1162" w:type="dxa"/>
            <w:tcBorders>
              <w:top w:val="single" w:color="auto" w:sz="4" w:space="0"/>
              <w:left w:val="single" w:color="auto" w:sz="4" w:space="0"/>
              <w:bottom w:val="single" w:color="auto" w:sz="4" w:space="0"/>
              <w:right w:val="single" w:color="auto" w:sz="4" w:space="0"/>
            </w:tcBorders>
            <w:vAlign w:val="center"/>
          </w:tcPr>
          <w:p w14:paraId="0AEA1737">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生产</w:t>
            </w:r>
          </w:p>
          <w:p w14:paraId="067BF06E">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厂家</w:t>
            </w:r>
          </w:p>
        </w:tc>
        <w:tc>
          <w:tcPr>
            <w:tcW w:w="918" w:type="dxa"/>
            <w:tcBorders>
              <w:top w:val="single" w:color="auto" w:sz="4" w:space="0"/>
              <w:left w:val="single" w:color="auto" w:sz="4" w:space="0"/>
              <w:bottom w:val="single" w:color="auto" w:sz="4" w:space="0"/>
              <w:right w:val="single" w:color="auto" w:sz="4" w:space="0"/>
            </w:tcBorders>
            <w:vAlign w:val="center"/>
          </w:tcPr>
          <w:p w14:paraId="0BF99046">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品牌</w:t>
            </w:r>
          </w:p>
        </w:tc>
        <w:tc>
          <w:tcPr>
            <w:tcW w:w="1011" w:type="dxa"/>
            <w:tcBorders>
              <w:top w:val="single" w:color="auto" w:sz="4" w:space="0"/>
              <w:left w:val="single" w:color="auto" w:sz="4" w:space="0"/>
              <w:bottom w:val="single" w:color="auto" w:sz="4" w:space="0"/>
              <w:right w:val="single" w:color="auto" w:sz="4" w:space="0"/>
            </w:tcBorders>
            <w:vAlign w:val="center"/>
          </w:tcPr>
          <w:p w14:paraId="6B52C415">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规格</w:t>
            </w:r>
          </w:p>
          <w:p w14:paraId="0534D79C">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型号</w:t>
            </w:r>
          </w:p>
        </w:tc>
        <w:tc>
          <w:tcPr>
            <w:tcW w:w="1393" w:type="dxa"/>
            <w:tcBorders>
              <w:top w:val="single" w:color="auto" w:sz="4" w:space="0"/>
              <w:left w:val="single" w:color="auto" w:sz="4" w:space="0"/>
              <w:bottom w:val="single" w:color="auto" w:sz="4" w:space="0"/>
              <w:right w:val="single" w:color="auto" w:sz="4" w:space="0"/>
            </w:tcBorders>
            <w:vAlign w:val="center"/>
          </w:tcPr>
          <w:p w14:paraId="45981B9F">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数量及</w:t>
            </w:r>
          </w:p>
          <w:p w14:paraId="65851CA7">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单位</w:t>
            </w:r>
          </w:p>
          <w:p w14:paraId="124389BD">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①</w:t>
            </w:r>
          </w:p>
        </w:tc>
        <w:tc>
          <w:tcPr>
            <w:tcW w:w="1115" w:type="dxa"/>
            <w:tcBorders>
              <w:top w:val="single" w:color="auto" w:sz="4" w:space="0"/>
              <w:left w:val="single" w:color="auto" w:sz="4" w:space="0"/>
              <w:bottom w:val="single" w:color="auto" w:sz="4" w:space="0"/>
              <w:right w:val="single" w:color="auto" w:sz="4" w:space="0"/>
            </w:tcBorders>
            <w:vAlign w:val="center"/>
          </w:tcPr>
          <w:p w14:paraId="13DC099F">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单价</w:t>
            </w:r>
          </w:p>
          <w:p w14:paraId="6228F544">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(元)</w:t>
            </w:r>
          </w:p>
          <w:p w14:paraId="090D806A">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②</w:t>
            </w:r>
          </w:p>
        </w:tc>
        <w:tc>
          <w:tcPr>
            <w:tcW w:w="1049" w:type="dxa"/>
            <w:tcBorders>
              <w:top w:val="single" w:color="auto" w:sz="4" w:space="0"/>
              <w:left w:val="single" w:color="auto" w:sz="4" w:space="0"/>
              <w:bottom w:val="single" w:color="auto" w:sz="4" w:space="0"/>
              <w:right w:val="single" w:color="auto" w:sz="4" w:space="0"/>
            </w:tcBorders>
            <w:vAlign w:val="center"/>
          </w:tcPr>
          <w:p w14:paraId="742F71EA">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单项</w:t>
            </w:r>
          </w:p>
          <w:p w14:paraId="4367AFF6">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合价</w:t>
            </w:r>
          </w:p>
          <w:p w14:paraId="0616F5ED">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（元）</w:t>
            </w:r>
          </w:p>
          <w:p w14:paraId="7C6F353D">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③=①×②</w:t>
            </w:r>
          </w:p>
        </w:tc>
        <w:tc>
          <w:tcPr>
            <w:tcW w:w="546" w:type="dxa"/>
            <w:tcBorders>
              <w:top w:val="single" w:color="auto" w:sz="4" w:space="0"/>
              <w:left w:val="single" w:color="auto" w:sz="4" w:space="0"/>
              <w:bottom w:val="single" w:color="auto" w:sz="4" w:space="0"/>
              <w:right w:val="single" w:color="auto" w:sz="4" w:space="0"/>
            </w:tcBorders>
            <w:vAlign w:val="center"/>
          </w:tcPr>
          <w:p w14:paraId="321B6D85">
            <w:pPr>
              <w:snapToGrid w:val="0"/>
              <w:spacing w:line="360" w:lineRule="exact"/>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其它</w:t>
            </w:r>
          </w:p>
        </w:tc>
      </w:tr>
      <w:tr w14:paraId="325DC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14:paraId="519ACA7E">
            <w:pPr>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w:t>
            </w:r>
          </w:p>
        </w:tc>
        <w:tc>
          <w:tcPr>
            <w:tcW w:w="944" w:type="dxa"/>
            <w:tcBorders>
              <w:top w:val="single" w:color="auto" w:sz="4" w:space="0"/>
              <w:left w:val="single" w:color="auto" w:sz="4" w:space="0"/>
              <w:bottom w:val="single" w:color="auto" w:sz="4" w:space="0"/>
              <w:right w:val="single" w:color="auto" w:sz="4" w:space="0"/>
            </w:tcBorders>
            <w:vAlign w:val="center"/>
          </w:tcPr>
          <w:p w14:paraId="6756814C">
            <w:pPr>
              <w:snapToGrid w:val="0"/>
              <w:spacing w:before="50" w:after="50"/>
              <w:jc w:val="center"/>
              <w:rPr>
                <w:rFonts w:hint="eastAsia" w:asciiTheme="minorEastAsia" w:hAnsiTheme="minorEastAsia" w:eastAsiaTheme="minorEastAsia" w:cstheme="minorEastAsia"/>
                <w:bCs/>
                <w:color w:val="auto"/>
                <w:sz w:val="24"/>
              </w:rPr>
            </w:pPr>
          </w:p>
        </w:tc>
        <w:tc>
          <w:tcPr>
            <w:tcW w:w="1162" w:type="dxa"/>
            <w:tcBorders>
              <w:top w:val="single" w:color="auto" w:sz="4" w:space="0"/>
              <w:left w:val="single" w:color="auto" w:sz="4" w:space="0"/>
              <w:bottom w:val="single" w:color="auto" w:sz="4" w:space="0"/>
              <w:right w:val="single" w:color="auto" w:sz="4" w:space="0"/>
            </w:tcBorders>
            <w:vAlign w:val="center"/>
          </w:tcPr>
          <w:p w14:paraId="28C12611">
            <w:pPr>
              <w:snapToGrid w:val="0"/>
              <w:spacing w:before="50" w:after="50"/>
              <w:jc w:val="center"/>
              <w:rPr>
                <w:rFonts w:hint="eastAsia" w:asciiTheme="minorEastAsia" w:hAnsiTheme="minorEastAsia" w:eastAsiaTheme="minorEastAsia" w:cstheme="minorEastAsia"/>
                <w:bCs/>
                <w:color w:val="auto"/>
                <w:sz w:val="24"/>
              </w:rPr>
            </w:pPr>
          </w:p>
        </w:tc>
        <w:tc>
          <w:tcPr>
            <w:tcW w:w="918" w:type="dxa"/>
            <w:tcBorders>
              <w:top w:val="single" w:color="auto" w:sz="4" w:space="0"/>
              <w:left w:val="single" w:color="auto" w:sz="4" w:space="0"/>
              <w:bottom w:val="single" w:color="auto" w:sz="4" w:space="0"/>
              <w:right w:val="single" w:color="auto" w:sz="4" w:space="0"/>
            </w:tcBorders>
          </w:tcPr>
          <w:p w14:paraId="6491AEFC">
            <w:pPr>
              <w:jc w:val="center"/>
              <w:rPr>
                <w:rFonts w:hint="eastAsia" w:asciiTheme="minorEastAsia" w:hAnsiTheme="minorEastAsia" w:eastAsiaTheme="minorEastAsia" w:cstheme="minorEastAsia"/>
                <w:color w:val="auto"/>
                <w:sz w:val="24"/>
              </w:rPr>
            </w:pPr>
          </w:p>
        </w:tc>
        <w:tc>
          <w:tcPr>
            <w:tcW w:w="1011" w:type="dxa"/>
            <w:tcBorders>
              <w:top w:val="single" w:color="auto" w:sz="4" w:space="0"/>
              <w:left w:val="single" w:color="auto" w:sz="4" w:space="0"/>
              <w:bottom w:val="single" w:color="auto" w:sz="4" w:space="0"/>
              <w:right w:val="single" w:color="auto" w:sz="4" w:space="0"/>
            </w:tcBorders>
          </w:tcPr>
          <w:p w14:paraId="198A2C93">
            <w:pPr>
              <w:jc w:val="center"/>
              <w:rPr>
                <w:rFonts w:hint="eastAsia" w:asciiTheme="minorEastAsia" w:hAnsiTheme="minorEastAsia" w:eastAsiaTheme="minorEastAsia" w:cstheme="minorEastAsia"/>
                <w:color w:val="auto"/>
                <w:sz w:val="24"/>
              </w:rPr>
            </w:pPr>
          </w:p>
        </w:tc>
        <w:tc>
          <w:tcPr>
            <w:tcW w:w="1393" w:type="dxa"/>
            <w:tcBorders>
              <w:top w:val="single" w:color="auto" w:sz="4" w:space="0"/>
              <w:left w:val="single" w:color="auto" w:sz="4" w:space="0"/>
              <w:bottom w:val="single" w:color="auto" w:sz="4" w:space="0"/>
              <w:right w:val="single" w:color="auto" w:sz="4" w:space="0"/>
            </w:tcBorders>
            <w:vAlign w:val="center"/>
          </w:tcPr>
          <w:p w14:paraId="61608EA2">
            <w:pPr>
              <w:jc w:val="center"/>
              <w:rPr>
                <w:rFonts w:hint="eastAsia" w:asciiTheme="minorEastAsia" w:hAnsiTheme="minorEastAsia" w:eastAsiaTheme="minorEastAsia" w:cstheme="minorEastAsia"/>
                <w:color w:val="auto"/>
                <w:sz w:val="24"/>
              </w:rPr>
            </w:pPr>
          </w:p>
        </w:tc>
        <w:tc>
          <w:tcPr>
            <w:tcW w:w="1115" w:type="dxa"/>
            <w:tcBorders>
              <w:top w:val="single" w:color="auto" w:sz="4" w:space="0"/>
              <w:left w:val="single" w:color="auto" w:sz="4" w:space="0"/>
              <w:bottom w:val="single" w:color="auto" w:sz="4" w:space="0"/>
              <w:right w:val="single" w:color="auto" w:sz="4" w:space="0"/>
            </w:tcBorders>
            <w:vAlign w:val="center"/>
          </w:tcPr>
          <w:p w14:paraId="08885879">
            <w:pPr>
              <w:pStyle w:val="13"/>
              <w:rPr>
                <w:rFonts w:hint="eastAsia" w:asciiTheme="minorEastAsia" w:hAnsiTheme="minorEastAsia" w:eastAsiaTheme="minorEastAsia" w:cstheme="minorEastAsia"/>
                <w:color w:val="auto"/>
                <w:sz w:val="24"/>
                <w:szCs w:val="24"/>
              </w:rPr>
            </w:pPr>
          </w:p>
        </w:tc>
        <w:tc>
          <w:tcPr>
            <w:tcW w:w="1049" w:type="dxa"/>
            <w:tcBorders>
              <w:top w:val="single" w:color="auto" w:sz="4" w:space="0"/>
              <w:left w:val="single" w:color="auto" w:sz="4" w:space="0"/>
              <w:bottom w:val="single" w:color="auto" w:sz="4" w:space="0"/>
              <w:right w:val="single" w:color="auto" w:sz="4" w:space="0"/>
            </w:tcBorders>
            <w:vAlign w:val="center"/>
          </w:tcPr>
          <w:p w14:paraId="28CA17FB">
            <w:pPr>
              <w:pStyle w:val="13"/>
              <w:rPr>
                <w:rFonts w:hint="eastAsia" w:asciiTheme="minorEastAsia" w:hAnsiTheme="minorEastAsia" w:eastAsiaTheme="minorEastAsia" w:cstheme="minorEastAsia"/>
                <w:color w:val="auto"/>
                <w:spacing w:val="-6"/>
                <w:sz w:val="24"/>
                <w:szCs w:val="24"/>
              </w:rPr>
            </w:pPr>
          </w:p>
        </w:tc>
        <w:tc>
          <w:tcPr>
            <w:tcW w:w="546" w:type="dxa"/>
            <w:tcBorders>
              <w:top w:val="single" w:color="auto" w:sz="4" w:space="0"/>
              <w:left w:val="single" w:color="auto" w:sz="4" w:space="0"/>
              <w:bottom w:val="single" w:color="auto" w:sz="4" w:space="0"/>
              <w:right w:val="single" w:color="auto" w:sz="4" w:space="0"/>
            </w:tcBorders>
            <w:vAlign w:val="center"/>
          </w:tcPr>
          <w:p w14:paraId="260F4475">
            <w:pPr>
              <w:pStyle w:val="13"/>
              <w:rPr>
                <w:rFonts w:hint="eastAsia" w:asciiTheme="minorEastAsia" w:hAnsiTheme="minorEastAsia" w:eastAsiaTheme="minorEastAsia" w:cstheme="minorEastAsia"/>
                <w:color w:val="auto"/>
                <w:spacing w:val="-6"/>
                <w:sz w:val="24"/>
                <w:szCs w:val="24"/>
              </w:rPr>
            </w:pPr>
          </w:p>
        </w:tc>
      </w:tr>
      <w:tr w14:paraId="58E48D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14:paraId="7C1D69E1">
            <w:pPr>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w:t>
            </w:r>
          </w:p>
        </w:tc>
        <w:tc>
          <w:tcPr>
            <w:tcW w:w="944" w:type="dxa"/>
            <w:tcBorders>
              <w:top w:val="single" w:color="auto" w:sz="4" w:space="0"/>
              <w:left w:val="single" w:color="auto" w:sz="4" w:space="0"/>
              <w:bottom w:val="single" w:color="auto" w:sz="4" w:space="0"/>
              <w:right w:val="single" w:color="auto" w:sz="4" w:space="0"/>
            </w:tcBorders>
            <w:vAlign w:val="center"/>
          </w:tcPr>
          <w:p w14:paraId="2B0F8726">
            <w:pPr>
              <w:snapToGrid w:val="0"/>
              <w:spacing w:before="50" w:after="50"/>
              <w:jc w:val="center"/>
              <w:rPr>
                <w:rFonts w:hint="eastAsia" w:asciiTheme="minorEastAsia" w:hAnsiTheme="minorEastAsia" w:eastAsiaTheme="minorEastAsia" w:cstheme="minorEastAsia"/>
                <w:bCs/>
                <w:color w:val="auto"/>
                <w:sz w:val="24"/>
              </w:rPr>
            </w:pPr>
          </w:p>
        </w:tc>
        <w:tc>
          <w:tcPr>
            <w:tcW w:w="1162" w:type="dxa"/>
            <w:tcBorders>
              <w:top w:val="single" w:color="auto" w:sz="4" w:space="0"/>
              <w:left w:val="single" w:color="auto" w:sz="4" w:space="0"/>
              <w:bottom w:val="single" w:color="auto" w:sz="4" w:space="0"/>
              <w:right w:val="single" w:color="auto" w:sz="4" w:space="0"/>
            </w:tcBorders>
            <w:vAlign w:val="center"/>
          </w:tcPr>
          <w:p w14:paraId="4C1120C0">
            <w:pPr>
              <w:snapToGrid w:val="0"/>
              <w:spacing w:before="50" w:after="50"/>
              <w:jc w:val="center"/>
              <w:rPr>
                <w:rFonts w:hint="eastAsia" w:asciiTheme="minorEastAsia" w:hAnsiTheme="minorEastAsia" w:eastAsiaTheme="minorEastAsia" w:cstheme="minorEastAsia"/>
                <w:bCs/>
                <w:color w:val="auto"/>
                <w:sz w:val="24"/>
              </w:rPr>
            </w:pPr>
          </w:p>
        </w:tc>
        <w:tc>
          <w:tcPr>
            <w:tcW w:w="918" w:type="dxa"/>
            <w:tcBorders>
              <w:top w:val="single" w:color="auto" w:sz="4" w:space="0"/>
              <w:left w:val="single" w:color="auto" w:sz="4" w:space="0"/>
              <w:bottom w:val="single" w:color="auto" w:sz="4" w:space="0"/>
              <w:right w:val="single" w:color="auto" w:sz="4" w:space="0"/>
            </w:tcBorders>
          </w:tcPr>
          <w:p w14:paraId="7702F5F0">
            <w:pPr>
              <w:jc w:val="center"/>
              <w:rPr>
                <w:rFonts w:hint="eastAsia" w:asciiTheme="minorEastAsia" w:hAnsiTheme="minorEastAsia" w:eastAsiaTheme="minorEastAsia" w:cstheme="minorEastAsia"/>
                <w:color w:val="auto"/>
                <w:sz w:val="24"/>
              </w:rPr>
            </w:pPr>
          </w:p>
        </w:tc>
        <w:tc>
          <w:tcPr>
            <w:tcW w:w="1011" w:type="dxa"/>
            <w:tcBorders>
              <w:top w:val="single" w:color="auto" w:sz="4" w:space="0"/>
              <w:left w:val="single" w:color="auto" w:sz="4" w:space="0"/>
              <w:bottom w:val="single" w:color="auto" w:sz="4" w:space="0"/>
              <w:right w:val="single" w:color="auto" w:sz="4" w:space="0"/>
            </w:tcBorders>
          </w:tcPr>
          <w:p w14:paraId="40D0F493">
            <w:pPr>
              <w:jc w:val="center"/>
              <w:rPr>
                <w:rFonts w:hint="eastAsia" w:asciiTheme="minorEastAsia" w:hAnsiTheme="minorEastAsia" w:eastAsiaTheme="minorEastAsia" w:cstheme="minorEastAsia"/>
                <w:color w:val="auto"/>
                <w:sz w:val="24"/>
              </w:rPr>
            </w:pPr>
          </w:p>
        </w:tc>
        <w:tc>
          <w:tcPr>
            <w:tcW w:w="1393" w:type="dxa"/>
            <w:tcBorders>
              <w:top w:val="single" w:color="auto" w:sz="4" w:space="0"/>
              <w:left w:val="single" w:color="auto" w:sz="4" w:space="0"/>
              <w:bottom w:val="single" w:color="auto" w:sz="4" w:space="0"/>
              <w:right w:val="single" w:color="auto" w:sz="4" w:space="0"/>
            </w:tcBorders>
            <w:vAlign w:val="center"/>
          </w:tcPr>
          <w:p w14:paraId="62A5019A">
            <w:pPr>
              <w:jc w:val="center"/>
              <w:rPr>
                <w:rFonts w:hint="eastAsia" w:asciiTheme="minorEastAsia" w:hAnsiTheme="minorEastAsia" w:eastAsiaTheme="minorEastAsia" w:cstheme="minorEastAsia"/>
                <w:color w:val="auto"/>
                <w:sz w:val="24"/>
              </w:rPr>
            </w:pPr>
          </w:p>
        </w:tc>
        <w:tc>
          <w:tcPr>
            <w:tcW w:w="1115" w:type="dxa"/>
            <w:tcBorders>
              <w:top w:val="single" w:color="auto" w:sz="4" w:space="0"/>
              <w:left w:val="single" w:color="auto" w:sz="4" w:space="0"/>
              <w:bottom w:val="single" w:color="auto" w:sz="4" w:space="0"/>
              <w:right w:val="single" w:color="auto" w:sz="4" w:space="0"/>
            </w:tcBorders>
            <w:vAlign w:val="center"/>
          </w:tcPr>
          <w:p w14:paraId="1416E570">
            <w:pPr>
              <w:pStyle w:val="13"/>
              <w:rPr>
                <w:rFonts w:hint="eastAsia" w:asciiTheme="minorEastAsia" w:hAnsiTheme="minorEastAsia" w:eastAsiaTheme="minorEastAsia" w:cstheme="minorEastAsia"/>
                <w:color w:val="auto"/>
                <w:sz w:val="24"/>
                <w:szCs w:val="24"/>
              </w:rPr>
            </w:pPr>
          </w:p>
        </w:tc>
        <w:tc>
          <w:tcPr>
            <w:tcW w:w="1049" w:type="dxa"/>
            <w:tcBorders>
              <w:top w:val="single" w:color="auto" w:sz="4" w:space="0"/>
              <w:left w:val="single" w:color="auto" w:sz="4" w:space="0"/>
              <w:bottom w:val="single" w:color="auto" w:sz="4" w:space="0"/>
              <w:right w:val="single" w:color="auto" w:sz="4" w:space="0"/>
            </w:tcBorders>
            <w:vAlign w:val="center"/>
          </w:tcPr>
          <w:p w14:paraId="387496F3">
            <w:pPr>
              <w:pStyle w:val="13"/>
              <w:rPr>
                <w:rFonts w:hint="eastAsia" w:asciiTheme="minorEastAsia" w:hAnsiTheme="minorEastAsia" w:eastAsiaTheme="minorEastAsia" w:cstheme="minorEastAsia"/>
                <w:color w:val="auto"/>
                <w:spacing w:val="-6"/>
                <w:sz w:val="24"/>
                <w:szCs w:val="24"/>
              </w:rPr>
            </w:pPr>
          </w:p>
        </w:tc>
        <w:tc>
          <w:tcPr>
            <w:tcW w:w="546" w:type="dxa"/>
            <w:tcBorders>
              <w:top w:val="single" w:color="auto" w:sz="4" w:space="0"/>
              <w:left w:val="single" w:color="auto" w:sz="4" w:space="0"/>
              <w:bottom w:val="single" w:color="auto" w:sz="4" w:space="0"/>
              <w:right w:val="single" w:color="auto" w:sz="4" w:space="0"/>
            </w:tcBorders>
            <w:vAlign w:val="center"/>
          </w:tcPr>
          <w:p w14:paraId="3590973E">
            <w:pPr>
              <w:pStyle w:val="13"/>
              <w:rPr>
                <w:rFonts w:hint="eastAsia" w:asciiTheme="minorEastAsia" w:hAnsiTheme="minorEastAsia" w:eastAsiaTheme="minorEastAsia" w:cstheme="minorEastAsia"/>
                <w:color w:val="auto"/>
                <w:spacing w:val="-6"/>
                <w:sz w:val="24"/>
                <w:szCs w:val="24"/>
              </w:rPr>
            </w:pPr>
          </w:p>
        </w:tc>
      </w:tr>
      <w:tr w14:paraId="393B83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14:paraId="5E2403B7">
            <w:pPr>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w:t>
            </w:r>
          </w:p>
        </w:tc>
        <w:tc>
          <w:tcPr>
            <w:tcW w:w="944" w:type="dxa"/>
            <w:tcBorders>
              <w:top w:val="single" w:color="auto" w:sz="4" w:space="0"/>
              <w:left w:val="single" w:color="auto" w:sz="4" w:space="0"/>
              <w:bottom w:val="single" w:color="auto" w:sz="4" w:space="0"/>
              <w:right w:val="single" w:color="auto" w:sz="4" w:space="0"/>
            </w:tcBorders>
            <w:vAlign w:val="center"/>
          </w:tcPr>
          <w:p w14:paraId="5D622739">
            <w:pPr>
              <w:snapToGrid w:val="0"/>
              <w:spacing w:before="50" w:after="50"/>
              <w:jc w:val="center"/>
              <w:rPr>
                <w:rFonts w:hint="eastAsia" w:asciiTheme="minorEastAsia" w:hAnsiTheme="minorEastAsia" w:eastAsiaTheme="minorEastAsia" w:cstheme="minorEastAsia"/>
                <w:bCs/>
                <w:color w:val="auto"/>
                <w:sz w:val="24"/>
              </w:rPr>
            </w:pPr>
          </w:p>
        </w:tc>
        <w:tc>
          <w:tcPr>
            <w:tcW w:w="1162" w:type="dxa"/>
            <w:tcBorders>
              <w:top w:val="single" w:color="auto" w:sz="4" w:space="0"/>
              <w:left w:val="single" w:color="auto" w:sz="4" w:space="0"/>
              <w:bottom w:val="single" w:color="auto" w:sz="4" w:space="0"/>
              <w:right w:val="single" w:color="auto" w:sz="4" w:space="0"/>
            </w:tcBorders>
            <w:vAlign w:val="center"/>
          </w:tcPr>
          <w:p w14:paraId="234E03C5">
            <w:pPr>
              <w:snapToGrid w:val="0"/>
              <w:spacing w:before="50" w:after="50"/>
              <w:jc w:val="center"/>
              <w:rPr>
                <w:rFonts w:hint="eastAsia" w:asciiTheme="minorEastAsia" w:hAnsiTheme="minorEastAsia" w:eastAsiaTheme="minorEastAsia" w:cstheme="minorEastAsia"/>
                <w:bCs/>
                <w:color w:val="auto"/>
                <w:sz w:val="24"/>
              </w:rPr>
            </w:pPr>
          </w:p>
        </w:tc>
        <w:tc>
          <w:tcPr>
            <w:tcW w:w="918" w:type="dxa"/>
            <w:tcBorders>
              <w:top w:val="single" w:color="auto" w:sz="4" w:space="0"/>
              <w:left w:val="single" w:color="auto" w:sz="4" w:space="0"/>
              <w:bottom w:val="single" w:color="auto" w:sz="4" w:space="0"/>
              <w:right w:val="single" w:color="auto" w:sz="4" w:space="0"/>
            </w:tcBorders>
          </w:tcPr>
          <w:p w14:paraId="568FB30D">
            <w:pPr>
              <w:jc w:val="center"/>
              <w:rPr>
                <w:rFonts w:hint="eastAsia" w:asciiTheme="minorEastAsia" w:hAnsiTheme="minorEastAsia" w:eastAsiaTheme="minorEastAsia" w:cstheme="minorEastAsia"/>
                <w:color w:val="auto"/>
                <w:sz w:val="24"/>
              </w:rPr>
            </w:pPr>
          </w:p>
        </w:tc>
        <w:tc>
          <w:tcPr>
            <w:tcW w:w="1011" w:type="dxa"/>
            <w:tcBorders>
              <w:top w:val="single" w:color="auto" w:sz="4" w:space="0"/>
              <w:left w:val="single" w:color="auto" w:sz="4" w:space="0"/>
              <w:bottom w:val="single" w:color="auto" w:sz="4" w:space="0"/>
              <w:right w:val="single" w:color="auto" w:sz="4" w:space="0"/>
            </w:tcBorders>
          </w:tcPr>
          <w:p w14:paraId="6DD68B03">
            <w:pPr>
              <w:jc w:val="center"/>
              <w:rPr>
                <w:rFonts w:hint="eastAsia" w:asciiTheme="minorEastAsia" w:hAnsiTheme="minorEastAsia" w:eastAsiaTheme="minorEastAsia" w:cstheme="minorEastAsia"/>
                <w:color w:val="auto"/>
                <w:sz w:val="24"/>
              </w:rPr>
            </w:pPr>
          </w:p>
        </w:tc>
        <w:tc>
          <w:tcPr>
            <w:tcW w:w="1393" w:type="dxa"/>
            <w:tcBorders>
              <w:top w:val="single" w:color="auto" w:sz="4" w:space="0"/>
              <w:left w:val="single" w:color="auto" w:sz="4" w:space="0"/>
              <w:bottom w:val="single" w:color="auto" w:sz="4" w:space="0"/>
              <w:right w:val="single" w:color="auto" w:sz="4" w:space="0"/>
            </w:tcBorders>
            <w:vAlign w:val="center"/>
          </w:tcPr>
          <w:p w14:paraId="0B507128">
            <w:pPr>
              <w:jc w:val="center"/>
              <w:rPr>
                <w:rFonts w:hint="eastAsia" w:asciiTheme="minorEastAsia" w:hAnsiTheme="minorEastAsia" w:eastAsiaTheme="minorEastAsia" w:cstheme="minorEastAsia"/>
                <w:color w:val="auto"/>
                <w:sz w:val="24"/>
              </w:rPr>
            </w:pPr>
          </w:p>
        </w:tc>
        <w:tc>
          <w:tcPr>
            <w:tcW w:w="1115" w:type="dxa"/>
            <w:tcBorders>
              <w:top w:val="single" w:color="auto" w:sz="4" w:space="0"/>
              <w:left w:val="single" w:color="auto" w:sz="4" w:space="0"/>
              <w:bottom w:val="single" w:color="auto" w:sz="4" w:space="0"/>
              <w:right w:val="single" w:color="auto" w:sz="4" w:space="0"/>
            </w:tcBorders>
            <w:vAlign w:val="center"/>
          </w:tcPr>
          <w:p w14:paraId="0FBBEF8B">
            <w:pPr>
              <w:pStyle w:val="13"/>
              <w:rPr>
                <w:rFonts w:hint="eastAsia" w:asciiTheme="minorEastAsia" w:hAnsiTheme="minorEastAsia" w:eastAsiaTheme="minorEastAsia" w:cstheme="minorEastAsia"/>
                <w:color w:val="auto"/>
                <w:sz w:val="24"/>
                <w:szCs w:val="24"/>
              </w:rPr>
            </w:pPr>
          </w:p>
        </w:tc>
        <w:tc>
          <w:tcPr>
            <w:tcW w:w="1049" w:type="dxa"/>
            <w:tcBorders>
              <w:top w:val="single" w:color="auto" w:sz="4" w:space="0"/>
              <w:left w:val="single" w:color="auto" w:sz="4" w:space="0"/>
              <w:bottom w:val="single" w:color="auto" w:sz="4" w:space="0"/>
              <w:right w:val="single" w:color="auto" w:sz="4" w:space="0"/>
            </w:tcBorders>
            <w:vAlign w:val="center"/>
          </w:tcPr>
          <w:p w14:paraId="03A70DED">
            <w:pPr>
              <w:pStyle w:val="13"/>
              <w:rPr>
                <w:rFonts w:hint="eastAsia" w:asciiTheme="minorEastAsia" w:hAnsiTheme="minorEastAsia" w:eastAsiaTheme="minorEastAsia" w:cstheme="minorEastAsia"/>
                <w:color w:val="auto"/>
                <w:spacing w:val="-6"/>
                <w:sz w:val="24"/>
                <w:szCs w:val="24"/>
              </w:rPr>
            </w:pPr>
          </w:p>
        </w:tc>
        <w:tc>
          <w:tcPr>
            <w:tcW w:w="546" w:type="dxa"/>
            <w:tcBorders>
              <w:top w:val="single" w:color="auto" w:sz="4" w:space="0"/>
              <w:left w:val="single" w:color="auto" w:sz="4" w:space="0"/>
              <w:bottom w:val="single" w:color="auto" w:sz="4" w:space="0"/>
              <w:right w:val="single" w:color="auto" w:sz="4" w:space="0"/>
            </w:tcBorders>
            <w:vAlign w:val="center"/>
          </w:tcPr>
          <w:p w14:paraId="5D4BCB79">
            <w:pPr>
              <w:pStyle w:val="13"/>
              <w:rPr>
                <w:rFonts w:hint="eastAsia" w:asciiTheme="minorEastAsia" w:hAnsiTheme="minorEastAsia" w:eastAsiaTheme="minorEastAsia" w:cstheme="minorEastAsia"/>
                <w:color w:val="auto"/>
                <w:spacing w:val="-6"/>
                <w:sz w:val="24"/>
                <w:szCs w:val="24"/>
              </w:rPr>
            </w:pPr>
          </w:p>
        </w:tc>
      </w:tr>
      <w:tr w14:paraId="16A1D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14:paraId="3284906A">
            <w:pPr>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N</w:t>
            </w:r>
          </w:p>
        </w:tc>
        <w:tc>
          <w:tcPr>
            <w:tcW w:w="944" w:type="dxa"/>
            <w:tcBorders>
              <w:top w:val="single" w:color="auto" w:sz="4" w:space="0"/>
              <w:left w:val="single" w:color="auto" w:sz="4" w:space="0"/>
              <w:bottom w:val="single" w:color="auto" w:sz="4" w:space="0"/>
              <w:right w:val="single" w:color="auto" w:sz="4" w:space="0"/>
            </w:tcBorders>
            <w:vAlign w:val="center"/>
          </w:tcPr>
          <w:p w14:paraId="4FDBF070">
            <w:pPr>
              <w:snapToGrid w:val="0"/>
              <w:spacing w:before="50" w:after="50"/>
              <w:jc w:val="center"/>
              <w:rPr>
                <w:rFonts w:hint="eastAsia" w:asciiTheme="minorEastAsia" w:hAnsiTheme="minorEastAsia" w:eastAsiaTheme="minorEastAsia" w:cstheme="minorEastAsia"/>
                <w:bCs/>
                <w:color w:val="auto"/>
                <w:sz w:val="24"/>
              </w:rPr>
            </w:pPr>
          </w:p>
        </w:tc>
        <w:tc>
          <w:tcPr>
            <w:tcW w:w="1162" w:type="dxa"/>
            <w:tcBorders>
              <w:top w:val="single" w:color="auto" w:sz="4" w:space="0"/>
              <w:left w:val="single" w:color="auto" w:sz="4" w:space="0"/>
              <w:bottom w:val="single" w:color="auto" w:sz="4" w:space="0"/>
              <w:right w:val="single" w:color="auto" w:sz="4" w:space="0"/>
            </w:tcBorders>
            <w:vAlign w:val="center"/>
          </w:tcPr>
          <w:p w14:paraId="49955B49">
            <w:pPr>
              <w:snapToGrid w:val="0"/>
              <w:spacing w:before="50" w:after="50"/>
              <w:jc w:val="center"/>
              <w:rPr>
                <w:rFonts w:hint="eastAsia" w:asciiTheme="minorEastAsia" w:hAnsiTheme="minorEastAsia" w:eastAsiaTheme="minorEastAsia" w:cstheme="minorEastAsia"/>
                <w:bCs/>
                <w:color w:val="auto"/>
                <w:sz w:val="24"/>
              </w:rPr>
            </w:pPr>
          </w:p>
        </w:tc>
        <w:tc>
          <w:tcPr>
            <w:tcW w:w="918" w:type="dxa"/>
            <w:tcBorders>
              <w:top w:val="single" w:color="auto" w:sz="4" w:space="0"/>
              <w:left w:val="single" w:color="auto" w:sz="4" w:space="0"/>
              <w:bottom w:val="single" w:color="auto" w:sz="4" w:space="0"/>
              <w:right w:val="single" w:color="auto" w:sz="4" w:space="0"/>
            </w:tcBorders>
          </w:tcPr>
          <w:p w14:paraId="6D1C329E">
            <w:pPr>
              <w:jc w:val="center"/>
              <w:rPr>
                <w:rFonts w:hint="eastAsia" w:asciiTheme="minorEastAsia" w:hAnsiTheme="minorEastAsia" w:eastAsiaTheme="minorEastAsia" w:cstheme="minorEastAsia"/>
                <w:color w:val="auto"/>
                <w:sz w:val="24"/>
              </w:rPr>
            </w:pPr>
          </w:p>
        </w:tc>
        <w:tc>
          <w:tcPr>
            <w:tcW w:w="1011" w:type="dxa"/>
            <w:tcBorders>
              <w:top w:val="single" w:color="auto" w:sz="4" w:space="0"/>
              <w:left w:val="single" w:color="auto" w:sz="4" w:space="0"/>
              <w:bottom w:val="single" w:color="auto" w:sz="4" w:space="0"/>
              <w:right w:val="single" w:color="auto" w:sz="4" w:space="0"/>
            </w:tcBorders>
          </w:tcPr>
          <w:p w14:paraId="771CDBA9">
            <w:pPr>
              <w:jc w:val="center"/>
              <w:rPr>
                <w:rFonts w:hint="eastAsia" w:asciiTheme="minorEastAsia" w:hAnsiTheme="minorEastAsia" w:eastAsiaTheme="minorEastAsia" w:cstheme="minorEastAsia"/>
                <w:color w:val="auto"/>
                <w:sz w:val="24"/>
              </w:rPr>
            </w:pPr>
          </w:p>
        </w:tc>
        <w:tc>
          <w:tcPr>
            <w:tcW w:w="1393" w:type="dxa"/>
            <w:tcBorders>
              <w:top w:val="single" w:color="auto" w:sz="4" w:space="0"/>
              <w:left w:val="single" w:color="auto" w:sz="4" w:space="0"/>
              <w:bottom w:val="single" w:color="auto" w:sz="4" w:space="0"/>
              <w:right w:val="single" w:color="auto" w:sz="4" w:space="0"/>
            </w:tcBorders>
            <w:vAlign w:val="center"/>
          </w:tcPr>
          <w:p w14:paraId="58DFBF75">
            <w:pPr>
              <w:jc w:val="center"/>
              <w:rPr>
                <w:rFonts w:hint="eastAsia" w:asciiTheme="minorEastAsia" w:hAnsiTheme="minorEastAsia" w:eastAsiaTheme="minorEastAsia" w:cstheme="minorEastAsia"/>
                <w:color w:val="auto"/>
                <w:sz w:val="24"/>
              </w:rPr>
            </w:pPr>
          </w:p>
        </w:tc>
        <w:tc>
          <w:tcPr>
            <w:tcW w:w="1115" w:type="dxa"/>
            <w:tcBorders>
              <w:top w:val="single" w:color="auto" w:sz="4" w:space="0"/>
              <w:left w:val="single" w:color="auto" w:sz="4" w:space="0"/>
              <w:bottom w:val="single" w:color="auto" w:sz="4" w:space="0"/>
              <w:right w:val="single" w:color="auto" w:sz="4" w:space="0"/>
            </w:tcBorders>
            <w:vAlign w:val="center"/>
          </w:tcPr>
          <w:p w14:paraId="3ED947CD">
            <w:pPr>
              <w:pStyle w:val="13"/>
              <w:rPr>
                <w:rFonts w:hint="eastAsia" w:asciiTheme="minorEastAsia" w:hAnsiTheme="minorEastAsia" w:eastAsiaTheme="minorEastAsia" w:cstheme="minorEastAsia"/>
                <w:color w:val="auto"/>
                <w:sz w:val="24"/>
                <w:szCs w:val="24"/>
              </w:rPr>
            </w:pPr>
          </w:p>
        </w:tc>
        <w:tc>
          <w:tcPr>
            <w:tcW w:w="1049" w:type="dxa"/>
            <w:tcBorders>
              <w:top w:val="single" w:color="auto" w:sz="4" w:space="0"/>
              <w:left w:val="single" w:color="auto" w:sz="4" w:space="0"/>
              <w:bottom w:val="single" w:color="auto" w:sz="4" w:space="0"/>
              <w:right w:val="single" w:color="auto" w:sz="4" w:space="0"/>
            </w:tcBorders>
            <w:vAlign w:val="center"/>
          </w:tcPr>
          <w:p w14:paraId="626BED00">
            <w:pPr>
              <w:pStyle w:val="13"/>
              <w:rPr>
                <w:rFonts w:hint="eastAsia" w:asciiTheme="minorEastAsia" w:hAnsiTheme="minorEastAsia" w:eastAsiaTheme="minorEastAsia" w:cstheme="minorEastAsia"/>
                <w:color w:val="auto"/>
                <w:spacing w:val="-6"/>
                <w:sz w:val="24"/>
                <w:szCs w:val="24"/>
              </w:rPr>
            </w:pPr>
          </w:p>
        </w:tc>
        <w:tc>
          <w:tcPr>
            <w:tcW w:w="546" w:type="dxa"/>
            <w:tcBorders>
              <w:top w:val="single" w:color="auto" w:sz="4" w:space="0"/>
              <w:left w:val="single" w:color="auto" w:sz="4" w:space="0"/>
              <w:bottom w:val="single" w:color="auto" w:sz="4" w:space="0"/>
              <w:right w:val="single" w:color="auto" w:sz="4" w:space="0"/>
            </w:tcBorders>
            <w:vAlign w:val="center"/>
          </w:tcPr>
          <w:p w14:paraId="4211EAC2">
            <w:pPr>
              <w:pStyle w:val="13"/>
              <w:rPr>
                <w:rFonts w:hint="eastAsia" w:asciiTheme="minorEastAsia" w:hAnsiTheme="minorEastAsia" w:eastAsiaTheme="minorEastAsia" w:cstheme="minorEastAsia"/>
                <w:color w:val="auto"/>
                <w:spacing w:val="-6"/>
                <w:sz w:val="24"/>
                <w:szCs w:val="24"/>
              </w:rPr>
            </w:pPr>
          </w:p>
        </w:tc>
      </w:tr>
      <w:tr w14:paraId="29B6B9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8677" w:type="dxa"/>
            <w:gridSpan w:val="9"/>
            <w:tcBorders>
              <w:top w:val="single" w:color="auto" w:sz="4" w:space="0"/>
              <w:left w:val="single" w:color="auto" w:sz="4" w:space="0"/>
              <w:bottom w:val="single" w:color="auto" w:sz="4" w:space="0"/>
              <w:right w:val="single" w:color="auto" w:sz="4" w:space="0"/>
            </w:tcBorders>
            <w:vAlign w:val="center"/>
          </w:tcPr>
          <w:p w14:paraId="59B5B5EB">
            <w:pPr>
              <w:spacing w:line="276" w:lineRule="auto"/>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总报价：人民币（大写）</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pacing w:val="-6"/>
                <w:sz w:val="24"/>
              </w:rPr>
              <w:t xml:space="preserve">¥ </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rPr>
              <w:t>）</w:t>
            </w:r>
          </w:p>
        </w:tc>
      </w:tr>
    </w:tbl>
    <w:p w14:paraId="3D501537">
      <w:pPr>
        <w:spacing w:line="500" w:lineRule="exact"/>
        <w:ind w:right="-611" w:rightChars="-291"/>
        <w:rPr>
          <w:rFonts w:hint="eastAsia" w:asciiTheme="minorEastAsia" w:hAnsiTheme="minorEastAsia" w:eastAsiaTheme="minorEastAsia" w:cstheme="minorEastAsia"/>
          <w:color w:val="auto"/>
          <w:sz w:val="24"/>
          <w:u w:val="single"/>
        </w:rPr>
      </w:pPr>
    </w:p>
    <w:p w14:paraId="39C7D739">
      <w:pPr>
        <w:adjustRightInd w:val="0"/>
        <w:snapToGrid w:val="0"/>
        <w:spacing w:line="300" w:lineRule="auto"/>
        <w:ind w:left="-88" w:leftChars="-42" w:firstLine="638" w:firstLineChars="265"/>
        <w:rPr>
          <w:rFonts w:hint="eastAsia" w:asciiTheme="minorEastAsia" w:hAnsiTheme="minorEastAsia" w:eastAsiaTheme="minorEastAsia" w:cstheme="minorEastAsia"/>
          <w:b/>
          <w:bCs w:val="0"/>
          <w:color w:val="auto"/>
          <w:sz w:val="24"/>
        </w:rPr>
      </w:pPr>
      <w:r>
        <w:rPr>
          <w:rFonts w:hint="eastAsia" w:asciiTheme="minorEastAsia" w:hAnsiTheme="minorEastAsia" w:eastAsiaTheme="minorEastAsia" w:cstheme="minorEastAsia"/>
          <w:b/>
          <w:bCs w:val="0"/>
          <w:color w:val="auto"/>
          <w:sz w:val="24"/>
        </w:rPr>
        <w:t>注：</w:t>
      </w:r>
    </w:p>
    <w:p w14:paraId="225B90CF">
      <w:pPr>
        <w:numPr>
          <w:ilvl w:val="0"/>
          <w:numId w:val="56"/>
        </w:numPr>
        <w:adjustRightInd w:val="0"/>
        <w:snapToGrid w:val="0"/>
        <w:spacing w:line="300" w:lineRule="auto"/>
        <w:ind w:left="0" w:leftChars="0" w:firstLine="482" w:firstLineChars="200"/>
        <w:rPr>
          <w:rFonts w:hint="eastAsia" w:asciiTheme="minorEastAsia" w:hAnsiTheme="minorEastAsia" w:eastAsiaTheme="minorEastAsia" w:cstheme="minorEastAsia"/>
          <w:b/>
          <w:bCs w:val="0"/>
          <w:color w:val="auto"/>
          <w:sz w:val="24"/>
        </w:rPr>
      </w:pPr>
      <w:r>
        <w:rPr>
          <w:rFonts w:hint="eastAsia" w:asciiTheme="minorEastAsia" w:hAnsiTheme="minorEastAsia" w:eastAsiaTheme="minorEastAsia" w:cstheme="minorEastAsia"/>
          <w:b/>
          <w:bCs w:val="0"/>
          <w:color w:val="auto"/>
          <w:sz w:val="24"/>
        </w:rPr>
        <w:t>报价</w:t>
      </w:r>
      <w:r>
        <w:rPr>
          <w:rFonts w:hint="eastAsia" w:asciiTheme="minorEastAsia" w:hAnsiTheme="minorEastAsia" w:eastAsiaTheme="minorEastAsia" w:cstheme="minorEastAsia"/>
          <w:b/>
          <w:bCs w:val="0"/>
          <w:color w:val="auto"/>
          <w:sz w:val="24"/>
          <w:lang w:eastAsia="zh-CN"/>
        </w:rPr>
        <w:t>明细</w:t>
      </w:r>
      <w:r>
        <w:rPr>
          <w:rFonts w:hint="eastAsia" w:asciiTheme="minorEastAsia" w:hAnsiTheme="minorEastAsia" w:eastAsiaTheme="minorEastAsia" w:cstheme="minorEastAsia"/>
          <w:b/>
          <w:bCs w:val="0"/>
          <w:color w:val="auto"/>
          <w:sz w:val="24"/>
        </w:rPr>
        <w:t>表的总报价必须与报价表一致；</w:t>
      </w:r>
    </w:p>
    <w:p w14:paraId="3A5687F3">
      <w:pPr>
        <w:numPr>
          <w:ilvl w:val="0"/>
          <w:numId w:val="56"/>
        </w:numPr>
        <w:adjustRightInd w:val="0"/>
        <w:snapToGrid w:val="0"/>
        <w:spacing w:line="300" w:lineRule="auto"/>
        <w:ind w:left="0" w:leftChars="0" w:firstLine="482" w:firstLineChars="200"/>
        <w:rPr>
          <w:rFonts w:hint="eastAsia" w:asciiTheme="minorEastAsia" w:hAnsiTheme="minorEastAsia" w:eastAsiaTheme="minorEastAsia" w:cstheme="minorEastAsia"/>
          <w:b/>
          <w:bCs w:val="0"/>
          <w:color w:val="auto"/>
          <w:sz w:val="24"/>
        </w:rPr>
      </w:pPr>
      <w:r>
        <w:rPr>
          <w:rFonts w:hint="eastAsia" w:asciiTheme="minorEastAsia" w:hAnsiTheme="minorEastAsia" w:eastAsiaTheme="minorEastAsia" w:cstheme="minorEastAsia"/>
          <w:b/>
          <w:bCs w:val="0"/>
          <w:color w:val="auto"/>
          <w:sz w:val="24"/>
        </w:rPr>
        <w:t>如果不提供详细的分项报价表将被视为没有对谈判文件的实质性要求作出响应；</w:t>
      </w:r>
    </w:p>
    <w:p w14:paraId="2765C3B6">
      <w:pPr>
        <w:numPr>
          <w:ilvl w:val="0"/>
          <w:numId w:val="56"/>
        </w:numPr>
        <w:adjustRightInd w:val="0"/>
        <w:snapToGrid w:val="0"/>
        <w:spacing w:line="300" w:lineRule="auto"/>
        <w:ind w:left="0" w:leftChars="0" w:firstLine="482" w:firstLineChars="200"/>
        <w:rPr>
          <w:rFonts w:hint="eastAsia" w:asciiTheme="minorEastAsia" w:hAnsiTheme="minorEastAsia" w:eastAsiaTheme="minorEastAsia" w:cstheme="minorEastAsia"/>
          <w:b/>
          <w:bCs w:val="0"/>
          <w:color w:val="auto"/>
          <w:sz w:val="24"/>
        </w:rPr>
      </w:pPr>
      <w:r>
        <w:rPr>
          <w:rFonts w:hint="eastAsia" w:asciiTheme="minorEastAsia" w:hAnsiTheme="minorEastAsia" w:eastAsiaTheme="minorEastAsia" w:cstheme="minorEastAsia"/>
          <w:b/>
          <w:bCs w:val="0"/>
          <w:color w:val="auto"/>
          <w:sz w:val="24"/>
        </w:rPr>
        <w:t>响应报价包括货物及货物运抵指定交付地点的各种费用及所有成本费用的总和；</w:t>
      </w:r>
    </w:p>
    <w:p w14:paraId="560B155B">
      <w:pPr>
        <w:numPr>
          <w:ilvl w:val="0"/>
          <w:numId w:val="56"/>
        </w:numPr>
        <w:adjustRightInd w:val="0"/>
        <w:snapToGrid w:val="0"/>
        <w:spacing w:line="300" w:lineRule="auto"/>
        <w:ind w:left="0" w:leftChars="0" w:firstLine="482" w:firstLineChars="200"/>
        <w:rPr>
          <w:rFonts w:hint="eastAsia" w:asciiTheme="minorEastAsia" w:hAnsiTheme="minorEastAsia" w:eastAsiaTheme="minorEastAsia" w:cstheme="minorEastAsia"/>
          <w:b/>
          <w:bCs w:val="0"/>
          <w:color w:val="auto"/>
          <w:sz w:val="24"/>
        </w:rPr>
      </w:pPr>
      <w:r>
        <w:rPr>
          <w:rFonts w:hint="eastAsia" w:asciiTheme="minorEastAsia" w:hAnsiTheme="minorEastAsia" w:eastAsiaTheme="minorEastAsia" w:cstheme="minorEastAsia"/>
          <w:b/>
          <w:bCs w:val="0"/>
          <w:color w:val="auto"/>
          <w:sz w:val="24"/>
        </w:rPr>
        <w:t>必须按此表格式中的对应栏目内容填写，若需增加栏目，请在栏目“其它”中填写，并作详细说明。</w:t>
      </w:r>
    </w:p>
    <w:p w14:paraId="728DECFC">
      <w:pPr>
        <w:adjustRightInd w:val="0"/>
        <w:snapToGrid w:val="0"/>
        <w:spacing w:line="300" w:lineRule="auto"/>
        <w:ind w:right="-611" w:rightChars="-291" w:firstLine="590" w:firstLineChars="245"/>
        <w:rPr>
          <w:rFonts w:hint="eastAsia" w:asciiTheme="minorEastAsia" w:hAnsiTheme="minorEastAsia" w:eastAsiaTheme="minorEastAsia" w:cstheme="minorEastAsia"/>
          <w:b/>
          <w:color w:val="auto"/>
          <w:sz w:val="24"/>
        </w:rPr>
      </w:pPr>
    </w:p>
    <w:p w14:paraId="47F40224">
      <w:pPr>
        <w:pStyle w:val="13"/>
        <w:ind w:right="-611" w:rightChars="-291"/>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w:t>
      </w:r>
    </w:p>
    <w:p w14:paraId="04B1DBA0">
      <w:pPr>
        <w:pStyle w:val="13"/>
        <w:ind w:left="0" w:leftChars="0" w:right="-611" w:rightChars="-291" w:firstLine="2100" w:firstLineChars="87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rPr>
        <w:t>法定代表人或委托代理人</w:t>
      </w:r>
      <w:r>
        <w:rPr>
          <w:rFonts w:hint="eastAsia" w:asciiTheme="minorEastAsia" w:hAnsiTheme="minorEastAsia" w:eastAsiaTheme="minorEastAsia" w:cstheme="minorEastAsia"/>
          <w:b/>
          <w:color w:val="auto"/>
          <w:sz w:val="24"/>
        </w:rPr>
        <w:t>（签字或CA电子签字章）：</w:t>
      </w:r>
      <w:r>
        <w:rPr>
          <w:rFonts w:hint="eastAsia" w:asciiTheme="minorEastAsia" w:hAnsiTheme="minorEastAsia" w:eastAsiaTheme="minorEastAsia" w:cstheme="minorEastAsia"/>
          <w:color w:val="auto"/>
          <w:sz w:val="24"/>
          <w:u w:val="single"/>
        </w:rPr>
        <w:t xml:space="preserve">             </w:t>
      </w:r>
    </w:p>
    <w:p w14:paraId="16F8210F">
      <w:pPr>
        <w:pStyle w:val="13"/>
        <w:ind w:left="3780" w:leftChars="1800" w:right="-611" w:rightChars="-291" w:firstLine="240" w:firstLineChars="100"/>
        <w:rPr>
          <w:rFonts w:hint="eastAsia" w:asciiTheme="minorEastAsia" w:hAnsiTheme="minorEastAsia" w:eastAsiaTheme="minorEastAsia" w:cstheme="minorEastAsia"/>
          <w:color w:val="auto"/>
          <w:sz w:val="24"/>
          <w:szCs w:val="24"/>
        </w:rPr>
      </w:pPr>
    </w:p>
    <w:p w14:paraId="74157967">
      <w:pPr>
        <w:pStyle w:val="13"/>
        <w:ind w:right="-611" w:rightChars="-291" w:firstLine="3840" w:firstLineChars="1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供应商名称</w:t>
      </w:r>
      <w:r>
        <w:rPr>
          <w:rFonts w:hint="eastAsia" w:asciiTheme="minorEastAsia" w:hAnsiTheme="minorEastAsia" w:eastAsiaTheme="minorEastAsia" w:cstheme="minorEastAsia"/>
          <w:b/>
          <w:bCs/>
          <w:color w:val="auto"/>
          <w:sz w:val="24"/>
          <w:szCs w:val="24"/>
        </w:rPr>
        <w:t>（公章或CA电子签章）：</w:t>
      </w:r>
      <w:r>
        <w:rPr>
          <w:rFonts w:hint="eastAsia" w:asciiTheme="minorEastAsia" w:hAnsiTheme="minorEastAsia" w:eastAsiaTheme="minorEastAsia" w:cstheme="minorEastAsia"/>
          <w:color w:val="auto"/>
          <w:sz w:val="24"/>
          <w:szCs w:val="24"/>
          <w:u w:val="single"/>
        </w:rPr>
        <w:t xml:space="preserve">                  </w:t>
      </w:r>
    </w:p>
    <w:p w14:paraId="79F99A77">
      <w:pPr>
        <w:pStyle w:val="13"/>
        <w:ind w:right="-611" w:rightChars="-291"/>
        <w:rPr>
          <w:rFonts w:hint="eastAsia" w:asciiTheme="minorEastAsia" w:hAnsiTheme="minorEastAsia" w:eastAsiaTheme="minorEastAsia" w:cstheme="minorEastAsia"/>
          <w:color w:val="auto"/>
          <w:sz w:val="24"/>
          <w:szCs w:val="24"/>
        </w:rPr>
      </w:pPr>
    </w:p>
    <w:p w14:paraId="0AEE4768">
      <w:pPr>
        <w:snapToGrid w:val="0"/>
        <w:spacing w:before="50" w:after="50"/>
        <w:ind w:right="-611" w:rightChars="-291"/>
        <w:jc w:val="righ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w:t>
      </w:r>
      <w:r>
        <w:rPr>
          <w:rFonts w:hint="eastAsia" w:asciiTheme="minorEastAsia" w:hAnsiTheme="minorEastAsia" w:eastAsiaTheme="minorEastAsia" w:cstheme="minorEastAsia"/>
          <w:color w:val="auto"/>
          <w:sz w:val="24"/>
          <w:lang w:val="en-US" w:eastAsia="zh-CN"/>
        </w:rPr>
        <w:t xml:space="preserve"> </w:t>
      </w:r>
      <w:r>
        <w:rPr>
          <w:rFonts w:hint="eastAsia" w:asciiTheme="minorEastAsia" w:hAnsiTheme="minorEastAsia" w:eastAsiaTheme="minorEastAsia" w:cstheme="minorEastAsia"/>
          <w:color w:val="auto"/>
          <w:sz w:val="24"/>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46349C22">
      <w:pPr>
        <w:snapToGrid w:val="0"/>
        <w:spacing w:before="50" w:after="50"/>
        <w:ind w:right="-611" w:rightChars="-291"/>
        <w:jc w:val="right"/>
        <w:rPr>
          <w:rFonts w:hint="eastAsia" w:asciiTheme="minorEastAsia" w:hAnsiTheme="minorEastAsia" w:eastAsiaTheme="minorEastAsia" w:cstheme="minorEastAsia"/>
          <w:color w:val="auto"/>
          <w:sz w:val="24"/>
        </w:rPr>
      </w:pPr>
    </w:p>
    <w:p w14:paraId="41825279">
      <w:pPr>
        <w:pStyle w:val="13"/>
        <w:spacing w:line="360" w:lineRule="exact"/>
        <w:ind w:firstLine="482" w:firstLineChars="200"/>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color w:val="auto"/>
          <w:sz w:val="24"/>
        </w:rPr>
        <w:t>注：此项材料必须</w:t>
      </w:r>
      <w:r>
        <w:rPr>
          <w:rFonts w:hint="eastAsia" w:asciiTheme="minorEastAsia" w:hAnsiTheme="minorEastAsia" w:eastAsiaTheme="minorEastAsia" w:cstheme="minorEastAsia"/>
          <w:b/>
          <w:bCs/>
          <w:color w:val="auto"/>
          <w:sz w:val="24"/>
        </w:rPr>
        <w:t>以PDF格式上传。</w:t>
      </w:r>
    </w:p>
    <w:p w14:paraId="7912AF95">
      <w:pPr>
        <w:pStyle w:val="13"/>
        <w:spacing w:line="360" w:lineRule="exact"/>
        <w:ind w:firstLine="482" w:firstLineChars="200"/>
        <w:rPr>
          <w:rFonts w:hint="eastAsia" w:asciiTheme="minorEastAsia" w:hAnsiTheme="minorEastAsia" w:eastAsiaTheme="minorEastAsia" w:cstheme="minorEastAsia"/>
          <w:b/>
          <w:bCs/>
          <w:color w:val="auto"/>
          <w:sz w:val="24"/>
        </w:rPr>
        <w:sectPr>
          <w:pgSz w:w="11906" w:h="16838"/>
          <w:pgMar w:top="1440" w:right="1800" w:bottom="1440" w:left="1800" w:header="851" w:footer="992" w:gutter="0"/>
          <w:pgNumType w:fmt="decimal"/>
          <w:cols w:space="720" w:num="1"/>
          <w:docGrid w:type="lines" w:linePitch="312" w:charSpace="0"/>
        </w:sectPr>
      </w:pPr>
    </w:p>
    <w:p w14:paraId="7D4B59AE">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中小企业声明函（货物）</w:t>
      </w:r>
    </w:p>
    <w:p w14:paraId="1E9C59D7">
      <w:pPr>
        <w:pStyle w:val="9"/>
        <w:spacing w:after="0" w:line="360" w:lineRule="auto"/>
        <w:ind w:left="-426" w:right="142" w:firstLine="6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4"/>
          <w:highlight w:val="none"/>
          <w:u w:val="single"/>
        </w:rPr>
        <w:t>（单位名称）</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u w:val="single"/>
        </w:rPr>
        <w:t>（项目名称）</w:t>
      </w:r>
      <w:r>
        <w:rPr>
          <w:rFonts w:hint="eastAsia" w:asciiTheme="minorEastAsia" w:hAnsiTheme="minorEastAsia" w:eastAsiaTheme="minorEastAsia" w:cstheme="minorEastAsia"/>
          <w:color w:val="auto"/>
          <w:sz w:val="24"/>
          <w:highlight w:val="none"/>
        </w:rPr>
        <w:t>采购活动，提供的货物全部由符合政策要求的中小企业制造。相关企业（含联合体中的中小企业、签订分包意向协议的中小企业）的具体情况如下：</w:t>
      </w:r>
    </w:p>
    <w:p w14:paraId="0E082B0A">
      <w:pPr>
        <w:tabs>
          <w:tab w:val="left" w:pos="1384"/>
          <w:tab w:val="left" w:pos="4562"/>
          <w:tab w:val="left" w:pos="6803"/>
        </w:tabs>
        <w:spacing w:line="360" w:lineRule="auto"/>
        <w:ind w:left="-426" w:right="-58" w:firstLine="655"/>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u w:val="single"/>
        </w:rPr>
        <w:t>（标的名称）</w:t>
      </w:r>
      <w:r>
        <w:rPr>
          <w:rFonts w:hint="eastAsia" w:asciiTheme="minorEastAsia" w:hAnsiTheme="minorEastAsia" w:eastAsiaTheme="minorEastAsia" w:cstheme="minorEastAsia"/>
          <w:color w:val="auto"/>
          <w:sz w:val="24"/>
          <w:highlight w:val="none"/>
        </w:rPr>
        <w:t>，属于</w:t>
      </w:r>
      <w:r>
        <w:rPr>
          <w:rFonts w:hint="eastAsia" w:asciiTheme="minorEastAsia" w:hAnsiTheme="minorEastAsia" w:eastAsiaTheme="minorEastAsia" w:cstheme="minorEastAsia"/>
          <w:color w:val="auto"/>
          <w:sz w:val="24"/>
          <w:highlight w:val="none"/>
          <w:u w:val="single"/>
        </w:rPr>
        <w:t>（采购文件中明确的所属行业）</w:t>
      </w:r>
      <w:r>
        <w:rPr>
          <w:rFonts w:hint="eastAsia" w:asciiTheme="minorEastAsia" w:hAnsiTheme="minorEastAsia" w:eastAsiaTheme="minorEastAsia" w:cstheme="minorEastAsia"/>
          <w:color w:val="auto"/>
          <w:sz w:val="24"/>
          <w:highlight w:val="none"/>
        </w:rPr>
        <w:t>行业；制造商为</w:t>
      </w:r>
      <w:r>
        <w:rPr>
          <w:rFonts w:hint="eastAsia" w:asciiTheme="minorEastAsia" w:hAnsiTheme="minorEastAsia" w:eastAsiaTheme="minorEastAsia" w:cstheme="minorEastAsia"/>
          <w:color w:val="auto"/>
          <w:sz w:val="24"/>
          <w:highlight w:val="none"/>
          <w:u w:val="single"/>
        </w:rPr>
        <w:t>（企业名称）</w:t>
      </w:r>
      <w:r>
        <w:rPr>
          <w:rFonts w:hint="eastAsia" w:asciiTheme="minorEastAsia" w:hAnsiTheme="minorEastAsia" w:eastAsiaTheme="minorEastAsia" w:cstheme="minorEastAsia"/>
          <w:color w:val="auto"/>
          <w:sz w:val="24"/>
          <w:highlight w:val="none"/>
        </w:rPr>
        <w:t>，从业人员人，营业收入为万元，资产总额为万元，属于</w:t>
      </w:r>
      <w:r>
        <w:rPr>
          <w:rFonts w:hint="eastAsia" w:asciiTheme="minorEastAsia" w:hAnsiTheme="minorEastAsia" w:eastAsiaTheme="minorEastAsia" w:cstheme="minorEastAsia"/>
          <w:color w:val="auto"/>
          <w:sz w:val="24"/>
          <w:highlight w:val="none"/>
          <w:u w:val="single"/>
        </w:rPr>
        <w:t>（中型企业、小型企业、微型企业）</w:t>
      </w:r>
      <w:r>
        <w:rPr>
          <w:rFonts w:hint="eastAsia" w:asciiTheme="minorEastAsia" w:hAnsiTheme="minorEastAsia" w:eastAsiaTheme="minorEastAsia" w:cstheme="minorEastAsia"/>
          <w:color w:val="auto"/>
          <w:sz w:val="24"/>
          <w:highlight w:val="none"/>
        </w:rPr>
        <w:t>；</w:t>
      </w:r>
    </w:p>
    <w:p w14:paraId="1A7742EB">
      <w:pPr>
        <w:tabs>
          <w:tab w:val="left" w:pos="1065"/>
          <w:tab w:val="left" w:pos="6477"/>
        </w:tabs>
        <w:spacing w:line="360" w:lineRule="auto"/>
        <w:ind w:left="-426" w:right="-58" w:firstLine="655"/>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（标的名称）</w:t>
      </w:r>
      <w:r>
        <w:rPr>
          <w:rFonts w:hint="eastAsia" w:asciiTheme="minorEastAsia" w:hAnsiTheme="minorEastAsia" w:eastAsiaTheme="minorEastAsia" w:cstheme="minorEastAsia"/>
          <w:color w:val="auto"/>
          <w:sz w:val="24"/>
          <w:highlight w:val="none"/>
        </w:rPr>
        <w:t>，属于</w:t>
      </w:r>
      <w:r>
        <w:rPr>
          <w:rFonts w:hint="eastAsia" w:asciiTheme="minorEastAsia" w:hAnsiTheme="minorEastAsia" w:eastAsiaTheme="minorEastAsia" w:cstheme="minorEastAsia"/>
          <w:color w:val="auto"/>
          <w:sz w:val="24"/>
          <w:highlight w:val="none"/>
          <w:u w:val="single"/>
        </w:rPr>
        <w:t>（采购文件中明确的所属行业）</w:t>
      </w:r>
      <w:r>
        <w:rPr>
          <w:rFonts w:hint="eastAsia" w:asciiTheme="minorEastAsia" w:hAnsiTheme="minorEastAsia" w:eastAsiaTheme="minorEastAsia" w:cstheme="minorEastAsia"/>
          <w:color w:val="auto"/>
          <w:sz w:val="24"/>
          <w:highlight w:val="none"/>
        </w:rPr>
        <w:t>行业；制造商为</w:t>
      </w:r>
      <w:r>
        <w:rPr>
          <w:rFonts w:hint="eastAsia" w:asciiTheme="minorEastAsia" w:hAnsiTheme="minorEastAsia" w:eastAsiaTheme="minorEastAsia" w:cstheme="minorEastAsia"/>
          <w:color w:val="auto"/>
          <w:sz w:val="24"/>
          <w:highlight w:val="none"/>
          <w:u w:val="single"/>
        </w:rPr>
        <w:t>（企业名称）</w:t>
      </w:r>
      <w:r>
        <w:rPr>
          <w:rFonts w:hint="eastAsia" w:asciiTheme="minorEastAsia" w:hAnsiTheme="minorEastAsia" w:eastAsiaTheme="minorEastAsia" w:cstheme="minorEastAsia"/>
          <w:color w:val="auto"/>
          <w:sz w:val="24"/>
          <w:highlight w:val="none"/>
        </w:rPr>
        <w:t>，从业人员人，营业收入为万元，资产总额为万元，属于</w:t>
      </w:r>
      <w:r>
        <w:rPr>
          <w:rFonts w:hint="eastAsia" w:asciiTheme="minorEastAsia" w:hAnsiTheme="minorEastAsia" w:eastAsiaTheme="minorEastAsia" w:cstheme="minorEastAsia"/>
          <w:color w:val="auto"/>
          <w:sz w:val="24"/>
          <w:highlight w:val="none"/>
          <w:u w:val="single"/>
        </w:rPr>
        <w:t>（中型企业、小型企业、微型企业）</w:t>
      </w:r>
      <w:r>
        <w:rPr>
          <w:rFonts w:hint="eastAsia" w:asciiTheme="minorEastAsia" w:hAnsiTheme="minorEastAsia" w:eastAsiaTheme="minorEastAsia" w:cstheme="minorEastAsia"/>
          <w:color w:val="auto"/>
          <w:sz w:val="24"/>
          <w:highlight w:val="none"/>
        </w:rPr>
        <w:t>；</w:t>
      </w:r>
    </w:p>
    <w:p w14:paraId="3F043FBB">
      <w:pPr>
        <w:pStyle w:val="9"/>
        <w:spacing w:after="0" w:line="360" w:lineRule="auto"/>
        <w:ind w:left="142" w:right="142"/>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p w14:paraId="5271D0F5">
      <w:pPr>
        <w:pStyle w:val="9"/>
        <w:spacing w:after="0" w:line="360" w:lineRule="auto"/>
        <w:ind w:left="-405" w:leftChars="-193" w:right="142" w:firstLine="453" w:firstLineChars="189"/>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以上企业，不属于大企业的分支机构，不存在控股股东为大企业的情形，也不存在与大企业的负责人为同一人的情形。</w:t>
      </w:r>
    </w:p>
    <w:p w14:paraId="6C734025">
      <w:pPr>
        <w:pStyle w:val="9"/>
        <w:spacing w:after="0" w:line="360" w:lineRule="auto"/>
        <w:ind w:left="-426" w:right="142" w:firstLine="567"/>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本企业对上述声明内容的真实性负责。如有虚假，将依法承担相应责任。</w:t>
      </w:r>
    </w:p>
    <w:p w14:paraId="704DAF23">
      <w:pPr>
        <w:pStyle w:val="9"/>
        <w:spacing w:after="0" w:line="360" w:lineRule="auto"/>
        <w:ind w:left="3960" w:right="1808"/>
        <w:contextualSpacing/>
        <w:rPr>
          <w:rFonts w:hint="eastAsia" w:asciiTheme="minorEastAsia" w:hAnsiTheme="minorEastAsia" w:eastAsiaTheme="minorEastAsia" w:cstheme="minorEastAsia"/>
          <w:color w:val="auto"/>
          <w:sz w:val="24"/>
          <w:highlight w:val="none"/>
        </w:rPr>
      </w:pPr>
    </w:p>
    <w:p w14:paraId="356D6832">
      <w:pPr>
        <w:rPr>
          <w:rFonts w:hint="eastAsia" w:asciiTheme="minorEastAsia" w:hAnsiTheme="minorEastAsia" w:eastAsiaTheme="minorEastAsia" w:cstheme="minorEastAsia"/>
          <w:color w:val="auto"/>
          <w:highlight w:val="none"/>
        </w:rPr>
      </w:pPr>
    </w:p>
    <w:p w14:paraId="7760A6D8">
      <w:pPr>
        <w:rPr>
          <w:rFonts w:hint="eastAsia" w:asciiTheme="minorEastAsia" w:hAnsiTheme="minorEastAsia" w:eastAsiaTheme="minorEastAsia" w:cstheme="minorEastAsia"/>
          <w:color w:val="auto"/>
          <w:highlight w:val="none"/>
        </w:rPr>
      </w:pPr>
    </w:p>
    <w:p w14:paraId="3ACB0ED4">
      <w:pPr>
        <w:pStyle w:val="9"/>
        <w:keepNext w:val="0"/>
        <w:keepLines w:val="0"/>
        <w:pageBreakBefore w:val="0"/>
        <w:widowControl w:val="0"/>
        <w:kinsoku/>
        <w:wordWrap w:val="0"/>
        <w:overflowPunct/>
        <w:topLinePunct w:val="0"/>
        <w:autoSpaceDE/>
        <w:autoSpaceDN/>
        <w:bidi w:val="0"/>
        <w:adjustRightInd/>
        <w:snapToGrid w:val="0"/>
        <w:spacing w:after="0" w:line="480" w:lineRule="auto"/>
        <w:contextualSpacing/>
        <w:jc w:val="righ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企业名称</w:t>
      </w:r>
      <w:r>
        <w:rPr>
          <w:rFonts w:hint="eastAsia" w:asciiTheme="minorEastAsia" w:hAnsiTheme="minorEastAsia" w:eastAsiaTheme="minorEastAsia" w:cstheme="minorEastAsia"/>
          <w:b/>
          <w:bCs/>
          <w:color w:val="auto"/>
          <w:sz w:val="24"/>
          <w:highlight w:val="none"/>
        </w:rPr>
        <w:t>（公章或CA电子签章）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1432C950">
      <w:pPr>
        <w:pStyle w:val="9"/>
        <w:keepNext w:val="0"/>
        <w:keepLines w:val="0"/>
        <w:pageBreakBefore w:val="0"/>
        <w:widowControl w:val="0"/>
        <w:kinsoku/>
        <w:wordWrap/>
        <w:overflowPunct/>
        <w:topLinePunct w:val="0"/>
        <w:autoSpaceDE/>
        <w:autoSpaceDN/>
        <w:bidi w:val="0"/>
        <w:adjustRightInd/>
        <w:snapToGrid w:val="0"/>
        <w:spacing w:line="480" w:lineRule="auto"/>
        <w:ind w:left="0"/>
        <w:jc w:val="righ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r>
        <w:rPr>
          <w:rFonts w:hint="eastAsia" w:asciiTheme="minorEastAsia" w:hAnsiTheme="minorEastAsia" w:eastAsiaTheme="minorEastAsia" w:cstheme="minorEastAsia"/>
          <w:color w:val="auto"/>
          <w:sz w:val="24"/>
          <w:highlight w:val="none"/>
        </w:rPr>
        <w:t xml:space="preserve">        </w:t>
      </w:r>
    </w:p>
    <w:p w14:paraId="3CD61F78">
      <w:pPr>
        <w:pStyle w:val="9"/>
        <w:spacing w:after="0" w:line="360" w:lineRule="auto"/>
        <w:contextualSpacing/>
        <w:rPr>
          <w:rFonts w:hint="eastAsia" w:asciiTheme="minorEastAsia" w:hAnsiTheme="minorEastAsia" w:eastAsiaTheme="minorEastAsia" w:cstheme="minorEastAsia"/>
          <w:color w:val="auto"/>
          <w:highlight w:val="none"/>
        </w:rPr>
      </w:pPr>
    </w:p>
    <w:p w14:paraId="6C8A44BD">
      <w:pPr>
        <w:spacing w:line="360" w:lineRule="auto"/>
        <w:contextualSpacing/>
        <w:jc w:val="left"/>
        <w:rPr>
          <w:rFonts w:hint="eastAsia" w:asciiTheme="minorEastAsia" w:hAnsiTheme="minorEastAsia" w:eastAsiaTheme="minorEastAsia" w:cstheme="minorEastAsia"/>
          <w:color w:val="auto"/>
          <w:sz w:val="24"/>
          <w:highlight w:val="none"/>
        </w:rPr>
      </w:pPr>
    </w:p>
    <w:p w14:paraId="5B38582D">
      <w:pPr>
        <w:spacing w:line="360" w:lineRule="auto"/>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BCFB7F6">
      <w:pPr>
        <w:pStyle w:val="13"/>
        <w:jc w:val="lef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b/>
          <w:bCs/>
          <w:color w:val="auto"/>
          <w:sz w:val="24"/>
          <w:szCs w:val="24"/>
          <w:highlight w:val="none"/>
        </w:rPr>
        <w:t>附：</w:t>
      </w:r>
    </w:p>
    <w:p w14:paraId="2D5549B4">
      <w:pPr>
        <w:spacing w:before="156" w:beforeLines="50" w:after="156" w:afterLines="5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bCs/>
          <w:color w:val="auto"/>
          <w:sz w:val="32"/>
          <w:szCs w:val="32"/>
          <w:highlight w:val="none"/>
        </w:rPr>
        <w:t>中小微企业划型标准</w:t>
      </w:r>
    </w:p>
    <w:tbl>
      <w:tblPr>
        <w:tblStyle w:val="20"/>
        <w:tblW w:w="9297" w:type="dxa"/>
        <w:jc w:val="center"/>
        <w:tblLayout w:type="fixed"/>
        <w:tblCellMar>
          <w:top w:w="0" w:type="dxa"/>
          <w:left w:w="108" w:type="dxa"/>
          <w:bottom w:w="0" w:type="dxa"/>
          <w:right w:w="108" w:type="dxa"/>
        </w:tblCellMar>
      </w:tblPr>
      <w:tblGrid>
        <w:gridCol w:w="1981"/>
        <w:gridCol w:w="1611"/>
        <w:gridCol w:w="1063"/>
        <w:gridCol w:w="1887"/>
        <w:gridCol w:w="1678"/>
        <w:gridCol w:w="1077"/>
      </w:tblGrid>
      <w:tr w14:paraId="39A8EA52">
        <w:tblPrEx>
          <w:tblCellMar>
            <w:top w:w="0" w:type="dxa"/>
            <w:left w:w="108" w:type="dxa"/>
            <w:bottom w:w="0" w:type="dxa"/>
            <w:right w:w="108" w:type="dxa"/>
          </w:tblCellMar>
        </w:tblPrEx>
        <w:trPr>
          <w:trHeight w:val="364" w:hRule="atLeast"/>
          <w:jc w:val="center"/>
        </w:trPr>
        <w:tc>
          <w:tcPr>
            <w:tcW w:w="1981" w:type="dxa"/>
            <w:tcBorders>
              <w:top w:val="single" w:color="auto" w:sz="4" w:space="0"/>
              <w:left w:val="single" w:color="auto" w:sz="4" w:space="0"/>
              <w:bottom w:val="single" w:color="auto" w:sz="4" w:space="0"/>
              <w:right w:val="single" w:color="auto" w:sz="4" w:space="0"/>
            </w:tcBorders>
            <w:noWrap/>
            <w:vAlign w:val="center"/>
          </w:tcPr>
          <w:p w14:paraId="377ED0F7">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行业名称</w:t>
            </w:r>
          </w:p>
        </w:tc>
        <w:tc>
          <w:tcPr>
            <w:tcW w:w="1611" w:type="dxa"/>
            <w:tcBorders>
              <w:top w:val="single" w:color="auto" w:sz="4" w:space="0"/>
              <w:left w:val="nil"/>
              <w:bottom w:val="single" w:color="auto" w:sz="4" w:space="0"/>
              <w:right w:val="single" w:color="auto" w:sz="4" w:space="0"/>
            </w:tcBorders>
            <w:noWrap/>
            <w:vAlign w:val="center"/>
          </w:tcPr>
          <w:p w14:paraId="476524C0">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指标名称</w:t>
            </w:r>
          </w:p>
        </w:tc>
        <w:tc>
          <w:tcPr>
            <w:tcW w:w="1063" w:type="dxa"/>
            <w:tcBorders>
              <w:top w:val="single" w:color="auto" w:sz="4" w:space="0"/>
              <w:left w:val="nil"/>
              <w:bottom w:val="single" w:color="auto" w:sz="4" w:space="0"/>
              <w:right w:val="single" w:color="auto" w:sz="4" w:space="0"/>
            </w:tcBorders>
            <w:noWrap/>
            <w:vAlign w:val="center"/>
          </w:tcPr>
          <w:p w14:paraId="6F030D14">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计量单位</w:t>
            </w:r>
          </w:p>
        </w:tc>
        <w:tc>
          <w:tcPr>
            <w:tcW w:w="1887" w:type="dxa"/>
            <w:tcBorders>
              <w:top w:val="single" w:color="auto" w:sz="4" w:space="0"/>
              <w:left w:val="nil"/>
              <w:bottom w:val="single" w:color="auto" w:sz="4" w:space="0"/>
              <w:right w:val="single" w:color="auto" w:sz="4" w:space="0"/>
            </w:tcBorders>
            <w:noWrap/>
            <w:vAlign w:val="center"/>
          </w:tcPr>
          <w:p w14:paraId="37F56DFA">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中型</w:t>
            </w:r>
          </w:p>
        </w:tc>
        <w:tc>
          <w:tcPr>
            <w:tcW w:w="1678" w:type="dxa"/>
            <w:tcBorders>
              <w:top w:val="single" w:color="auto" w:sz="4" w:space="0"/>
              <w:left w:val="nil"/>
              <w:bottom w:val="single" w:color="auto" w:sz="4" w:space="0"/>
              <w:right w:val="single" w:color="auto" w:sz="4" w:space="0"/>
            </w:tcBorders>
            <w:noWrap/>
            <w:vAlign w:val="center"/>
          </w:tcPr>
          <w:p w14:paraId="696AE660">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小型</w:t>
            </w:r>
          </w:p>
        </w:tc>
        <w:tc>
          <w:tcPr>
            <w:tcW w:w="1077" w:type="dxa"/>
            <w:tcBorders>
              <w:top w:val="single" w:color="auto" w:sz="4" w:space="0"/>
              <w:left w:val="nil"/>
              <w:bottom w:val="single" w:color="auto" w:sz="4" w:space="0"/>
              <w:right w:val="single" w:color="auto" w:sz="4" w:space="0"/>
            </w:tcBorders>
            <w:noWrap/>
            <w:vAlign w:val="center"/>
          </w:tcPr>
          <w:p w14:paraId="0D5E26C2">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微型</w:t>
            </w:r>
          </w:p>
        </w:tc>
      </w:tr>
      <w:tr w14:paraId="6921960B">
        <w:tblPrEx>
          <w:tblCellMar>
            <w:top w:w="0" w:type="dxa"/>
            <w:left w:w="108" w:type="dxa"/>
            <w:bottom w:w="0" w:type="dxa"/>
            <w:right w:w="108" w:type="dxa"/>
          </w:tblCellMar>
        </w:tblPrEx>
        <w:trPr>
          <w:trHeight w:val="343" w:hRule="atLeast"/>
          <w:jc w:val="center"/>
        </w:trPr>
        <w:tc>
          <w:tcPr>
            <w:tcW w:w="1981" w:type="dxa"/>
            <w:tcBorders>
              <w:top w:val="nil"/>
              <w:left w:val="single" w:color="auto" w:sz="4" w:space="0"/>
              <w:bottom w:val="single" w:color="auto" w:sz="4" w:space="0"/>
              <w:right w:val="single" w:color="auto" w:sz="4" w:space="0"/>
            </w:tcBorders>
            <w:noWrap/>
            <w:vAlign w:val="center"/>
          </w:tcPr>
          <w:p w14:paraId="321234AE">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农、林、牧、渔</w:t>
            </w:r>
          </w:p>
        </w:tc>
        <w:tc>
          <w:tcPr>
            <w:tcW w:w="1611" w:type="dxa"/>
            <w:tcBorders>
              <w:top w:val="nil"/>
              <w:left w:val="nil"/>
              <w:bottom w:val="single" w:color="auto" w:sz="4" w:space="0"/>
              <w:right w:val="single" w:color="auto" w:sz="4" w:space="0"/>
            </w:tcBorders>
            <w:noWrap/>
            <w:vAlign w:val="center"/>
          </w:tcPr>
          <w:p w14:paraId="3463A36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4D8F142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4AB2C26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500≤Y＜20000</w:t>
            </w:r>
          </w:p>
        </w:tc>
        <w:tc>
          <w:tcPr>
            <w:tcW w:w="1678" w:type="dxa"/>
            <w:tcBorders>
              <w:top w:val="nil"/>
              <w:left w:val="nil"/>
              <w:bottom w:val="single" w:color="auto" w:sz="4" w:space="0"/>
              <w:right w:val="single" w:color="auto" w:sz="4" w:space="0"/>
            </w:tcBorders>
            <w:noWrap/>
            <w:vAlign w:val="center"/>
          </w:tcPr>
          <w:p w14:paraId="537EA01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50≤Y＜500</w:t>
            </w:r>
          </w:p>
        </w:tc>
        <w:tc>
          <w:tcPr>
            <w:tcW w:w="1077" w:type="dxa"/>
            <w:tcBorders>
              <w:top w:val="nil"/>
              <w:left w:val="nil"/>
              <w:bottom w:val="single" w:color="auto" w:sz="4" w:space="0"/>
              <w:right w:val="single" w:color="auto" w:sz="4" w:space="0"/>
            </w:tcBorders>
            <w:noWrap/>
            <w:vAlign w:val="center"/>
          </w:tcPr>
          <w:p w14:paraId="5406523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Y＜50</w:t>
            </w:r>
          </w:p>
        </w:tc>
      </w:tr>
      <w:tr w14:paraId="795F8C20">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46486832">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工业</w:t>
            </w:r>
          </w:p>
        </w:tc>
        <w:tc>
          <w:tcPr>
            <w:tcW w:w="1611" w:type="dxa"/>
            <w:tcBorders>
              <w:top w:val="nil"/>
              <w:left w:val="nil"/>
              <w:bottom w:val="single" w:color="auto" w:sz="4" w:space="0"/>
              <w:right w:val="single" w:color="auto" w:sz="4" w:space="0"/>
            </w:tcBorders>
            <w:noWrap/>
            <w:vAlign w:val="center"/>
          </w:tcPr>
          <w:p w14:paraId="5DC48F1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516AA86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230DAD1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300≤X＜1000</w:t>
            </w:r>
          </w:p>
        </w:tc>
        <w:tc>
          <w:tcPr>
            <w:tcW w:w="1678" w:type="dxa"/>
            <w:tcBorders>
              <w:top w:val="nil"/>
              <w:left w:val="nil"/>
              <w:bottom w:val="single" w:color="auto" w:sz="4" w:space="0"/>
              <w:right w:val="single" w:color="auto" w:sz="4" w:space="0"/>
            </w:tcBorders>
            <w:noWrap/>
            <w:vAlign w:val="center"/>
          </w:tcPr>
          <w:p w14:paraId="1B31DEA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20≤X＜300</w:t>
            </w:r>
          </w:p>
        </w:tc>
        <w:tc>
          <w:tcPr>
            <w:tcW w:w="1077" w:type="dxa"/>
            <w:tcBorders>
              <w:top w:val="nil"/>
              <w:left w:val="nil"/>
              <w:bottom w:val="single" w:color="auto" w:sz="4" w:space="0"/>
              <w:right w:val="single" w:color="auto" w:sz="4" w:space="0"/>
            </w:tcBorders>
            <w:noWrap/>
            <w:vAlign w:val="center"/>
          </w:tcPr>
          <w:p w14:paraId="358D59F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X＜20</w:t>
            </w:r>
          </w:p>
        </w:tc>
      </w:tr>
      <w:tr w14:paraId="3F616A60">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302E9B15">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3B48B93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5FAD184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483B3D3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2000≤Y＜40000</w:t>
            </w:r>
          </w:p>
        </w:tc>
        <w:tc>
          <w:tcPr>
            <w:tcW w:w="1678" w:type="dxa"/>
            <w:tcBorders>
              <w:top w:val="nil"/>
              <w:left w:val="nil"/>
              <w:bottom w:val="single" w:color="auto" w:sz="4" w:space="0"/>
              <w:right w:val="single" w:color="auto" w:sz="4" w:space="0"/>
            </w:tcBorders>
            <w:noWrap/>
            <w:vAlign w:val="center"/>
          </w:tcPr>
          <w:p w14:paraId="796C672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300≤Y＜2000</w:t>
            </w:r>
          </w:p>
        </w:tc>
        <w:tc>
          <w:tcPr>
            <w:tcW w:w="1077" w:type="dxa"/>
            <w:tcBorders>
              <w:top w:val="nil"/>
              <w:left w:val="nil"/>
              <w:bottom w:val="single" w:color="auto" w:sz="4" w:space="0"/>
              <w:right w:val="single" w:color="auto" w:sz="4" w:space="0"/>
            </w:tcBorders>
            <w:noWrap/>
            <w:vAlign w:val="center"/>
          </w:tcPr>
          <w:p w14:paraId="32F738B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Y＜300</w:t>
            </w:r>
          </w:p>
        </w:tc>
      </w:tr>
      <w:tr w14:paraId="03FDAA7C">
        <w:tblPrEx>
          <w:tblCellMar>
            <w:top w:w="0" w:type="dxa"/>
            <w:left w:w="108" w:type="dxa"/>
            <w:bottom w:w="0" w:type="dxa"/>
            <w:right w:w="108" w:type="dxa"/>
          </w:tblCellMar>
        </w:tblPrEx>
        <w:trPr>
          <w:trHeight w:val="345"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0FE1F59B">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建筑业</w:t>
            </w:r>
          </w:p>
        </w:tc>
        <w:tc>
          <w:tcPr>
            <w:tcW w:w="1611" w:type="dxa"/>
            <w:tcBorders>
              <w:top w:val="nil"/>
              <w:left w:val="nil"/>
              <w:bottom w:val="single" w:color="auto" w:sz="4" w:space="0"/>
              <w:right w:val="single" w:color="auto" w:sz="4" w:space="0"/>
            </w:tcBorders>
            <w:noWrap/>
            <w:vAlign w:val="center"/>
          </w:tcPr>
          <w:p w14:paraId="16C6F36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6063B54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40317C3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6000≤Y＜80000</w:t>
            </w:r>
          </w:p>
        </w:tc>
        <w:tc>
          <w:tcPr>
            <w:tcW w:w="1678" w:type="dxa"/>
            <w:tcBorders>
              <w:top w:val="nil"/>
              <w:left w:val="nil"/>
              <w:bottom w:val="single" w:color="auto" w:sz="4" w:space="0"/>
              <w:right w:val="single" w:color="auto" w:sz="4" w:space="0"/>
            </w:tcBorders>
            <w:noWrap/>
            <w:vAlign w:val="center"/>
          </w:tcPr>
          <w:p w14:paraId="0C3B620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300≤Y＜6000</w:t>
            </w:r>
          </w:p>
        </w:tc>
        <w:tc>
          <w:tcPr>
            <w:tcW w:w="1077" w:type="dxa"/>
            <w:tcBorders>
              <w:top w:val="nil"/>
              <w:left w:val="nil"/>
              <w:bottom w:val="single" w:color="auto" w:sz="4" w:space="0"/>
              <w:right w:val="single" w:color="auto" w:sz="4" w:space="0"/>
            </w:tcBorders>
            <w:noWrap/>
            <w:vAlign w:val="center"/>
          </w:tcPr>
          <w:p w14:paraId="3E7A2E9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Y＜300</w:t>
            </w:r>
          </w:p>
        </w:tc>
      </w:tr>
      <w:tr w14:paraId="4E670DD6">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5BD89333">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7602CAB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资产总额（Z）</w:t>
            </w:r>
          </w:p>
        </w:tc>
        <w:tc>
          <w:tcPr>
            <w:tcW w:w="1063" w:type="dxa"/>
            <w:tcBorders>
              <w:top w:val="nil"/>
              <w:left w:val="nil"/>
              <w:bottom w:val="single" w:color="auto" w:sz="4" w:space="0"/>
              <w:right w:val="single" w:color="auto" w:sz="4" w:space="0"/>
            </w:tcBorders>
            <w:noWrap/>
            <w:vAlign w:val="center"/>
          </w:tcPr>
          <w:p w14:paraId="007D3C3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52517BA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5000≤Z＜80000</w:t>
            </w:r>
          </w:p>
        </w:tc>
        <w:tc>
          <w:tcPr>
            <w:tcW w:w="1678" w:type="dxa"/>
            <w:tcBorders>
              <w:top w:val="nil"/>
              <w:left w:val="nil"/>
              <w:bottom w:val="single" w:color="auto" w:sz="4" w:space="0"/>
              <w:right w:val="single" w:color="auto" w:sz="4" w:space="0"/>
            </w:tcBorders>
            <w:noWrap/>
            <w:vAlign w:val="center"/>
          </w:tcPr>
          <w:p w14:paraId="4FB4F06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300≤Z＜5000</w:t>
            </w:r>
          </w:p>
        </w:tc>
        <w:tc>
          <w:tcPr>
            <w:tcW w:w="1077" w:type="dxa"/>
            <w:tcBorders>
              <w:top w:val="nil"/>
              <w:left w:val="nil"/>
              <w:bottom w:val="single" w:color="auto" w:sz="4" w:space="0"/>
              <w:right w:val="single" w:color="auto" w:sz="4" w:space="0"/>
            </w:tcBorders>
            <w:noWrap/>
            <w:vAlign w:val="center"/>
          </w:tcPr>
          <w:p w14:paraId="2A91303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Z＜300</w:t>
            </w:r>
          </w:p>
        </w:tc>
      </w:tr>
      <w:tr w14:paraId="0D5D062F">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129A9FC0">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批发业</w:t>
            </w:r>
          </w:p>
        </w:tc>
        <w:tc>
          <w:tcPr>
            <w:tcW w:w="1611" w:type="dxa"/>
            <w:tcBorders>
              <w:top w:val="nil"/>
              <w:left w:val="nil"/>
              <w:bottom w:val="single" w:color="auto" w:sz="4" w:space="0"/>
              <w:right w:val="single" w:color="auto" w:sz="4" w:space="0"/>
            </w:tcBorders>
            <w:noWrap/>
            <w:vAlign w:val="center"/>
          </w:tcPr>
          <w:p w14:paraId="064AE60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77622B6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472B525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20≤X＜200</w:t>
            </w:r>
          </w:p>
        </w:tc>
        <w:tc>
          <w:tcPr>
            <w:tcW w:w="1678" w:type="dxa"/>
            <w:tcBorders>
              <w:top w:val="nil"/>
              <w:left w:val="nil"/>
              <w:bottom w:val="single" w:color="auto" w:sz="4" w:space="0"/>
              <w:right w:val="single" w:color="auto" w:sz="4" w:space="0"/>
            </w:tcBorders>
            <w:noWrap/>
            <w:vAlign w:val="center"/>
          </w:tcPr>
          <w:p w14:paraId="5FD4894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5≤X＜20</w:t>
            </w:r>
          </w:p>
        </w:tc>
        <w:tc>
          <w:tcPr>
            <w:tcW w:w="1077" w:type="dxa"/>
            <w:tcBorders>
              <w:top w:val="nil"/>
              <w:left w:val="nil"/>
              <w:bottom w:val="single" w:color="auto" w:sz="4" w:space="0"/>
              <w:right w:val="single" w:color="auto" w:sz="4" w:space="0"/>
            </w:tcBorders>
            <w:noWrap/>
            <w:vAlign w:val="center"/>
          </w:tcPr>
          <w:p w14:paraId="7DEF0C1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X＜5</w:t>
            </w:r>
          </w:p>
        </w:tc>
      </w:tr>
      <w:tr w14:paraId="33CF6482">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1073B656">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6141AEF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2F0DFA8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6BFE784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5000≤Y＜40000</w:t>
            </w:r>
          </w:p>
        </w:tc>
        <w:tc>
          <w:tcPr>
            <w:tcW w:w="1678" w:type="dxa"/>
            <w:tcBorders>
              <w:top w:val="nil"/>
              <w:left w:val="nil"/>
              <w:bottom w:val="single" w:color="auto" w:sz="4" w:space="0"/>
              <w:right w:val="single" w:color="auto" w:sz="4" w:space="0"/>
            </w:tcBorders>
            <w:noWrap/>
            <w:vAlign w:val="center"/>
          </w:tcPr>
          <w:p w14:paraId="1A5A63A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1000≤Y＜5000</w:t>
            </w:r>
          </w:p>
        </w:tc>
        <w:tc>
          <w:tcPr>
            <w:tcW w:w="1077" w:type="dxa"/>
            <w:tcBorders>
              <w:top w:val="nil"/>
              <w:left w:val="nil"/>
              <w:bottom w:val="single" w:color="auto" w:sz="4" w:space="0"/>
              <w:right w:val="single" w:color="auto" w:sz="4" w:space="0"/>
            </w:tcBorders>
            <w:noWrap/>
            <w:vAlign w:val="center"/>
          </w:tcPr>
          <w:p w14:paraId="5D8EEA9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Y＜1000</w:t>
            </w:r>
          </w:p>
        </w:tc>
      </w:tr>
      <w:tr w14:paraId="4874FBD5">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170704E6">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零售业</w:t>
            </w:r>
          </w:p>
        </w:tc>
        <w:tc>
          <w:tcPr>
            <w:tcW w:w="1611" w:type="dxa"/>
            <w:tcBorders>
              <w:top w:val="nil"/>
              <w:left w:val="nil"/>
              <w:bottom w:val="single" w:color="auto" w:sz="4" w:space="0"/>
              <w:right w:val="single" w:color="auto" w:sz="4" w:space="0"/>
            </w:tcBorders>
            <w:noWrap/>
            <w:vAlign w:val="center"/>
          </w:tcPr>
          <w:p w14:paraId="54423B1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3FE9085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72A4494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50≤X＜300</w:t>
            </w:r>
          </w:p>
        </w:tc>
        <w:tc>
          <w:tcPr>
            <w:tcW w:w="1678" w:type="dxa"/>
            <w:tcBorders>
              <w:top w:val="nil"/>
              <w:left w:val="nil"/>
              <w:bottom w:val="single" w:color="auto" w:sz="4" w:space="0"/>
              <w:right w:val="single" w:color="auto" w:sz="4" w:space="0"/>
            </w:tcBorders>
            <w:noWrap/>
            <w:vAlign w:val="center"/>
          </w:tcPr>
          <w:p w14:paraId="220A750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10≤X＜50</w:t>
            </w:r>
          </w:p>
        </w:tc>
        <w:tc>
          <w:tcPr>
            <w:tcW w:w="1077" w:type="dxa"/>
            <w:tcBorders>
              <w:top w:val="nil"/>
              <w:left w:val="nil"/>
              <w:bottom w:val="single" w:color="auto" w:sz="4" w:space="0"/>
              <w:right w:val="single" w:color="auto" w:sz="4" w:space="0"/>
            </w:tcBorders>
            <w:noWrap/>
            <w:vAlign w:val="center"/>
          </w:tcPr>
          <w:p w14:paraId="078ABC6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262B6418">
        <w:tblPrEx>
          <w:tblCellMar>
            <w:top w:w="0" w:type="dxa"/>
            <w:left w:w="108" w:type="dxa"/>
            <w:bottom w:w="0" w:type="dxa"/>
            <w:right w:w="108" w:type="dxa"/>
          </w:tblCellMar>
        </w:tblPrEx>
        <w:trPr>
          <w:trHeight w:val="343"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741EA021">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0837109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188BBCE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5FBF085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500≤Y＜20000</w:t>
            </w:r>
          </w:p>
        </w:tc>
        <w:tc>
          <w:tcPr>
            <w:tcW w:w="1678" w:type="dxa"/>
            <w:tcBorders>
              <w:top w:val="nil"/>
              <w:left w:val="nil"/>
              <w:bottom w:val="single" w:color="auto" w:sz="4" w:space="0"/>
              <w:right w:val="single" w:color="auto" w:sz="4" w:space="0"/>
            </w:tcBorders>
            <w:noWrap/>
            <w:vAlign w:val="center"/>
          </w:tcPr>
          <w:p w14:paraId="2A3C7DE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100≤Y＜500</w:t>
            </w:r>
          </w:p>
        </w:tc>
        <w:tc>
          <w:tcPr>
            <w:tcW w:w="1077" w:type="dxa"/>
            <w:tcBorders>
              <w:top w:val="nil"/>
              <w:left w:val="nil"/>
              <w:bottom w:val="single" w:color="auto" w:sz="4" w:space="0"/>
              <w:right w:val="single" w:color="auto" w:sz="4" w:space="0"/>
            </w:tcBorders>
            <w:noWrap/>
            <w:vAlign w:val="center"/>
          </w:tcPr>
          <w:p w14:paraId="05B9206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3EE4CEC3">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422168FD">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交通运输业</w:t>
            </w:r>
          </w:p>
        </w:tc>
        <w:tc>
          <w:tcPr>
            <w:tcW w:w="1611" w:type="dxa"/>
            <w:tcBorders>
              <w:top w:val="nil"/>
              <w:left w:val="nil"/>
              <w:bottom w:val="single" w:color="auto" w:sz="4" w:space="0"/>
              <w:right w:val="single" w:color="auto" w:sz="4" w:space="0"/>
            </w:tcBorders>
            <w:noWrap/>
            <w:vAlign w:val="center"/>
          </w:tcPr>
          <w:p w14:paraId="5AF44AB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4C26721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66C9B27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300≤X＜1000</w:t>
            </w:r>
          </w:p>
        </w:tc>
        <w:tc>
          <w:tcPr>
            <w:tcW w:w="1678" w:type="dxa"/>
            <w:tcBorders>
              <w:top w:val="nil"/>
              <w:left w:val="nil"/>
              <w:bottom w:val="single" w:color="auto" w:sz="4" w:space="0"/>
              <w:right w:val="single" w:color="auto" w:sz="4" w:space="0"/>
            </w:tcBorders>
            <w:noWrap/>
            <w:vAlign w:val="center"/>
          </w:tcPr>
          <w:p w14:paraId="71BB1D8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20≤X＜300</w:t>
            </w:r>
          </w:p>
        </w:tc>
        <w:tc>
          <w:tcPr>
            <w:tcW w:w="1077" w:type="dxa"/>
            <w:tcBorders>
              <w:top w:val="nil"/>
              <w:left w:val="nil"/>
              <w:bottom w:val="single" w:color="auto" w:sz="4" w:space="0"/>
              <w:right w:val="single" w:color="auto" w:sz="4" w:space="0"/>
            </w:tcBorders>
            <w:noWrap/>
            <w:vAlign w:val="center"/>
          </w:tcPr>
          <w:p w14:paraId="1974AE1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X＜20</w:t>
            </w:r>
          </w:p>
        </w:tc>
      </w:tr>
      <w:tr w14:paraId="1D0AD3B6">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0455E638">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6FF35FA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6EF679B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13D047E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3000≤Y＜30000</w:t>
            </w:r>
          </w:p>
        </w:tc>
        <w:tc>
          <w:tcPr>
            <w:tcW w:w="1678" w:type="dxa"/>
            <w:tcBorders>
              <w:top w:val="nil"/>
              <w:left w:val="nil"/>
              <w:bottom w:val="single" w:color="auto" w:sz="4" w:space="0"/>
              <w:right w:val="single" w:color="auto" w:sz="4" w:space="0"/>
            </w:tcBorders>
            <w:noWrap/>
            <w:vAlign w:val="center"/>
          </w:tcPr>
          <w:p w14:paraId="4B29997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200≤Y＜3000</w:t>
            </w:r>
          </w:p>
        </w:tc>
        <w:tc>
          <w:tcPr>
            <w:tcW w:w="1077" w:type="dxa"/>
            <w:tcBorders>
              <w:top w:val="nil"/>
              <w:left w:val="nil"/>
              <w:bottom w:val="single" w:color="auto" w:sz="4" w:space="0"/>
              <w:right w:val="single" w:color="auto" w:sz="4" w:space="0"/>
            </w:tcBorders>
            <w:noWrap/>
            <w:vAlign w:val="center"/>
          </w:tcPr>
          <w:p w14:paraId="7825BB3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Y＜200</w:t>
            </w:r>
          </w:p>
        </w:tc>
      </w:tr>
      <w:tr w14:paraId="37AB88CA">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74C2DD12">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仓储业</w:t>
            </w:r>
          </w:p>
        </w:tc>
        <w:tc>
          <w:tcPr>
            <w:tcW w:w="1611" w:type="dxa"/>
            <w:tcBorders>
              <w:top w:val="nil"/>
              <w:left w:val="nil"/>
              <w:bottom w:val="single" w:color="auto" w:sz="4" w:space="0"/>
              <w:right w:val="single" w:color="auto" w:sz="4" w:space="0"/>
            </w:tcBorders>
            <w:noWrap/>
            <w:vAlign w:val="center"/>
          </w:tcPr>
          <w:p w14:paraId="4FE1A0A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2A28C59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1077EDB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100≤X＜200</w:t>
            </w:r>
          </w:p>
        </w:tc>
        <w:tc>
          <w:tcPr>
            <w:tcW w:w="1678" w:type="dxa"/>
            <w:tcBorders>
              <w:top w:val="nil"/>
              <w:left w:val="nil"/>
              <w:bottom w:val="single" w:color="auto" w:sz="4" w:space="0"/>
              <w:right w:val="single" w:color="auto" w:sz="4" w:space="0"/>
            </w:tcBorders>
            <w:noWrap/>
            <w:vAlign w:val="center"/>
          </w:tcPr>
          <w:p w14:paraId="487EE0C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20≤X＜100</w:t>
            </w:r>
          </w:p>
        </w:tc>
        <w:tc>
          <w:tcPr>
            <w:tcW w:w="1077" w:type="dxa"/>
            <w:tcBorders>
              <w:top w:val="nil"/>
              <w:left w:val="nil"/>
              <w:bottom w:val="single" w:color="auto" w:sz="4" w:space="0"/>
              <w:right w:val="single" w:color="auto" w:sz="4" w:space="0"/>
            </w:tcBorders>
            <w:noWrap/>
            <w:vAlign w:val="center"/>
          </w:tcPr>
          <w:p w14:paraId="7FEDC8B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X＜20</w:t>
            </w:r>
          </w:p>
        </w:tc>
      </w:tr>
      <w:tr w14:paraId="3F3AFA1D">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45982A10">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00DF108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6642D86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202F200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1000≤Y＜30000</w:t>
            </w:r>
          </w:p>
        </w:tc>
        <w:tc>
          <w:tcPr>
            <w:tcW w:w="1678" w:type="dxa"/>
            <w:tcBorders>
              <w:top w:val="nil"/>
              <w:left w:val="nil"/>
              <w:bottom w:val="single" w:color="auto" w:sz="4" w:space="0"/>
              <w:right w:val="single" w:color="auto" w:sz="4" w:space="0"/>
            </w:tcBorders>
            <w:noWrap/>
            <w:vAlign w:val="center"/>
          </w:tcPr>
          <w:p w14:paraId="3217E7B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100≤Y＜1000</w:t>
            </w:r>
          </w:p>
        </w:tc>
        <w:tc>
          <w:tcPr>
            <w:tcW w:w="1077" w:type="dxa"/>
            <w:tcBorders>
              <w:top w:val="nil"/>
              <w:left w:val="nil"/>
              <w:bottom w:val="single" w:color="auto" w:sz="4" w:space="0"/>
              <w:right w:val="single" w:color="auto" w:sz="4" w:space="0"/>
            </w:tcBorders>
            <w:noWrap/>
            <w:vAlign w:val="center"/>
          </w:tcPr>
          <w:p w14:paraId="1F998BF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509E10AA">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6561CED9">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邮政业</w:t>
            </w:r>
          </w:p>
        </w:tc>
        <w:tc>
          <w:tcPr>
            <w:tcW w:w="1611" w:type="dxa"/>
            <w:tcBorders>
              <w:top w:val="nil"/>
              <w:left w:val="nil"/>
              <w:bottom w:val="single" w:color="auto" w:sz="4" w:space="0"/>
              <w:right w:val="single" w:color="auto" w:sz="4" w:space="0"/>
            </w:tcBorders>
            <w:noWrap/>
            <w:vAlign w:val="center"/>
          </w:tcPr>
          <w:p w14:paraId="4D3E52A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33A274B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5C3B9EB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300≤X＜1000</w:t>
            </w:r>
          </w:p>
        </w:tc>
        <w:tc>
          <w:tcPr>
            <w:tcW w:w="1678" w:type="dxa"/>
            <w:tcBorders>
              <w:top w:val="nil"/>
              <w:left w:val="nil"/>
              <w:bottom w:val="single" w:color="auto" w:sz="4" w:space="0"/>
              <w:right w:val="single" w:color="auto" w:sz="4" w:space="0"/>
            </w:tcBorders>
            <w:noWrap/>
            <w:vAlign w:val="center"/>
          </w:tcPr>
          <w:p w14:paraId="7EACA25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20≤X＜300</w:t>
            </w:r>
          </w:p>
        </w:tc>
        <w:tc>
          <w:tcPr>
            <w:tcW w:w="1077" w:type="dxa"/>
            <w:tcBorders>
              <w:top w:val="nil"/>
              <w:left w:val="nil"/>
              <w:bottom w:val="single" w:color="auto" w:sz="4" w:space="0"/>
              <w:right w:val="single" w:color="auto" w:sz="4" w:space="0"/>
            </w:tcBorders>
            <w:noWrap/>
            <w:vAlign w:val="center"/>
          </w:tcPr>
          <w:p w14:paraId="2C11BA0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X＜20</w:t>
            </w:r>
          </w:p>
        </w:tc>
      </w:tr>
      <w:tr w14:paraId="7CF61CFB">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241B2D00">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793A602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3827945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6BF5DB0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2000≤Y＜30000</w:t>
            </w:r>
          </w:p>
        </w:tc>
        <w:tc>
          <w:tcPr>
            <w:tcW w:w="1678" w:type="dxa"/>
            <w:tcBorders>
              <w:top w:val="nil"/>
              <w:left w:val="nil"/>
              <w:bottom w:val="single" w:color="auto" w:sz="4" w:space="0"/>
              <w:right w:val="single" w:color="auto" w:sz="4" w:space="0"/>
            </w:tcBorders>
            <w:noWrap/>
            <w:vAlign w:val="center"/>
          </w:tcPr>
          <w:p w14:paraId="58E0443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100≤Y＜2000</w:t>
            </w:r>
          </w:p>
        </w:tc>
        <w:tc>
          <w:tcPr>
            <w:tcW w:w="1077" w:type="dxa"/>
            <w:tcBorders>
              <w:top w:val="nil"/>
              <w:left w:val="nil"/>
              <w:bottom w:val="single" w:color="auto" w:sz="4" w:space="0"/>
              <w:right w:val="single" w:color="auto" w:sz="4" w:space="0"/>
            </w:tcBorders>
            <w:noWrap/>
            <w:vAlign w:val="center"/>
          </w:tcPr>
          <w:p w14:paraId="231AAE5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41B790E2">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6057D016">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住宿业</w:t>
            </w:r>
          </w:p>
        </w:tc>
        <w:tc>
          <w:tcPr>
            <w:tcW w:w="1611" w:type="dxa"/>
            <w:tcBorders>
              <w:top w:val="nil"/>
              <w:left w:val="nil"/>
              <w:bottom w:val="single" w:color="auto" w:sz="4" w:space="0"/>
              <w:right w:val="single" w:color="auto" w:sz="4" w:space="0"/>
            </w:tcBorders>
            <w:noWrap/>
            <w:vAlign w:val="center"/>
          </w:tcPr>
          <w:p w14:paraId="34A1815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3C4FDA9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46D6EFA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678" w:type="dxa"/>
            <w:tcBorders>
              <w:top w:val="nil"/>
              <w:left w:val="nil"/>
              <w:bottom w:val="single" w:color="auto" w:sz="4" w:space="0"/>
              <w:right w:val="single" w:color="auto" w:sz="4" w:space="0"/>
            </w:tcBorders>
            <w:noWrap/>
            <w:vAlign w:val="center"/>
          </w:tcPr>
          <w:p w14:paraId="42650C2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5EEA7AC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3BF4B891">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23FDCFBC">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114B46B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1ACB5ED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71D8CDF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2000≤Y＜10000</w:t>
            </w:r>
          </w:p>
        </w:tc>
        <w:tc>
          <w:tcPr>
            <w:tcW w:w="1678" w:type="dxa"/>
            <w:tcBorders>
              <w:top w:val="nil"/>
              <w:left w:val="nil"/>
              <w:bottom w:val="single" w:color="auto" w:sz="4" w:space="0"/>
              <w:right w:val="single" w:color="auto" w:sz="4" w:space="0"/>
            </w:tcBorders>
            <w:noWrap/>
            <w:vAlign w:val="center"/>
          </w:tcPr>
          <w:p w14:paraId="0FD4124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100≤Y＜2000</w:t>
            </w:r>
          </w:p>
        </w:tc>
        <w:tc>
          <w:tcPr>
            <w:tcW w:w="1077" w:type="dxa"/>
            <w:tcBorders>
              <w:top w:val="nil"/>
              <w:left w:val="nil"/>
              <w:bottom w:val="single" w:color="auto" w:sz="4" w:space="0"/>
              <w:right w:val="single" w:color="auto" w:sz="4" w:space="0"/>
            </w:tcBorders>
            <w:noWrap/>
            <w:vAlign w:val="center"/>
          </w:tcPr>
          <w:p w14:paraId="00FFC31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3F0CA7FE">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47062158">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餐饮业</w:t>
            </w:r>
          </w:p>
        </w:tc>
        <w:tc>
          <w:tcPr>
            <w:tcW w:w="1611" w:type="dxa"/>
            <w:tcBorders>
              <w:top w:val="nil"/>
              <w:left w:val="nil"/>
              <w:bottom w:val="single" w:color="auto" w:sz="4" w:space="0"/>
              <w:right w:val="single" w:color="auto" w:sz="4" w:space="0"/>
            </w:tcBorders>
            <w:noWrap/>
            <w:vAlign w:val="center"/>
          </w:tcPr>
          <w:p w14:paraId="2F97268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237E144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6B42122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678" w:type="dxa"/>
            <w:tcBorders>
              <w:top w:val="nil"/>
              <w:left w:val="nil"/>
              <w:bottom w:val="single" w:color="auto" w:sz="4" w:space="0"/>
              <w:right w:val="single" w:color="auto" w:sz="4" w:space="0"/>
            </w:tcBorders>
            <w:noWrap/>
            <w:vAlign w:val="center"/>
          </w:tcPr>
          <w:p w14:paraId="07EFAFA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0D845ED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6A75D6B3">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1E4C95F2">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3C29A0D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44A844E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2599CF6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2000≤Y＜10000</w:t>
            </w:r>
          </w:p>
        </w:tc>
        <w:tc>
          <w:tcPr>
            <w:tcW w:w="1678" w:type="dxa"/>
            <w:tcBorders>
              <w:top w:val="nil"/>
              <w:left w:val="nil"/>
              <w:bottom w:val="single" w:color="auto" w:sz="4" w:space="0"/>
              <w:right w:val="single" w:color="auto" w:sz="4" w:space="0"/>
            </w:tcBorders>
            <w:noWrap/>
            <w:vAlign w:val="center"/>
          </w:tcPr>
          <w:p w14:paraId="6F223FB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100≤Y＜2000</w:t>
            </w:r>
          </w:p>
        </w:tc>
        <w:tc>
          <w:tcPr>
            <w:tcW w:w="1077" w:type="dxa"/>
            <w:tcBorders>
              <w:top w:val="nil"/>
              <w:left w:val="nil"/>
              <w:bottom w:val="single" w:color="auto" w:sz="4" w:space="0"/>
              <w:right w:val="single" w:color="auto" w:sz="4" w:space="0"/>
            </w:tcBorders>
            <w:noWrap/>
            <w:vAlign w:val="center"/>
          </w:tcPr>
          <w:p w14:paraId="78B1463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3CCC57F3">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2EB6CD59">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信息传输业</w:t>
            </w:r>
          </w:p>
        </w:tc>
        <w:tc>
          <w:tcPr>
            <w:tcW w:w="1611" w:type="dxa"/>
            <w:tcBorders>
              <w:top w:val="nil"/>
              <w:left w:val="nil"/>
              <w:bottom w:val="single" w:color="auto" w:sz="4" w:space="0"/>
              <w:right w:val="single" w:color="auto" w:sz="4" w:space="0"/>
            </w:tcBorders>
            <w:noWrap/>
            <w:vAlign w:val="center"/>
          </w:tcPr>
          <w:p w14:paraId="7B87674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041982D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3D890F4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100≤X＜2000</w:t>
            </w:r>
          </w:p>
        </w:tc>
        <w:tc>
          <w:tcPr>
            <w:tcW w:w="1678" w:type="dxa"/>
            <w:tcBorders>
              <w:top w:val="nil"/>
              <w:left w:val="nil"/>
              <w:bottom w:val="single" w:color="auto" w:sz="4" w:space="0"/>
              <w:right w:val="single" w:color="auto" w:sz="4" w:space="0"/>
            </w:tcBorders>
            <w:noWrap/>
            <w:vAlign w:val="center"/>
          </w:tcPr>
          <w:p w14:paraId="2DDAEB9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1A11A10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69B70604">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4F7420BE">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0024242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17EC33A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3EDF24B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1000≤Y＜100000</w:t>
            </w:r>
          </w:p>
        </w:tc>
        <w:tc>
          <w:tcPr>
            <w:tcW w:w="1678" w:type="dxa"/>
            <w:tcBorders>
              <w:top w:val="nil"/>
              <w:left w:val="nil"/>
              <w:bottom w:val="single" w:color="auto" w:sz="4" w:space="0"/>
              <w:right w:val="single" w:color="auto" w:sz="4" w:space="0"/>
            </w:tcBorders>
            <w:noWrap/>
            <w:vAlign w:val="center"/>
          </w:tcPr>
          <w:p w14:paraId="67DFF53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100≤Y＜1000</w:t>
            </w:r>
          </w:p>
        </w:tc>
        <w:tc>
          <w:tcPr>
            <w:tcW w:w="1077" w:type="dxa"/>
            <w:tcBorders>
              <w:top w:val="nil"/>
              <w:left w:val="nil"/>
              <w:bottom w:val="single" w:color="auto" w:sz="4" w:space="0"/>
              <w:right w:val="single" w:color="auto" w:sz="4" w:space="0"/>
            </w:tcBorders>
            <w:noWrap/>
            <w:vAlign w:val="center"/>
          </w:tcPr>
          <w:p w14:paraId="1155C44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748BA972">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6A4CC901">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软件和信息技术服务业</w:t>
            </w:r>
          </w:p>
        </w:tc>
        <w:tc>
          <w:tcPr>
            <w:tcW w:w="1611" w:type="dxa"/>
            <w:tcBorders>
              <w:top w:val="nil"/>
              <w:left w:val="nil"/>
              <w:bottom w:val="single" w:color="auto" w:sz="4" w:space="0"/>
              <w:right w:val="single" w:color="auto" w:sz="4" w:space="0"/>
            </w:tcBorders>
            <w:noWrap/>
            <w:vAlign w:val="center"/>
          </w:tcPr>
          <w:p w14:paraId="6FC40F5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6F00149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4C82304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678" w:type="dxa"/>
            <w:tcBorders>
              <w:top w:val="nil"/>
              <w:left w:val="nil"/>
              <w:bottom w:val="single" w:color="auto" w:sz="4" w:space="0"/>
              <w:right w:val="single" w:color="auto" w:sz="4" w:space="0"/>
            </w:tcBorders>
            <w:noWrap/>
            <w:vAlign w:val="center"/>
          </w:tcPr>
          <w:p w14:paraId="3A9BE93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1758253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692909B5">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50A4A873">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7247242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5B9232A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71B8A37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1000≤Y＜10000</w:t>
            </w:r>
          </w:p>
        </w:tc>
        <w:tc>
          <w:tcPr>
            <w:tcW w:w="1678" w:type="dxa"/>
            <w:tcBorders>
              <w:top w:val="nil"/>
              <w:left w:val="nil"/>
              <w:bottom w:val="single" w:color="auto" w:sz="4" w:space="0"/>
              <w:right w:val="single" w:color="auto" w:sz="4" w:space="0"/>
            </w:tcBorders>
            <w:noWrap/>
            <w:vAlign w:val="center"/>
          </w:tcPr>
          <w:p w14:paraId="253C08D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50≤Y＜1000</w:t>
            </w:r>
          </w:p>
        </w:tc>
        <w:tc>
          <w:tcPr>
            <w:tcW w:w="1077" w:type="dxa"/>
            <w:tcBorders>
              <w:top w:val="nil"/>
              <w:left w:val="nil"/>
              <w:bottom w:val="single" w:color="auto" w:sz="4" w:space="0"/>
              <w:right w:val="single" w:color="auto" w:sz="4" w:space="0"/>
            </w:tcBorders>
            <w:noWrap/>
            <w:vAlign w:val="center"/>
          </w:tcPr>
          <w:p w14:paraId="65E655E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Y＜50</w:t>
            </w:r>
          </w:p>
        </w:tc>
      </w:tr>
      <w:tr w14:paraId="7A304B62">
        <w:tblPrEx>
          <w:tblCellMar>
            <w:top w:w="0" w:type="dxa"/>
            <w:left w:w="108" w:type="dxa"/>
            <w:bottom w:w="0" w:type="dxa"/>
            <w:right w:w="108" w:type="dxa"/>
          </w:tblCellMar>
        </w:tblPrEx>
        <w:trPr>
          <w:trHeight w:val="345"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3CA55637">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房地产开发经营</w:t>
            </w:r>
          </w:p>
        </w:tc>
        <w:tc>
          <w:tcPr>
            <w:tcW w:w="1611" w:type="dxa"/>
            <w:tcBorders>
              <w:top w:val="nil"/>
              <w:left w:val="nil"/>
              <w:bottom w:val="single" w:color="auto" w:sz="4" w:space="0"/>
              <w:right w:val="single" w:color="auto" w:sz="4" w:space="0"/>
            </w:tcBorders>
            <w:noWrap/>
            <w:vAlign w:val="center"/>
          </w:tcPr>
          <w:p w14:paraId="357569B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655196E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4C7002F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1000≤Y＜200000</w:t>
            </w:r>
          </w:p>
        </w:tc>
        <w:tc>
          <w:tcPr>
            <w:tcW w:w="1678" w:type="dxa"/>
            <w:tcBorders>
              <w:top w:val="nil"/>
              <w:left w:val="nil"/>
              <w:bottom w:val="single" w:color="auto" w:sz="4" w:space="0"/>
              <w:right w:val="single" w:color="auto" w:sz="4" w:space="0"/>
            </w:tcBorders>
            <w:noWrap/>
            <w:vAlign w:val="center"/>
          </w:tcPr>
          <w:p w14:paraId="43889CC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100≤X＜1000</w:t>
            </w:r>
          </w:p>
        </w:tc>
        <w:tc>
          <w:tcPr>
            <w:tcW w:w="1077" w:type="dxa"/>
            <w:tcBorders>
              <w:top w:val="nil"/>
              <w:left w:val="nil"/>
              <w:bottom w:val="single" w:color="auto" w:sz="4" w:space="0"/>
              <w:right w:val="single" w:color="auto" w:sz="4" w:space="0"/>
            </w:tcBorders>
            <w:noWrap/>
            <w:vAlign w:val="center"/>
          </w:tcPr>
          <w:p w14:paraId="45744D9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X＜100</w:t>
            </w:r>
          </w:p>
        </w:tc>
      </w:tr>
      <w:tr w14:paraId="3F7CEFA9">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29F28F87">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1007991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资产总额（Z）</w:t>
            </w:r>
          </w:p>
        </w:tc>
        <w:tc>
          <w:tcPr>
            <w:tcW w:w="1063" w:type="dxa"/>
            <w:tcBorders>
              <w:top w:val="nil"/>
              <w:left w:val="nil"/>
              <w:bottom w:val="single" w:color="auto" w:sz="4" w:space="0"/>
              <w:right w:val="single" w:color="auto" w:sz="4" w:space="0"/>
            </w:tcBorders>
            <w:noWrap/>
            <w:vAlign w:val="center"/>
          </w:tcPr>
          <w:p w14:paraId="418C808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01EAE15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5000≤Z＜10000</w:t>
            </w:r>
          </w:p>
        </w:tc>
        <w:tc>
          <w:tcPr>
            <w:tcW w:w="1678" w:type="dxa"/>
            <w:tcBorders>
              <w:top w:val="nil"/>
              <w:left w:val="nil"/>
              <w:bottom w:val="single" w:color="auto" w:sz="4" w:space="0"/>
              <w:right w:val="single" w:color="auto" w:sz="4" w:space="0"/>
            </w:tcBorders>
            <w:noWrap/>
            <w:vAlign w:val="center"/>
          </w:tcPr>
          <w:p w14:paraId="5A4D7C1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2000≤Y＜5000</w:t>
            </w:r>
          </w:p>
        </w:tc>
        <w:tc>
          <w:tcPr>
            <w:tcW w:w="1077" w:type="dxa"/>
            <w:tcBorders>
              <w:top w:val="nil"/>
              <w:left w:val="nil"/>
              <w:bottom w:val="single" w:color="auto" w:sz="4" w:space="0"/>
              <w:right w:val="single" w:color="auto" w:sz="4" w:space="0"/>
            </w:tcBorders>
            <w:noWrap/>
            <w:vAlign w:val="center"/>
          </w:tcPr>
          <w:p w14:paraId="32CB553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Y＜2000</w:t>
            </w:r>
          </w:p>
        </w:tc>
      </w:tr>
      <w:tr w14:paraId="5606D266">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7AAD3124">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物业管理</w:t>
            </w:r>
          </w:p>
        </w:tc>
        <w:tc>
          <w:tcPr>
            <w:tcW w:w="1611" w:type="dxa"/>
            <w:tcBorders>
              <w:top w:val="nil"/>
              <w:left w:val="nil"/>
              <w:bottom w:val="single" w:color="auto" w:sz="4" w:space="0"/>
              <w:right w:val="single" w:color="auto" w:sz="4" w:space="0"/>
            </w:tcBorders>
            <w:noWrap/>
            <w:vAlign w:val="center"/>
          </w:tcPr>
          <w:p w14:paraId="3BC54FD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1BBF7DF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7D2E8B1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300≤X＜1000</w:t>
            </w:r>
          </w:p>
        </w:tc>
        <w:tc>
          <w:tcPr>
            <w:tcW w:w="1678" w:type="dxa"/>
            <w:tcBorders>
              <w:top w:val="nil"/>
              <w:left w:val="nil"/>
              <w:bottom w:val="single" w:color="auto" w:sz="4" w:space="0"/>
              <w:right w:val="single" w:color="auto" w:sz="4" w:space="0"/>
            </w:tcBorders>
            <w:noWrap/>
            <w:vAlign w:val="center"/>
          </w:tcPr>
          <w:p w14:paraId="1EF085D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077" w:type="dxa"/>
            <w:tcBorders>
              <w:top w:val="nil"/>
              <w:left w:val="nil"/>
              <w:bottom w:val="single" w:color="auto" w:sz="4" w:space="0"/>
              <w:right w:val="single" w:color="auto" w:sz="4" w:space="0"/>
            </w:tcBorders>
            <w:noWrap/>
            <w:vAlign w:val="center"/>
          </w:tcPr>
          <w:p w14:paraId="2E592E0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X＜100</w:t>
            </w:r>
          </w:p>
        </w:tc>
      </w:tr>
      <w:tr w14:paraId="31F8DF81">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6F9A89A6">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57666C9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35A84F1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4C79D91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1000≤Y＜5000</w:t>
            </w:r>
          </w:p>
        </w:tc>
        <w:tc>
          <w:tcPr>
            <w:tcW w:w="1678" w:type="dxa"/>
            <w:tcBorders>
              <w:top w:val="nil"/>
              <w:left w:val="nil"/>
              <w:bottom w:val="single" w:color="auto" w:sz="4" w:space="0"/>
              <w:right w:val="single" w:color="auto" w:sz="4" w:space="0"/>
            </w:tcBorders>
            <w:noWrap/>
            <w:vAlign w:val="center"/>
          </w:tcPr>
          <w:p w14:paraId="705D17F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500≤Y＜1000</w:t>
            </w:r>
          </w:p>
        </w:tc>
        <w:tc>
          <w:tcPr>
            <w:tcW w:w="1077" w:type="dxa"/>
            <w:tcBorders>
              <w:top w:val="nil"/>
              <w:left w:val="nil"/>
              <w:bottom w:val="single" w:color="auto" w:sz="4" w:space="0"/>
              <w:right w:val="single" w:color="auto" w:sz="4" w:space="0"/>
            </w:tcBorders>
            <w:noWrap/>
            <w:vAlign w:val="center"/>
          </w:tcPr>
          <w:p w14:paraId="00DB413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Y＜500</w:t>
            </w:r>
          </w:p>
        </w:tc>
      </w:tr>
      <w:tr w14:paraId="7089A561">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2C715F38">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租赁和商务服务业</w:t>
            </w:r>
          </w:p>
        </w:tc>
        <w:tc>
          <w:tcPr>
            <w:tcW w:w="1611" w:type="dxa"/>
            <w:tcBorders>
              <w:top w:val="nil"/>
              <w:left w:val="nil"/>
              <w:bottom w:val="single" w:color="auto" w:sz="4" w:space="0"/>
              <w:right w:val="single" w:color="auto" w:sz="4" w:space="0"/>
            </w:tcBorders>
            <w:noWrap/>
            <w:vAlign w:val="center"/>
          </w:tcPr>
          <w:p w14:paraId="511C67C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4086D8D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132B5C5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678" w:type="dxa"/>
            <w:tcBorders>
              <w:top w:val="nil"/>
              <w:left w:val="nil"/>
              <w:bottom w:val="single" w:color="auto" w:sz="4" w:space="0"/>
              <w:right w:val="single" w:color="auto" w:sz="4" w:space="0"/>
            </w:tcBorders>
            <w:noWrap/>
            <w:vAlign w:val="center"/>
          </w:tcPr>
          <w:p w14:paraId="46A7517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2ABF7FD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6E9A4F0C">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2F1B0995">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1A6E7E4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资产总额（Z）</w:t>
            </w:r>
          </w:p>
        </w:tc>
        <w:tc>
          <w:tcPr>
            <w:tcW w:w="1063" w:type="dxa"/>
            <w:tcBorders>
              <w:top w:val="nil"/>
              <w:left w:val="nil"/>
              <w:bottom w:val="single" w:color="auto" w:sz="4" w:space="0"/>
              <w:right w:val="single" w:color="auto" w:sz="4" w:space="0"/>
            </w:tcBorders>
            <w:noWrap/>
            <w:vAlign w:val="center"/>
          </w:tcPr>
          <w:p w14:paraId="3351FC6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0BA7A04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8000≤Z＜120000</w:t>
            </w:r>
          </w:p>
        </w:tc>
        <w:tc>
          <w:tcPr>
            <w:tcW w:w="1678" w:type="dxa"/>
            <w:tcBorders>
              <w:top w:val="nil"/>
              <w:left w:val="nil"/>
              <w:bottom w:val="single" w:color="auto" w:sz="4" w:space="0"/>
              <w:right w:val="single" w:color="auto" w:sz="4" w:space="0"/>
            </w:tcBorders>
            <w:noWrap/>
            <w:vAlign w:val="center"/>
          </w:tcPr>
          <w:p w14:paraId="53E4292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100≤Z＜8000</w:t>
            </w:r>
          </w:p>
        </w:tc>
        <w:tc>
          <w:tcPr>
            <w:tcW w:w="1077" w:type="dxa"/>
            <w:tcBorders>
              <w:top w:val="nil"/>
              <w:left w:val="nil"/>
              <w:bottom w:val="single" w:color="auto" w:sz="4" w:space="0"/>
              <w:right w:val="single" w:color="auto" w:sz="4" w:space="0"/>
            </w:tcBorders>
            <w:noWrap/>
            <w:vAlign w:val="center"/>
          </w:tcPr>
          <w:p w14:paraId="76AB40D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7399C215">
        <w:tblPrEx>
          <w:tblCellMar>
            <w:top w:w="0" w:type="dxa"/>
            <w:left w:w="108" w:type="dxa"/>
            <w:bottom w:w="0" w:type="dxa"/>
            <w:right w:w="108" w:type="dxa"/>
          </w:tblCellMar>
        </w:tblPrEx>
        <w:trPr>
          <w:trHeight w:val="365" w:hRule="atLeast"/>
          <w:jc w:val="center"/>
        </w:trPr>
        <w:tc>
          <w:tcPr>
            <w:tcW w:w="1981" w:type="dxa"/>
            <w:tcBorders>
              <w:top w:val="nil"/>
              <w:left w:val="single" w:color="auto" w:sz="4" w:space="0"/>
              <w:bottom w:val="single" w:color="auto" w:sz="4" w:space="0"/>
              <w:right w:val="single" w:color="auto" w:sz="4" w:space="0"/>
            </w:tcBorders>
            <w:noWrap/>
            <w:vAlign w:val="center"/>
          </w:tcPr>
          <w:p w14:paraId="7194283D">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其他未列明行业</w:t>
            </w:r>
          </w:p>
        </w:tc>
        <w:tc>
          <w:tcPr>
            <w:tcW w:w="1611" w:type="dxa"/>
            <w:tcBorders>
              <w:top w:val="nil"/>
              <w:left w:val="nil"/>
              <w:bottom w:val="single" w:color="auto" w:sz="4" w:space="0"/>
              <w:right w:val="single" w:color="auto" w:sz="4" w:space="0"/>
            </w:tcBorders>
            <w:noWrap/>
            <w:vAlign w:val="center"/>
          </w:tcPr>
          <w:p w14:paraId="5C1994A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4E4D29A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6B9CABC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678" w:type="dxa"/>
            <w:tcBorders>
              <w:top w:val="nil"/>
              <w:left w:val="nil"/>
              <w:bottom w:val="single" w:color="auto" w:sz="4" w:space="0"/>
              <w:right w:val="single" w:color="auto" w:sz="4" w:space="0"/>
            </w:tcBorders>
            <w:noWrap/>
            <w:vAlign w:val="center"/>
          </w:tcPr>
          <w:p w14:paraId="67DD8A9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039B8CF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bl>
    <w:p w14:paraId="76AC5E46">
      <w:pPr>
        <w:widowControl/>
        <w:shd w:val="clear" w:color="auto" w:fill="FFFFFF"/>
        <w:spacing w:after="240" w:line="360" w:lineRule="atLeast"/>
        <w:ind w:firstLine="840" w:firstLineChars="35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1053CF31">
      <w:pPr>
        <w:tabs>
          <w:tab w:val="left" w:pos="5668"/>
        </w:tabs>
        <w:snapToGrid/>
        <w:spacing w:before="0" w:after="0"/>
        <w:ind w:right="0" w:rightChars="0"/>
        <w:jc w:val="left"/>
        <w:rPr>
          <w:rFonts w:hint="eastAsia" w:asciiTheme="minorEastAsia" w:hAnsiTheme="minorEastAsia" w:eastAsiaTheme="minorEastAsia" w:cstheme="minorEastAsia"/>
          <w:color w:val="auto"/>
          <w:lang w:val="en-US" w:eastAsia="zh-CN"/>
        </w:rPr>
        <w:sectPr>
          <w:footerReference r:id="rId12" w:type="default"/>
          <w:pgSz w:w="11906" w:h="16838"/>
          <w:pgMar w:top="1440" w:right="1800" w:bottom="1440" w:left="1800" w:header="0" w:footer="777" w:gutter="0"/>
          <w:pgNumType w:fmt="decimal"/>
          <w:cols w:space="720" w:num="1"/>
          <w:docGrid w:type="lines" w:linePitch="312" w:charSpace="0"/>
        </w:sectPr>
      </w:pPr>
    </w:p>
    <w:p w14:paraId="014063EC">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残疾人福利性单位声明函</w:t>
      </w:r>
    </w:p>
    <w:p w14:paraId="25E380EA">
      <w:pPr>
        <w:spacing w:line="360" w:lineRule="auto"/>
        <w:ind w:firstLine="504"/>
        <w:contextualSpacing/>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highlight w:val="none"/>
        </w:rPr>
        <w:t>〔2017〕 141</w:t>
      </w:r>
      <w:r>
        <w:rPr>
          <w:rFonts w:hint="eastAsia" w:asciiTheme="minorEastAsia" w:hAnsiTheme="minorEastAsia" w:eastAsiaTheme="minorEastAsia" w:cstheme="minorEastAsia"/>
          <w:color w:val="auto"/>
          <w:spacing w:val="6"/>
          <w:sz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highlight w:val="none"/>
          <w:u w:val="single"/>
        </w:rPr>
        <w:t xml:space="preserve">     </w:t>
      </w:r>
      <w:r>
        <w:rPr>
          <w:rFonts w:hint="eastAsia" w:asciiTheme="minorEastAsia" w:hAnsiTheme="minorEastAsia" w:eastAsiaTheme="minorEastAsia" w:cstheme="minorEastAsia"/>
          <w:color w:val="auto"/>
          <w:spacing w:val="6"/>
          <w:sz w:val="24"/>
          <w:highlight w:val="none"/>
        </w:rPr>
        <w:t>单位的</w:t>
      </w:r>
      <w:r>
        <w:rPr>
          <w:rFonts w:hint="eastAsia" w:asciiTheme="minorEastAsia" w:hAnsiTheme="minorEastAsia" w:eastAsiaTheme="minorEastAsia" w:cstheme="minorEastAsia"/>
          <w:color w:val="auto"/>
          <w:spacing w:val="6"/>
          <w:sz w:val="24"/>
          <w:highlight w:val="none"/>
          <w:u w:val="single"/>
        </w:rPr>
        <w:t xml:space="preserve">     </w:t>
      </w:r>
      <w:r>
        <w:rPr>
          <w:rFonts w:hint="eastAsia" w:asciiTheme="minorEastAsia" w:hAnsiTheme="minorEastAsia" w:eastAsiaTheme="minorEastAsia" w:cstheme="minorEastAsia"/>
          <w:color w:val="auto"/>
          <w:spacing w:val="6"/>
          <w:sz w:val="24"/>
          <w:highlight w:val="none"/>
        </w:rPr>
        <w:t>项目采购活动提供本单位制造的货物（由本单位承担工程/提供服务），或者提供其他残</w:t>
      </w:r>
      <w:r>
        <w:rPr>
          <w:rFonts w:hint="eastAsia" w:asciiTheme="minorEastAsia" w:hAnsiTheme="minorEastAsia" w:eastAsiaTheme="minorEastAsia" w:cstheme="minorEastAsia"/>
          <w:color w:val="auto"/>
          <w:spacing w:val="-6"/>
          <w:sz w:val="24"/>
          <w:highlight w:val="none"/>
        </w:rPr>
        <w:t>疾人福利性单位制造的货物（不包括使用非残疾人福利性单位注册商标的货物）。</w:t>
      </w:r>
    </w:p>
    <w:p w14:paraId="332A68A9">
      <w:pPr>
        <w:spacing w:line="360" w:lineRule="auto"/>
        <w:ind w:firstLine="504"/>
        <w:contextualSpacing/>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本单位对上述声明的真实性负责。如有虚假，将依法承担相应责任。</w:t>
      </w:r>
    </w:p>
    <w:p w14:paraId="7A4BC5E4">
      <w:pPr>
        <w:spacing w:line="360" w:lineRule="auto"/>
        <w:ind w:firstLine="504"/>
        <w:contextualSpacing/>
        <w:rPr>
          <w:rFonts w:hint="eastAsia" w:asciiTheme="minorEastAsia" w:hAnsiTheme="minorEastAsia" w:eastAsiaTheme="minorEastAsia" w:cstheme="minorEastAsia"/>
          <w:color w:val="auto"/>
          <w:spacing w:val="6"/>
          <w:sz w:val="24"/>
          <w:highlight w:val="none"/>
        </w:rPr>
      </w:pPr>
    </w:p>
    <w:p w14:paraId="7D77FBAC">
      <w:pPr>
        <w:spacing w:line="360" w:lineRule="auto"/>
        <w:ind w:firstLine="504"/>
        <w:contextualSpacing/>
        <w:rPr>
          <w:rFonts w:hint="eastAsia" w:asciiTheme="minorEastAsia" w:hAnsiTheme="minorEastAsia" w:eastAsiaTheme="minorEastAsia" w:cstheme="minorEastAsia"/>
          <w:color w:val="auto"/>
          <w:spacing w:val="6"/>
          <w:sz w:val="24"/>
          <w:highlight w:val="none"/>
        </w:rPr>
      </w:pPr>
    </w:p>
    <w:p w14:paraId="26E0327D">
      <w:pPr>
        <w:keepNext w:val="0"/>
        <w:keepLines w:val="0"/>
        <w:pageBreakBefore w:val="0"/>
        <w:widowControl w:val="0"/>
        <w:tabs>
          <w:tab w:val="left" w:pos="4860"/>
          <w:tab w:val="left" w:pos="8200"/>
        </w:tabs>
        <w:kinsoku/>
        <w:wordWrap/>
        <w:overflowPunct/>
        <w:topLinePunct w:val="0"/>
        <w:autoSpaceDE/>
        <w:autoSpaceDN/>
        <w:bidi w:val="0"/>
        <w:adjustRightInd/>
        <w:snapToGrid w:val="0"/>
        <w:spacing w:line="480" w:lineRule="auto"/>
        <w:ind w:right="-314" w:rightChars="0" w:firstLine="505"/>
        <w:contextualSpacing/>
        <w:jc w:val="center"/>
        <w:textAlignment w:val="auto"/>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单位名称</w:t>
      </w:r>
      <w:r>
        <w:rPr>
          <w:rFonts w:hint="eastAsia" w:asciiTheme="minorEastAsia" w:hAnsiTheme="minorEastAsia" w:eastAsiaTheme="minorEastAsia" w:cstheme="minorEastAsia"/>
          <w:b/>
          <w:bCs/>
          <w:color w:val="auto"/>
          <w:spacing w:val="6"/>
          <w:sz w:val="24"/>
          <w:highlight w:val="none"/>
        </w:rPr>
        <w:t>（公章或CA电子签章）</w:t>
      </w:r>
      <w:r>
        <w:rPr>
          <w:rFonts w:hint="eastAsia" w:asciiTheme="minorEastAsia" w:hAnsiTheme="minorEastAsia" w:eastAsiaTheme="minorEastAsia" w:cstheme="minorEastAsia"/>
          <w:color w:val="auto"/>
          <w:spacing w:val="6"/>
          <w:sz w:val="24"/>
          <w:highlight w:val="none"/>
        </w:rPr>
        <w:t>：</w:t>
      </w:r>
      <w:r>
        <w:rPr>
          <w:rFonts w:hint="eastAsia" w:asciiTheme="minorEastAsia" w:hAnsiTheme="minorEastAsia" w:eastAsiaTheme="minorEastAsia" w:cstheme="minorEastAsia"/>
          <w:color w:val="auto"/>
          <w:sz w:val="24"/>
          <w:u w:val="single"/>
        </w:rPr>
        <w:t xml:space="preserve">               </w:t>
      </w:r>
    </w:p>
    <w:p w14:paraId="16C1F894">
      <w:pPr>
        <w:keepNext w:val="0"/>
        <w:keepLines w:val="0"/>
        <w:pageBreakBefore w:val="0"/>
        <w:widowControl w:val="0"/>
        <w:tabs>
          <w:tab w:val="left" w:pos="4860"/>
        </w:tabs>
        <w:kinsoku/>
        <w:wordWrap/>
        <w:overflowPunct/>
        <w:topLinePunct w:val="0"/>
        <w:autoSpaceDE/>
        <w:autoSpaceDN/>
        <w:bidi w:val="0"/>
        <w:adjustRightInd/>
        <w:snapToGrid w:val="0"/>
        <w:spacing w:line="480" w:lineRule="auto"/>
        <w:ind w:right="-94" w:rightChars="0" w:firstLine="505"/>
        <w:contextualSpacing/>
        <w:jc w:val="right"/>
        <w:textAlignment w:val="auto"/>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日  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59076325">
      <w:pPr>
        <w:spacing w:line="360" w:lineRule="auto"/>
        <w:contextualSpacing/>
        <w:rPr>
          <w:rFonts w:hint="eastAsia" w:asciiTheme="minorEastAsia" w:hAnsiTheme="minorEastAsia" w:eastAsiaTheme="minorEastAsia" w:cstheme="minorEastAsia"/>
          <w:color w:val="auto"/>
          <w:sz w:val="24"/>
          <w:highlight w:val="none"/>
        </w:rPr>
      </w:pPr>
    </w:p>
    <w:p w14:paraId="7A4F597F">
      <w:pPr>
        <w:spacing w:line="360" w:lineRule="auto"/>
        <w:contextualSpacing/>
        <w:rPr>
          <w:rFonts w:hint="eastAsia" w:asciiTheme="minorEastAsia" w:hAnsiTheme="minorEastAsia" w:eastAsiaTheme="minorEastAsia" w:cstheme="minorEastAsia"/>
          <w:color w:val="auto"/>
          <w:sz w:val="24"/>
          <w:highlight w:val="none"/>
        </w:rPr>
      </w:pPr>
    </w:p>
    <w:p w14:paraId="5D1BA79A">
      <w:pPr>
        <w:spacing w:line="360" w:lineRule="auto"/>
        <w:contextualSpacing/>
        <w:rPr>
          <w:rFonts w:hint="eastAsia" w:asciiTheme="minorEastAsia" w:hAnsiTheme="minorEastAsia" w:eastAsiaTheme="minorEastAsia" w:cstheme="minorEastAsia"/>
          <w:color w:val="auto"/>
          <w:sz w:val="24"/>
          <w:highlight w:val="none"/>
        </w:rPr>
      </w:pPr>
    </w:p>
    <w:p w14:paraId="3C6EDE2D">
      <w:pPr>
        <w:spacing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0BD76365">
      <w:pPr>
        <w:pStyle w:val="19"/>
        <w:spacing w:line="360" w:lineRule="auto"/>
        <w:rPr>
          <w:rFonts w:hint="eastAsia" w:asciiTheme="minorEastAsia" w:hAnsiTheme="minorEastAsia" w:eastAsiaTheme="minorEastAsia" w:cstheme="minorEastAsia"/>
          <w:color w:val="auto"/>
          <w:lang w:val="en-US" w:eastAsia="zh-CN"/>
        </w:rPr>
        <w:sectPr>
          <w:pgSz w:w="11906" w:h="16838"/>
          <w:pgMar w:top="1440" w:right="1800" w:bottom="1440" w:left="1800" w:header="0" w:footer="777" w:gutter="0"/>
          <w:pgNumType w:fmt="decimal"/>
          <w:cols w:space="720" w:num="1"/>
          <w:docGrid w:type="lines" w:linePitch="312" w:charSpace="0"/>
        </w:sectPr>
      </w:pPr>
    </w:p>
    <w:p w14:paraId="51184DAA">
      <w:pPr>
        <w:pStyle w:val="9"/>
        <w:spacing w:line="218" w:lineRule="auto"/>
        <w:ind w:left="1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3"/>
          <w:sz w:val="24"/>
          <w:szCs w:val="24"/>
        </w:rPr>
        <w:t>关于符合本国产品标准的声明函格式：</w:t>
      </w:r>
    </w:p>
    <w:p w14:paraId="34F8DE5B">
      <w:pPr>
        <w:spacing w:line="283" w:lineRule="auto"/>
        <w:rPr>
          <w:rFonts w:hint="eastAsia" w:asciiTheme="minorEastAsia" w:hAnsiTheme="minorEastAsia" w:eastAsiaTheme="minorEastAsia" w:cstheme="minorEastAsia"/>
          <w:color w:val="auto"/>
          <w:sz w:val="21"/>
        </w:rPr>
      </w:pPr>
    </w:p>
    <w:p w14:paraId="1AF25D1B">
      <w:pPr>
        <w:pStyle w:val="9"/>
        <w:spacing w:before="78" w:line="219" w:lineRule="auto"/>
        <w:jc w:val="center"/>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bCs/>
          <w:color w:val="auto"/>
          <w:spacing w:val="-3"/>
          <w:sz w:val="32"/>
          <w:szCs w:val="32"/>
        </w:rPr>
        <w:t>关于符合本国产品标准的声明函</w:t>
      </w:r>
    </w:p>
    <w:p w14:paraId="61E3911E">
      <w:pPr>
        <w:pStyle w:val="9"/>
        <w:spacing w:before="298" w:line="378" w:lineRule="auto"/>
        <w:ind w:left="165" w:firstLine="4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本公司（单位）郑重声明，根据《国务院办公厅关于在政府采购中实施本国产品标准及相关政策的通知》</w:t>
      </w:r>
      <w:r>
        <w:rPr>
          <w:rFonts w:hint="eastAsia" w:asciiTheme="minorEastAsia" w:hAnsiTheme="minorEastAsia" w:eastAsiaTheme="minorEastAsia" w:cstheme="minorEastAsia"/>
          <w:color w:val="auto"/>
          <w:spacing w:val="3"/>
          <w:sz w:val="24"/>
          <w:szCs w:val="24"/>
        </w:rPr>
        <w:t xml:space="preserve"> </w:t>
      </w:r>
      <w:r>
        <w:rPr>
          <w:rFonts w:hint="eastAsia" w:asciiTheme="minorEastAsia" w:hAnsiTheme="minorEastAsia" w:eastAsiaTheme="minorEastAsia" w:cstheme="minorEastAsia"/>
          <w:color w:val="auto"/>
          <w:spacing w:val="8"/>
          <w:sz w:val="24"/>
          <w:szCs w:val="24"/>
        </w:rPr>
        <w:t>（国办发〔2025〕34</w:t>
      </w:r>
      <w:r>
        <w:rPr>
          <w:rFonts w:hint="eastAsia" w:asciiTheme="minorEastAsia" w:hAnsiTheme="minorEastAsia" w:eastAsiaTheme="minorEastAsia" w:cstheme="minorEastAsia"/>
          <w:color w:val="auto"/>
          <w:spacing w:val="-17"/>
          <w:sz w:val="24"/>
          <w:szCs w:val="24"/>
        </w:rPr>
        <w:t xml:space="preserve"> </w:t>
      </w:r>
      <w:r>
        <w:rPr>
          <w:rFonts w:hint="eastAsia" w:asciiTheme="minorEastAsia" w:hAnsiTheme="minorEastAsia" w:eastAsiaTheme="minorEastAsia" w:cstheme="minorEastAsia"/>
          <w:color w:val="auto"/>
          <w:spacing w:val="8"/>
          <w:sz w:val="24"/>
          <w:szCs w:val="24"/>
        </w:rPr>
        <w:t>号）的规定，本公司（单位）提供的以下产品属于本国产品。具体情况如下：</w:t>
      </w:r>
    </w:p>
    <w:p w14:paraId="76743DBC">
      <w:pPr>
        <w:pStyle w:val="9"/>
        <w:spacing w:before="61" w:line="377" w:lineRule="auto"/>
        <w:ind w:left="6" w:right="92" w:firstLine="43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1.</w:t>
      </w:r>
      <w:r>
        <w:rPr>
          <w:rFonts w:hint="eastAsia" w:asciiTheme="minorEastAsia" w:hAnsiTheme="minorEastAsia" w:eastAsiaTheme="minorEastAsia" w:cstheme="minorEastAsia"/>
          <w:color w:val="auto"/>
          <w:spacing w:val="5"/>
          <w:sz w:val="24"/>
          <w:szCs w:val="24"/>
          <w:u w:val="single" w:color="auto"/>
        </w:rPr>
        <w:t xml:space="preserve">    （产品名称</w:t>
      </w:r>
      <w:r>
        <w:rPr>
          <w:rFonts w:hint="eastAsia" w:asciiTheme="minorEastAsia" w:hAnsiTheme="minorEastAsia" w:eastAsiaTheme="minorEastAsia" w:cstheme="minorEastAsia"/>
          <w:color w:val="auto"/>
          <w:spacing w:val="-18"/>
          <w:sz w:val="24"/>
          <w:szCs w:val="24"/>
          <w:u w:val="single" w:color="auto"/>
        </w:rPr>
        <w:t xml:space="preserve"> </w:t>
      </w:r>
      <w:r>
        <w:rPr>
          <w:rFonts w:hint="eastAsia" w:asciiTheme="minorEastAsia" w:hAnsiTheme="minorEastAsia" w:eastAsiaTheme="minorEastAsia" w:cstheme="minorEastAsia"/>
          <w:color w:val="auto"/>
          <w:spacing w:val="5"/>
          <w:sz w:val="24"/>
          <w:szCs w:val="24"/>
          <w:u w:val="single" w:color="auto"/>
        </w:rPr>
        <w:t>1</w:t>
      </w:r>
      <w:r>
        <w:rPr>
          <w:rFonts w:hint="eastAsia" w:asciiTheme="minorEastAsia" w:hAnsiTheme="minorEastAsia" w:eastAsiaTheme="minorEastAsia" w:cstheme="minorEastAsia"/>
          <w:color w:val="auto"/>
          <w:spacing w:val="1"/>
          <w:sz w:val="24"/>
          <w:szCs w:val="24"/>
          <w:u w:val="single" w:color="auto"/>
        </w:rPr>
        <w:t>）</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73"/>
          <w:sz w:val="24"/>
          <w:szCs w:val="24"/>
        </w:rPr>
        <w:t xml:space="preserve"> </w:t>
      </w: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pacing w:val="5"/>
          <w:sz w:val="24"/>
          <w:szCs w:val="24"/>
        </w:rPr>
        <w:t xml:space="preserve">生产厂为 </w:t>
      </w:r>
      <w:r>
        <w:rPr>
          <w:rFonts w:hint="eastAsia" w:asciiTheme="minorEastAsia" w:hAnsiTheme="minorEastAsia" w:eastAsiaTheme="minorEastAsia" w:cstheme="minorEastAsia"/>
          <w:color w:val="auto"/>
          <w:spacing w:val="5"/>
          <w:sz w:val="24"/>
          <w:szCs w:val="24"/>
          <w:u w:val="single" w:color="auto"/>
        </w:rPr>
        <w:t xml:space="preserve">    （厂名</w:t>
      </w:r>
      <w:r>
        <w:rPr>
          <w:rFonts w:hint="eastAsia" w:asciiTheme="minorEastAsia" w:hAnsiTheme="minorEastAsia" w:eastAsiaTheme="minorEastAsia" w:cstheme="minorEastAsia"/>
          <w:color w:val="auto"/>
          <w:spacing w:val="1"/>
          <w:sz w:val="24"/>
          <w:szCs w:val="24"/>
          <w:u w:val="single" w:color="auto"/>
        </w:rPr>
        <w:t>）</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73"/>
          <w:sz w:val="24"/>
          <w:szCs w:val="24"/>
        </w:rPr>
        <w:t xml:space="preserve"> </w:t>
      </w: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pacing w:val="5"/>
          <w:sz w:val="24"/>
          <w:szCs w:val="24"/>
        </w:rPr>
        <w:t>厂址为</w:t>
      </w:r>
      <w:r>
        <w:rPr>
          <w:rFonts w:hint="eastAsia" w:asciiTheme="minorEastAsia" w:hAnsiTheme="minorEastAsia" w:eastAsiaTheme="minorEastAsia" w:cstheme="minorEastAsia"/>
          <w:color w:val="auto"/>
          <w:spacing w:val="5"/>
          <w:sz w:val="24"/>
          <w:szCs w:val="24"/>
          <w:u w:val="single" w:color="auto"/>
        </w:rPr>
        <w:t xml:space="preserve">    （生产厂址）</w:t>
      </w:r>
      <w:r>
        <w:rPr>
          <w:rFonts w:hint="eastAsia" w:asciiTheme="minorEastAsia" w:hAnsiTheme="minorEastAsia" w:eastAsiaTheme="minorEastAsia" w:cstheme="minorEastAsia"/>
          <w:color w:val="auto"/>
          <w:spacing w:val="9"/>
          <w:sz w:val="24"/>
          <w:szCs w:val="24"/>
          <w:u w:val="single" w:color="auto"/>
        </w:rPr>
        <w:t xml:space="preserve">   </w:t>
      </w:r>
      <w:r>
        <w:rPr>
          <w:rFonts w:hint="eastAsia" w:asciiTheme="minorEastAsia" w:hAnsiTheme="minorEastAsia" w:eastAsiaTheme="minorEastAsia" w:cstheme="minorEastAsia"/>
          <w:color w:val="auto"/>
          <w:spacing w:val="-71"/>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pacing w:val="5"/>
          <w:sz w:val="24"/>
          <w:szCs w:val="24"/>
          <w:u w:val="single" w:color="auto"/>
        </w:rPr>
        <w:t>（产品名称</w:t>
      </w:r>
      <w:r>
        <w:rPr>
          <w:rFonts w:hint="eastAsia" w:asciiTheme="minorEastAsia" w:hAnsiTheme="minorEastAsia" w:eastAsiaTheme="minorEastAsia" w:cstheme="minorEastAsia"/>
          <w:color w:val="auto"/>
          <w:spacing w:val="7"/>
          <w:sz w:val="24"/>
          <w:szCs w:val="24"/>
          <w:u w:val="single" w:color="auto"/>
        </w:rPr>
        <w:t>1）</w:t>
      </w:r>
      <w:r>
        <w:rPr>
          <w:rFonts w:hint="eastAsia" w:asciiTheme="minorEastAsia" w:hAnsiTheme="minorEastAsia" w:eastAsiaTheme="minorEastAsia" w:cstheme="minorEastAsia"/>
          <w:color w:val="auto"/>
          <w:spacing w:val="7"/>
          <w:sz w:val="24"/>
          <w:szCs w:val="24"/>
        </w:rPr>
        <w:t>的中国境内生产的组件成本占比≥</w:t>
      </w:r>
      <w:r>
        <w:rPr>
          <w:rFonts w:hint="eastAsia" w:asciiTheme="minorEastAsia" w:hAnsiTheme="minorEastAsia" w:eastAsiaTheme="minorEastAsia" w:cstheme="minorEastAsia"/>
          <w:color w:val="auto"/>
          <w:spacing w:val="7"/>
          <w:sz w:val="24"/>
          <w:szCs w:val="24"/>
          <w:u w:val="single" w:color="auto"/>
        </w:rPr>
        <w:t xml:space="preserve">   （规定比例）   </w:t>
      </w:r>
      <w:r>
        <w:rPr>
          <w:rFonts w:hint="eastAsia" w:asciiTheme="minorEastAsia" w:hAnsiTheme="minorEastAsia" w:eastAsiaTheme="minorEastAsia" w:cstheme="minorEastAsia"/>
          <w:color w:val="auto"/>
          <w:spacing w:val="-71"/>
          <w:sz w:val="24"/>
          <w:szCs w:val="24"/>
        </w:rPr>
        <w:t xml:space="preserve"> </w:t>
      </w:r>
      <w:r>
        <w:rPr>
          <w:rFonts w:hint="eastAsia" w:asciiTheme="minorEastAsia" w:hAnsiTheme="minorEastAsia" w:eastAsiaTheme="minorEastAsia" w:cstheme="minorEastAsia"/>
          <w:color w:val="auto"/>
          <w:spacing w:val="6"/>
          <w:sz w:val="24"/>
          <w:szCs w:val="24"/>
        </w:rPr>
        <w:t>。</w:t>
      </w:r>
      <w:r>
        <w:rPr>
          <w:rFonts w:hint="eastAsia" w:asciiTheme="minorEastAsia" w:hAnsiTheme="minorEastAsia" w:eastAsiaTheme="minorEastAsia" w:cstheme="minorEastAsia"/>
          <w:color w:val="auto"/>
          <w:spacing w:val="6"/>
          <w:sz w:val="24"/>
          <w:szCs w:val="24"/>
          <w:u w:val="single" w:color="auto"/>
        </w:rPr>
        <w:t xml:space="preserve">    （产品名称</w:t>
      </w:r>
      <w:r>
        <w:rPr>
          <w:rFonts w:hint="eastAsia" w:asciiTheme="minorEastAsia" w:hAnsiTheme="minorEastAsia" w:eastAsiaTheme="minorEastAsia" w:cstheme="minorEastAsia"/>
          <w:color w:val="auto"/>
          <w:spacing w:val="-24"/>
          <w:sz w:val="24"/>
          <w:szCs w:val="24"/>
          <w:u w:val="single" w:color="auto"/>
        </w:rPr>
        <w:t xml:space="preserve"> </w:t>
      </w:r>
      <w:r>
        <w:rPr>
          <w:rFonts w:hint="eastAsia" w:asciiTheme="minorEastAsia" w:hAnsiTheme="minorEastAsia" w:eastAsiaTheme="minorEastAsia" w:cstheme="minorEastAsia"/>
          <w:color w:val="auto"/>
          <w:spacing w:val="6"/>
          <w:sz w:val="24"/>
          <w:szCs w:val="24"/>
          <w:u w:val="single" w:color="auto"/>
        </w:rPr>
        <w:t xml:space="preserve">1）    </w:t>
      </w:r>
      <w:r>
        <w:rPr>
          <w:rFonts w:hint="eastAsia" w:asciiTheme="minorEastAsia" w:hAnsiTheme="minorEastAsia" w:eastAsiaTheme="minorEastAsia" w:cstheme="minorEastAsia"/>
          <w:color w:val="auto"/>
          <w:spacing w:val="-74"/>
          <w:sz w:val="24"/>
          <w:szCs w:val="24"/>
        </w:rPr>
        <w:t xml:space="preserve"> </w:t>
      </w:r>
      <w:r>
        <w:rPr>
          <w:rFonts w:hint="eastAsia" w:asciiTheme="minorEastAsia" w:hAnsiTheme="minorEastAsia" w:eastAsiaTheme="minorEastAsia" w:cstheme="minorEastAsia"/>
          <w:color w:val="auto"/>
          <w:spacing w:val="6"/>
          <w:sz w:val="24"/>
          <w:szCs w:val="24"/>
        </w:rPr>
        <w:t>的</w:t>
      </w:r>
      <w:r>
        <w:rPr>
          <w:rFonts w:hint="eastAsia" w:asciiTheme="minorEastAsia" w:hAnsiTheme="minorEastAsia" w:eastAsiaTheme="minorEastAsia" w:cstheme="minorEastAsia"/>
          <w:color w:val="auto"/>
          <w:spacing w:val="6"/>
          <w:sz w:val="24"/>
          <w:szCs w:val="24"/>
          <w:u w:val="single" w:color="auto"/>
        </w:rPr>
        <w:t xml:space="preserve">  （关键组件）</w:t>
      </w:r>
      <w:r>
        <w:rPr>
          <w:rFonts w:hint="eastAsia" w:asciiTheme="minorEastAsia" w:hAnsiTheme="minorEastAsia" w:eastAsiaTheme="minorEastAsia" w:cstheme="minorEastAsia"/>
          <w:color w:val="auto"/>
          <w:spacing w:val="8"/>
          <w:sz w:val="24"/>
          <w:szCs w:val="24"/>
          <w:u w:val="single" w:color="auto"/>
        </w:rPr>
        <w:t xml:space="preserve">   </w:t>
      </w:r>
      <w:r>
        <w:rPr>
          <w:rFonts w:hint="eastAsia" w:asciiTheme="minorEastAsia" w:hAnsiTheme="minorEastAsia" w:eastAsiaTheme="minorEastAsia" w:cstheme="minorEastAsia"/>
          <w:color w:val="auto"/>
          <w:spacing w:val="7"/>
          <w:sz w:val="24"/>
          <w:szCs w:val="24"/>
        </w:rPr>
        <w:t>在中国境内生产。</w:t>
      </w:r>
      <w:r>
        <w:rPr>
          <w:rFonts w:hint="eastAsia" w:asciiTheme="minorEastAsia" w:hAnsiTheme="minorEastAsia" w:eastAsiaTheme="minorEastAsia" w:cstheme="minorEastAsia"/>
          <w:color w:val="auto"/>
          <w:spacing w:val="7"/>
          <w:sz w:val="24"/>
          <w:szCs w:val="24"/>
          <w:u w:val="single" w:color="auto"/>
        </w:rPr>
        <w:t xml:space="preserve">   （产品名称</w:t>
      </w:r>
      <w:r>
        <w:rPr>
          <w:rFonts w:hint="eastAsia" w:asciiTheme="minorEastAsia" w:hAnsiTheme="minorEastAsia" w:eastAsiaTheme="minorEastAsia" w:cstheme="minorEastAsia"/>
          <w:color w:val="auto"/>
          <w:spacing w:val="-24"/>
          <w:sz w:val="24"/>
          <w:szCs w:val="24"/>
          <w:u w:val="single" w:color="auto"/>
        </w:rPr>
        <w:t xml:space="preserve"> </w:t>
      </w:r>
      <w:r>
        <w:rPr>
          <w:rFonts w:hint="eastAsia" w:asciiTheme="minorEastAsia" w:hAnsiTheme="minorEastAsia" w:eastAsiaTheme="minorEastAsia" w:cstheme="minorEastAsia"/>
          <w:color w:val="auto"/>
          <w:spacing w:val="7"/>
          <w:sz w:val="24"/>
          <w:szCs w:val="24"/>
          <w:u w:val="single" w:color="auto"/>
        </w:rPr>
        <w:t xml:space="preserve">1）   </w:t>
      </w:r>
      <w:r>
        <w:rPr>
          <w:rFonts w:hint="eastAsia" w:asciiTheme="minorEastAsia" w:hAnsiTheme="minorEastAsia" w:eastAsiaTheme="minorEastAsia" w:cstheme="minorEastAsia"/>
          <w:color w:val="auto"/>
          <w:spacing w:val="-75"/>
          <w:sz w:val="24"/>
          <w:szCs w:val="24"/>
        </w:rPr>
        <w:t xml:space="preserve"> </w:t>
      </w:r>
      <w:r>
        <w:rPr>
          <w:rFonts w:hint="eastAsia" w:asciiTheme="minorEastAsia" w:hAnsiTheme="minorEastAsia" w:eastAsiaTheme="minorEastAsia" w:cstheme="minorEastAsia"/>
          <w:color w:val="auto"/>
          <w:spacing w:val="7"/>
          <w:sz w:val="24"/>
          <w:szCs w:val="24"/>
        </w:rPr>
        <w:t>的</w:t>
      </w:r>
      <w:r>
        <w:rPr>
          <w:rFonts w:hint="eastAsia" w:asciiTheme="minorEastAsia" w:hAnsiTheme="minorEastAsia" w:eastAsiaTheme="minorEastAsia" w:cstheme="minorEastAsia"/>
          <w:color w:val="auto"/>
          <w:spacing w:val="7"/>
          <w:sz w:val="24"/>
          <w:szCs w:val="24"/>
          <w:u w:val="single" w:color="auto"/>
        </w:rPr>
        <w:t xml:space="preserve">  （关键工序）</w:t>
      </w:r>
      <w:r>
        <w:rPr>
          <w:rFonts w:hint="eastAsia" w:asciiTheme="minorEastAsia" w:hAnsiTheme="minorEastAsia" w:eastAsiaTheme="minorEastAsia" w:cstheme="minorEastAsia"/>
          <w:color w:val="auto"/>
          <w:spacing w:val="6"/>
          <w:sz w:val="24"/>
          <w:szCs w:val="24"/>
          <w:u w:val="single" w:color="auto"/>
        </w:rPr>
        <w:t xml:space="preserve">  </w:t>
      </w:r>
      <w:r>
        <w:rPr>
          <w:rFonts w:hint="eastAsia" w:asciiTheme="minorEastAsia" w:hAnsiTheme="minorEastAsia" w:eastAsiaTheme="minorEastAsia" w:cstheme="minorEastAsia"/>
          <w:color w:val="auto"/>
          <w:spacing w:val="-92"/>
          <w:sz w:val="24"/>
          <w:szCs w:val="24"/>
        </w:rPr>
        <w:t xml:space="preserve"> </w:t>
      </w:r>
      <w:r>
        <w:rPr>
          <w:rFonts w:hint="eastAsia" w:asciiTheme="minorEastAsia" w:hAnsiTheme="minorEastAsia" w:eastAsiaTheme="minorEastAsia" w:cstheme="minorEastAsia"/>
          <w:color w:val="auto"/>
          <w:spacing w:val="6"/>
          <w:sz w:val="24"/>
          <w:szCs w:val="24"/>
        </w:rPr>
        <w:t>在中国境内完成。</w:t>
      </w:r>
    </w:p>
    <w:p w14:paraId="339A4949">
      <w:pPr>
        <w:pStyle w:val="9"/>
        <w:spacing w:before="1" w:line="377" w:lineRule="auto"/>
        <w:ind w:left="8" w:right="5"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 xml:space="preserve">2. </w:t>
      </w:r>
      <w:r>
        <w:rPr>
          <w:rFonts w:hint="eastAsia" w:asciiTheme="minorEastAsia" w:hAnsiTheme="minorEastAsia" w:eastAsiaTheme="minorEastAsia" w:cstheme="minorEastAsia"/>
          <w:color w:val="auto"/>
          <w:spacing w:val="5"/>
          <w:sz w:val="24"/>
          <w:szCs w:val="24"/>
          <w:u w:val="single" w:color="auto"/>
        </w:rPr>
        <w:t xml:space="preserve">   （产品名称</w:t>
      </w:r>
      <w:r>
        <w:rPr>
          <w:rFonts w:hint="eastAsia" w:asciiTheme="minorEastAsia" w:hAnsiTheme="minorEastAsia" w:eastAsiaTheme="minorEastAsia" w:cstheme="minorEastAsia"/>
          <w:color w:val="auto"/>
          <w:spacing w:val="-37"/>
          <w:sz w:val="24"/>
          <w:szCs w:val="24"/>
          <w:u w:val="single" w:color="auto"/>
        </w:rPr>
        <w:t xml:space="preserve"> </w:t>
      </w:r>
      <w:r>
        <w:rPr>
          <w:rFonts w:hint="eastAsia" w:asciiTheme="minorEastAsia" w:hAnsiTheme="minorEastAsia" w:eastAsiaTheme="minorEastAsia" w:cstheme="minorEastAsia"/>
          <w:color w:val="auto"/>
          <w:spacing w:val="5"/>
          <w:sz w:val="24"/>
          <w:szCs w:val="24"/>
          <w:u w:val="single" w:color="auto"/>
        </w:rPr>
        <w:t>2</w:t>
      </w:r>
      <w:r>
        <w:rPr>
          <w:rFonts w:hint="eastAsia" w:asciiTheme="minorEastAsia" w:hAnsiTheme="minorEastAsia" w:eastAsiaTheme="minorEastAsia" w:cstheme="minorEastAsia"/>
          <w:color w:val="auto"/>
          <w:spacing w:val="-11"/>
          <w:sz w:val="24"/>
          <w:szCs w:val="24"/>
          <w:u w:val="single" w:color="auto"/>
        </w:rPr>
        <w:t>）</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73"/>
          <w:sz w:val="24"/>
          <w:szCs w:val="24"/>
        </w:rPr>
        <w:t xml:space="preserve"> </w:t>
      </w:r>
      <w:r>
        <w:rPr>
          <w:rFonts w:hint="eastAsia" w:asciiTheme="minorEastAsia" w:hAnsiTheme="minorEastAsia" w:eastAsiaTheme="minorEastAsia" w:cstheme="minorEastAsia"/>
          <w:color w:val="auto"/>
          <w:spacing w:val="-11"/>
          <w:sz w:val="24"/>
          <w:szCs w:val="24"/>
        </w:rPr>
        <w:t>，</w:t>
      </w:r>
      <w:r>
        <w:rPr>
          <w:rFonts w:hint="eastAsia" w:asciiTheme="minorEastAsia" w:hAnsiTheme="minorEastAsia" w:eastAsiaTheme="minorEastAsia" w:cstheme="minorEastAsia"/>
          <w:color w:val="auto"/>
          <w:spacing w:val="5"/>
          <w:sz w:val="24"/>
          <w:szCs w:val="24"/>
        </w:rPr>
        <w:t>生产厂为</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4"/>
          <w:sz w:val="24"/>
          <w:szCs w:val="24"/>
          <w:u w:val="single" w:color="auto"/>
        </w:rPr>
        <w:t>厂名</w:t>
      </w:r>
      <w:r>
        <w:rPr>
          <w:rFonts w:hint="eastAsia" w:asciiTheme="minorEastAsia" w:hAnsiTheme="minorEastAsia" w:eastAsiaTheme="minorEastAsia" w:cstheme="minorEastAsia"/>
          <w:color w:val="auto"/>
          <w:spacing w:val="-11"/>
          <w:sz w:val="24"/>
          <w:szCs w:val="24"/>
          <w:u w:val="single" w:color="auto"/>
        </w:rPr>
        <w:t>）</w:t>
      </w:r>
      <w:r>
        <w:rPr>
          <w:rFonts w:hint="eastAsia" w:asciiTheme="minorEastAsia" w:hAnsiTheme="minorEastAsia" w:eastAsiaTheme="minorEastAsia" w:cstheme="minorEastAsia"/>
          <w:color w:val="auto"/>
          <w:spacing w:val="3"/>
          <w:sz w:val="24"/>
          <w:szCs w:val="24"/>
          <w:u w:val="single" w:color="auto"/>
        </w:rPr>
        <w:t xml:space="preserve">     </w:t>
      </w:r>
      <w:r>
        <w:rPr>
          <w:rFonts w:hint="eastAsia" w:asciiTheme="minorEastAsia" w:hAnsiTheme="minorEastAsia" w:eastAsiaTheme="minorEastAsia" w:cstheme="minorEastAsia"/>
          <w:color w:val="auto"/>
          <w:spacing w:val="-70"/>
          <w:sz w:val="24"/>
          <w:szCs w:val="24"/>
        </w:rPr>
        <w:t xml:space="preserve"> </w:t>
      </w:r>
      <w:r>
        <w:rPr>
          <w:rFonts w:hint="eastAsia" w:asciiTheme="minorEastAsia" w:hAnsiTheme="minorEastAsia" w:eastAsiaTheme="minorEastAsia" w:cstheme="minorEastAsia"/>
          <w:color w:val="auto"/>
          <w:spacing w:val="-11"/>
          <w:sz w:val="24"/>
          <w:szCs w:val="24"/>
        </w:rPr>
        <w:t>，</w:t>
      </w:r>
      <w:r>
        <w:rPr>
          <w:rFonts w:hint="eastAsia" w:asciiTheme="minorEastAsia" w:hAnsiTheme="minorEastAsia" w:eastAsiaTheme="minorEastAsia" w:cstheme="minorEastAsia"/>
          <w:color w:val="auto"/>
          <w:spacing w:val="4"/>
          <w:sz w:val="24"/>
          <w:szCs w:val="24"/>
        </w:rPr>
        <w:t>厂址为</w:t>
      </w:r>
      <w:r>
        <w:rPr>
          <w:rFonts w:hint="eastAsia" w:asciiTheme="minorEastAsia" w:hAnsiTheme="minorEastAsia" w:eastAsiaTheme="minorEastAsia" w:cstheme="minorEastAsia"/>
          <w:color w:val="auto"/>
          <w:spacing w:val="4"/>
          <w:sz w:val="24"/>
          <w:szCs w:val="24"/>
          <w:u w:val="single" w:color="auto"/>
        </w:rPr>
        <w:t xml:space="preserve">   （生产厂址）    </w:t>
      </w:r>
      <w:r>
        <w:rPr>
          <w:rFonts w:hint="eastAsia" w:asciiTheme="minorEastAsia" w:hAnsiTheme="minorEastAsia" w:eastAsiaTheme="minorEastAsia" w:cstheme="minorEastAsia"/>
          <w:color w:val="auto"/>
          <w:spacing w:val="4"/>
          <w:sz w:val="24"/>
          <w:szCs w:val="24"/>
        </w:rPr>
        <w:t>。</w:t>
      </w:r>
      <w:r>
        <w:rPr>
          <w:rFonts w:hint="eastAsia" w:asciiTheme="minorEastAsia" w:hAnsiTheme="minorEastAsia" w:eastAsiaTheme="minorEastAsia" w:cstheme="minorEastAsia"/>
          <w:color w:val="auto"/>
          <w:spacing w:val="4"/>
          <w:sz w:val="24"/>
          <w:szCs w:val="24"/>
          <w:u w:val="single" w:color="auto"/>
        </w:rPr>
        <w:t>（产品名称</w:t>
      </w:r>
      <w:r>
        <w:rPr>
          <w:rFonts w:hint="eastAsia" w:asciiTheme="minorEastAsia" w:hAnsiTheme="minorEastAsia" w:eastAsiaTheme="minorEastAsia" w:cstheme="minorEastAsia"/>
          <w:color w:val="auto"/>
          <w:spacing w:val="-36"/>
          <w:sz w:val="24"/>
          <w:szCs w:val="24"/>
          <w:u w:val="single" w:color="auto"/>
        </w:rPr>
        <w:t xml:space="preserve"> </w:t>
      </w:r>
      <w:r>
        <w:rPr>
          <w:rFonts w:hint="eastAsia" w:asciiTheme="minorEastAsia" w:hAnsiTheme="minorEastAsia" w:eastAsiaTheme="minorEastAsia" w:cstheme="minorEastAsia"/>
          <w:color w:val="auto"/>
          <w:spacing w:val="4"/>
          <w:sz w:val="24"/>
          <w:szCs w:val="24"/>
          <w:u w:val="single" w:color="auto"/>
        </w:rPr>
        <w:t>2）</w:t>
      </w:r>
      <w:r>
        <w:rPr>
          <w:rFonts w:hint="eastAsia" w:asciiTheme="minorEastAsia" w:hAnsiTheme="minorEastAsia" w:eastAsiaTheme="minorEastAsia" w:cstheme="minorEastAsia"/>
          <w:color w:val="auto"/>
          <w:spacing w:val="7"/>
          <w:sz w:val="24"/>
          <w:szCs w:val="24"/>
        </w:rPr>
        <w:t>的中国境内生产的组件成本占比≥</w:t>
      </w:r>
      <w:r>
        <w:rPr>
          <w:rFonts w:hint="eastAsia" w:asciiTheme="minorEastAsia" w:hAnsiTheme="minorEastAsia" w:eastAsiaTheme="minorEastAsia" w:cstheme="minorEastAsia"/>
          <w:color w:val="auto"/>
          <w:spacing w:val="7"/>
          <w:sz w:val="24"/>
          <w:szCs w:val="24"/>
          <w:u w:val="single" w:color="auto"/>
        </w:rPr>
        <w:t xml:space="preserve">  （规定比例）  </w:t>
      </w:r>
      <w:r>
        <w:rPr>
          <w:rFonts w:hint="eastAsia" w:asciiTheme="minorEastAsia" w:hAnsiTheme="minorEastAsia" w:eastAsiaTheme="minorEastAsia" w:cstheme="minorEastAsia"/>
          <w:color w:val="auto"/>
          <w:spacing w:val="-64"/>
          <w:sz w:val="24"/>
          <w:szCs w:val="24"/>
        </w:rPr>
        <w:t xml:space="preserve"> </w:t>
      </w:r>
      <w:r>
        <w:rPr>
          <w:rFonts w:hint="eastAsia" w:asciiTheme="minorEastAsia" w:hAnsiTheme="minorEastAsia" w:eastAsiaTheme="minorEastAsia" w:cstheme="minorEastAsia"/>
          <w:color w:val="auto"/>
          <w:spacing w:val="7"/>
          <w:sz w:val="24"/>
          <w:szCs w:val="24"/>
        </w:rPr>
        <w:t>。</w:t>
      </w:r>
      <w:r>
        <w:rPr>
          <w:rFonts w:hint="eastAsia" w:asciiTheme="minorEastAsia" w:hAnsiTheme="minorEastAsia" w:eastAsiaTheme="minorEastAsia" w:cstheme="minorEastAsia"/>
          <w:color w:val="auto"/>
          <w:spacing w:val="7"/>
          <w:sz w:val="24"/>
          <w:szCs w:val="24"/>
          <w:u w:val="single" w:color="auto"/>
        </w:rPr>
        <w:t xml:space="preserve">   （产品名称</w:t>
      </w:r>
      <w:r>
        <w:rPr>
          <w:rFonts w:hint="eastAsia" w:asciiTheme="minorEastAsia" w:hAnsiTheme="minorEastAsia" w:eastAsiaTheme="minorEastAsia" w:cstheme="minorEastAsia"/>
          <w:color w:val="auto"/>
          <w:spacing w:val="-37"/>
          <w:sz w:val="24"/>
          <w:szCs w:val="24"/>
          <w:u w:val="single" w:color="auto"/>
        </w:rPr>
        <w:t xml:space="preserve"> </w:t>
      </w:r>
      <w:r>
        <w:rPr>
          <w:rFonts w:hint="eastAsia" w:asciiTheme="minorEastAsia" w:hAnsiTheme="minorEastAsia" w:eastAsiaTheme="minorEastAsia" w:cstheme="minorEastAsia"/>
          <w:color w:val="auto"/>
          <w:spacing w:val="7"/>
          <w:sz w:val="24"/>
          <w:szCs w:val="24"/>
          <w:u w:val="single" w:color="auto"/>
        </w:rPr>
        <w:t xml:space="preserve">2）   </w:t>
      </w:r>
      <w:r>
        <w:rPr>
          <w:rFonts w:hint="eastAsia" w:asciiTheme="minorEastAsia" w:hAnsiTheme="minorEastAsia" w:eastAsiaTheme="minorEastAsia" w:cstheme="minorEastAsia"/>
          <w:color w:val="auto"/>
          <w:spacing w:val="-74"/>
          <w:sz w:val="24"/>
          <w:szCs w:val="24"/>
        </w:rPr>
        <w:t xml:space="preserve"> </w:t>
      </w:r>
      <w:r>
        <w:rPr>
          <w:rFonts w:hint="eastAsia" w:asciiTheme="minorEastAsia" w:hAnsiTheme="minorEastAsia" w:eastAsiaTheme="minorEastAsia" w:cstheme="minorEastAsia"/>
          <w:color w:val="auto"/>
          <w:spacing w:val="7"/>
          <w:sz w:val="24"/>
          <w:szCs w:val="24"/>
        </w:rPr>
        <w:t>的</w:t>
      </w:r>
      <w:r>
        <w:rPr>
          <w:rFonts w:hint="eastAsia" w:asciiTheme="minorEastAsia" w:hAnsiTheme="minorEastAsia" w:eastAsiaTheme="minorEastAsia" w:cstheme="minorEastAsia"/>
          <w:color w:val="auto"/>
          <w:spacing w:val="7"/>
          <w:sz w:val="24"/>
          <w:szCs w:val="24"/>
          <w:u w:val="single" w:color="auto"/>
        </w:rPr>
        <w:t xml:space="preserve"> （关键组件）  </w:t>
      </w:r>
      <w:r>
        <w:rPr>
          <w:rFonts w:hint="eastAsia" w:asciiTheme="minorEastAsia" w:hAnsiTheme="minorEastAsia" w:eastAsiaTheme="minorEastAsia" w:cstheme="minorEastAsia"/>
          <w:color w:val="auto"/>
          <w:spacing w:val="-93"/>
          <w:sz w:val="24"/>
          <w:szCs w:val="24"/>
        </w:rPr>
        <w:t xml:space="preserve"> </w:t>
      </w:r>
      <w:r>
        <w:rPr>
          <w:rFonts w:hint="eastAsia" w:asciiTheme="minorEastAsia" w:hAnsiTheme="minorEastAsia" w:eastAsiaTheme="minorEastAsia" w:cstheme="minorEastAsia"/>
          <w:color w:val="auto"/>
          <w:spacing w:val="7"/>
          <w:sz w:val="24"/>
          <w:szCs w:val="24"/>
        </w:rPr>
        <w:t>在中国境内生产。</w:t>
      </w:r>
      <w:r>
        <w:rPr>
          <w:rFonts w:hint="eastAsia" w:asciiTheme="minorEastAsia" w:hAnsiTheme="minorEastAsia" w:eastAsiaTheme="minorEastAsia" w:cstheme="minorEastAsia"/>
          <w:color w:val="auto"/>
          <w:spacing w:val="7"/>
          <w:sz w:val="24"/>
          <w:szCs w:val="24"/>
          <w:u w:val="single" w:color="auto"/>
        </w:rPr>
        <w:t xml:space="preserve">   （产品名称</w:t>
      </w:r>
      <w:r>
        <w:rPr>
          <w:rFonts w:hint="eastAsia" w:asciiTheme="minorEastAsia" w:hAnsiTheme="minorEastAsia" w:eastAsiaTheme="minorEastAsia" w:cstheme="minorEastAsia"/>
          <w:color w:val="auto"/>
          <w:spacing w:val="-37"/>
          <w:sz w:val="24"/>
          <w:szCs w:val="24"/>
          <w:u w:val="single" w:color="auto"/>
        </w:rPr>
        <w:t xml:space="preserve"> </w:t>
      </w:r>
      <w:r>
        <w:rPr>
          <w:rFonts w:hint="eastAsia" w:asciiTheme="minorEastAsia" w:hAnsiTheme="minorEastAsia" w:eastAsiaTheme="minorEastAsia" w:cstheme="minorEastAsia"/>
          <w:color w:val="auto"/>
          <w:spacing w:val="7"/>
          <w:sz w:val="24"/>
          <w:szCs w:val="24"/>
          <w:u w:val="single" w:color="auto"/>
        </w:rPr>
        <w:t xml:space="preserve">2）    </w:t>
      </w:r>
      <w:r>
        <w:rPr>
          <w:rFonts w:hint="eastAsia" w:asciiTheme="minorEastAsia" w:hAnsiTheme="minorEastAsia" w:eastAsiaTheme="minorEastAsia" w:cstheme="minorEastAsia"/>
          <w:color w:val="auto"/>
          <w:spacing w:val="-74"/>
          <w:sz w:val="24"/>
          <w:szCs w:val="24"/>
        </w:rPr>
        <w:t xml:space="preserve"> </w:t>
      </w:r>
      <w:r>
        <w:rPr>
          <w:rFonts w:hint="eastAsia" w:asciiTheme="minorEastAsia" w:hAnsiTheme="minorEastAsia" w:eastAsiaTheme="minorEastAsia" w:cstheme="minorEastAsia"/>
          <w:color w:val="auto"/>
          <w:spacing w:val="7"/>
          <w:sz w:val="24"/>
          <w:szCs w:val="24"/>
        </w:rPr>
        <w:t>的（关键工序）在中国境内</w:t>
      </w:r>
      <w:r>
        <w:rPr>
          <w:rFonts w:hint="eastAsia" w:asciiTheme="minorEastAsia" w:hAnsiTheme="minorEastAsia" w:eastAsiaTheme="minorEastAsia" w:cstheme="minorEastAsia"/>
          <w:color w:val="auto"/>
          <w:spacing w:val="6"/>
          <w:sz w:val="24"/>
          <w:szCs w:val="24"/>
        </w:rPr>
        <w:t>完成。</w:t>
      </w:r>
    </w:p>
    <w:p w14:paraId="36A8C80B">
      <w:pPr>
        <w:pStyle w:val="9"/>
        <w:spacing w:line="324" w:lineRule="exact"/>
        <w:ind w:left="44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position w:val="2"/>
          <w:sz w:val="24"/>
          <w:szCs w:val="24"/>
        </w:rPr>
        <w:t>……</w:t>
      </w:r>
    </w:p>
    <w:p w14:paraId="59EF8FB2">
      <w:pPr>
        <w:pStyle w:val="9"/>
        <w:spacing w:before="84" w:line="227" w:lineRule="auto"/>
        <w:ind w:left="427"/>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本公司（单位）对上述声明内容的真实性负责。如有虚假，愿承担相应法律责任。</w:t>
      </w:r>
    </w:p>
    <w:p w14:paraId="2FE46EC4">
      <w:pPr>
        <w:spacing w:line="290" w:lineRule="auto"/>
        <w:rPr>
          <w:rFonts w:hint="eastAsia" w:asciiTheme="minorEastAsia" w:hAnsiTheme="minorEastAsia" w:eastAsiaTheme="minorEastAsia" w:cstheme="minorEastAsia"/>
          <w:color w:val="auto"/>
          <w:sz w:val="24"/>
        </w:rPr>
      </w:pPr>
    </w:p>
    <w:p w14:paraId="016A6E6E">
      <w:pPr>
        <w:keepNext w:val="0"/>
        <w:keepLines w:val="0"/>
        <w:pageBreakBefore w:val="0"/>
        <w:widowControl w:val="0"/>
        <w:kinsoku/>
        <w:wordWrap w:val="0"/>
        <w:overflowPunct/>
        <w:topLinePunct/>
        <w:autoSpaceDE/>
        <w:autoSpaceDN/>
        <w:bidi w:val="0"/>
        <w:adjustRightInd/>
        <w:snapToGrid w:val="0"/>
        <w:spacing w:line="480" w:lineRule="auto"/>
        <w:textAlignment w:val="auto"/>
        <w:rPr>
          <w:rFonts w:hint="eastAsia" w:asciiTheme="minorEastAsia" w:hAnsiTheme="minorEastAsia" w:eastAsiaTheme="minorEastAsia" w:cstheme="minorEastAsia"/>
          <w:color w:val="auto"/>
          <w:sz w:val="24"/>
        </w:rPr>
      </w:pPr>
    </w:p>
    <w:p w14:paraId="662F8183">
      <w:pPr>
        <w:pStyle w:val="9"/>
        <w:keepNext w:val="0"/>
        <w:keepLines w:val="0"/>
        <w:pageBreakBefore w:val="0"/>
        <w:widowControl w:val="0"/>
        <w:kinsoku/>
        <w:wordWrap w:val="0"/>
        <w:overflowPunct/>
        <w:topLinePunct/>
        <w:autoSpaceDE/>
        <w:autoSpaceDN/>
        <w:bidi w:val="0"/>
        <w:adjustRightInd/>
        <w:snapToGrid w:val="0"/>
        <w:spacing w:line="480" w:lineRule="auto"/>
        <w:ind w:firstLine="1792" w:firstLineChars="7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公司（单位）名称</w:t>
      </w:r>
      <w:r>
        <w:rPr>
          <w:rFonts w:hint="eastAsia" w:asciiTheme="minorEastAsia" w:hAnsiTheme="minorEastAsia" w:eastAsiaTheme="minorEastAsia" w:cstheme="minorEastAsia"/>
          <w:b/>
          <w:bCs/>
          <w:color w:val="auto"/>
          <w:spacing w:val="8"/>
          <w:sz w:val="24"/>
          <w:szCs w:val="24"/>
        </w:rPr>
        <w:t>（</w:t>
      </w:r>
      <w:r>
        <w:rPr>
          <w:rFonts w:hint="eastAsia" w:asciiTheme="minorEastAsia" w:hAnsiTheme="minorEastAsia" w:eastAsiaTheme="minorEastAsia" w:cstheme="minorEastAsia"/>
          <w:b/>
          <w:bCs/>
          <w:color w:val="auto"/>
          <w:spacing w:val="-6"/>
          <w:sz w:val="24"/>
          <w:szCs w:val="24"/>
        </w:rPr>
        <w:t>公章或</w:t>
      </w:r>
      <w:r>
        <w:rPr>
          <w:rFonts w:hint="eastAsia" w:asciiTheme="minorEastAsia" w:hAnsiTheme="minorEastAsia" w:eastAsiaTheme="minorEastAsia" w:cstheme="minorEastAsia"/>
          <w:b/>
          <w:bCs/>
          <w:color w:val="auto"/>
          <w:spacing w:val="-6"/>
          <w:sz w:val="24"/>
          <w:szCs w:val="24"/>
          <w:lang w:val="en-US" w:eastAsia="zh-CN"/>
        </w:rPr>
        <w:t>CA</w:t>
      </w:r>
      <w:r>
        <w:rPr>
          <w:rFonts w:hint="eastAsia" w:asciiTheme="minorEastAsia" w:hAnsiTheme="minorEastAsia" w:eastAsiaTheme="minorEastAsia" w:cstheme="minorEastAsia"/>
          <w:b/>
          <w:bCs/>
          <w:color w:val="auto"/>
          <w:spacing w:val="-6"/>
          <w:sz w:val="24"/>
          <w:szCs w:val="24"/>
        </w:rPr>
        <w:t>电子</w:t>
      </w:r>
      <w:r>
        <w:rPr>
          <w:rFonts w:hint="eastAsia" w:asciiTheme="minorEastAsia" w:hAnsiTheme="minorEastAsia" w:eastAsiaTheme="minorEastAsia" w:cstheme="minorEastAsia"/>
          <w:b/>
          <w:bCs/>
          <w:color w:val="auto"/>
          <w:spacing w:val="-6"/>
          <w:sz w:val="24"/>
          <w:szCs w:val="24"/>
          <w:lang w:eastAsia="zh-CN"/>
        </w:rPr>
        <w:t>签</w:t>
      </w:r>
      <w:r>
        <w:rPr>
          <w:rFonts w:hint="eastAsia" w:asciiTheme="minorEastAsia" w:hAnsiTheme="minorEastAsia" w:eastAsiaTheme="minorEastAsia" w:cstheme="minorEastAsia"/>
          <w:b/>
          <w:bCs/>
          <w:color w:val="auto"/>
          <w:spacing w:val="-6"/>
          <w:sz w:val="24"/>
          <w:szCs w:val="24"/>
        </w:rPr>
        <w:t>章</w:t>
      </w:r>
      <w:r>
        <w:rPr>
          <w:rFonts w:hint="eastAsia" w:asciiTheme="minorEastAsia" w:hAnsiTheme="minorEastAsia" w:eastAsiaTheme="minorEastAsia" w:cstheme="minorEastAsia"/>
          <w:b/>
          <w:bCs/>
          <w:color w:val="auto"/>
          <w:spacing w:val="2"/>
          <w:sz w:val="24"/>
          <w:szCs w:val="24"/>
        </w:rPr>
        <w:t>）</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z w:val="24"/>
          <w:u w:val="single"/>
        </w:rPr>
        <w:t xml:space="preserve">               </w:t>
      </w:r>
    </w:p>
    <w:p w14:paraId="1796B3D7">
      <w:pPr>
        <w:pStyle w:val="9"/>
        <w:keepNext w:val="0"/>
        <w:keepLines w:val="0"/>
        <w:pageBreakBefore w:val="0"/>
        <w:widowControl w:val="0"/>
        <w:kinsoku/>
        <w:wordWrap w:val="0"/>
        <w:overflowPunct/>
        <w:topLinePunct/>
        <w:autoSpaceDE/>
        <w:autoSpaceDN/>
        <w:bidi w:val="0"/>
        <w:adjustRightInd/>
        <w:snapToGrid w:val="0"/>
        <w:spacing w:line="480" w:lineRule="auto"/>
        <w:jc w:val="righ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69E11764">
      <w:pPr>
        <w:spacing w:line="264" w:lineRule="auto"/>
        <w:rPr>
          <w:rFonts w:hint="eastAsia" w:asciiTheme="minorEastAsia" w:hAnsiTheme="minorEastAsia" w:eastAsiaTheme="minorEastAsia" w:cstheme="minorEastAsia"/>
          <w:color w:val="auto"/>
          <w:sz w:val="24"/>
        </w:rPr>
      </w:pPr>
    </w:p>
    <w:p w14:paraId="000C0700">
      <w:pPr>
        <w:spacing w:line="264" w:lineRule="auto"/>
        <w:rPr>
          <w:rFonts w:hint="eastAsia" w:asciiTheme="minorEastAsia" w:hAnsiTheme="minorEastAsia" w:eastAsiaTheme="minorEastAsia" w:cstheme="minorEastAsia"/>
          <w:color w:val="auto"/>
          <w:sz w:val="24"/>
        </w:rPr>
      </w:pPr>
    </w:p>
    <w:p w14:paraId="4025BEDB">
      <w:pPr>
        <w:spacing w:line="264" w:lineRule="auto"/>
        <w:rPr>
          <w:rFonts w:hint="eastAsia" w:asciiTheme="minorEastAsia" w:hAnsiTheme="minorEastAsia" w:eastAsiaTheme="minorEastAsia" w:cstheme="minorEastAsia"/>
          <w:color w:val="auto"/>
          <w:sz w:val="24"/>
        </w:rPr>
      </w:pPr>
    </w:p>
    <w:p w14:paraId="47A56D19">
      <w:pPr>
        <w:pStyle w:val="9"/>
        <w:keepNext w:val="0"/>
        <w:keepLines w:val="0"/>
        <w:pageBreakBefore w:val="0"/>
        <w:widowControl w:val="0"/>
        <w:kinsoku/>
        <w:wordWrap/>
        <w:overflowPunct/>
        <w:topLinePunct w:val="0"/>
        <w:autoSpaceDE/>
        <w:autoSpaceDN/>
        <w:bidi w:val="0"/>
        <w:adjustRightInd/>
        <w:snapToGrid w:val="0"/>
        <w:spacing w:line="360" w:lineRule="auto"/>
        <w:ind w:left="0" w:firstLine="474"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2"/>
          <w:sz w:val="24"/>
          <w:szCs w:val="24"/>
        </w:rPr>
        <w:t>注：</w:t>
      </w:r>
    </w:p>
    <w:p w14:paraId="7719609D">
      <w:pPr>
        <w:keepNext w:val="0"/>
        <w:keepLines w:val="0"/>
        <w:pageBreakBefore w:val="0"/>
        <w:widowControl w:val="0"/>
        <w:numPr>
          <w:ilvl w:val="0"/>
          <w:numId w:val="57"/>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产品如有型号，请在“产品名称 ”栏一并填写。</w:t>
      </w:r>
    </w:p>
    <w:p w14:paraId="095C7443">
      <w:pPr>
        <w:keepNext w:val="0"/>
        <w:keepLines w:val="0"/>
        <w:pageBreakBefore w:val="0"/>
        <w:widowControl w:val="0"/>
        <w:numPr>
          <w:ilvl w:val="0"/>
          <w:numId w:val="57"/>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生产厂名与厂址应与生产厂营业执照载明的相关信息保持一致。</w:t>
      </w:r>
    </w:p>
    <w:p w14:paraId="43DE57E4">
      <w:pPr>
        <w:keepNext w:val="0"/>
        <w:keepLines w:val="0"/>
        <w:pageBreakBefore w:val="0"/>
        <w:widowControl w:val="0"/>
        <w:numPr>
          <w:ilvl w:val="0"/>
          <w:numId w:val="57"/>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该产品的中国境内生产的组件成本占比相关要求实施前，“规定比例 ”栏可不填，下同。</w:t>
      </w:r>
    </w:p>
    <w:p w14:paraId="6BCFF9E5">
      <w:pPr>
        <w:keepNext w:val="0"/>
        <w:keepLines w:val="0"/>
        <w:pageBreakBefore w:val="0"/>
        <w:widowControl w:val="0"/>
        <w:numPr>
          <w:ilvl w:val="0"/>
          <w:numId w:val="57"/>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该产品的关键组件要求实施前，“关键组件 ”栏可不填，下同。</w:t>
      </w:r>
    </w:p>
    <w:p w14:paraId="4EA7ADBA">
      <w:pPr>
        <w:keepNext w:val="0"/>
        <w:keepLines w:val="0"/>
        <w:pageBreakBefore w:val="0"/>
        <w:widowControl w:val="0"/>
        <w:numPr>
          <w:ilvl w:val="0"/>
          <w:numId w:val="57"/>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该产品的关键工序要求实施前，“关键工序 ”栏可不填，下同。</w:t>
      </w:r>
    </w:p>
    <w:p w14:paraId="4C43A221">
      <w:pPr>
        <w:keepNext w:val="0"/>
        <w:keepLines w:val="0"/>
        <w:pageBreakBefore w:val="0"/>
        <w:widowControl w:val="0"/>
        <w:numPr>
          <w:ilvl w:val="0"/>
          <w:numId w:val="57"/>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eastAsia="zh-CN"/>
        </w:rPr>
        <w:t>供应商</w:t>
      </w:r>
      <w:r>
        <w:rPr>
          <w:rFonts w:hint="eastAsia" w:asciiTheme="minorEastAsia" w:hAnsiTheme="minorEastAsia" w:eastAsiaTheme="minorEastAsia" w:cstheme="minorEastAsia"/>
          <w:color w:val="auto"/>
          <w:sz w:val="24"/>
        </w:rPr>
        <w:t>按上述格式要求如实填写《关于符合本国产品标准的声明函》，并对该声明函的真实性负责，否则不得享受本国产品扶持政策；</w:t>
      </w:r>
      <w:r>
        <w:rPr>
          <w:rFonts w:hint="eastAsia" w:asciiTheme="minorEastAsia" w:hAnsiTheme="minorEastAsia" w:eastAsiaTheme="minorEastAsia" w:cstheme="minorEastAsia"/>
          <w:color w:val="auto"/>
          <w:sz w:val="24"/>
          <w:lang w:eastAsia="zh-CN"/>
        </w:rPr>
        <w:t>供应商</w:t>
      </w:r>
      <w:r>
        <w:rPr>
          <w:rFonts w:hint="eastAsia" w:asciiTheme="minorEastAsia" w:hAnsiTheme="minorEastAsia" w:eastAsiaTheme="minorEastAsia" w:cstheme="minorEastAsia"/>
          <w:color w:val="auto"/>
          <w:sz w:val="24"/>
        </w:rPr>
        <w:t>提供的《关于符合本国产品标准的声明函》与事实不符的，依照《中华人民共和国政府采购法》第七十七条第一款的规定追究法律责任。</w:t>
      </w:r>
    </w:p>
    <w:p w14:paraId="0A9D1BC7">
      <w:pPr>
        <w:keepNext w:val="0"/>
        <w:keepLines w:val="0"/>
        <w:pageBreakBefore w:val="0"/>
        <w:widowControl w:val="0"/>
        <w:numPr>
          <w:ilvl w:val="0"/>
          <w:numId w:val="57"/>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rPr>
        <w:sectPr>
          <w:pgSz w:w="11906" w:h="16838"/>
          <w:pgMar w:top="1440" w:right="1800" w:bottom="1440" w:left="1800" w:header="851" w:footer="992" w:gutter="0"/>
          <w:pgNumType w:fmt="decimal"/>
          <w:cols w:space="720" w:num="1"/>
          <w:docGrid w:type="lines" w:linePitch="312" w:charSpace="0"/>
        </w:sectPr>
      </w:pPr>
      <w:r>
        <w:rPr>
          <w:rFonts w:hint="eastAsia" w:asciiTheme="minorEastAsia" w:hAnsiTheme="minorEastAsia" w:eastAsiaTheme="minorEastAsia" w:cstheme="minorEastAsia"/>
          <w:color w:val="auto"/>
          <w:sz w:val="24"/>
          <w:lang w:eastAsia="zh-CN"/>
        </w:rPr>
        <w:t>成交</w:t>
      </w:r>
      <w:r>
        <w:rPr>
          <w:rFonts w:hint="eastAsia" w:asciiTheme="minorEastAsia" w:hAnsiTheme="minorEastAsia" w:eastAsiaTheme="minorEastAsia" w:cstheme="minorEastAsia"/>
          <w:color w:val="auto"/>
          <w:sz w:val="24"/>
        </w:rPr>
        <w:t>供应商依法享受本国产品扶持政策的，采购代理机构将在</w:t>
      </w:r>
      <w:r>
        <w:rPr>
          <w:rFonts w:hint="eastAsia" w:asciiTheme="minorEastAsia" w:hAnsiTheme="minorEastAsia" w:eastAsiaTheme="minorEastAsia" w:cstheme="minorEastAsia"/>
          <w:color w:val="auto"/>
          <w:sz w:val="24"/>
          <w:lang w:eastAsia="zh-CN"/>
        </w:rPr>
        <w:t>成交</w:t>
      </w:r>
      <w:r>
        <w:rPr>
          <w:rFonts w:hint="eastAsia" w:asciiTheme="minorEastAsia" w:hAnsiTheme="minorEastAsia" w:eastAsiaTheme="minorEastAsia" w:cstheme="minorEastAsia"/>
          <w:color w:val="auto"/>
          <w:sz w:val="24"/>
        </w:rPr>
        <w:t>结果公告中公告其《关于符合本国产品标准的声明函》。</w:t>
      </w:r>
    </w:p>
    <w:p w14:paraId="4603F3C3">
      <w:pPr>
        <w:jc w:val="center"/>
        <w:rPr>
          <w:rFonts w:hint="eastAsia" w:asciiTheme="minorEastAsia" w:hAnsiTheme="minorEastAsia" w:eastAsiaTheme="minorEastAsia" w:cstheme="minorEastAsia"/>
          <w:b/>
          <w:bCs/>
          <w:color w:val="auto"/>
          <w:sz w:val="56"/>
          <w:szCs w:val="56"/>
        </w:rPr>
      </w:pPr>
    </w:p>
    <w:p w14:paraId="412DBC78">
      <w:pPr>
        <w:jc w:val="center"/>
        <w:rPr>
          <w:rFonts w:hint="eastAsia" w:asciiTheme="minorEastAsia" w:hAnsiTheme="minorEastAsia" w:eastAsiaTheme="minorEastAsia" w:cstheme="minorEastAsia"/>
          <w:b/>
          <w:bCs/>
          <w:color w:val="auto"/>
          <w:sz w:val="56"/>
          <w:szCs w:val="56"/>
        </w:rPr>
      </w:pPr>
    </w:p>
    <w:p w14:paraId="6776D23A">
      <w:pPr>
        <w:jc w:val="center"/>
        <w:rPr>
          <w:rFonts w:hint="eastAsia" w:asciiTheme="minorEastAsia" w:hAnsiTheme="minorEastAsia" w:eastAsiaTheme="minorEastAsia" w:cstheme="minorEastAsia"/>
          <w:b/>
          <w:bCs/>
          <w:color w:val="auto"/>
          <w:sz w:val="56"/>
          <w:szCs w:val="56"/>
        </w:rPr>
      </w:pPr>
    </w:p>
    <w:p w14:paraId="6B1EBE31">
      <w:pPr>
        <w:jc w:val="center"/>
        <w:rPr>
          <w:rFonts w:hint="eastAsia" w:asciiTheme="minorEastAsia" w:hAnsiTheme="minorEastAsia" w:eastAsiaTheme="minorEastAsia" w:cstheme="minorEastAsia"/>
          <w:b/>
          <w:bCs/>
          <w:color w:val="auto"/>
          <w:sz w:val="56"/>
          <w:szCs w:val="56"/>
        </w:rPr>
      </w:pPr>
    </w:p>
    <w:p w14:paraId="67071DAB">
      <w:pPr>
        <w:jc w:val="center"/>
        <w:rPr>
          <w:rFonts w:hint="eastAsia" w:asciiTheme="minorEastAsia" w:hAnsiTheme="minorEastAsia" w:eastAsiaTheme="minorEastAsia" w:cstheme="minorEastAsia"/>
          <w:b/>
          <w:bCs/>
          <w:color w:val="auto"/>
          <w:sz w:val="56"/>
          <w:szCs w:val="56"/>
        </w:rPr>
      </w:pPr>
    </w:p>
    <w:p w14:paraId="7C89F141">
      <w:pPr>
        <w:jc w:val="center"/>
        <w:rPr>
          <w:rFonts w:hint="eastAsia" w:asciiTheme="minorEastAsia" w:hAnsiTheme="minorEastAsia" w:eastAsiaTheme="minorEastAsia" w:cstheme="minorEastAsia"/>
          <w:b/>
          <w:bCs/>
          <w:color w:val="auto"/>
          <w:sz w:val="56"/>
          <w:szCs w:val="56"/>
        </w:rPr>
      </w:pPr>
    </w:p>
    <w:p w14:paraId="04CA81A2">
      <w:pPr>
        <w:jc w:val="center"/>
        <w:rPr>
          <w:rFonts w:hint="eastAsia" w:asciiTheme="minorEastAsia" w:hAnsiTheme="minorEastAsia" w:eastAsiaTheme="minorEastAsia" w:cstheme="minorEastAsia"/>
          <w:b/>
          <w:bCs/>
          <w:color w:val="auto"/>
          <w:sz w:val="56"/>
          <w:szCs w:val="56"/>
        </w:rPr>
      </w:pPr>
    </w:p>
    <w:p w14:paraId="50625CBD">
      <w:pPr>
        <w:keepNext w:val="0"/>
        <w:keepLines w:val="0"/>
        <w:pageBreakBefore w:val="0"/>
        <w:widowControl w:val="0"/>
        <w:numPr>
          <w:ilvl w:val="0"/>
          <w:numId w:val="48"/>
        </w:numPr>
        <w:kinsoku/>
        <w:wordWrap/>
        <w:overflowPunct/>
        <w:topLinePunct w:val="0"/>
        <w:autoSpaceDE/>
        <w:autoSpaceDN/>
        <w:bidi w:val="0"/>
        <w:adjustRightInd/>
        <w:snapToGrid w:val="0"/>
        <w:spacing w:line="360" w:lineRule="auto"/>
        <w:ind w:left="0" w:leftChars="0" w:firstLine="0" w:firstLineChars="0"/>
        <w:jc w:val="center"/>
        <w:textAlignment w:val="auto"/>
        <w:outlineLvl w:val="1"/>
        <w:rPr>
          <w:rFonts w:hint="eastAsia" w:asciiTheme="minorEastAsia" w:hAnsiTheme="minorEastAsia" w:eastAsiaTheme="minorEastAsia" w:cstheme="minorEastAsia"/>
          <w:b/>
          <w:bCs/>
          <w:color w:val="auto"/>
          <w:sz w:val="36"/>
          <w:szCs w:val="36"/>
        </w:rPr>
      </w:pPr>
      <w:r>
        <w:rPr>
          <w:rFonts w:hint="eastAsia" w:asciiTheme="minorEastAsia" w:hAnsiTheme="minorEastAsia" w:eastAsiaTheme="minorEastAsia" w:cstheme="minorEastAsia"/>
          <w:b/>
          <w:bCs/>
          <w:color w:val="auto"/>
          <w:sz w:val="36"/>
          <w:szCs w:val="36"/>
        </w:rPr>
        <w:t>商务技术文件格式</w:t>
      </w:r>
    </w:p>
    <w:p w14:paraId="6CFBD865">
      <w:pPr>
        <w:rPr>
          <w:rFonts w:hint="eastAsia" w:asciiTheme="minorEastAsia" w:hAnsiTheme="minorEastAsia" w:eastAsiaTheme="minorEastAsia" w:cstheme="minorEastAsia"/>
          <w:color w:val="auto"/>
          <w:lang w:val="en-US" w:eastAsia="zh-CN"/>
        </w:rPr>
        <w:sectPr>
          <w:pgSz w:w="11906" w:h="16838"/>
          <w:pgMar w:top="1440" w:right="1800" w:bottom="1440" w:left="1800" w:header="851" w:footer="992" w:gutter="0"/>
          <w:pgNumType w:fmt="decimal"/>
          <w:cols w:space="720" w:num="1"/>
          <w:docGrid w:type="lines" w:linePitch="312" w:charSpace="0"/>
        </w:sectPr>
      </w:pPr>
    </w:p>
    <w:p w14:paraId="39A24084">
      <w:pPr>
        <w:tabs>
          <w:tab w:val="left" w:pos="3870"/>
          <w:tab w:val="left" w:pos="4085"/>
        </w:tabs>
        <w:snapToGrid w:val="0"/>
        <w:spacing w:line="500" w:lineRule="exact"/>
        <w:jc w:val="left"/>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
          <w:bCs/>
          <w:color w:val="auto"/>
          <w:sz w:val="24"/>
        </w:rPr>
        <w:t>商务技术文件目录</w:t>
      </w:r>
      <w:r>
        <w:rPr>
          <w:rFonts w:hint="eastAsia" w:asciiTheme="minorEastAsia" w:hAnsiTheme="minorEastAsia" w:eastAsiaTheme="minorEastAsia" w:cstheme="minorEastAsia"/>
          <w:b/>
          <w:color w:val="auto"/>
          <w:sz w:val="24"/>
        </w:rPr>
        <w:t>：</w:t>
      </w:r>
    </w:p>
    <w:p w14:paraId="7909AAE2">
      <w:pPr>
        <w:pStyle w:val="9"/>
        <w:spacing w:before="101" w:line="225"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由</w:t>
      </w:r>
      <w:r>
        <w:rPr>
          <w:rFonts w:hint="eastAsia" w:asciiTheme="minorEastAsia" w:hAnsiTheme="minorEastAsia" w:eastAsiaTheme="minorEastAsia" w:cstheme="minorEastAsia"/>
          <w:b/>
          <w:color w:val="auto"/>
          <w:sz w:val="24"/>
          <w:highlight w:val="none"/>
          <w:lang w:eastAsia="zh-CN"/>
        </w:rPr>
        <w:t>供应商</w:t>
      </w:r>
      <w:r>
        <w:rPr>
          <w:rFonts w:hint="eastAsia" w:asciiTheme="minorEastAsia" w:hAnsiTheme="minorEastAsia" w:eastAsiaTheme="minorEastAsia" w:cstheme="minorEastAsia"/>
          <w:b/>
          <w:color w:val="auto"/>
          <w:sz w:val="24"/>
          <w:highlight w:val="none"/>
        </w:rPr>
        <w:t>根据</w:t>
      </w:r>
      <w:r>
        <w:rPr>
          <w:rFonts w:hint="eastAsia" w:asciiTheme="minorEastAsia" w:hAnsiTheme="minorEastAsia" w:eastAsiaTheme="minorEastAsia" w:cstheme="minorEastAsia"/>
          <w:b/>
          <w:color w:val="auto"/>
          <w:sz w:val="24"/>
          <w:highlight w:val="none"/>
          <w:lang w:eastAsia="zh-CN"/>
        </w:rPr>
        <w:t>竞争性磋商文件</w:t>
      </w:r>
      <w:r>
        <w:rPr>
          <w:rFonts w:hint="eastAsia" w:asciiTheme="minorEastAsia" w:hAnsiTheme="minorEastAsia" w:eastAsiaTheme="minorEastAsia" w:cstheme="minorEastAsia"/>
          <w:b/>
          <w:color w:val="auto"/>
          <w:sz w:val="24"/>
          <w:highlight w:val="none"/>
        </w:rPr>
        <w:t>自行编制</w:t>
      </w:r>
    </w:p>
    <w:p w14:paraId="7D1E9A40">
      <w:pPr>
        <w:rPr>
          <w:rFonts w:hint="eastAsia" w:asciiTheme="minorEastAsia" w:hAnsiTheme="minorEastAsia" w:eastAsiaTheme="minorEastAsia" w:cstheme="minorEastAsia"/>
          <w:b/>
          <w:bCs/>
          <w:color w:val="auto"/>
          <w:spacing w:val="4"/>
          <w:sz w:val="32"/>
          <w:szCs w:val="32"/>
          <w:lang w:val="en-US" w:eastAsia="zh-CN"/>
        </w:rPr>
      </w:pPr>
      <w:r>
        <w:rPr>
          <w:rFonts w:hint="eastAsia" w:asciiTheme="minorEastAsia" w:hAnsiTheme="minorEastAsia" w:eastAsiaTheme="minorEastAsia" w:cstheme="minorEastAsia"/>
          <w:b/>
          <w:bCs/>
          <w:color w:val="auto"/>
          <w:spacing w:val="4"/>
          <w:sz w:val="32"/>
          <w:szCs w:val="32"/>
          <w:lang w:val="en-US" w:eastAsia="zh-CN"/>
        </w:rPr>
        <w:br w:type="page"/>
      </w:r>
    </w:p>
    <w:p w14:paraId="641AD4FD">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无串通竞标行为的承诺函</w:t>
      </w:r>
    </w:p>
    <w:p w14:paraId="22A21D5F">
      <w:pPr>
        <w:pStyle w:val="9"/>
        <w:keepNext w:val="0"/>
        <w:keepLines w:val="0"/>
        <w:pageBreakBefore w:val="0"/>
        <w:widowControl w:val="0"/>
        <w:numPr>
          <w:ilvl w:val="0"/>
          <w:numId w:val="58"/>
        </w:numPr>
        <w:kinsoku/>
        <w:wordWrap/>
        <w:overflowPunct/>
        <w:topLinePunct w:val="0"/>
        <w:autoSpaceDE/>
        <w:autoSpaceDN/>
        <w:bidi w:val="0"/>
        <w:adjustRightInd/>
        <w:snapToGrid w:val="0"/>
        <w:spacing w:line="360" w:lineRule="auto"/>
        <w:ind w:left="0" w:leftChars="0" w:right="0" w:firstLine="470"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3"/>
          <w:sz w:val="24"/>
          <w:szCs w:val="24"/>
        </w:rPr>
        <w:t>我方承诺无下列相互串通竞标的情形：</w:t>
      </w:r>
    </w:p>
    <w:p w14:paraId="152B1F6B">
      <w:pPr>
        <w:pStyle w:val="9"/>
        <w:keepNext w:val="0"/>
        <w:keepLines w:val="0"/>
        <w:pageBreakBefore w:val="0"/>
        <w:widowControl w:val="0"/>
        <w:numPr>
          <w:ilvl w:val="0"/>
          <w:numId w:val="59"/>
        </w:numPr>
        <w:kinsoku/>
        <w:wordWrap/>
        <w:overflowPunct/>
        <w:topLinePunct w:val="0"/>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不同供应商的响应文件由同一单位或者个人编制；或者不同投标人报名的IP地址一致的；</w:t>
      </w:r>
    </w:p>
    <w:p w14:paraId="51FE293E">
      <w:pPr>
        <w:pStyle w:val="9"/>
        <w:keepNext w:val="0"/>
        <w:keepLines w:val="0"/>
        <w:pageBreakBefore w:val="0"/>
        <w:widowControl w:val="0"/>
        <w:numPr>
          <w:ilvl w:val="0"/>
          <w:numId w:val="59"/>
        </w:numPr>
        <w:kinsoku/>
        <w:wordWrap/>
        <w:overflowPunct/>
        <w:topLinePunct w:val="0"/>
        <w:autoSpaceDE/>
        <w:autoSpaceDN/>
        <w:bidi w:val="0"/>
        <w:adjustRightInd/>
        <w:snapToGrid w:val="0"/>
        <w:spacing w:line="360" w:lineRule="auto"/>
        <w:ind w:left="0" w:leftChars="0" w:right="0" w:firstLine="46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不同供应商委托同一单位或者个人办理竞标事宜；</w:t>
      </w:r>
    </w:p>
    <w:p w14:paraId="66F4DEB9">
      <w:pPr>
        <w:pStyle w:val="9"/>
        <w:keepNext w:val="0"/>
        <w:keepLines w:val="0"/>
        <w:pageBreakBefore w:val="0"/>
        <w:widowControl w:val="0"/>
        <w:numPr>
          <w:ilvl w:val="0"/>
          <w:numId w:val="59"/>
        </w:numPr>
        <w:kinsoku/>
        <w:wordWrap/>
        <w:overflowPunct/>
        <w:topLinePunct w:val="0"/>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不同的供应商的响应文件载明的项目管理员为同一个人；</w:t>
      </w:r>
    </w:p>
    <w:p w14:paraId="1D8BF1AE">
      <w:pPr>
        <w:pStyle w:val="9"/>
        <w:keepNext w:val="0"/>
        <w:keepLines w:val="0"/>
        <w:pageBreakBefore w:val="0"/>
        <w:widowControl w:val="0"/>
        <w:numPr>
          <w:ilvl w:val="0"/>
          <w:numId w:val="59"/>
        </w:numPr>
        <w:kinsoku/>
        <w:wordWrap/>
        <w:overflowPunct/>
        <w:topLinePunct w:val="0"/>
        <w:autoSpaceDE/>
        <w:autoSpaceDN/>
        <w:bidi w:val="0"/>
        <w:adjustRightInd/>
        <w:snapToGrid w:val="0"/>
        <w:spacing w:line="360" w:lineRule="auto"/>
        <w:ind w:left="0" w:leftChars="0" w:right="0" w:firstLine="43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rPr>
        <w:t>不同供应商的响应文件异常一致或者竞标报价呈规律性差异；</w:t>
      </w:r>
    </w:p>
    <w:p w14:paraId="2FDF425B">
      <w:pPr>
        <w:pStyle w:val="9"/>
        <w:keepNext w:val="0"/>
        <w:keepLines w:val="0"/>
        <w:pageBreakBefore w:val="0"/>
        <w:widowControl w:val="0"/>
        <w:numPr>
          <w:ilvl w:val="0"/>
          <w:numId w:val="59"/>
        </w:numPr>
        <w:kinsoku/>
        <w:wordWrap/>
        <w:overflowPunct/>
        <w:topLinePunct w:val="0"/>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不同供应商的响应文件相互混装；</w:t>
      </w:r>
    </w:p>
    <w:p w14:paraId="204D3304">
      <w:pPr>
        <w:pStyle w:val="9"/>
        <w:keepNext w:val="0"/>
        <w:keepLines w:val="0"/>
        <w:pageBreakBefore w:val="0"/>
        <w:widowControl w:val="0"/>
        <w:numPr>
          <w:ilvl w:val="0"/>
          <w:numId w:val="59"/>
        </w:numPr>
        <w:kinsoku/>
        <w:wordWrap/>
        <w:overflowPunct/>
        <w:topLinePunct w:val="0"/>
        <w:autoSpaceDE/>
        <w:autoSpaceDN/>
        <w:bidi w:val="0"/>
        <w:adjustRightInd/>
        <w:snapToGrid w:val="0"/>
        <w:spacing w:line="360" w:lineRule="auto"/>
        <w:ind w:left="0" w:leftChars="0" w:right="0" w:firstLine="476"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不同供应商的竞标保证金从同一单位或</w:t>
      </w:r>
      <w:r>
        <w:rPr>
          <w:rFonts w:hint="eastAsia" w:asciiTheme="minorEastAsia" w:hAnsiTheme="minorEastAsia" w:eastAsiaTheme="minorEastAsia" w:cstheme="minorEastAsia"/>
          <w:color w:val="auto"/>
          <w:spacing w:val="-2"/>
          <w:sz w:val="24"/>
          <w:szCs w:val="24"/>
        </w:rPr>
        <w:t>者个人账户转出。</w:t>
      </w:r>
    </w:p>
    <w:p w14:paraId="45C87C5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7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3"/>
          <w:sz w:val="24"/>
          <w:szCs w:val="24"/>
        </w:rPr>
        <w:t>二、我方承诺无下列恶意串通的情形：</w:t>
      </w:r>
    </w:p>
    <w:p w14:paraId="46BF5769">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供应商直接或者间接从采购人或者采购代理机构处获得其他供应商的相关信息并修改</w:t>
      </w:r>
      <w:r>
        <w:rPr>
          <w:rFonts w:hint="eastAsia" w:asciiTheme="minorEastAsia" w:hAnsiTheme="minorEastAsia" w:eastAsiaTheme="minorEastAsia" w:cstheme="minorEastAsia"/>
          <w:color w:val="auto"/>
          <w:spacing w:val="-10"/>
          <w:sz w:val="24"/>
          <w:szCs w:val="24"/>
        </w:rPr>
        <w:t>其响应文件；</w:t>
      </w:r>
    </w:p>
    <w:p w14:paraId="622BF52C">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供应商按照采购人或者采购代理机构的授意撤换、修改</w:t>
      </w:r>
      <w:r>
        <w:rPr>
          <w:rFonts w:hint="eastAsia" w:asciiTheme="minorEastAsia" w:hAnsiTheme="minorEastAsia" w:eastAsiaTheme="minorEastAsia" w:cstheme="minorEastAsia"/>
          <w:color w:val="auto"/>
          <w:spacing w:val="-3"/>
          <w:sz w:val="24"/>
          <w:szCs w:val="24"/>
        </w:rPr>
        <w:t>响应文件；</w:t>
      </w:r>
    </w:p>
    <w:p w14:paraId="645995D5">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3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rPr>
        <w:t>供应商之间协商报价、技术方案等响应</w:t>
      </w:r>
      <w:r>
        <w:rPr>
          <w:rFonts w:hint="eastAsia" w:asciiTheme="minorEastAsia" w:hAnsiTheme="minorEastAsia" w:eastAsiaTheme="minorEastAsia" w:cstheme="minorEastAsia"/>
          <w:color w:val="auto"/>
          <w:spacing w:val="-13"/>
          <w:sz w:val="24"/>
          <w:szCs w:val="24"/>
        </w:rPr>
        <w:t>文件的实质性内容；</w:t>
      </w:r>
    </w:p>
    <w:p w14:paraId="074ED186">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8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属于同一集团、协会、商会等组织成员的供应商按照该组织要求协</w:t>
      </w:r>
      <w:r>
        <w:rPr>
          <w:rFonts w:hint="eastAsia" w:asciiTheme="minorEastAsia" w:hAnsiTheme="minorEastAsia" w:eastAsiaTheme="minorEastAsia" w:cstheme="minorEastAsia"/>
          <w:color w:val="auto"/>
          <w:sz w:val="24"/>
          <w:szCs w:val="24"/>
        </w:rPr>
        <w:t>同参加政府采购活</w:t>
      </w:r>
      <w:r>
        <w:rPr>
          <w:rFonts w:hint="eastAsia" w:asciiTheme="minorEastAsia" w:hAnsiTheme="minorEastAsia" w:eastAsiaTheme="minorEastAsia" w:cstheme="minorEastAsia"/>
          <w:color w:val="auto"/>
          <w:spacing w:val="-17"/>
          <w:sz w:val="24"/>
          <w:szCs w:val="24"/>
        </w:rPr>
        <w:t>动；</w:t>
      </w:r>
    </w:p>
    <w:p w14:paraId="626B1486">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96"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供应商之间事先约定一致抬高或者压低竞标报价,或者在竞争性谈</w:t>
      </w:r>
      <w:r>
        <w:rPr>
          <w:rFonts w:hint="eastAsia" w:asciiTheme="minorEastAsia" w:hAnsiTheme="minorEastAsia" w:eastAsiaTheme="minorEastAsia" w:cstheme="minorEastAsia"/>
          <w:color w:val="auto"/>
          <w:spacing w:val="3"/>
          <w:sz w:val="24"/>
          <w:szCs w:val="24"/>
        </w:rPr>
        <w:t>判项目中事先约定</w:t>
      </w:r>
      <w:r>
        <w:rPr>
          <w:rFonts w:hint="eastAsia" w:asciiTheme="minorEastAsia" w:hAnsiTheme="minorEastAsia" w:eastAsiaTheme="minorEastAsia" w:cstheme="minorEastAsia"/>
          <w:color w:val="auto"/>
          <w:spacing w:val="-1"/>
          <w:sz w:val="24"/>
          <w:szCs w:val="24"/>
        </w:rPr>
        <w:t>轮流以高价位或者低价位成交,或者事先约</w:t>
      </w:r>
      <w:r>
        <w:rPr>
          <w:rFonts w:hint="eastAsia" w:asciiTheme="minorEastAsia" w:hAnsiTheme="minorEastAsia" w:eastAsiaTheme="minorEastAsia" w:cstheme="minorEastAsia"/>
          <w:color w:val="auto"/>
          <w:spacing w:val="-2"/>
          <w:sz w:val="24"/>
          <w:szCs w:val="24"/>
        </w:rPr>
        <w:t>定由某一特定供应商成交,然后再参加竞标；</w:t>
      </w:r>
    </w:p>
    <w:p w14:paraId="41DEDE63">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供应商之间商定部分供应商放弃参加政府采购活动或者放</w:t>
      </w:r>
      <w:r>
        <w:rPr>
          <w:rFonts w:hint="eastAsia" w:asciiTheme="minorEastAsia" w:hAnsiTheme="minorEastAsia" w:eastAsiaTheme="minorEastAsia" w:cstheme="minorEastAsia"/>
          <w:color w:val="auto"/>
          <w:spacing w:val="-3"/>
          <w:sz w:val="24"/>
          <w:szCs w:val="24"/>
        </w:rPr>
        <w:t>弃成交；</w:t>
      </w:r>
    </w:p>
    <w:p w14:paraId="24A91F8A">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4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供应商与采购人或者采购代理机构之间、供应商相互之间， 为谋求特定供应商成交或者</w:t>
      </w:r>
      <w:r>
        <w:rPr>
          <w:rFonts w:hint="eastAsia" w:asciiTheme="minorEastAsia" w:hAnsiTheme="minorEastAsia" w:eastAsiaTheme="minorEastAsia" w:cstheme="minorEastAsia"/>
          <w:color w:val="auto"/>
          <w:spacing w:val="-14"/>
          <w:sz w:val="24"/>
          <w:szCs w:val="24"/>
        </w:rPr>
        <w:t>排斥其他供应商的其他串通行为。</w:t>
      </w:r>
    </w:p>
    <w:p w14:paraId="41B2C318">
      <w:pPr>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rPr>
      </w:pPr>
    </w:p>
    <w:p w14:paraId="11CBC24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7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2"/>
          <w:sz w:val="24"/>
          <w:szCs w:val="24"/>
        </w:rPr>
        <w:t>以上情形一经核查属实，我方愿意承担一切</w:t>
      </w:r>
      <w:r>
        <w:rPr>
          <w:rFonts w:hint="eastAsia" w:asciiTheme="minorEastAsia" w:hAnsiTheme="minorEastAsia" w:eastAsiaTheme="minorEastAsia" w:cstheme="minorEastAsia"/>
          <w:b/>
          <w:bCs/>
          <w:color w:val="auto"/>
          <w:spacing w:val="-3"/>
          <w:sz w:val="24"/>
          <w:szCs w:val="24"/>
        </w:rPr>
        <w:t>后果，并不再寻求任何旨在减轻或者免除法</w:t>
      </w:r>
      <w:r>
        <w:rPr>
          <w:rFonts w:hint="eastAsia" w:asciiTheme="minorEastAsia" w:hAnsiTheme="minorEastAsia" w:eastAsiaTheme="minorEastAsia" w:cstheme="minorEastAsia"/>
          <w:b/>
          <w:bCs/>
          <w:color w:val="auto"/>
          <w:spacing w:val="-4"/>
          <w:sz w:val="24"/>
          <w:szCs w:val="24"/>
        </w:rPr>
        <w:t>律责任的辩解。</w:t>
      </w:r>
    </w:p>
    <w:p w14:paraId="6193CF8F">
      <w:pPr>
        <w:pStyle w:val="13"/>
        <w:ind w:right="-611" w:rightChars="-291"/>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w:t>
      </w:r>
    </w:p>
    <w:p w14:paraId="2FE8989C">
      <w:pPr>
        <w:pStyle w:val="13"/>
        <w:ind w:right="-611" w:rightChars="-291" w:firstLine="1680" w:firstLineChars="7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rPr>
        <w:t>法定代表人或委托代理人</w:t>
      </w:r>
      <w:r>
        <w:rPr>
          <w:rFonts w:hint="eastAsia" w:asciiTheme="minorEastAsia" w:hAnsiTheme="minorEastAsia" w:eastAsiaTheme="minorEastAsia" w:cstheme="minorEastAsia"/>
          <w:b/>
          <w:color w:val="auto"/>
          <w:sz w:val="24"/>
        </w:rPr>
        <w:t>（签字或CA电子签字章）：</w:t>
      </w:r>
      <w:r>
        <w:rPr>
          <w:rFonts w:hint="eastAsia" w:asciiTheme="minorEastAsia" w:hAnsiTheme="minorEastAsia" w:eastAsiaTheme="minorEastAsia" w:cstheme="minorEastAsia"/>
          <w:color w:val="auto"/>
          <w:sz w:val="24"/>
          <w:u w:val="single"/>
        </w:rPr>
        <w:t xml:space="preserve">             </w:t>
      </w:r>
    </w:p>
    <w:p w14:paraId="58D2DF7D">
      <w:pPr>
        <w:pStyle w:val="13"/>
        <w:ind w:left="3780" w:leftChars="1800" w:right="-611" w:rightChars="-291" w:firstLine="240" w:firstLineChars="100"/>
        <w:rPr>
          <w:rFonts w:hint="eastAsia" w:asciiTheme="minorEastAsia" w:hAnsiTheme="minorEastAsia" w:eastAsiaTheme="minorEastAsia" w:cstheme="minorEastAsia"/>
          <w:color w:val="auto"/>
          <w:sz w:val="24"/>
          <w:szCs w:val="24"/>
        </w:rPr>
      </w:pPr>
    </w:p>
    <w:p w14:paraId="57B23F6B">
      <w:pPr>
        <w:pStyle w:val="13"/>
        <w:ind w:right="-611" w:rightChars="-291" w:firstLine="3840" w:firstLineChars="1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供应商名称</w:t>
      </w:r>
      <w:r>
        <w:rPr>
          <w:rFonts w:hint="eastAsia" w:asciiTheme="minorEastAsia" w:hAnsiTheme="minorEastAsia" w:eastAsiaTheme="minorEastAsia" w:cstheme="minorEastAsia"/>
          <w:b/>
          <w:bCs/>
          <w:color w:val="auto"/>
          <w:sz w:val="24"/>
          <w:szCs w:val="24"/>
        </w:rPr>
        <w:t>（公章或CA电子签章）：</w:t>
      </w:r>
      <w:r>
        <w:rPr>
          <w:rFonts w:hint="eastAsia" w:asciiTheme="minorEastAsia" w:hAnsiTheme="minorEastAsia" w:eastAsiaTheme="minorEastAsia" w:cstheme="minorEastAsia"/>
          <w:color w:val="auto"/>
          <w:sz w:val="24"/>
          <w:szCs w:val="24"/>
          <w:u w:val="single"/>
        </w:rPr>
        <w:t xml:space="preserve">                  </w:t>
      </w:r>
    </w:p>
    <w:p w14:paraId="209A8E61">
      <w:pPr>
        <w:pStyle w:val="13"/>
        <w:ind w:right="-611" w:rightChars="-291"/>
        <w:rPr>
          <w:rFonts w:hint="eastAsia" w:asciiTheme="minorEastAsia" w:hAnsiTheme="minorEastAsia" w:eastAsiaTheme="minorEastAsia" w:cstheme="minorEastAsia"/>
          <w:color w:val="auto"/>
          <w:sz w:val="24"/>
          <w:szCs w:val="24"/>
        </w:rPr>
      </w:pPr>
    </w:p>
    <w:p w14:paraId="70E312AF">
      <w:pPr>
        <w:snapToGrid w:val="0"/>
        <w:spacing w:before="50" w:after="50"/>
        <w:ind w:right="-611" w:rightChars="-291"/>
        <w:jc w:val="righ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w:t>
      </w:r>
      <w:r>
        <w:rPr>
          <w:rFonts w:hint="eastAsia" w:asciiTheme="minorEastAsia" w:hAnsiTheme="minorEastAsia" w:eastAsiaTheme="minorEastAsia" w:cstheme="minorEastAsia"/>
          <w:color w:val="auto"/>
          <w:sz w:val="24"/>
          <w:lang w:val="en-US" w:eastAsia="zh-CN"/>
        </w:rPr>
        <w:t xml:space="preserve"> </w:t>
      </w:r>
      <w:r>
        <w:rPr>
          <w:rFonts w:hint="eastAsia" w:asciiTheme="minorEastAsia" w:hAnsiTheme="minorEastAsia" w:eastAsiaTheme="minorEastAsia" w:cstheme="minorEastAsia"/>
          <w:color w:val="auto"/>
          <w:sz w:val="24"/>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07BC76A">
      <w:pPr>
        <w:snapToGrid w:val="0"/>
        <w:spacing w:before="50" w:after="50"/>
        <w:ind w:right="-611" w:rightChars="-291"/>
        <w:jc w:val="left"/>
        <w:rPr>
          <w:rFonts w:hint="eastAsia" w:asciiTheme="minorEastAsia" w:hAnsiTheme="minorEastAsia" w:eastAsiaTheme="minorEastAsia" w:cstheme="minorEastAsia"/>
          <w:b/>
          <w:bCs/>
          <w:color w:val="auto"/>
          <w:sz w:val="24"/>
        </w:rPr>
        <w:sectPr>
          <w:pgSz w:w="11906" w:h="16838"/>
          <w:pgMar w:top="1440" w:right="1800" w:bottom="1440" w:left="1800" w:header="851" w:footer="992" w:gutter="0"/>
          <w:pgNumType w:fmt="decimal"/>
          <w:cols w:space="720" w:num="1"/>
          <w:docGrid w:type="lines" w:linePitch="312" w:charSpace="0"/>
        </w:sectPr>
      </w:pPr>
    </w:p>
    <w:p w14:paraId="78CC3934">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法定代表人身份证明书</w:t>
      </w:r>
    </w:p>
    <w:p w14:paraId="2D2B0A85">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单位名称：</w:t>
      </w:r>
      <w:r>
        <w:rPr>
          <w:rFonts w:hint="eastAsia" w:asciiTheme="minorEastAsia" w:hAnsiTheme="minorEastAsia" w:eastAsiaTheme="minorEastAsia" w:cstheme="minorEastAsia"/>
          <w:color w:val="auto"/>
          <w:sz w:val="24"/>
          <w:szCs w:val="24"/>
          <w:u w:val="single"/>
        </w:rPr>
        <w:t xml:space="preserve">                               </w:t>
      </w:r>
    </w:p>
    <w:p w14:paraId="673F6DD3">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单位</w:t>
      </w:r>
      <w:r>
        <w:rPr>
          <w:rFonts w:hint="eastAsia" w:asciiTheme="minorEastAsia" w:hAnsiTheme="minorEastAsia" w:eastAsiaTheme="minorEastAsia" w:cstheme="minorEastAsia"/>
          <w:color w:val="auto"/>
          <w:sz w:val="24"/>
          <w:szCs w:val="24"/>
        </w:rPr>
        <w:t>性质：</w:t>
      </w:r>
      <w:r>
        <w:rPr>
          <w:rFonts w:hint="eastAsia" w:asciiTheme="minorEastAsia" w:hAnsiTheme="minorEastAsia" w:eastAsiaTheme="minorEastAsia" w:cstheme="minorEastAsia"/>
          <w:color w:val="auto"/>
          <w:sz w:val="24"/>
          <w:szCs w:val="24"/>
          <w:u w:val="single"/>
        </w:rPr>
        <w:t xml:space="preserve">                               </w:t>
      </w:r>
    </w:p>
    <w:p w14:paraId="07652BDF">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    址：</w:t>
      </w:r>
      <w:r>
        <w:rPr>
          <w:rFonts w:hint="eastAsia" w:asciiTheme="minorEastAsia" w:hAnsiTheme="minorEastAsia" w:eastAsiaTheme="minorEastAsia" w:cstheme="minorEastAsia"/>
          <w:color w:val="auto"/>
          <w:sz w:val="24"/>
          <w:szCs w:val="24"/>
          <w:u w:val="single"/>
        </w:rPr>
        <w:t xml:space="preserve">                               </w:t>
      </w:r>
    </w:p>
    <w:p w14:paraId="4F50B2EC">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成立时间：</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日</w:t>
      </w:r>
    </w:p>
    <w:p w14:paraId="65ECE851">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经营期限：</w:t>
      </w:r>
      <w:r>
        <w:rPr>
          <w:rFonts w:hint="eastAsia" w:asciiTheme="minorEastAsia" w:hAnsiTheme="minorEastAsia" w:eastAsiaTheme="minorEastAsia" w:cstheme="minorEastAsia"/>
          <w:color w:val="auto"/>
          <w:sz w:val="24"/>
          <w:szCs w:val="24"/>
          <w:u w:val="single"/>
        </w:rPr>
        <w:t xml:space="preserve">                               </w:t>
      </w:r>
    </w:p>
    <w:p w14:paraId="4C994A6F">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姓名：</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性别：</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年龄：</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职务：</w:t>
      </w:r>
      <w:r>
        <w:rPr>
          <w:rFonts w:hint="eastAsia" w:asciiTheme="minorEastAsia" w:hAnsiTheme="minorEastAsia" w:eastAsiaTheme="minorEastAsia" w:cstheme="minorEastAsia"/>
          <w:color w:val="auto"/>
          <w:sz w:val="24"/>
          <w:szCs w:val="24"/>
          <w:u w:val="single"/>
        </w:rPr>
        <w:t xml:space="preserve">       </w:t>
      </w:r>
    </w:p>
    <w:p w14:paraId="2FC96A74">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系</w:t>
      </w:r>
      <w:r>
        <w:rPr>
          <w:rFonts w:hint="eastAsia" w:asciiTheme="minorEastAsia" w:hAnsiTheme="minorEastAsia" w:eastAsiaTheme="minorEastAsia" w:cstheme="minorEastAsia"/>
          <w:color w:val="auto"/>
          <w:sz w:val="24"/>
          <w:szCs w:val="24"/>
          <w:u w:val="single"/>
        </w:rPr>
        <w:t xml:space="preserve">       （供应商名称）         </w:t>
      </w:r>
      <w:r>
        <w:rPr>
          <w:rFonts w:hint="eastAsia" w:asciiTheme="minorEastAsia" w:hAnsiTheme="minorEastAsia" w:eastAsiaTheme="minorEastAsia" w:cstheme="minorEastAsia"/>
          <w:color w:val="auto"/>
          <w:sz w:val="24"/>
          <w:szCs w:val="24"/>
        </w:rPr>
        <w:t>的法定代表人。</w:t>
      </w:r>
    </w:p>
    <w:p w14:paraId="5D05ADB8">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特此证明。</w:t>
      </w:r>
    </w:p>
    <w:p w14:paraId="3DE653EB">
      <w:pPr>
        <w:keepNext w:val="0"/>
        <w:keepLines w:val="0"/>
        <w:pageBreakBefore w:val="0"/>
        <w:widowControl w:val="0"/>
        <w:kinsoku/>
        <w:wordWrap/>
        <w:overflowPunct/>
        <w:topLinePunct w:val="0"/>
        <w:autoSpaceDE/>
        <w:autoSpaceDN/>
        <w:bidi w:val="0"/>
        <w:adjustRightInd/>
        <w:snapToGrid w:val="0"/>
        <w:spacing w:line="480" w:lineRule="auto"/>
        <w:ind w:right="-92" w:rightChars="-44" w:firstLine="480"/>
        <w:textAlignment w:val="auto"/>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 xml:space="preserve">                  供应商名称</w:t>
      </w:r>
      <w:r>
        <w:rPr>
          <w:rFonts w:hint="eastAsia" w:asciiTheme="minorEastAsia" w:hAnsiTheme="minorEastAsia" w:eastAsiaTheme="minorEastAsia" w:cstheme="minorEastAsia"/>
          <w:b/>
          <w:bCs/>
          <w:color w:val="auto"/>
          <w:sz w:val="24"/>
          <w:szCs w:val="24"/>
        </w:rPr>
        <w:t>（公章或CA电子签章）</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u w:val="single"/>
        </w:rPr>
        <w:t xml:space="preserve">                     </w:t>
      </w:r>
    </w:p>
    <w:p w14:paraId="482E43AD">
      <w:pPr>
        <w:keepNext w:val="0"/>
        <w:keepLines w:val="0"/>
        <w:pageBreakBefore w:val="0"/>
        <w:widowControl w:val="0"/>
        <w:kinsoku/>
        <w:wordWrap/>
        <w:overflowPunct/>
        <w:topLinePunct w:val="0"/>
        <w:autoSpaceDE/>
        <w:autoSpaceDN/>
        <w:bidi w:val="0"/>
        <w:adjustRightInd/>
        <w:snapToGrid w:val="0"/>
        <w:spacing w:line="480" w:lineRule="auto"/>
        <w:jc w:val="right"/>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1E70D81">
      <w:pPr>
        <w:pStyle w:val="13"/>
        <w:ind w:right="-611" w:rightChars="-29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334645</wp:posOffset>
                </wp:positionV>
                <wp:extent cx="3239770" cy="2045970"/>
                <wp:effectExtent l="5080" t="5080" r="12700" b="6350"/>
                <wp:wrapNone/>
                <wp:docPr id="13" name="矩形 13"/>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noFill/>
                        <a:ln w="9525" cmpd="sng">
                          <a:solidFill>
                            <a:srgbClr val="000000"/>
                          </a:solidFill>
                          <a:miter lim="800000"/>
                        </a:ln>
                        <a:effectLst/>
                      </wps:spPr>
                      <wps:txbx>
                        <w:txbxContent>
                          <w:p w14:paraId="13F1CD54"/>
                          <w:p w14:paraId="3E5EC025"/>
                          <w:p w14:paraId="53FE20DC"/>
                          <w:p w14:paraId="573F7475"/>
                          <w:p w14:paraId="386392DB">
                            <w:pPr>
                              <w:jc w:val="center"/>
                            </w:pPr>
                            <w:r>
                              <w:rPr>
                                <w:rFonts w:hint="eastAsia"/>
                              </w:rPr>
                              <w:t>法定代表人第二代居民身份证</w:t>
                            </w:r>
                          </w:p>
                          <w:p w14:paraId="5F05BA0B">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26.35pt;height:161.1pt;width:255.1pt;z-index:251663360;mso-width-relative:page;mso-height-relative:page;" filled="f" stroked="t" coordsize="21600,21600" o:gfxdata="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9fZ/dYAAAAHAQAADwAAAAAAAAABACAAAAAiAAAAZHJz&#10;L2Rvd25yZXYueG1sUEsBAhQAFAAAAAgAh07iQP8gr6M/AgAAbQQAAA4AAAAAAAAAAQAgAAAAJQEA&#10;AGRycy9lMm9Eb2MueG1sUEsFBgAAAAAGAAYAWQEAANYFAAAAAA==&#10;">
                <v:fill on="f" focussize="0,0"/>
                <v:stroke color="#000000" miterlimit="8" joinstyle="miter"/>
                <v:imagedata o:title=""/>
                <o:lock v:ext="edit" aspectratio="f"/>
                <v:textbox>
                  <w:txbxContent>
                    <w:p w14:paraId="13F1CD54"/>
                    <w:p w14:paraId="3E5EC025"/>
                    <w:p w14:paraId="53FE20DC"/>
                    <w:p w14:paraId="573F7475"/>
                    <w:p w14:paraId="386392DB">
                      <w:pPr>
                        <w:jc w:val="center"/>
                      </w:pPr>
                      <w:r>
                        <w:rPr>
                          <w:rFonts w:hint="eastAsia"/>
                        </w:rPr>
                        <w:t>法定代表人第二代居民身份证</w:t>
                      </w:r>
                    </w:p>
                    <w:p w14:paraId="5F05BA0B">
                      <w:pPr>
                        <w:jc w:val="center"/>
                        <w:rPr>
                          <w:b/>
                        </w:rPr>
                      </w:pPr>
                      <w:r>
                        <w:rPr>
                          <w:rFonts w:hint="eastAsia"/>
                          <w:b/>
                        </w:rPr>
                        <w:t>（正面）</w:t>
                      </w:r>
                    </w:p>
                  </w:txbxContent>
                </v:textbox>
              </v:rect>
            </w:pict>
          </mc:Fallback>
        </mc:AlternateContent>
      </w:r>
      <w:r>
        <w:rPr>
          <w:rFonts w:hint="eastAsia" w:asciiTheme="minorEastAsia" w:hAnsiTheme="minorEastAsia" w:eastAsiaTheme="minorEastAsia" w:cstheme="minorEastAsia"/>
          <w:color w:val="auto"/>
          <w:sz w:val="24"/>
          <w:szCs w:val="24"/>
        </w:rPr>
        <mc:AlternateContent>
          <mc:Choice Requires="wps">
            <w:drawing>
              <wp:anchor distT="180340" distB="0" distL="0" distR="0" simplePos="0" relativeHeight="251661312" behindDoc="0" locked="0" layoutInCell="0" allowOverlap="1">
                <wp:simplePos x="0" y="0"/>
                <wp:positionH relativeFrom="column">
                  <wp:posOffset>0</wp:posOffset>
                </wp:positionH>
                <wp:positionV relativeFrom="paragraph">
                  <wp:posOffset>227965</wp:posOffset>
                </wp:positionV>
                <wp:extent cx="5761990" cy="0"/>
                <wp:effectExtent l="0" t="5080" r="0" b="4445"/>
                <wp:wrapTopAndBottom/>
                <wp:docPr id="12" name="直接连接符 12"/>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margin-left:0pt;margin-top:17.95pt;height:0pt;width:453.7pt;mso-wrap-distance-bottom:0pt;mso-wrap-distance-top:14.2pt;z-index:251661312;mso-width-relative:page;mso-height-relative:page;" filled="f" stroked="t" coordsize="21600,21600" o:allowincell="f" o:gfxdata="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6gx&#10;h9UAAAAGAQAADwAAAAAAAAABACAAAAAiAAAAZHJzL2Rvd25yZXYueG1sUEsBAhQAFAAAAAgAh07i&#10;QGZsa0XsAQAAtwMAAA4AAAAAAAAAAQAgAAAAJAEAAGRycy9lMm9Eb2MueG1sUEsFBgAAAAAGAAYA&#10;WQEAAIIFAAAAAA==&#10;">
                <v:fill on="f" focussize="0,0"/>
                <v:stroke color="#000000" joinstyle="round"/>
                <v:imagedata o:title=""/>
                <o:lock v:ext="edit" aspectratio="f"/>
                <w10:wrap type="topAndBottom"/>
              </v:line>
            </w:pict>
          </mc:Fallback>
        </mc:AlternateContent>
      </w:r>
      <w:r>
        <w:rPr>
          <w:rFonts w:hint="eastAsia" w:asciiTheme="minorEastAsia" w:hAnsiTheme="minorEastAsia" w:eastAsiaTheme="minorEastAsia" w:cstheme="minorEastAsia"/>
          <w:color w:val="auto"/>
          <w:sz w:val="24"/>
          <w:szCs w:val="24"/>
        </w:rPr>
        <w:t xml:space="preserve">                                                                                                                                                                                        </w:t>
      </w:r>
    </w:p>
    <w:p w14:paraId="07FDD68C">
      <w:pPr>
        <w:pStyle w:val="13"/>
        <w:spacing w:line="276" w:lineRule="auto"/>
        <w:ind w:right="-611" w:rightChars="-291"/>
        <w:rPr>
          <w:rFonts w:hint="eastAsia" w:asciiTheme="minorEastAsia" w:hAnsiTheme="minorEastAsia" w:eastAsiaTheme="minorEastAsia" w:cstheme="minorEastAsia"/>
          <w:color w:val="auto"/>
          <w:sz w:val="24"/>
          <w:szCs w:val="24"/>
        </w:rPr>
      </w:pPr>
    </w:p>
    <w:p w14:paraId="301C73AE">
      <w:pPr>
        <w:pStyle w:val="13"/>
        <w:spacing w:line="276" w:lineRule="auto"/>
        <w:ind w:right="-611" w:rightChars="-291"/>
        <w:rPr>
          <w:rFonts w:hint="eastAsia" w:asciiTheme="minorEastAsia" w:hAnsiTheme="minorEastAsia" w:eastAsiaTheme="minorEastAsia" w:cstheme="minorEastAsia"/>
          <w:color w:val="auto"/>
          <w:sz w:val="24"/>
          <w:szCs w:val="24"/>
        </w:rPr>
      </w:pPr>
    </w:p>
    <w:p w14:paraId="4E8EA43D">
      <w:pPr>
        <w:pStyle w:val="13"/>
        <w:spacing w:line="276" w:lineRule="auto"/>
        <w:ind w:right="-611" w:rightChars="-291"/>
        <w:rPr>
          <w:rFonts w:hint="eastAsia" w:asciiTheme="minorEastAsia" w:hAnsiTheme="minorEastAsia" w:eastAsiaTheme="minorEastAsia" w:cstheme="minorEastAsia"/>
          <w:color w:val="auto"/>
          <w:sz w:val="24"/>
          <w:szCs w:val="24"/>
        </w:rPr>
      </w:pPr>
    </w:p>
    <w:p w14:paraId="513FA3AE">
      <w:pPr>
        <w:pStyle w:val="13"/>
        <w:spacing w:line="276" w:lineRule="auto"/>
        <w:ind w:right="-611" w:rightChars="-291"/>
        <w:rPr>
          <w:rFonts w:hint="eastAsia" w:asciiTheme="minorEastAsia" w:hAnsiTheme="minorEastAsia" w:eastAsiaTheme="minorEastAsia" w:cstheme="minorEastAsia"/>
          <w:color w:val="auto"/>
          <w:sz w:val="24"/>
          <w:szCs w:val="24"/>
        </w:rPr>
      </w:pPr>
    </w:p>
    <w:p w14:paraId="11773D27">
      <w:pPr>
        <w:pStyle w:val="13"/>
        <w:spacing w:line="276" w:lineRule="auto"/>
        <w:ind w:right="-611" w:rightChars="-291"/>
        <w:rPr>
          <w:rFonts w:hint="eastAsia" w:asciiTheme="minorEastAsia" w:hAnsiTheme="minorEastAsia" w:eastAsiaTheme="minorEastAsia" w:cstheme="minorEastAsia"/>
          <w:color w:val="auto"/>
          <w:sz w:val="24"/>
          <w:szCs w:val="24"/>
        </w:rPr>
      </w:pPr>
    </w:p>
    <w:p w14:paraId="2671CD12">
      <w:pPr>
        <w:pStyle w:val="13"/>
        <w:spacing w:line="276" w:lineRule="auto"/>
        <w:ind w:right="-611" w:rightChars="-291" w:firstLine="7200" w:firstLineChars="3000"/>
        <w:rPr>
          <w:rFonts w:hint="eastAsia" w:asciiTheme="minorEastAsia" w:hAnsiTheme="minorEastAsia" w:eastAsiaTheme="minorEastAsia" w:cstheme="minorEastAsia"/>
          <w:color w:val="auto"/>
          <w:sz w:val="24"/>
          <w:szCs w:val="24"/>
        </w:rPr>
      </w:pPr>
    </w:p>
    <w:p w14:paraId="76D50573">
      <w:pPr>
        <w:pStyle w:val="13"/>
        <w:spacing w:line="276" w:lineRule="auto"/>
        <w:ind w:right="-611" w:rightChars="-291" w:firstLine="7200" w:firstLineChars="3000"/>
        <w:rPr>
          <w:rFonts w:hint="eastAsia" w:asciiTheme="minorEastAsia" w:hAnsiTheme="minorEastAsia" w:eastAsiaTheme="minorEastAsia" w:cstheme="minorEastAsia"/>
          <w:color w:val="auto"/>
          <w:sz w:val="24"/>
          <w:szCs w:val="24"/>
        </w:rPr>
      </w:pPr>
    </w:p>
    <w:p w14:paraId="653F0BC7">
      <w:pPr>
        <w:pStyle w:val="13"/>
        <w:spacing w:line="276" w:lineRule="auto"/>
        <w:ind w:right="-611" w:rightChars="-291"/>
        <w:rPr>
          <w:rFonts w:hint="eastAsia" w:asciiTheme="minorEastAsia" w:hAnsiTheme="minorEastAsia" w:eastAsiaTheme="minorEastAsia" w:cstheme="minorEastAsia"/>
          <w:color w:val="auto"/>
          <w:sz w:val="24"/>
          <w:szCs w:val="24"/>
        </w:rPr>
      </w:pPr>
    </w:p>
    <w:p w14:paraId="3EB3CD00">
      <w:pPr>
        <w:pStyle w:val="13"/>
        <w:spacing w:line="276" w:lineRule="auto"/>
        <w:ind w:right="-611" w:rightChars="-29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210820</wp:posOffset>
                </wp:positionV>
                <wp:extent cx="3239770" cy="1931670"/>
                <wp:effectExtent l="4445" t="4445" r="13335" b="6985"/>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noFill/>
                        <a:ln w="9525" cmpd="sng">
                          <a:solidFill>
                            <a:srgbClr val="000000"/>
                          </a:solidFill>
                          <a:miter lim="800000"/>
                        </a:ln>
                        <a:effectLst/>
                      </wps:spPr>
                      <wps:txbx>
                        <w:txbxContent>
                          <w:p w14:paraId="79BF13B5"/>
                          <w:p w14:paraId="3263ED2F"/>
                          <w:p w14:paraId="3E8EE33D"/>
                          <w:p w14:paraId="0AB079B9"/>
                          <w:p w14:paraId="2F3A6A87">
                            <w:pPr>
                              <w:jc w:val="center"/>
                            </w:pPr>
                            <w:r>
                              <w:rPr>
                                <w:rFonts w:hint="eastAsia"/>
                              </w:rPr>
                              <w:t>法定代表人第二代居民身份证</w:t>
                            </w:r>
                          </w:p>
                          <w:p w14:paraId="6F1578FC">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16.6pt;height:152.1pt;width:255.1pt;z-index:251662336;mso-width-relative:page;mso-height-relative:page;" filled="f" stroked="t" coordsize="21600,21600" o:gfxdata="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I3OaNUAAAAHAQAADwAAAAAAAAABACAAAAAiAAAAZHJz&#10;L2Rvd25yZXYueG1sUEsBAhQAFAAAAAgAh07iQNRL+UJAAgAAbQQAAA4AAAAAAAAAAQAgAAAAJAEA&#10;AGRycy9lMm9Eb2MueG1sUEsFBgAAAAAGAAYAWQEAANYFAAAAAA==&#10;">
                <v:fill on="f" focussize="0,0"/>
                <v:stroke color="#000000" miterlimit="8" joinstyle="miter"/>
                <v:imagedata o:title=""/>
                <o:lock v:ext="edit" aspectratio="f"/>
                <v:textbox>
                  <w:txbxContent>
                    <w:p w14:paraId="79BF13B5"/>
                    <w:p w14:paraId="3263ED2F"/>
                    <w:p w14:paraId="3E8EE33D"/>
                    <w:p w14:paraId="0AB079B9"/>
                    <w:p w14:paraId="2F3A6A87">
                      <w:pPr>
                        <w:jc w:val="center"/>
                      </w:pPr>
                      <w:r>
                        <w:rPr>
                          <w:rFonts w:hint="eastAsia"/>
                        </w:rPr>
                        <w:t>法定代表人第二代居民身份证</w:t>
                      </w:r>
                    </w:p>
                    <w:p w14:paraId="6F1578FC">
                      <w:pPr>
                        <w:jc w:val="center"/>
                        <w:rPr>
                          <w:b/>
                        </w:rPr>
                      </w:pPr>
                      <w:r>
                        <w:rPr>
                          <w:rFonts w:hint="eastAsia"/>
                          <w:b/>
                        </w:rPr>
                        <w:t>（反面）</w:t>
                      </w:r>
                    </w:p>
                  </w:txbxContent>
                </v:textbox>
              </v:rect>
            </w:pict>
          </mc:Fallback>
        </mc:AlternateContent>
      </w:r>
    </w:p>
    <w:p w14:paraId="12CC4E92">
      <w:pPr>
        <w:pStyle w:val="13"/>
        <w:spacing w:line="276" w:lineRule="auto"/>
        <w:ind w:right="-611" w:rightChars="-291"/>
        <w:rPr>
          <w:rFonts w:hint="eastAsia" w:asciiTheme="minorEastAsia" w:hAnsiTheme="minorEastAsia" w:eastAsiaTheme="minorEastAsia" w:cstheme="minorEastAsia"/>
          <w:color w:val="auto"/>
          <w:sz w:val="24"/>
          <w:szCs w:val="24"/>
        </w:rPr>
      </w:pPr>
    </w:p>
    <w:p w14:paraId="42EEFB26">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6525BEEA">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7419F63D">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23087D32">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17B7A462">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7B2A066F">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1645D16E">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0F801B3E">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40A1C86E">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1992F290">
      <w:pPr>
        <w:spacing w:line="276" w:lineRule="auto"/>
        <w:ind w:right="-611" w:rightChars="-291" w:firstLine="5160" w:firstLineChars="2150"/>
        <w:jc w:val="left"/>
        <w:rPr>
          <w:rFonts w:hint="eastAsia" w:asciiTheme="minorEastAsia" w:hAnsiTheme="minorEastAsia" w:eastAsiaTheme="minorEastAsia" w:cstheme="minorEastAsia"/>
          <w:b/>
          <w:bCs/>
          <w:color w:val="auto"/>
          <w:sz w:val="24"/>
          <w:u w:val="single"/>
        </w:rPr>
      </w:pPr>
      <w:r>
        <w:rPr>
          <w:rFonts w:hint="eastAsia" w:asciiTheme="minorEastAsia" w:hAnsiTheme="minorEastAsia" w:eastAsiaTheme="minorEastAsia" w:cstheme="minorEastAsia"/>
          <w:color w:val="auto"/>
          <w:sz w:val="24"/>
        </w:rPr>
        <w:t>法定代表人</w:t>
      </w:r>
      <w:r>
        <w:rPr>
          <w:rFonts w:hint="eastAsia" w:asciiTheme="minorEastAsia" w:hAnsiTheme="minorEastAsia" w:eastAsiaTheme="minorEastAsia" w:cstheme="minorEastAsia"/>
          <w:b/>
          <w:color w:val="auto"/>
          <w:sz w:val="24"/>
        </w:rPr>
        <w:t>（签字）</w:t>
      </w:r>
      <w:r>
        <w:rPr>
          <w:rFonts w:hint="eastAsia" w:asciiTheme="minorEastAsia" w:hAnsiTheme="minorEastAsia" w:eastAsiaTheme="minorEastAsia" w:cstheme="minorEastAsia"/>
          <w:b/>
          <w:bCs/>
          <w:color w:val="auto"/>
          <w:sz w:val="24"/>
        </w:rPr>
        <w:t>：</w:t>
      </w:r>
      <w:r>
        <w:rPr>
          <w:rFonts w:hint="eastAsia" w:asciiTheme="minorEastAsia" w:hAnsiTheme="minorEastAsia" w:eastAsiaTheme="minorEastAsia" w:cstheme="minorEastAsia"/>
          <w:b/>
          <w:bCs/>
          <w:color w:val="auto"/>
          <w:sz w:val="24"/>
          <w:u w:val="single"/>
        </w:rPr>
        <w:t xml:space="preserve">          </w:t>
      </w:r>
    </w:p>
    <w:p w14:paraId="072281C2">
      <w:pPr>
        <w:spacing w:line="276" w:lineRule="auto"/>
        <w:ind w:right="-611" w:rightChars="-291"/>
        <w:jc w:val="left"/>
        <w:rPr>
          <w:rFonts w:hint="eastAsia" w:asciiTheme="minorEastAsia" w:hAnsiTheme="minorEastAsia" w:eastAsiaTheme="minorEastAsia" w:cstheme="minorEastAsia"/>
          <w:b/>
          <w:bCs/>
          <w:color w:val="auto"/>
          <w:sz w:val="24"/>
          <w:u w:val="single"/>
        </w:rPr>
      </w:pPr>
      <w:r>
        <w:rPr>
          <w:rFonts w:hint="eastAsia" w:asciiTheme="minorEastAsia" w:hAnsiTheme="minorEastAsia" w:eastAsiaTheme="minorEastAsia" w:cstheme="minorEastAsia"/>
          <w:b/>
          <w:color w:val="auto"/>
          <w:sz w:val="24"/>
        </w:rPr>
        <w:t>注：此项材料必须</w:t>
      </w:r>
      <w:r>
        <w:rPr>
          <w:rFonts w:hint="eastAsia" w:asciiTheme="minorEastAsia" w:hAnsiTheme="minorEastAsia" w:eastAsiaTheme="minorEastAsia" w:cstheme="minorEastAsia"/>
          <w:b/>
          <w:bCs/>
          <w:color w:val="auto"/>
          <w:sz w:val="24"/>
        </w:rPr>
        <w:t>以PDF格式上传。</w:t>
      </w:r>
    </w:p>
    <w:p w14:paraId="3EC9AC0F">
      <w:pPr>
        <w:spacing w:line="276" w:lineRule="auto"/>
        <w:ind w:right="-611" w:rightChars="-291" w:firstLine="3735" w:firstLineChars="1550"/>
        <w:jc w:val="left"/>
        <w:rPr>
          <w:rFonts w:hint="eastAsia" w:asciiTheme="minorEastAsia" w:hAnsiTheme="minorEastAsia" w:eastAsiaTheme="minorEastAsia" w:cstheme="minorEastAsia"/>
          <w:b/>
          <w:bCs/>
          <w:color w:val="auto"/>
          <w:sz w:val="24"/>
          <w:u w:val="single"/>
        </w:rPr>
        <w:sectPr>
          <w:pgSz w:w="11906" w:h="16838"/>
          <w:pgMar w:top="1440" w:right="1800" w:bottom="1440" w:left="1800" w:header="851" w:footer="992" w:gutter="0"/>
          <w:pgNumType w:fmt="decimal"/>
          <w:cols w:space="720" w:num="1"/>
          <w:docGrid w:type="lines" w:linePitch="312" w:charSpace="0"/>
        </w:sectPr>
      </w:pPr>
    </w:p>
    <w:p w14:paraId="4D66B0D1">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法定代表人授权委托书</w:t>
      </w:r>
    </w:p>
    <w:p w14:paraId="779A156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u w:val="single"/>
        </w:rPr>
        <w:t>致：</w:t>
      </w:r>
      <w:r>
        <w:rPr>
          <w:rFonts w:hint="eastAsia" w:asciiTheme="minorEastAsia" w:hAnsiTheme="minorEastAsia" w:eastAsiaTheme="minorEastAsia" w:cstheme="minorEastAsia"/>
          <w:color w:val="auto"/>
          <w:sz w:val="24"/>
          <w:szCs w:val="24"/>
          <w:u w:val="single"/>
          <w:lang w:eastAsia="zh-CN"/>
        </w:rPr>
        <w:t>（</w:t>
      </w:r>
      <w:r>
        <w:rPr>
          <w:rFonts w:hint="eastAsia" w:asciiTheme="minorEastAsia" w:hAnsiTheme="minorEastAsia" w:eastAsiaTheme="minorEastAsia" w:cstheme="minorEastAsia"/>
          <w:color w:val="auto"/>
          <w:sz w:val="24"/>
          <w:szCs w:val="24"/>
          <w:u w:val="single"/>
        </w:rPr>
        <w:t>采购人</w:t>
      </w:r>
      <w:r>
        <w:rPr>
          <w:rFonts w:hint="eastAsia" w:asciiTheme="minorEastAsia" w:hAnsiTheme="minorEastAsia" w:eastAsiaTheme="minorEastAsia" w:cstheme="minorEastAsia"/>
          <w:color w:val="auto"/>
          <w:sz w:val="24"/>
          <w:szCs w:val="24"/>
          <w:u w:val="single"/>
          <w:lang w:eastAsia="zh-CN"/>
        </w:rPr>
        <w:t>名称）</w:t>
      </w:r>
      <w:r>
        <w:rPr>
          <w:rFonts w:hint="eastAsia" w:asciiTheme="minorEastAsia" w:hAnsiTheme="minorEastAsia" w:eastAsiaTheme="minorEastAsia" w:cstheme="minorEastAsia"/>
          <w:color w:val="auto"/>
          <w:sz w:val="24"/>
          <w:szCs w:val="24"/>
          <w:u w:val="single"/>
        </w:rPr>
        <w:t>、</w:t>
      </w:r>
      <w:r>
        <w:rPr>
          <w:rFonts w:hint="eastAsia" w:asciiTheme="minorEastAsia" w:hAnsiTheme="minorEastAsia" w:eastAsiaTheme="minorEastAsia" w:cstheme="minorEastAsia"/>
          <w:color w:val="auto"/>
          <w:sz w:val="24"/>
          <w:szCs w:val="24"/>
          <w:u w:val="single"/>
          <w:lang w:eastAsia="zh-CN"/>
        </w:rPr>
        <w:t>（</w:t>
      </w:r>
      <w:r>
        <w:rPr>
          <w:rFonts w:hint="eastAsia" w:asciiTheme="minorEastAsia" w:hAnsiTheme="minorEastAsia" w:eastAsiaTheme="minorEastAsia" w:cstheme="minorEastAsia"/>
          <w:color w:val="auto"/>
          <w:sz w:val="24"/>
          <w:szCs w:val="24"/>
          <w:u w:val="single"/>
        </w:rPr>
        <w:t>采购代理机构</w:t>
      </w:r>
      <w:r>
        <w:rPr>
          <w:rFonts w:hint="eastAsia" w:asciiTheme="minorEastAsia" w:hAnsiTheme="minorEastAsia" w:eastAsiaTheme="minorEastAsia" w:cstheme="minorEastAsia"/>
          <w:color w:val="auto"/>
          <w:sz w:val="24"/>
          <w:szCs w:val="24"/>
          <w:u w:val="single"/>
          <w:lang w:eastAsia="zh-CN"/>
        </w:rPr>
        <w:t>名称）</w:t>
      </w:r>
    </w:p>
    <w:p w14:paraId="6D33AAD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（姓名）系</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（供应商名称）的法定代表人，现授权委托</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（姓名）以我方的名义参加</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项目的响应活动，并代表我方全权办理针对上述项目的响应、开标、转为其他方式采购、评标、签约等具体事务和签署相关文件。</w:t>
      </w:r>
    </w:p>
    <w:p w14:paraId="722EE52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我方对被授权人的签名事项负全部责任。</w:t>
      </w:r>
    </w:p>
    <w:p w14:paraId="0C19252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u w:val="single"/>
        </w:rPr>
        <w:t>在撤销授权的书面通知以前，本授权书一直有效。</w:t>
      </w:r>
      <w:r>
        <w:rPr>
          <w:rFonts w:hint="eastAsia" w:asciiTheme="minorEastAsia" w:hAnsiTheme="minorEastAsia" w:eastAsiaTheme="minorEastAsia" w:cstheme="minorEastAsia"/>
          <w:color w:val="auto"/>
          <w:sz w:val="24"/>
          <w:szCs w:val="24"/>
        </w:rPr>
        <w:t>被授权人在授权书有效期内签署的所有文件不因授权的撤销而失效。</w:t>
      </w:r>
    </w:p>
    <w:p w14:paraId="3BB29D3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被授权人无转委托权，特此委托。</w:t>
      </w:r>
    </w:p>
    <w:p w14:paraId="4E44FC60">
      <w:pPr>
        <w:snapToGrid w:val="0"/>
        <w:spacing w:line="360" w:lineRule="exact"/>
        <w:rPr>
          <w:rFonts w:hint="eastAsia" w:asciiTheme="minorEastAsia" w:hAnsiTheme="minorEastAsia" w:eastAsiaTheme="minorEastAsia" w:cstheme="minorEastAsia"/>
          <w:color w:val="auto"/>
          <w:sz w:val="24"/>
          <w:szCs w:val="24"/>
        </w:rPr>
      </w:pPr>
    </w:p>
    <w:p w14:paraId="4792C2B8">
      <w:pPr>
        <w:snapToGrid w:val="0"/>
        <w:spacing w:line="360" w:lineRule="exact"/>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被授权人</w:t>
      </w:r>
      <w:r>
        <w:rPr>
          <w:rFonts w:hint="eastAsia" w:asciiTheme="minorEastAsia" w:hAnsiTheme="minorEastAsia" w:eastAsiaTheme="minorEastAsia" w:cstheme="minorEastAsia"/>
          <w:b/>
          <w:bCs/>
          <w:color w:val="auto"/>
          <w:sz w:val="24"/>
          <w:szCs w:val="24"/>
        </w:rPr>
        <w:t>（签字）</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 xml:space="preserve">       法定代表人</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color w:val="auto"/>
          <w:sz w:val="24"/>
          <w:szCs w:val="24"/>
        </w:rPr>
        <w:t>签字</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u w:val="single"/>
        </w:rPr>
        <w:t xml:space="preserve">                       </w:t>
      </w:r>
    </w:p>
    <w:p w14:paraId="6444F07F">
      <w:pPr>
        <w:snapToGrid w:val="0"/>
        <w:spacing w:line="36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被授权人所在部门：</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 xml:space="preserve">           被授权人职务：</w:t>
      </w:r>
      <w:r>
        <w:rPr>
          <w:rFonts w:hint="eastAsia" w:asciiTheme="minorEastAsia" w:hAnsiTheme="minorEastAsia" w:eastAsiaTheme="minorEastAsia" w:cstheme="minorEastAsia"/>
          <w:color w:val="auto"/>
          <w:sz w:val="24"/>
          <w:szCs w:val="24"/>
          <w:u w:val="single"/>
        </w:rPr>
        <w:t xml:space="preserve">                             </w:t>
      </w:r>
    </w:p>
    <w:p w14:paraId="43CB284E">
      <w:pPr>
        <w:snapToGrid w:val="0"/>
        <w:spacing w:line="36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被授权人身份证号码：</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 xml:space="preserve"> </w:t>
      </w:r>
    </w:p>
    <w:p w14:paraId="63D60EF4">
      <w:pPr>
        <w:snapToGrid w:val="0"/>
        <w:spacing w:line="36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供应商</w:t>
      </w:r>
      <w:r>
        <w:rPr>
          <w:rFonts w:hint="eastAsia" w:asciiTheme="minorEastAsia" w:hAnsiTheme="minorEastAsia" w:eastAsiaTheme="minorEastAsia" w:cstheme="minorEastAsia"/>
          <w:b/>
          <w:bCs/>
          <w:color w:val="auto"/>
          <w:sz w:val="24"/>
          <w:szCs w:val="24"/>
        </w:rPr>
        <w:t>（公章或CA电子签章）</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u w:val="single"/>
        </w:rPr>
        <w:t xml:space="preserve">                </w:t>
      </w:r>
    </w:p>
    <w:p w14:paraId="26087F95">
      <w:pPr>
        <w:pStyle w:val="13"/>
        <w:spacing w:line="36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日期： </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2F1341E9">
      <w:pPr>
        <w:pStyle w:val="13"/>
        <w:spacing w:line="36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mc:AlternateContent>
          <mc:Choice Requires="wps">
            <w:drawing>
              <wp:anchor distT="0" distB="0" distL="114300" distR="114300" simplePos="0" relativeHeight="251665408" behindDoc="0" locked="0" layoutInCell="1" allowOverlap="1">
                <wp:simplePos x="0" y="0"/>
                <wp:positionH relativeFrom="column">
                  <wp:posOffset>-139700</wp:posOffset>
                </wp:positionH>
                <wp:positionV relativeFrom="paragraph">
                  <wp:posOffset>223520</wp:posOffset>
                </wp:positionV>
                <wp:extent cx="3110230" cy="1745615"/>
                <wp:effectExtent l="4445" t="4445" r="9525" b="2159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110230" cy="1745615"/>
                        </a:xfrm>
                        <a:prstGeom prst="rect">
                          <a:avLst/>
                        </a:prstGeom>
                        <a:solidFill>
                          <a:srgbClr val="FFFFFF"/>
                        </a:solidFill>
                        <a:ln w="9525">
                          <a:solidFill>
                            <a:srgbClr val="000000"/>
                          </a:solidFill>
                          <a:miter lim="800000"/>
                        </a:ln>
                      </wps:spPr>
                      <wps:txbx>
                        <w:txbxContent>
                          <w:p w14:paraId="4CC01FC5">
                            <w:pPr>
                              <w:jc w:val="center"/>
                              <w:rPr>
                                <w:rFonts w:hint="eastAsia" w:ascii="仿宋_GB2312" w:hAnsi="仿宋_GB2312" w:eastAsia="仿宋_GB2312" w:cs="仿宋_GB2312"/>
                              </w:rPr>
                            </w:pPr>
                          </w:p>
                          <w:p w14:paraId="018FA34F">
                            <w:pPr>
                              <w:jc w:val="center"/>
                              <w:rPr>
                                <w:rFonts w:hint="eastAsia" w:ascii="仿宋_GB2312" w:hAnsi="仿宋_GB2312" w:eastAsia="仿宋_GB2312" w:cs="仿宋_GB2312"/>
                              </w:rPr>
                            </w:pPr>
                          </w:p>
                          <w:p w14:paraId="7966CF37">
                            <w:pPr>
                              <w:jc w:val="center"/>
                              <w:rPr>
                                <w:rFonts w:hint="eastAsia" w:ascii="仿宋_GB2312" w:hAnsi="仿宋_GB2312" w:eastAsia="仿宋_GB2312" w:cs="仿宋_GB2312"/>
                              </w:rPr>
                            </w:pPr>
                          </w:p>
                          <w:p w14:paraId="782875AD">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委托代理人第二代居民身份证</w:t>
                            </w:r>
                          </w:p>
                          <w:p w14:paraId="43376210">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rPr>
                              <w:t>（正面）</w:t>
                            </w:r>
                          </w:p>
                          <w:p w14:paraId="3EB9CF29"/>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37.45pt;width:244.9pt;z-index:251665408;mso-width-relative:page;mso-height-relative:page;" fillcolor="#FFFFFF" filled="t" stroked="t" coordsize="21600,21600" o:gfxdata="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ruA3tgAAAAKAQAADwAAAAAAAAABACAAAAAiAAAAZHJzL2Rv&#10;d25yZXYueG1sUEsBAhQAFAAAAAgAh07iQDu8BZQ6AgAAfAQAAA4AAAAAAAAAAQAgAAAAJwEAAGRy&#10;cy9lMm9Eb2MueG1sUEsFBgAAAAAGAAYAWQEAANMFAAAAAA==&#10;">
                <v:fill on="t" focussize="0,0"/>
                <v:stroke color="#000000" miterlimit="8" joinstyle="miter"/>
                <v:imagedata o:title=""/>
                <o:lock v:ext="edit" aspectratio="f"/>
                <v:textbox>
                  <w:txbxContent>
                    <w:p w14:paraId="4CC01FC5">
                      <w:pPr>
                        <w:jc w:val="center"/>
                        <w:rPr>
                          <w:rFonts w:hint="eastAsia" w:ascii="仿宋_GB2312" w:hAnsi="仿宋_GB2312" w:eastAsia="仿宋_GB2312" w:cs="仿宋_GB2312"/>
                        </w:rPr>
                      </w:pPr>
                    </w:p>
                    <w:p w14:paraId="018FA34F">
                      <w:pPr>
                        <w:jc w:val="center"/>
                        <w:rPr>
                          <w:rFonts w:hint="eastAsia" w:ascii="仿宋_GB2312" w:hAnsi="仿宋_GB2312" w:eastAsia="仿宋_GB2312" w:cs="仿宋_GB2312"/>
                        </w:rPr>
                      </w:pPr>
                    </w:p>
                    <w:p w14:paraId="7966CF37">
                      <w:pPr>
                        <w:jc w:val="center"/>
                        <w:rPr>
                          <w:rFonts w:hint="eastAsia" w:ascii="仿宋_GB2312" w:hAnsi="仿宋_GB2312" w:eastAsia="仿宋_GB2312" w:cs="仿宋_GB2312"/>
                        </w:rPr>
                      </w:pPr>
                    </w:p>
                    <w:p w14:paraId="782875AD">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委托代理人第二代居民身份证</w:t>
                      </w:r>
                    </w:p>
                    <w:p w14:paraId="43376210">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rPr>
                        <w:t>（正面）</w:t>
                      </w:r>
                    </w:p>
                    <w:p w14:paraId="3EB9CF29"/>
                  </w:txbxContent>
                </v:textbox>
              </v:rect>
            </w:pict>
          </mc:Fallback>
        </mc:AlternateContent>
      </w:r>
      <w:r>
        <w:rPr>
          <w:rFonts w:hint="eastAsia" w:asciiTheme="minorEastAsia" w:hAnsiTheme="minorEastAsia" w:eastAsiaTheme="minorEastAsia" w:cstheme="minorEastAsia"/>
          <w:color w:val="auto"/>
        </w:rPr>
        <mc:AlternateContent>
          <mc:Choice Requires="wps">
            <w:drawing>
              <wp:anchor distT="0" distB="0" distL="114300" distR="114300" simplePos="0" relativeHeight="251664384"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4"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4384;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GLWXLXAAAACQEAAA8AAAAAAAAA&#10;AQAgAAAAIgAAAGRycy9kb3ducmV2LnhtbFBLAQIUABQAAAAIAIdO4kDBnD6h2QEAAKQDAAAOAAAA&#10;AAAAAAEAIAAAACYBAABkcnMvZTJvRG9jLnhtbFBLBQYAAAAABgAGAFkBAABxBQAAAAA=&#10;">
                <v:fill on="f" focussize="0,0"/>
                <v:stroke color="#000000" joinstyle="round"/>
                <v:imagedata o:title=""/>
                <o:lock v:ext="edit" aspectratio="f"/>
              </v:line>
            </w:pict>
          </mc:Fallback>
        </mc:AlternateContent>
      </w:r>
      <w:r>
        <w:rPr>
          <w:rFonts w:hint="eastAsia" w:asciiTheme="minorEastAsia" w:hAnsiTheme="minorEastAsia" w:eastAsiaTheme="minorEastAsia" w:cstheme="minorEastAsia"/>
          <w:color w:val="auto"/>
        </w:rPr>
        <w:t xml:space="preserve">                                                                                                                                                                                        </w:t>
      </w:r>
    </w:p>
    <w:p w14:paraId="10D445C3">
      <w:pPr>
        <w:pStyle w:val="13"/>
        <w:spacing w:line="480" w:lineRule="exact"/>
        <w:rPr>
          <w:rFonts w:hint="eastAsia" w:asciiTheme="minorEastAsia" w:hAnsiTheme="minorEastAsia" w:eastAsiaTheme="minorEastAsia" w:cstheme="minorEastAsia"/>
          <w:color w:val="auto"/>
        </w:rPr>
      </w:pPr>
    </w:p>
    <w:p w14:paraId="3A851392">
      <w:pPr>
        <w:pStyle w:val="13"/>
        <w:spacing w:line="480" w:lineRule="exact"/>
        <w:rPr>
          <w:rFonts w:hint="eastAsia" w:asciiTheme="minorEastAsia" w:hAnsiTheme="minorEastAsia" w:eastAsiaTheme="minorEastAsia" w:cstheme="minorEastAsia"/>
          <w:color w:val="auto"/>
        </w:rPr>
      </w:pPr>
    </w:p>
    <w:p w14:paraId="1E4C97B1">
      <w:pPr>
        <w:pStyle w:val="13"/>
        <w:spacing w:line="480" w:lineRule="exact"/>
        <w:rPr>
          <w:rFonts w:hint="eastAsia" w:asciiTheme="minorEastAsia" w:hAnsiTheme="minorEastAsia" w:eastAsiaTheme="minorEastAsia" w:cstheme="minorEastAsia"/>
          <w:color w:val="auto"/>
        </w:rPr>
      </w:pPr>
    </w:p>
    <w:p w14:paraId="7B6417FF">
      <w:pPr>
        <w:pStyle w:val="13"/>
        <w:spacing w:line="480" w:lineRule="exact"/>
        <w:rPr>
          <w:rFonts w:hint="eastAsia" w:asciiTheme="minorEastAsia" w:hAnsiTheme="minorEastAsia" w:eastAsiaTheme="minorEastAsia" w:cstheme="minorEastAsia"/>
          <w:color w:val="auto"/>
        </w:rPr>
      </w:pPr>
    </w:p>
    <w:p w14:paraId="49F98267">
      <w:pPr>
        <w:pStyle w:val="13"/>
        <w:spacing w:line="480" w:lineRule="exact"/>
        <w:rPr>
          <w:rFonts w:hint="eastAsia" w:asciiTheme="minorEastAsia" w:hAnsiTheme="minorEastAsia" w:eastAsiaTheme="minorEastAsia" w:cstheme="minorEastAsia"/>
          <w:color w:val="auto"/>
        </w:rPr>
      </w:pPr>
    </w:p>
    <w:p w14:paraId="040C917F">
      <w:pPr>
        <w:pStyle w:val="13"/>
        <w:spacing w:line="240" w:lineRule="atLeast"/>
        <w:ind w:firstLine="5460" w:firstLineChars="2600"/>
        <w:rPr>
          <w:rFonts w:hint="eastAsia" w:asciiTheme="minorEastAsia" w:hAnsiTheme="minorEastAsia" w:eastAsiaTheme="minorEastAsia" w:cstheme="minorEastAsia"/>
          <w:color w:val="auto"/>
          <w:u w:val="single"/>
        </w:rPr>
      </w:pPr>
    </w:p>
    <w:p w14:paraId="71367413">
      <w:pPr>
        <w:pStyle w:val="13"/>
        <w:spacing w:line="240" w:lineRule="atLeast"/>
        <w:ind w:firstLine="5460" w:firstLineChars="2600"/>
        <w:rPr>
          <w:rFonts w:hint="eastAsia" w:asciiTheme="minorEastAsia" w:hAnsiTheme="minorEastAsia" w:eastAsiaTheme="minorEastAsia" w:cstheme="minorEastAsia"/>
          <w:color w:val="auto"/>
          <w:u w:val="single"/>
        </w:rPr>
      </w:pPr>
    </w:p>
    <w:p w14:paraId="510FECEB">
      <w:pPr>
        <w:pStyle w:val="13"/>
        <w:spacing w:line="240" w:lineRule="atLeas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mc:AlternateContent>
          <mc:Choice Requires="wps">
            <w:drawing>
              <wp:anchor distT="0" distB="0" distL="114300" distR="114300" simplePos="0" relativeHeight="251666432" behindDoc="0" locked="0" layoutInCell="1" allowOverlap="1">
                <wp:simplePos x="0" y="0"/>
                <wp:positionH relativeFrom="column">
                  <wp:posOffset>-138430</wp:posOffset>
                </wp:positionH>
                <wp:positionV relativeFrom="paragraph">
                  <wp:posOffset>113665</wp:posOffset>
                </wp:positionV>
                <wp:extent cx="3121025" cy="1758315"/>
                <wp:effectExtent l="4445" t="4445" r="17780" b="8890"/>
                <wp:wrapNone/>
                <wp:docPr id="5" name="矩形 18"/>
                <wp:cNvGraphicFramePr/>
                <a:graphic xmlns:a="http://schemas.openxmlformats.org/drawingml/2006/main">
                  <a:graphicData uri="http://schemas.microsoft.com/office/word/2010/wordprocessingShape">
                    <wps:wsp>
                      <wps:cNvSpPr>
                        <a:spLocks noChangeArrowheads="1"/>
                      </wps:cNvSpPr>
                      <wps:spPr bwMode="auto">
                        <a:xfrm>
                          <a:off x="0" y="0"/>
                          <a:ext cx="3121025" cy="1758315"/>
                        </a:xfrm>
                        <a:prstGeom prst="rect">
                          <a:avLst/>
                        </a:prstGeom>
                        <a:solidFill>
                          <a:srgbClr val="FFFFFF"/>
                        </a:solidFill>
                        <a:ln w="9525">
                          <a:solidFill>
                            <a:srgbClr val="000000"/>
                          </a:solidFill>
                          <a:miter lim="800000"/>
                        </a:ln>
                      </wps:spPr>
                      <wps:txbx>
                        <w:txbxContent>
                          <w:p w14:paraId="794D3F71">
                            <w:pPr>
                              <w:jc w:val="center"/>
                              <w:rPr>
                                <w:rFonts w:hint="eastAsia" w:ascii="仿宋_GB2312" w:hAnsi="仿宋_GB2312" w:eastAsia="仿宋_GB2312" w:cs="仿宋_GB2312"/>
                              </w:rPr>
                            </w:pPr>
                          </w:p>
                          <w:p w14:paraId="2387D34E">
                            <w:pPr>
                              <w:jc w:val="center"/>
                              <w:rPr>
                                <w:rFonts w:hint="eastAsia" w:ascii="仿宋_GB2312" w:hAnsi="仿宋_GB2312" w:eastAsia="仿宋_GB2312" w:cs="仿宋_GB2312"/>
                              </w:rPr>
                            </w:pPr>
                          </w:p>
                          <w:p w14:paraId="181CEB9A">
                            <w:pPr>
                              <w:jc w:val="center"/>
                              <w:rPr>
                                <w:rFonts w:hint="eastAsia" w:ascii="仿宋_GB2312" w:hAnsi="仿宋_GB2312" w:eastAsia="仿宋_GB2312" w:cs="仿宋_GB2312"/>
                              </w:rPr>
                            </w:pPr>
                          </w:p>
                          <w:p w14:paraId="28873422">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委托代理人第二代居民身份证</w:t>
                            </w:r>
                          </w:p>
                          <w:p w14:paraId="65E7D73D">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rPr>
                              <w:t>（背面）</w:t>
                            </w:r>
                          </w:p>
                          <w:p w14:paraId="0A3925A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38.45pt;width:245.75pt;z-index:251666432;mso-width-relative:page;mso-height-relative:page;" fillcolor="#FFFFFF" filled="t" stroked="t" coordsize="21600,21600" o:gfxdata="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yvmDdkAAAAKAQAADwAAAAAAAAABACAAAAAiAAAAZHJzL2Rvd25y&#10;ZXYueG1sUEsBAhQAFAAAAAgAh07iQEkukw82AgAAfAQAAA4AAAAAAAAAAQAgAAAAKAEAAGRycy9l&#10;Mm9Eb2MueG1sUEsFBgAAAAAGAAYAWQEAANAFAAAAAA==&#10;">
                <v:fill on="t" focussize="0,0"/>
                <v:stroke color="#000000" miterlimit="8" joinstyle="miter"/>
                <v:imagedata o:title=""/>
                <o:lock v:ext="edit" aspectratio="f"/>
                <v:textbox>
                  <w:txbxContent>
                    <w:p w14:paraId="794D3F71">
                      <w:pPr>
                        <w:jc w:val="center"/>
                        <w:rPr>
                          <w:rFonts w:hint="eastAsia" w:ascii="仿宋_GB2312" w:hAnsi="仿宋_GB2312" w:eastAsia="仿宋_GB2312" w:cs="仿宋_GB2312"/>
                        </w:rPr>
                      </w:pPr>
                    </w:p>
                    <w:p w14:paraId="2387D34E">
                      <w:pPr>
                        <w:jc w:val="center"/>
                        <w:rPr>
                          <w:rFonts w:hint="eastAsia" w:ascii="仿宋_GB2312" w:hAnsi="仿宋_GB2312" w:eastAsia="仿宋_GB2312" w:cs="仿宋_GB2312"/>
                        </w:rPr>
                      </w:pPr>
                    </w:p>
                    <w:p w14:paraId="181CEB9A">
                      <w:pPr>
                        <w:jc w:val="center"/>
                        <w:rPr>
                          <w:rFonts w:hint="eastAsia" w:ascii="仿宋_GB2312" w:hAnsi="仿宋_GB2312" w:eastAsia="仿宋_GB2312" w:cs="仿宋_GB2312"/>
                        </w:rPr>
                      </w:pPr>
                    </w:p>
                    <w:p w14:paraId="28873422">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委托代理人第二代居民身份证</w:t>
                      </w:r>
                    </w:p>
                    <w:p w14:paraId="65E7D73D">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rPr>
                        <w:t>（背面）</w:t>
                      </w:r>
                    </w:p>
                    <w:p w14:paraId="0A3925AA"/>
                  </w:txbxContent>
                </v:textbox>
              </v:rect>
            </w:pict>
          </mc:Fallback>
        </mc:AlternateContent>
      </w:r>
    </w:p>
    <w:p w14:paraId="6B00E27D">
      <w:pPr>
        <w:pStyle w:val="13"/>
        <w:spacing w:line="240" w:lineRule="exact"/>
        <w:rPr>
          <w:rFonts w:hint="eastAsia" w:asciiTheme="minorEastAsia" w:hAnsiTheme="minorEastAsia" w:eastAsiaTheme="minorEastAsia" w:cstheme="minorEastAsia"/>
          <w:color w:val="auto"/>
        </w:rPr>
      </w:pPr>
    </w:p>
    <w:p w14:paraId="1BFDBD90">
      <w:pPr>
        <w:pStyle w:val="13"/>
        <w:spacing w:line="240" w:lineRule="exact"/>
        <w:rPr>
          <w:rFonts w:hint="eastAsia" w:asciiTheme="minorEastAsia" w:hAnsiTheme="minorEastAsia" w:eastAsiaTheme="minorEastAsia" w:cstheme="minorEastAsia"/>
          <w:color w:val="auto"/>
          <w:sz w:val="44"/>
        </w:rPr>
      </w:pPr>
    </w:p>
    <w:p w14:paraId="705E035E">
      <w:pPr>
        <w:pStyle w:val="13"/>
        <w:spacing w:line="240" w:lineRule="exact"/>
        <w:rPr>
          <w:rFonts w:hint="eastAsia" w:asciiTheme="minorEastAsia" w:hAnsiTheme="minorEastAsia" w:eastAsiaTheme="minorEastAsia" w:cstheme="minorEastAsia"/>
          <w:color w:val="auto"/>
          <w:sz w:val="44"/>
        </w:rPr>
      </w:pPr>
    </w:p>
    <w:p w14:paraId="61B426FB">
      <w:pPr>
        <w:pStyle w:val="13"/>
        <w:spacing w:line="240" w:lineRule="exact"/>
        <w:rPr>
          <w:rFonts w:hint="eastAsia" w:asciiTheme="minorEastAsia" w:hAnsiTheme="minorEastAsia" w:eastAsiaTheme="minorEastAsia" w:cstheme="minorEastAsia"/>
          <w:color w:val="auto"/>
          <w:sz w:val="44"/>
        </w:rPr>
      </w:pPr>
    </w:p>
    <w:p w14:paraId="57485282">
      <w:pPr>
        <w:pStyle w:val="13"/>
        <w:spacing w:line="240" w:lineRule="exact"/>
        <w:rPr>
          <w:rFonts w:hint="eastAsia" w:asciiTheme="minorEastAsia" w:hAnsiTheme="minorEastAsia" w:eastAsiaTheme="minorEastAsia" w:cstheme="minorEastAsia"/>
          <w:color w:val="auto"/>
          <w:sz w:val="44"/>
        </w:rPr>
      </w:pPr>
    </w:p>
    <w:p w14:paraId="0C923194">
      <w:pPr>
        <w:pStyle w:val="13"/>
        <w:spacing w:line="240" w:lineRule="exact"/>
        <w:rPr>
          <w:rFonts w:hint="eastAsia" w:asciiTheme="minorEastAsia" w:hAnsiTheme="minorEastAsia" w:eastAsiaTheme="minorEastAsia" w:cstheme="minorEastAsia"/>
          <w:color w:val="auto"/>
          <w:sz w:val="44"/>
        </w:rPr>
      </w:pPr>
    </w:p>
    <w:p w14:paraId="5F84A0E7">
      <w:pPr>
        <w:pStyle w:val="13"/>
        <w:spacing w:line="240" w:lineRule="exact"/>
        <w:rPr>
          <w:rFonts w:hint="eastAsia" w:asciiTheme="minorEastAsia" w:hAnsiTheme="minorEastAsia" w:eastAsiaTheme="minorEastAsia" w:cstheme="minorEastAsia"/>
          <w:color w:val="auto"/>
          <w:sz w:val="44"/>
        </w:rPr>
      </w:pPr>
    </w:p>
    <w:p w14:paraId="7E1DA936">
      <w:pPr>
        <w:pStyle w:val="13"/>
        <w:spacing w:line="240" w:lineRule="exact"/>
        <w:rPr>
          <w:rFonts w:hint="eastAsia" w:asciiTheme="minorEastAsia" w:hAnsiTheme="minorEastAsia" w:eastAsiaTheme="minorEastAsia" w:cstheme="minorEastAsia"/>
          <w:color w:val="auto"/>
          <w:sz w:val="44"/>
        </w:rPr>
      </w:pPr>
    </w:p>
    <w:p w14:paraId="52F18104">
      <w:pPr>
        <w:pStyle w:val="13"/>
        <w:spacing w:line="240" w:lineRule="exact"/>
        <w:rPr>
          <w:rFonts w:hint="eastAsia" w:asciiTheme="minorEastAsia" w:hAnsiTheme="minorEastAsia" w:eastAsiaTheme="minorEastAsia" w:cstheme="minorEastAsia"/>
          <w:color w:val="auto"/>
          <w:sz w:val="44"/>
        </w:rPr>
      </w:pPr>
    </w:p>
    <w:p w14:paraId="15EF4ECC">
      <w:pPr>
        <w:pStyle w:val="13"/>
        <w:spacing w:line="240" w:lineRule="exact"/>
        <w:rPr>
          <w:rFonts w:hint="eastAsia" w:asciiTheme="minorEastAsia" w:hAnsiTheme="minorEastAsia" w:eastAsiaTheme="minorEastAsia" w:cstheme="minorEastAsia"/>
          <w:color w:val="auto"/>
          <w:sz w:val="44"/>
        </w:rPr>
      </w:pPr>
    </w:p>
    <w:p w14:paraId="699F4587">
      <w:pPr>
        <w:spacing w:line="276" w:lineRule="auto"/>
        <w:ind w:right="-611" w:rightChars="-29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                                             </w:t>
      </w:r>
    </w:p>
    <w:p w14:paraId="525D996A">
      <w:pPr>
        <w:spacing w:line="276" w:lineRule="auto"/>
        <w:jc w:val="left"/>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b/>
          <w:color w:val="auto"/>
          <w:sz w:val="24"/>
        </w:rPr>
        <w:t>注：此项材料必须</w:t>
      </w:r>
      <w:r>
        <w:rPr>
          <w:rFonts w:hint="eastAsia" w:asciiTheme="minorEastAsia" w:hAnsiTheme="minorEastAsia" w:eastAsiaTheme="minorEastAsia" w:cstheme="minorEastAsia"/>
          <w:b/>
          <w:bCs/>
          <w:color w:val="auto"/>
          <w:sz w:val="24"/>
        </w:rPr>
        <w:t>以PDF格式上传。</w:t>
      </w:r>
    </w:p>
    <w:p w14:paraId="2081BD17">
      <w:pPr>
        <w:spacing w:line="276" w:lineRule="auto"/>
        <w:ind w:right="-611" w:rightChars="-291"/>
        <w:rPr>
          <w:rFonts w:hint="eastAsia" w:asciiTheme="minorEastAsia" w:hAnsiTheme="minorEastAsia" w:eastAsiaTheme="minorEastAsia" w:cstheme="minorEastAsia"/>
          <w:color w:val="auto"/>
          <w:sz w:val="24"/>
          <w:u w:val="single"/>
        </w:rPr>
        <w:sectPr>
          <w:pgSz w:w="11906" w:h="16838"/>
          <w:pgMar w:top="1440" w:right="1800" w:bottom="1440" w:left="1800" w:header="851" w:footer="992" w:gutter="0"/>
          <w:pgNumType w:fmt="decimal"/>
          <w:cols w:space="720" w:num="1"/>
          <w:docGrid w:type="lines" w:linePitch="312" w:charSpace="0"/>
        </w:sectPr>
      </w:pPr>
    </w:p>
    <w:p w14:paraId="285966B5">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lang w:eastAsia="zh-CN"/>
        </w:rPr>
      </w:pPr>
      <w:bookmarkStart w:id="39" w:name="_Hlk56604311"/>
      <w:r>
        <w:rPr>
          <w:rFonts w:hint="eastAsia" w:asciiTheme="minorEastAsia" w:hAnsiTheme="minorEastAsia" w:eastAsiaTheme="minorEastAsia" w:cstheme="minorEastAsia"/>
          <w:b/>
          <w:bCs/>
          <w:color w:val="auto"/>
          <w:spacing w:val="5"/>
          <w:sz w:val="32"/>
          <w:szCs w:val="32"/>
        </w:rPr>
        <w:t>商务要求偏离表</w:t>
      </w:r>
      <w:r>
        <w:rPr>
          <w:rFonts w:hint="eastAsia" w:asciiTheme="minorEastAsia" w:hAnsiTheme="minorEastAsia" w:eastAsiaTheme="minorEastAsia" w:cstheme="minorEastAsia"/>
          <w:b/>
          <w:bCs/>
          <w:color w:val="auto"/>
          <w:spacing w:val="5"/>
          <w:sz w:val="32"/>
          <w:szCs w:val="32"/>
          <w:lang w:eastAsia="zh-CN"/>
        </w:rPr>
        <w:t>（格式）</w:t>
      </w:r>
    </w:p>
    <w:p w14:paraId="55A06F83">
      <w:pPr>
        <w:spacing w:line="500" w:lineRule="exact"/>
        <w:jc w:val="center"/>
        <w:rPr>
          <w:rFonts w:hint="eastAsia" w:asciiTheme="minorEastAsia" w:hAnsiTheme="minorEastAsia" w:eastAsiaTheme="minorEastAsia" w:cstheme="minorEastAsia"/>
          <w:bCs/>
          <w:iCs/>
          <w:color w:val="auto"/>
          <w:sz w:val="32"/>
          <w:szCs w:val="32"/>
          <w:highlight w:val="none"/>
        </w:rPr>
      </w:pPr>
      <w:r>
        <w:rPr>
          <w:rFonts w:hint="eastAsia" w:asciiTheme="minorEastAsia" w:hAnsiTheme="minorEastAsia" w:eastAsiaTheme="minorEastAsia" w:cstheme="minorEastAsia"/>
          <w:bCs/>
          <w:iCs/>
          <w:color w:val="auto"/>
          <w:sz w:val="32"/>
          <w:szCs w:val="32"/>
          <w:highlight w:val="none"/>
        </w:rPr>
        <w:t>（注：按采购需求具体条款修改）</w:t>
      </w:r>
    </w:p>
    <w:p w14:paraId="288EF5FF">
      <w:pPr>
        <w:spacing w:line="360" w:lineRule="auto"/>
        <w:rPr>
          <w:rFonts w:hint="eastAsia"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lang w:val="en-US" w:eastAsia="zh-CN"/>
        </w:rPr>
        <w:t xml:space="preserve">                      </w:t>
      </w:r>
    </w:p>
    <w:p w14:paraId="639515FB">
      <w:pPr>
        <w:spacing w:line="360" w:lineRule="auto"/>
        <w:rPr>
          <w:rFonts w:hint="eastAsia"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lang w:val="en-US" w:eastAsia="zh-CN"/>
        </w:rPr>
        <w:t xml:space="preserve">                      </w:t>
      </w:r>
    </w:p>
    <w:tbl>
      <w:tblPr>
        <w:tblStyle w:val="20"/>
        <w:tblW w:w="90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64"/>
        <w:gridCol w:w="2407"/>
        <w:gridCol w:w="2375"/>
        <w:gridCol w:w="2272"/>
      </w:tblGrid>
      <w:tr w14:paraId="0C59E1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1964" w:type="dxa"/>
            <w:tcBorders>
              <w:top w:val="single" w:color="auto" w:sz="4" w:space="0"/>
              <w:left w:val="single" w:color="auto" w:sz="4" w:space="0"/>
              <w:bottom w:val="single" w:color="auto" w:sz="4" w:space="0"/>
              <w:right w:val="single" w:color="auto" w:sz="4" w:space="0"/>
            </w:tcBorders>
            <w:vAlign w:val="center"/>
          </w:tcPr>
          <w:p w14:paraId="4CE22892">
            <w:pPr>
              <w:snapToGrid w:val="0"/>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项目</w:t>
            </w:r>
          </w:p>
        </w:tc>
        <w:tc>
          <w:tcPr>
            <w:tcW w:w="2407" w:type="dxa"/>
            <w:tcBorders>
              <w:top w:val="single" w:color="auto" w:sz="4" w:space="0"/>
              <w:left w:val="single" w:color="auto" w:sz="4" w:space="0"/>
              <w:bottom w:val="single" w:color="auto" w:sz="4" w:space="0"/>
              <w:right w:val="single" w:color="auto" w:sz="4" w:space="0"/>
            </w:tcBorders>
            <w:vAlign w:val="center"/>
          </w:tcPr>
          <w:p w14:paraId="531F6300">
            <w:pPr>
              <w:snapToGrid w:val="0"/>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谈判文件商务要求</w:t>
            </w:r>
          </w:p>
        </w:tc>
        <w:tc>
          <w:tcPr>
            <w:tcW w:w="2375" w:type="dxa"/>
            <w:tcBorders>
              <w:top w:val="single" w:color="auto" w:sz="4" w:space="0"/>
              <w:left w:val="single" w:color="auto" w:sz="4" w:space="0"/>
              <w:bottom w:val="single" w:color="auto" w:sz="4" w:space="0"/>
              <w:right w:val="single" w:color="auto" w:sz="4" w:space="0"/>
            </w:tcBorders>
            <w:vAlign w:val="center"/>
          </w:tcPr>
          <w:p w14:paraId="674662B1">
            <w:pPr>
              <w:snapToGrid w:val="0"/>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供应商的响应</w:t>
            </w:r>
          </w:p>
        </w:tc>
        <w:tc>
          <w:tcPr>
            <w:tcW w:w="2272" w:type="dxa"/>
            <w:tcBorders>
              <w:top w:val="single" w:color="auto" w:sz="4" w:space="0"/>
              <w:left w:val="single" w:color="auto" w:sz="4" w:space="0"/>
              <w:bottom w:val="single" w:color="auto" w:sz="4" w:space="0"/>
              <w:right w:val="single" w:color="auto" w:sz="4" w:space="0"/>
            </w:tcBorders>
            <w:vAlign w:val="center"/>
          </w:tcPr>
          <w:p w14:paraId="26519AD4">
            <w:pPr>
              <w:snapToGrid w:val="0"/>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偏离说明</w:t>
            </w:r>
          </w:p>
        </w:tc>
      </w:tr>
      <w:tr w14:paraId="43FF5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1964" w:type="dxa"/>
            <w:tcBorders>
              <w:top w:val="single" w:color="auto" w:sz="4" w:space="0"/>
              <w:left w:val="single" w:color="auto" w:sz="4" w:space="0"/>
              <w:bottom w:val="single" w:color="auto" w:sz="4" w:space="0"/>
              <w:right w:val="single" w:color="auto" w:sz="4" w:space="0"/>
            </w:tcBorders>
            <w:vAlign w:val="center"/>
          </w:tcPr>
          <w:p w14:paraId="7F7CB213">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交货时间和</w:t>
            </w:r>
          </w:p>
          <w:p w14:paraId="51EFF77B">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地点</w:t>
            </w:r>
          </w:p>
        </w:tc>
        <w:tc>
          <w:tcPr>
            <w:tcW w:w="2407" w:type="dxa"/>
            <w:tcBorders>
              <w:top w:val="single" w:color="auto" w:sz="4" w:space="0"/>
              <w:left w:val="single" w:color="auto" w:sz="4" w:space="0"/>
              <w:bottom w:val="single" w:color="auto" w:sz="4" w:space="0"/>
              <w:right w:val="single" w:color="auto" w:sz="4" w:space="0"/>
            </w:tcBorders>
            <w:vAlign w:val="center"/>
          </w:tcPr>
          <w:p w14:paraId="25306013">
            <w:pPr>
              <w:spacing w:line="400" w:lineRule="exact"/>
              <w:jc w:val="center"/>
              <w:rPr>
                <w:rFonts w:hint="eastAsia" w:asciiTheme="minorEastAsia" w:hAnsiTheme="minorEastAsia" w:eastAsiaTheme="minorEastAsia" w:cstheme="minorEastAsia"/>
                <w:color w:val="auto"/>
                <w:sz w:val="24"/>
                <w:highlight w:val="none"/>
              </w:rPr>
            </w:pPr>
          </w:p>
        </w:tc>
        <w:tc>
          <w:tcPr>
            <w:tcW w:w="2375" w:type="dxa"/>
            <w:tcBorders>
              <w:top w:val="single" w:color="auto" w:sz="4" w:space="0"/>
              <w:left w:val="single" w:color="auto" w:sz="4" w:space="0"/>
              <w:bottom w:val="single" w:color="auto" w:sz="4" w:space="0"/>
              <w:right w:val="single" w:color="auto" w:sz="4" w:space="0"/>
            </w:tcBorders>
            <w:vAlign w:val="center"/>
          </w:tcPr>
          <w:p w14:paraId="1A6C3797">
            <w:pPr>
              <w:snapToGrid w:val="0"/>
              <w:spacing w:line="400" w:lineRule="exact"/>
              <w:jc w:val="center"/>
              <w:rPr>
                <w:rFonts w:hint="eastAsia" w:asciiTheme="minorEastAsia" w:hAnsiTheme="minorEastAsia" w:eastAsiaTheme="minorEastAsia" w:cstheme="minorEastAsia"/>
                <w:color w:val="auto"/>
                <w:sz w:val="24"/>
                <w:highlight w:val="none"/>
              </w:rPr>
            </w:pPr>
          </w:p>
        </w:tc>
        <w:tc>
          <w:tcPr>
            <w:tcW w:w="2272" w:type="dxa"/>
            <w:tcBorders>
              <w:top w:val="single" w:color="auto" w:sz="4" w:space="0"/>
              <w:left w:val="single" w:color="auto" w:sz="4" w:space="0"/>
              <w:bottom w:val="single" w:color="auto" w:sz="4" w:space="0"/>
              <w:right w:val="single" w:color="auto" w:sz="4" w:space="0"/>
            </w:tcBorders>
            <w:vAlign w:val="center"/>
          </w:tcPr>
          <w:p w14:paraId="3142B54D">
            <w:pPr>
              <w:snapToGrid w:val="0"/>
              <w:spacing w:line="400" w:lineRule="exact"/>
              <w:jc w:val="center"/>
              <w:rPr>
                <w:rFonts w:hint="eastAsia" w:asciiTheme="minorEastAsia" w:hAnsiTheme="minorEastAsia" w:eastAsiaTheme="minorEastAsia" w:cstheme="minorEastAsia"/>
                <w:color w:val="auto"/>
                <w:sz w:val="24"/>
                <w:highlight w:val="none"/>
              </w:rPr>
            </w:pPr>
          </w:p>
        </w:tc>
      </w:tr>
      <w:tr w14:paraId="528A2A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1964" w:type="dxa"/>
            <w:tcBorders>
              <w:top w:val="single" w:color="auto" w:sz="4" w:space="0"/>
              <w:left w:val="single" w:color="auto" w:sz="4" w:space="0"/>
              <w:bottom w:val="single" w:color="auto" w:sz="4" w:space="0"/>
              <w:right w:val="single" w:color="auto" w:sz="4" w:space="0"/>
            </w:tcBorders>
            <w:vAlign w:val="center"/>
          </w:tcPr>
          <w:p w14:paraId="4731EE9A">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合同签订时间</w:t>
            </w:r>
          </w:p>
        </w:tc>
        <w:tc>
          <w:tcPr>
            <w:tcW w:w="2407" w:type="dxa"/>
            <w:tcBorders>
              <w:top w:val="single" w:color="auto" w:sz="4" w:space="0"/>
              <w:left w:val="single" w:color="auto" w:sz="4" w:space="0"/>
              <w:bottom w:val="single" w:color="auto" w:sz="4" w:space="0"/>
              <w:right w:val="single" w:color="auto" w:sz="4" w:space="0"/>
            </w:tcBorders>
            <w:vAlign w:val="center"/>
          </w:tcPr>
          <w:p w14:paraId="3EC91E58">
            <w:pPr>
              <w:spacing w:line="400" w:lineRule="exact"/>
              <w:jc w:val="center"/>
              <w:rPr>
                <w:rFonts w:hint="eastAsia" w:asciiTheme="minorEastAsia" w:hAnsiTheme="minorEastAsia" w:eastAsiaTheme="minorEastAsia" w:cstheme="minorEastAsia"/>
                <w:color w:val="auto"/>
                <w:sz w:val="24"/>
                <w:highlight w:val="none"/>
              </w:rPr>
            </w:pPr>
          </w:p>
        </w:tc>
        <w:tc>
          <w:tcPr>
            <w:tcW w:w="2375" w:type="dxa"/>
            <w:tcBorders>
              <w:top w:val="single" w:color="auto" w:sz="4" w:space="0"/>
              <w:left w:val="single" w:color="auto" w:sz="4" w:space="0"/>
              <w:bottom w:val="single" w:color="auto" w:sz="4" w:space="0"/>
              <w:right w:val="single" w:color="auto" w:sz="4" w:space="0"/>
            </w:tcBorders>
            <w:vAlign w:val="center"/>
          </w:tcPr>
          <w:p w14:paraId="7A334903">
            <w:pPr>
              <w:snapToGrid w:val="0"/>
              <w:spacing w:line="400" w:lineRule="exact"/>
              <w:jc w:val="center"/>
              <w:rPr>
                <w:rFonts w:hint="eastAsia" w:asciiTheme="minorEastAsia" w:hAnsiTheme="minorEastAsia" w:eastAsiaTheme="minorEastAsia" w:cstheme="minorEastAsia"/>
                <w:color w:val="auto"/>
                <w:sz w:val="24"/>
                <w:highlight w:val="none"/>
              </w:rPr>
            </w:pPr>
          </w:p>
        </w:tc>
        <w:tc>
          <w:tcPr>
            <w:tcW w:w="2272" w:type="dxa"/>
            <w:tcBorders>
              <w:top w:val="single" w:color="auto" w:sz="4" w:space="0"/>
              <w:left w:val="single" w:color="auto" w:sz="4" w:space="0"/>
              <w:bottom w:val="single" w:color="auto" w:sz="4" w:space="0"/>
              <w:right w:val="single" w:color="auto" w:sz="4" w:space="0"/>
            </w:tcBorders>
            <w:vAlign w:val="center"/>
          </w:tcPr>
          <w:p w14:paraId="46524C0F">
            <w:pPr>
              <w:snapToGrid w:val="0"/>
              <w:spacing w:line="400" w:lineRule="exact"/>
              <w:jc w:val="center"/>
              <w:rPr>
                <w:rFonts w:hint="eastAsia" w:asciiTheme="minorEastAsia" w:hAnsiTheme="minorEastAsia" w:eastAsiaTheme="minorEastAsia" w:cstheme="minorEastAsia"/>
                <w:color w:val="auto"/>
                <w:sz w:val="24"/>
                <w:highlight w:val="none"/>
              </w:rPr>
            </w:pPr>
          </w:p>
        </w:tc>
      </w:tr>
      <w:tr w14:paraId="791CBD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3" w:hRule="atLeast"/>
          <w:jc w:val="center"/>
        </w:trPr>
        <w:tc>
          <w:tcPr>
            <w:tcW w:w="1964" w:type="dxa"/>
            <w:tcBorders>
              <w:top w:val="single" w:color="auto" w:sz="4" w:space="0"/>
              <w:left w:val="single" w:color="auto" w:sz="4" w:space="0"/>
              <w:bottom w:val="single" w:color="auto" w:sz="4" w:space="0"/>
              <w:right w:val="single" w:color="auto" w:sz="4" w:space="0"/>
            </w:tcBorders>
            <w:vAlign w:val="center"/>
          </w:tcPr>
          <w:p w14:paraId="6BF5FE6B">
            <w:pPr>
              <w:snapToGrid w:val="0"/>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tc>
        <w:tc>
          <w:tcPr>
            <w:tcW w:w="2407" w:type="dxa"/>
            <w:tcBorders>
              <w:top w:val="single" w:color="auto" w:sz="4" w:space="0"/>
              <w:left w:val="single" w:color="auto" w:sz="4" w:space="0"/>
              <w:bottom w:val="single" w:color="auto" w:sz="4" w:space="0"/>
              <w:right w:val="single" w:color="auto" w:sz="4" w:space="0"/>
            </w:tcBorders>
            <w:vAlign w:val="center"/>
          </w:tcPr>
          <w:p w14:paraId="5774381E">
            <w:pPr>
              <w:snapToGrid w:val="0"/>
              <w:spacing w:line="400" w:lineRule="exact"/>
              <w:jc w:val="center"/>
              <w:rPr>
                <w:rFonts w:hint="eastAsia" w:asciiTheme="minorEastAsia" w:hAnsiTheme="minorEastAsia" w:eastAsiaTheme="minorEastAsia" w:cstheme="minorEastAsia"/>
                <w:color w:val="auto"/>
                <w:sz w:val="24"/>
                <w:highlight w:val="none"/>
              </w:rPr>
            </w:pPr>
          </w:p>
        </w:tc>
        <w:tc>
          <w:tcPr>
            <w:tcW w:w="2375" w:type="dxa"/>
            <w:tcBorders>
              <w:top w:val="single" w:color="auto" w:sz="4" w:space="0"/>
              <w:left w:val="single" w:color="auto" w:sz="4" w:space="0"/>
              <w:bottom w:val="single" w:color="auto" w:sz="4" w:space="0"/>
              <w:right w:val="single" w:color="auto" w:sz="4" w:space="0"/>
            </w:tcBorders>
            <w:vAlign w:val="center"/>
          </w:tcPr>
          <w:p w14:paraId="1020DA47">
            <w:pPr>
              <w:snapToGrid w:val="0"/>
              <w:spacing w:line="400" w:lineRule="exact"/>
              <w:jc w:val="center"/>
              <w:rPr>
                <w:rFonts w:hint="eastAsia" w:asciiTheme="minorEastAsia" w:hAnsiTheme="minorEastAsia" w:eastAsiaTheme="minorEastAsia" w:cstheme="minorEastAsia"/>
                <w:color w:val="auto"/>
                <w:sz w:val="24"/>
                <w:highlight w:val="none"/>
              </w:rPr>
            </w:pPr>
          </w:p>
        </w:tc>
        <w:tc>
          <w:tcPr>
            <w:tcW w:w="2272" w:type="dxa"/>
            <w:tcBorders>
              <w:top w:val="single" w:color="auto" w:sz="4" w:space="0"/>
              <w:left w:val="single" w:color="auto" w:sz="4" w:space="0"/>
              <w:bottom w:val="single" w:color="auto" w:sz="4" w:space="0"/>
              <w:right w:val="single" w:color="auto" w:sz="4" w:space="0"/>
            </w:tcBorders>
            <w:vAlign w:val="center"/>
          </w:tcPr>
          <w:p w14:paraId="565ED3BD">
            <w:pPr>
              <w:snapToGrid w:val="0"/>
              <w:spacing w:line="400" w:lineRule="exact"/>
              <w:jc w:val="center"/>
              <w:rPr>
                <w:rFonts w:hint="eastAsia" w:asciiTheme="minorEastAsia" w:hAnsiTheme="minorEastAsia" w:eastAsiaTheme="minorEastAsia" w:cstheme="minorEastAsia"/>
                <w:color w:val="auto"/>
                <w:sz w:val="24"/>
                <w:highlight w:val="none"/>
              </w:rPr>
            </w:pPr>
          </w:p>
        </w:tc>
      </w:tr>
    </w:tbl>
    <w:p w14:paraId="61184461">
      <w:pPr>
        <w:pStyle w:val="8"/>
        <w:spacing w:after="0" w:line="360" w:lineRule="auto"/>
        <w:contextualSpacing/>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注：</w:t>
      </w:r>
    </w:p>
    <w:p w14:paraId="62811BAA">
      <w:pPr>
        <w:pStyle w:val="8"/>
        <w:keepNext w:val="0"/>
        <w:keepLines w:val="0"/>
        <w:pageBreakBefore w:val="0"/>
        <w:widowControl w:val="0"/>
        <w:numPr>
          <w:ilvl w:val="0"/>
          <w:numId w:val="61"/>
        </w:numPr>
        <w:kinsoku/>
        <w:wordWrap/>
        <w:overflowPunct/>
        <w:topLinePunct w:val="0"/>
        <w:autoSpaceDE/>
        <w:autoSpaceDN/>
        <w:bidi w:val="0"/>
        <w:adjustRightInd/>
        <w:snapToGrid/>
        <w:spacing w:after="0" w:line="360" w:lineRule="auto"/>
        <w:ind w:left="0" w:leftChars="0" w:firstLine="480" w:firstLineChars="200"/>
        <w:contextualSpacing/>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说明：应对照谈判文件“第三章 采购需求”中的“商务要求”逐条明确响应，并作出偏离说明。</w:t>
      </w:r>
    </w:p>
    <w:p w14:paraId="6570FB00">
      <w:pPr>
        <w:pStyle w:val="8"/>
        <w:keepNext w:val="0"/>
        <w:keepLines w:val="0"/>
        <w:pageBreakBefore w:val="0"/>
        <w:widowControl w:val="0"/>
        <w:numPr>
          <w:ilvl w:val="0"/>
          <w:numId w:val="61"/>
        </w:numPr>
        <w:kinsoku/>
        <w:wordWrap/>
        <w:overflowPunct/>
        <w:topLinePunct w:val="0"/>
        <w:autoSpaceDE/>
        <w:autoSpaceDN/>
        <w:bidi w:val="0"/>
        <w:adjustRightInd/>
        <w:snapToGrid/>
        <w:spacing w:after="0" w:line="360" w:lineRule="auto"/>
        <w:ind w:left="0" w:leftChars="0" w:firstLine="480" w:firstLineChars="200"/>
        <w:contextualSpacing/>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供应商应根据自身的承诺，对照谈判文件要求在“偏离说明”中注明“正偏离”、“负偏离”或者“无偏离”。既不属于“正偏离”也不属于“负偏离”即为“无偏离”。</w:t>
      </w:r>
    </w:p>
    <w:p w14:paraId="168C39BA">
      <w:pPr>
        <w:spacing w:line="360" w:lineRule="auto"/>
        <w:contextualSpacing/>
        <w:jc w:val="left"/>
        <w:rPr>
          <w:rFonts w:hint="eastAsia" w:asciiTheme="minorEastAsia" w:hAnsiTheme="minorEastAsia" w:eastAsiaTheme="minorEastAsia" w:cstheme="minorEastAsia"/>
          <w:color w:val="auto"/>
          <w:sz w:val="24"/>
          <w:highlight w:val="none"/>
          <w:u w:val="single"/>
        </w:rPr>
      </w:pPr>
    </w:p>
    <w:p w14:paraId="6B464BEB">
      <w:pPr>
        <w:spacing w:line="360" w:lineRule="auto"/>
        <w:contextualSpacing/>
        <w:jc w:val="left"/>
        <w:rPr>
          <w:rFonts w:hint="eastAsia" w:asciiTheme="minorEastAsia" w:hAnsiTheme="minorEastAsia" w:eastAsiaTheme="minorEastAsia" w:cstheme="minorEastAsia"/>
          <w:color w:val="auto"/>
          <w:sz w:val="24"/>
          <w:highlight w:val="none"/>
          <w:u w:val="single"/>
        </w:rPr>
      </w:pPr>
    </w:p>
    <w:p w14:paraId="3C1B5970">
      <w:pPr>
        <w:spacing w:line="360" w:lineRule="auto"/>
        <w:ind w:right="-817" w:rightChars="-389"/>
        <w:contextualSpacing/>
        <w:rPr>
          <w:rFonts w:hint="eastAsia" w:asciiTheme="minorEastAsia" w:hAnsiTheme="minorEastAsia" w:eastAsiaTheme="minorEastAsia" w:cstheme="minorEastAsia"/>
          <w:color w:val="auto"/>
          <w:sz w:val="24"/>
          <w:highlight w:val="none"/>
        </w:rPr>
      </w:pPr>
    </w:p>
    <w:p w14:paraId="5759BBD0">
      <w:pPr>
        <w:keepNext w:val="0"/>
        <w:keepLines w:val="0"/>
        <w:pageBreakBefore w:val="0"/>
        <w:widowControl w:val="0"/>
        <w:kinsoku/>
        <w:wordWrap/>
        <w:overflowPunct/>
        <w:topLinePunct w:val="0"/>
        <w:autoSpaceDE/>
        <w:autoSpaceDN/>
        <w:bidi w:val="0"/>
        <w:adjustRightInd/>
        <w:snapToGrid w:val="0"/>
        <w:spacing w:line="480" w:lineRule="auto"/>
        <w:ind w:right="-313" w:rightChars="-149" w:firstLine="1440" w:firstLineChars="600"/>
        <w:contextualSpacing/>
        <w:textAlignment w:val="auto"/>
        <w:rPr>
          <w:rFonts w:hint="default"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rPr>
        <w:t>法定代表人或者委托代理人</w:t>
      </w:r>
      <w:r>
        <w:rPr>
          <w:rFonts w:hint="eastAsia" w:asciiTheme="minorEastAsia" w:hAnsiTheme="minorEastAsia" w:eastAsiaTheme="minorEastAsia" w:cstheme="minorEastAsia"/>
          <w:b/>
          <w:bCs/>
          <w:color w:val="auto"/>
          <w:sz w:val="24"/>
          <w:szCs w:val="24"/>
          <w:highlight w:val="none"/>
          <w:lang w:eastAsia="zh-CN"/>
        </w:rPr>
        <w:t>（签字或CA电子签字章）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lang w:val="en-US" w:eastAsia="zh-CN"/>
        </w:rPr>
        <w:t xml:space="preserve">            </w:t>
      </w:r>
    </w:p>
    <w:p w14:paraId="58EB3BEF">
      <w:pPr>
        <w:keepNext w:val="0"/>
        <w:keepLines w:val="0"/>
        <w:pageBreakBefore w:val="0"/>
        <w:widowControl w:val="0"/>
        <w:kinsoku/>
        <w:wordWrap/>
        <w:overflowPunct/>
        <w:topLinePunct w:val="0"/>
        <w:autoSpaceDE/>
        <w:autoSpaceDN/>
        <w:bidi w:val="0"/>
        <w:adjustRightInd/>
        <w:snapToGrid w:val="0"/>
        <w:spacing w:line="480" w:lineRule="auto"/>
        <w:ind w:right="-313" w:rightChars="-149" w:firstLine="3360" w:firstLineChars="1400"/>
        <w:contextualSpacing/>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r>
        <w:rPr>
          <w:rFonts w:hint="eastAsia" w:asciiTheme="minorEastAsia" w:hAnsiTheme="minorEastAsia" w:eastAsiaTheme="minorEastAsia" w:cstheme="minorEastAsia"/>
          <w:b/>
          <w:bCs/>
          <w:color w:val="auto"/>
          <w:sz w:val="24"/>
          <w:szCs w:val="24"/>
          <w:highlight w:val="none"/>
          <w:lang w:eastAsia="zh-CN"/>
        </w:rPr>
        <w:t>（公章或CA电子签章）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lang w:val="en-US" w:eastAsia="zh-CN"/>
        </w:rPr>
        <w:t xml:space="preserve">             </w:t>
      </w:r>
    </w:p>
    <w:p w14:paraId="7413B2DB">
      <w:pPr>
        <w:keepNext w:val="0"/>
        <w:keepLines w:val="0"/>
        <w:pageBreakBefore w:val="0"/>
        <w:widowControl w:val="0"/>
        <w:kinsoku/>
        <w:wordWrap/>
        <w:overflowPunct/>
        <w:topLinePunct w:val="0"/>
        <w:autoSpaceDE/>
        <w:autoSpaceDN/>
        <w:bidi w:val="0"/>
        <w:adjustRightInd/>
        <w:snapToGrid w:val="0"/>
        <w:spacing w:line="480" w:lineRule="auto"/>
        <w:ind w:right="-313" w:rightChars="-149" w:firstLine="5280" w:firstLineChars="2200"/>
        <w:contextualSpacing/>
        <w:jc w:val="righ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904514F">
      <w:pPr>
        <w:adjustRightInd w:val="0"/>
        <w:snapToGrid w:val="0"/>
        <w:spacing w:line="520" w:lineRule="exact"/>
        <w:ind w:firstLine="7040" w:firstLineChars="1600"/>
        <w:jc w:val="center"/>
        <w:rPr>
          <w:rFonts w:hint="eastAsia" w:asciiTheme="minorEastAsia" w:hAnsiTheme="minorEastAsia" w:eastAsiaTheme="minorEastAsia" w:cstheme="minorEastAsia"/>
          <w:bCs/>
          <w:color w:val="auto"/>
          <w:sz w:val="44"/>
          <w:szCs w:val="44"/>
          <w:highlight w:val="none"/>
        </w:rPr>
      </w:pPr>
    </w:p>
    <w:p w14:paraId="2229B843">
      <w:pPr>
        <w:snapToGrid w:val="0"/>
        <w:spacing w:before="50" w:after="50"/>
        <w:ind w:right="-611" w:rightChars="-291"/>
        <w:jc w:val="left"/>
        <w:rPr>
          <w:rFonts w:hint="eastAsia" w:asciiTheme="minorEastAsia" w:hAnsiTheme="minorEastAsia" w:eastAsiaTheme="minorEastAsia" w:cstheme="minorEastAsia"/>
          <w:b/>
          <w:bCs/>
          <w:color w:val="auto"/>
          <w:sz w:val="24"/>
        </w:rPr>
        <w:sectPr>
          <w:pgSz w:w="11906" w:h="16838"/>
          <w:pgMar w:top="1440" w:right="1800" w:bottom="1440" w:left="1800" w:header="851" w:footer="992" w:gutter="0"/>
          <w:pgNumType w:fmt="decimal"/>
          <w:cols w:space="720" w:num="1"/>
          <w:docGrid w:type="lines" w:linePitch="312" w:charSpace="0"/>
        </w:sectPr>
      </w:pPr>
    </w:p>
    <w:bookmarkEnd w:id="39"/>
    <w:p w14:paraId="080F3306">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服务方案及承诺书</w:t>
      </w:r>
    </w:p>
    <w:p w14:paraId="4AFFE20D">
      <w:pPr>
        <w:pStyle w:val="41"/>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由供应商按第三章《采购需求》要求自行填写，所作的承诺作为构成合同不可分割的部分，必须真实、诚信，如提供虚假承诺或在中标、成交后不按其承诺履行的，将依法追究违约责任，并按《中华人民共和国政府采购法》规定予以处罚。</w:t>
      </w:r>
    </w:p>
    <w:p w14:paraId="733F139A">
      <w:pPr>
        <w:pStyle w:val="41"/>
        <w:spacing w:line="405" w:lineRule="atLeas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w:t>
      </w:r>
    </w:p>
    <w:p w14:paraId="55D55A62">
      <w:pPr>
        <w:pStyle w:val="41"/>
        <w:spacing w:line="405" w:lineRule="atLeas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w:t>
      </w:r>
    </w:p>
    <w:p w14:paraId="5AA17BA2">
      <w:pPr>
        <w:pStyle w:val="41"/>
        <w:keepNext w:val="0"/>
        <w:keepLines w:val="0"/>
        <w:pageBreakBefore w:val="0"/>
        <w:kinsoku/>
        <w:wordWrap/>
        <w:overflowPunct/>
        <w:topLinePunct w:val="0"/>
        <w:autoSpaceDE/>
        <w:autoSpaceDN/>
        <w:bidi w:val="0"/>
        <w:adjustRightInd/>
        <w:snapToGrid w:val="0"/>
        <w:spacing w:before="0" w:beforeAutospacing="0" w:after="0" w:afterAutospacing="0" w:line="480" w:lineRule="auto"/>
        <w:ind w:right="0" w:rightChars="0"/>
        <w:jc w:val="righ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供应商名称</w:t>
      </w:r>
      <w:r>
        <w:rPr>
          <w:rFonts w:hint="eastAsia" w:asciiTheme="minorEastAsia" w:hAnsiTheme="minorEastAsia" w:eastAsiaTheme="minorEastAsia" w:cstheme="minorEastAsia"/>
          <w:b/>
          <w:bCs/>
          <w:color w:val="auto"/>
          <w:sz w:val="24"/>
          <w:szCs w:val="24"/>
          <w:highlight w:val="none"/>
          <w:lang w:eastAsia="zh-CN"/>
        </w:rPr>
        <w:t>（公章或CA电子签章）</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color w:val="auto"/>
          <w:u w:val="single"/>
        </w:rPr>
        <w:t>        </w:t>
      </w:r>
    </w:p>
    <w:p w14:paraId="26FB2A7F">
      <w:pPr>
        <w:keepNext w:val="0"/>
        <w:keepLines w:val="0"/>
        <w:pageBreakBefore w:val="0"/>
        <w:widowControl w:val="0"/>
        <w:kinsoku/>
        <w:wordWrap/>
        <w:overflowPunct/>
        <w:topLinePunct w:val="0"/>
        <w:autoSpaceDE/>
        <w:autoSpaceDN/>
        <w:bidi w:val="0"/>
        <w:adjustRightInd/>
        <w:snapToGrid w:val="0"/>
        <w:spacing w:beforeAutospacing="0" w:afterAutospacing="0" w:line="480" w:lineRule="auto"/>
        <w:ind w:right="0" w:rightChars="0" w:firstLine="4620" w:firstLineChars="2200"/>
        <w:contextualSpacing/>
        <w:jc w:val="righ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518581F">
      <w:pPr>
        <w:pStyle w:val="41"/>
        <w:jc w:val="righ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w:t>
      </w:r>
    </w:p>
    <w:p w14:paraId="6B521EB1">
      <w:pPr>
        <w:pStyle w:val="41"/>
        <w:spacing w:line="405" w:lineRule="atLeas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注：此项材料必须以PDF格式上传。</w:t>
      </w:r>
    </w:p>
    <w:p w14:paraId="21FBEC82">
      <w:pPr>
        <w:adjustRightInd w:val="0"/>
        <w:snapToGrid w:val="0"/>
        <w:spacing w:line="300" w:lineRule="auto"/>
        <w:jc w:val="center"/>
        <w:rPr>
          <w:rFonts w:hint="eastAsia" w:asciiTheme="minorEastAsia" w:hAnsiTheme="minorEastAsia" w:eastAsiaTheme="minorEastAsia" w:cstheme="minorEastAsia"/>
          <w:b/>
          <w:color w:val="auto"/>
          <w:sz w:val="28"/>
          <w:szCs w:val="28"/>
          <w:highlight w:val="none"/>
          <w:lang w:val="en-US" w:eastAsia="zh-CN"/>
        </w:rPr>
        <w:sectPr>
          <w:pgSz w:w="11906" w:h="16838"/>
          <w:pgMar w:top="1440" w:right="1800" w:bottom="1440" w:left="1800" w:header="851" w:footer="992" w:gutter="0"/>
          <w:pgNumType w:fmt="decimal"/>
          <w:cols w:space="720" w:num="1"/>
          <w:docGrid w:type="lines" w:linePitch="312" w:charSpace="0"/>
        </w:sectPr>
      </w:pPr>
    </w:p>
    <w:p w14:paraId="2D8A14A8">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技术要求偏离表</w:t>
      </w:r>
    </w:p>
    <w:p w14:paraId="1F92F5F8">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lang w:val="en-US" w:eastAsia="zh-CN"/>
        </w:rPr>
        <w:t xml:space="preserve">                      </w:t>
      </w:r>
    </w:p>
    <w:p w14:paraId="5A4CDA30">
      <w:pPr>
        <w:spacing w:line="360" w:lineRule="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lang w:val="en-US" w:eastAsia="zh-CN"/>
        </w:rPr>
        <w:t xml:space="preserve">                      </w:t>
      </w:r>
    </w:p>
    <w:tbl>
      <w:tblPr>
        <w:tblStyle w:val="20"/>
        <w:tblW w:w="946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2"/>
        <w:gridCol w:w="952"/>
        <w:gridCol w:w="3161"/>
        <w:gridCol w:w="2845"/>
        <w:gridCol w:w="1553"/>
      </w:tblGrid>
      <w:tr w14:paraId="65B28D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14587072">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序号</w:t>
            </w:r>
          </w:p>
        </w:tc>
        <w:tc>
          <w:tcPr>
            <w:tcW w:w="952" w:type="dxa"/>
            <w:tcBorders>
              <w:right w:val="single" w:color="auto" w:sz="4" w:space="0"/>
            </w:tcBorders>
            <w:vAlign w:val="center"/>
          </w:tcPr>
          <w:p w14:paraId="5E48110A">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名称</w:t>
            </w:r>
          </w:p>
        </w:tc>
        <w:tc>
          <w:tcPr>
            <w:tcW w:w="3161" w:type="dxa"/>
            <w:tcBorders>
              <w:left w:val="single" w:color="auto" w:sz="4" w:space="0"/>
            </w:tcBorders>
            <w:vAlign w:val="center"/>
          </w:tcPr>
          <w:p w14:paraId="5DEAC8A4">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谈判文件要求</w:t>
            </w:r>
          </w:p>
        </w:tc>
        <w:tc>
          <w:tcPr>
            <w:tcW w:w="2845" w:type="dxa"/>
            <w:vAlign w:val="center"/>
          </w:tcPr>
          <w:p w14:paraId="1C4C8485">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竞标响应</w:t>
            </w:r>
          </w:p>
        </w:tc>
        <w:tc>
          <w:tcPr>
            <w:tcW w:w="1553" w:type="dxa"/>
            <w:vAlign w:val="center"/>
          </w:tcPr>
          <w:p w14:paraId="7457D809">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偏离说明</w:t>
            </w:r>
          </w:p>
        </w:tc>
      </w:tr>
      <w:tr w14:paraId="64227A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0FD32B52">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1</w:t>
            </w:r>
          </w:p>
        </w:tc>
        <w:tc>
          <w:tcPr>
            <w:tcW w:w="952" w:type="dxa"/>
            <w:tcBorders>
              <w:right w:val="single" w:color="auto" w:sz="4" w:space="0"/>
            </w:tcBorders>
            <w:vAlign w:val="center"/>
          </w:tcPr>
          <w:p w14:paraId="14463558">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51D9A5CC">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414EB5A6">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vAlign w:val="center"/>
          </w:tcPr>
          <w:p w14:paraId="3AB254DB">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r w14:paraId="7290D3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6CE3B25B">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2</w:t>
            </w:r>
          </w:p>
        </w:tc>
        <w:tc>
          <w:tcPr>
            <w:tcW w:w="952" w:type="dxa"/>
            <w:tcBorders>
              <w:right w:val="single" w:color="auto" w:sz="4" w:space="0"/>
            </w:tcBorders>
            <w:vAlign w:val="center"/>
          </w:tcPr>
          <w:p w14:paraId="681AEBC0">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58FDC1C3">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30E77949">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vAlign w:val="center"/>
          </w:tcPr>
          <w:p w14:paraId="6645A40A">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r w14:paraId="10246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093CA04C">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3</w:t>
            </w:r>
          </w:p>
        </w:tc>
        <w:tc>
          <w:tcPr>
            <w:tcW w:w="952" w:type="dxa"/>
            <w:tcBorders>
              <w:right w:val="single" w:color="auto" w:sz="4" w:space="0"/>
            </w:tcBorders>
            <w:vAlign w:val="center"/>
          </w:tcPr>
          <w:p w14:paraId="68EE536C">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5BE6387D">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30BE0358">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vAlign w:val="center"/>
          </w:tcPr>
          <w:p w14:paraId="5C7300B9">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r w14:paraId="528E55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5B28E429">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4</w:t>
            </w:r>
          </w:p>
        </w:tc>
        <w:tc>
          <w:tcPr>
            <w:tcW w:w="952" w:type="dxa"/>
            <w:tcBorders>
              <w:right w:val="single" w:color="auto" w:sz="4" w:space="0"/>
            </w:tcBorders>
            <w:vAlign w:val="center"/>
          </w:tcPr>
          <w:p w14:paraId="1897A0E2">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2E3179E2">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4BD076C2">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vAlign w:val="center"/>
          </w:tcPr>
          <w:p w14:paraId="01260422">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r w14:paraId="60C856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2736C086">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5</w:t>
            </w:r>
          </w:p>
        </w:tc>
        <w:tc>
          <w:tcPr>
            <w:tcW w:w="952" w:type="dxa"/>
            <w:tcBorders>
              <w:right w:val="single" w:color="auto" w:sz="4" w:space="0"/>
            </w:tcBorders>
            <w:vAlign w:val="center"/>
          </w:tcPr>
          <w:p w14:paraId="24615605">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7399FE29">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4B7008AB">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vAlign w:val="center"/>
          </w:tcPr>
          <w:p w14:paraId="4265226C">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r w14:paraId="49972D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52" w:type="dxa"/>
            <w:vAlign w:val="center"/>
          </w:tcPr>
          <w:p w14:paraId="75B6CB44">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w:t>
            </w:r>
          </w:p>
        </w:tc>
        <w:tc>
          <w:tcPr>
            <w:tcW w:w="952" w:type="dxa"/>
            <w:tcBorders>
              <w:right w:val="single" w:color="auto" w:sz="4" w:space="0"/>
            </w:tcBorders>
            <w:vAlign w:val="center"/>
          </w:tcPr>
          <w:p w14:paraId="386C51C6">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2913649F">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43B930F6">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tcBorders>
              <w:right w:val="single" w:color="auto" w:sz="4" w:space="0"/>
            </w:tcBorders>
            <w:vAlign w:val="center"/>
          </w:tcPr>
          <w:p w14:paraId="6CE23604">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bl>
    <w:p w14:paraId="30A58176">
      <w:pPr>
        <w:pStyle w:val="10"/>
        <w:spacing w:line="360" w:lineRule="auto"/>
        <w:ind w:firstLine="0" w:firstLineChars="0"/>
        <w:contextualSpacing/>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52C5EAC7">
      <w:pPr>
        <w:pStyle w:val="10"/>
        <w:keepNext w:val="0"/>
        <w:keepLines w:val="0"/>
        <w:pageBreakBefore w:val="0"/>
        <w:widowControl w:val="0"/>
        <w:numPr>
          <w:ilvl w:val="0"/>
          <w:numId w:val="62"/>
        </w:numPr>
        <w:kinsoku/>
        <w:wordWrap/>
        <w:overflowPunct/>
        <w:topLinePunct w:val="0"/>
        <w:autoSpaceDE/>
        <w:autoSpaceDN/>
        <w:bidi w:val="0"/>
        <w:adjustRightInd/>
        <w:snapToGrid/>
        <w:spacing w:line="360" w:lineRule="auto"/>
        <w:ind w:left="0" w:leftChars="0"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说明：应对照谈判文件“第三章 采购需求”中的技术要求逐条实质性响应，并作出偏离说明。</w:t>
      </w:r>
    </w:p>
    <w:p w14:paraId="6A28F80E">
      <w:pPr>
        <w:pStyle w:val="10"/>
        <w:keepNext w:val="0"/>
        <w:keepLines w:val="0"/>
        <w:pageBreakBefore w:val="0"/>
        <w:widowControl w:val="0"/>
        <w:numPr>
          <w:ilvl w:val="0"/>
          <w:numId w:val="62"/>
        </w:numPr>
        <w:kinsoku/>
        <w:wordWrap/>
        <w:overflowPunct/>
        <w:topLinePunct w:val="0"/>
        <w:autoSpaceDE/>
        <w:autoSpaceDN/>
        <w:bidi w:val="0"/>
        <w:adjustRightInd/>
        <w:snapToGrid/>
        <w:spacing w:line="360" w:lineRule="auto"/>
        <w:ind w:left="0" w:leftChars="0"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供应商应根据竞标设备的性能指标，对照谈判文件要求，在“偏离说明”中注明“正偏离”、“负偏离”或者“无偏离”。既不属于“正偏离”也不属于“负偏离”即为“无偏离”。</w:t>
      </w:r>
    </w:p>
    <w:p w14:paraId="4DD4534D">
      <w:pPr>
        <w:pStyle w:val="10"/>
        <w:spacing w:line="360" w:lineRule="auto"/>
        <w:ind w:firstLine="0" w:firstLineChars="0"/>
        <w:contextualSpacing/>
        <w:rPr>
          <w:rFonts w:hint="eastAsia" w:asciiTheme="minorEastAsia" w:hAnsiTheme="minorEastAsia" w:eastAsiaTheme="minorEastAsia" w:cstheme="minorEastAsia"/>
          <w:color w:val="auto"/>
          <w:sz w:val="24"/>
          <w:szCs w:val="24"/>
          <w:highlight w:val="none"/>
        </w:rPr>
      </w:pPr>
    </w:p>
    <w:p w14:paraId="4918DC48">
      <w:pPr>
        <w:spacing w:line="360" w:lineRule="auto"/>
        <w:ind w:right="-817" w:rightChars="-389"/>
        <w:contextualSpacing/>
        <w:rPr>
          <w:rFonts w:hint="eastAsia" w:asciiTheme="minorEastAsia" w:hAnsiTheme="minorEastAsia" w:eastAsiaTheme="minorEastAsia" w:cstheme="minorEastAsia"/>
          <w:color w:val="auto"/>
          <w:sz w:val="24"/>
          <w:highlight w:val="none"/>
        </w:rPr>
      </w:pPr>
    </w:p>
    <w:p w14:paraId="0D66A122">
      <w:pPr>
        <w:keepNext w:val="0"/>
        <w:keepLines w:val="0"/>
        <w:pageBreakBefore w:val="0"/>
        <w:widowControl w:val="0"/>
        <w:kinsoku/>
        <w:wordWrap/>
        <w:overflowPunct/>
        <w:topLinePunct w:val="0"/>
        <w:autoSpaceDE/>
        <w:autoSpaceDN/>
        <w:bidi w:val="0"/>
        <w:adjustRightInd/>
        <w:snapToGrid w:val="0"/>
        <w:spacing w:line="480" w:lineRule="auto"/>
        <w:ind w:right="-92" w:rightChars="-44" w:firstLine="1440" w:firstLineChars="600"/>
        <w:contextualSpacing/>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法定代表人或者委托代理人</w:t>
      </w:r>
      <w:r>
        <w:rPr>
          <w:rFonts w:hint="eastAsia" w:asciiTheme="minorEastAsia" w:hAnsiTheme="minorEastAsia" w:eastAsiaTheme="minorEastAsia" w:cstheme="minorEastAsia"/>
          <w:b/>
          <w:bCs/>
          <w:color w:val="auto"/>
          <w:sz w:val="24"/>
          <w:szCs w:val="24"/>
          <w:highlight w:val="none"/>
          <w:lang w:eastAsia="zh-CN"/>
        </w:rPr>
        <w:t>（签字或CA电子签字章）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u w:val="single"/>
        </w:rPr>
        <w:t>        </w:t>
      </w:r>
    </w:p>
    <w:p w14:paraId="07235FD0">
      <w:pPr>
        <w:keepNext w:val="0"/>
        <w:keepLines w:val="0"/>
        <w:pageBreakBefore w:val="0"/>
        <w:widowControl w:val="0"/>
        <w:kinsoku/>
        <w:wordWrap/>
        <w:overflowPunct/>
        <w:topLinePunct w:val="0"/>
        <w:autoSpaceDE/>
        <w:autoSpaceDN/>
        <w:bidi w:val="0"/>
        <w:adjustRightInd/>
        <w:snapToGrid w:val="0"/>
        <w:spacing w:line="480" w:lineRule="auto"/>
        <w:ind w:right="-313" w:rightChars="-149" w:firstLine="3360" w:firstLineChars="1400"/>
        <w:contextualSpacing/>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r>
        <w:rPr>
          <w:rFonts w:hint="eastAsia" w:asciiTheme="minorEastAsia" w:hAnsiTheme="minorEastAsia" w:eastAsiaTheme="minorEastAsia" w:cstheme="minorEastAsia"/>
          <w:b/>
          <w:bCs/>
          <w:color w:val="auto"/>
          <w:sz w:val="24"/>
          <w:szCs w:val="24"/>
          <w:highlight w:val="none"/>
          <w:lang w:eastAsia="zh-CN"/>
        </w:rPr>
        <w:t>（公章或CA电子签章）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u w:val="single"/>
        </w:rPr>
        <w:t>       </w:t>
      </w:r>
      <w:r>
        <w:rPr>
          <w:rFonts w:hint="eastAsia" w:asciiTheme="minorEastAsia" w:hAnsiTheme="minorEastAsia" w:eastAsiaTheme="minorEastAsia" w:cstheme="minorEastAsia"/>
          <w:color w:val="auto"/>
          <w:sz w:val="24"/>
          <w:highlight w:val="none"/>
        </w:rPr>
        <w:t xml:space="preserve">     </w:t>
      </w:r>
    </w:p>
    <w:p w14:paraId="1E4BEA9F">
      <w:pPr>
        <w:keepNext w:val="0"/>
        <w:keepLines w:val="0"/>
        <w:pageBreakBefore w:val="0"/>
        <w:widowControl w:val="0"/>
        <w:tabs>
          <w:tab w:val="left" w:pos="8400"/>
        </w:tabs>
        <w:kinsoku/>
        <w:wordWrap/>
        <w:overflowPunct/>
        <w:topLinePunct w:val="0"/>
        <w:autoSpaceDE/>
        <w:autoSpaceDN/>
        <w:bidi w:val="0"/>
        <w:adjustRightInd/>
        <w:snapToGrid w:val="0"/>
        <w:spacing w:line="480" w:lineRule="auto"/>
        <w:ind w:right="-313" w:rightChars="-149" w:firstLine="5280" w:firstLineChars="2200"/>
        <w:contextualSpacing/>
        <w:textAlignment w:val="auto"/>
        <w:rPr>
          <w:rFonts w:hint="eastAsia" w:asciiTheme="minorEastAsia" w:hAnsiTheme="minorEastAsia" w:eastAsiaTheme="minorEastAsia" w:cstheme="minorEastAsia"/>
          <w:color w:val="auto"/>
          <w:sz w:val="24"/>
          <w:highlight w:val="none"/>
        </w:rPr>
        <w:sectPr>
          <w:pgSz w:w="11906" w:h="16838"/>
          <w:pgMar w:top="1440" w:right="1800" w:bottom="1440" w:left="1800" w:header="851" w:footer="992" w:gutter="0"/>
          <w:pgNumType w:fmt="decimal"/>
          <w:cols w:space="720" w:num="1"/>
          <w:docGrid w:type="lines" w:linePitch="312" w:charSpace="0"/>
        </w:sectPr>
      </w:pPr>
      <w:r>
        <w:rPr>
          <w:rFonts w:hint="eastAsia" w:asciiTheme="minorEastAsia" w:hAnsiTheme="minorEastAsia" w:eastAsiaTheme="minorEastAsia" w:cstheme="minorEastAsia"/>
          <w:color w:val="auto"/>
          <w:sz w:val="24"/>
          <w:highlight w:val="none"/>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r>
        <w:rPr>
          <w:rFonts w:hint="eastAsia" w:asciiTheme="minorEastAsia" w:hAnsiTheme="minorEastAsia" w:eastAsiaTheme="minorEastAsia" w:cstheme="minorEastAsia"/>
          <w:color w:val="auto"/>
          <w:sz w:val="24"/>
          <w:highlight w:val="none"/>
        </w:rPr>
        <w:t xml:space="preserve"> </w:t>
      </w:r>
    </w:p>
    <w:p w14:paraId="663E63FC">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5C98CA1A">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2A6265CA">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3276BA74">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5637BDB9">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488B7ED2">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5D5D5577">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0E4D39BF">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6A7C9B3C">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5BC7635B">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1B4BD153">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lang w:eastAsia="zh-CN"/>
        </w:rPr>
        <w:sectPr>
          <w:pgSz w:w="11906" w:h="16838"/>
          <w:pgMar w:top="1440" w:right="1800" w:bottom="1440" w:left="1800" w:header="851" w:footer="992" w:gutter="0"/>
          <w:pgNumType w:fmt="decimal"/>
          <w:cols w:space="720" w:num="1"/>
          <w:docGrid w:type="lines" w:linePitch="312" w:charSpace="0"/>
        </w:sectPr>
      </w:pPr>
      <w:bookmarkStart w:id="40" w:name="_Toc497578453"/>
      <w:bookmarkStart w:id="41" w:name="_Toc28307"/>
      <w:bookmarkStart w:id="42" w:name="_Toc5293"/>
      <w:bookmarkStart w:id="43" w:name="_Toc526932594"/>
      <w:r>
        <w:rPr>
          <w:rFonts w:hint="eastAsia" w:asciiTheme="minorEastAsia" w:hAnsiTheme="minorEastAsia" w:eastAsiaTheme="minorEastAsia" w:cstheme="minorEastAsia"/>
          <w:color w:val="auto"/>
          <w:sz w:val="36"/>
          <w:szCs w:val="36"/>
        </w:rPr>
        <w:t>合同主要条款</w:t>
      </w:r>
      <w:bookmarkEnd w:id="40"/>
      <w:r>
        <w:rPr>
          <w:rFonts w:hint="eastAsia" w:asciiTheme="minorEastAsia" w:hAnsiTheme="minorEastAsia" w:eastAsiaTheme="minorEastAsia" w:cstheme="minorEastAsia"/>
          <w:color w:val="auto"/>
          <w:sz w:val="36"/>
          <w:szCs w:val="36"/>
          <w:lang w:eastAsia="zh-CN"/>
        </w:rPr>
        <w:t>及验收书格式</w:t>
      </w:r>
      <w:bookmarkEnd w:id="41"/>
      <w:bookmarkEnd w:id="42"/>
      <w:bookmarkEnd w:id="43"/>
    </w:p>
    <w:p w14:paraId="77B8E2C8">
      <w:pPr>
        <w:ind w:firstLine="347" w:firstLineChars="48"/>
        <w:jc w:val="both"/>
        <w:rPr>
          <w:rFonts w:hint="eastAsia" w:ascii="宋体" w:hAnsi="宋体" w:eastAsia="宋体" w:cs="宋体"/>
          <w:b/>
          <w:color w:val="auto"/>
          <w:sz w:val="72"/>
          <w:szCs w:val="72"/>
          <w:highlight w:val="none"/>
        </w:rPr>
      </w:pPr>
    </w:p>
    <w:p w14:paraId="760E749D">
      <w:pPr>
        <w:ind w:firstLine="347" w:firstLineChars="48"/>
        <w:jc w:val="both"/>
        <w:rPr>
          <w:rFonts w:hint="eastAsia" w:ascii="宋体" w:hAnsi="宋体" w:eastAsia="宋体" w:cs="宋体"/>
          <w:b/>
          <w:color w:val="auto"/>
          <w:sz w:val="72"/>
          <w:szCs w:val="72"/>
          <w:highlight w:val="none"/>
        </w:rPr>
      </w:pPr>
    </w:p>
    <w:p w14:paraId="3149B07F">
      <w:pPr>
        <w:ind w:firstLine="347" w:firstLineChars="48"/>
        <w:jc w:val="both"/>
        <w:rPr>
          <w:rFonts w:hint="eastAsia" w:ascii="宋体" w:hAnsi="宋体" w:eastAsia="宋体" w:cs="宋体"/>
          <w:b/>
          <w:color w:val="auto"/>
          <w:sz w:val="72"/>
          <w:szCs w:val="72"/>
          <w:highlight w:val="none"/>
        </w:rPr>
      </w:pPr>
    </w:p>
    <w:p w14:paraId="3CDEF39A">
      <w:pPr>
        <w:ind w:firstLine="347" w:firstLineChars="48"/>
        <w:jc w:val="both"/>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政 府 采 购</w:t>
      </w:r>
      <w:r>
        <w:rPr>
          <w:rFonts w:hint="eastAsia" w:ascii="宋体" w:hAnsi="宋体" w:eastAsia="宋体" w:cs="宋体"/>
          <w:b/>
          <w:color w:val="auto"/>
          <w:sz w:val="72"/>
          <w:szCs w:val="72"/>
          <w:highlight w:val="none"/>
          <w:lang w:val="en-US" w:eastAsia="zh-CN"/>
        </w:rPr>
        <w:t xml:space="preserve"> </w:t>
      </w:r>
      <w:r>
        <w:rPr>
          <w:rFonts w:hint="eastAsia" w:ascii="宋体" w:hAnsi="宋体" w:eastAsia="宋体" w:cs="宋体"/>
          <w:b/>
          <w:color w:val="auto"/>
          <w:sz w:val="72"/>
          <w:szCs w:val="72"/>
          <w:highlight w:val="none"/>
        </w:rPr>
        <w:t>合 同 书</w:t>
      </w:r>
    </w:p>
    <w:p w14:paraId="4F564A27">
      <w:pPr>
        <w:rPr>
          <w:rFonts w:hint="eastAsia" w:ascii="宋体" w:hAnsi="宋体" w:eastAsia="宋体" w:cs="宋体"/>
          <w:b/>
          <w:color w:val="auto"/>
          <w:sz w:val="44"/>
          <w:szCs w:val="44"/>
          <w:highlight w:val="none"/>
        </w:rPr>
      </w:pPr>
    </w:p>
    <w:p w14:paraId="31C7C4BA">
      <w:pPr>
        <w:widowControl w:val="0"/>
        <w:suppressAutoHyphens/>
        <w:autoSpaceDE w:val="0"/>
        <w:rPr>
          <w:rFonts w:hint="eastAsia" w:ascii="宋体" w:hAnsi="宋体" w:eastAsia="宋体" w:cs="宋体"/>
          <w:b/>
          <w:color w:val="auto"/>
          <w:sz w:val="44"/>
          <w:szCs w:val="44"/>
          <w:highlight w:val="none"/>
          <w:lang w:val="en-US" w:eastAsia="ar-SA" w:bidi="ar-SA"/>
        </w:rPr>
      </w:pPr>
    </w:p>
    <w:p w14:paraId="694C142C">
      <w:pPr>
        <w:widowControl w:val="0"/>
        <w:suppressAutoHyphens/>
        <w:autoSpaceDE w:val="0"/>
        <w:rPr>
          <w:rFonts w:hint="eastAsia" w:ascii="宋体" w:hAnsi="宋体" w:eastAsia="宋体" w:cs="宋体"/>
          <w:b/>
          <w:color w:val="auto"/>
          <w:sz w:val="44"/>
          <w:szCs w:val="44"/>
          <w:highlight w:val="none"/>
          <w:lang w:val="en-US" w:eastAsia="ar-SA" w:bidi="ar-SA"/>
        </w:rPr>
      </w:pPr>
    </w:p>
    <w:p w14:paraId="4F9701E8">
      <w:pPr>
        <w:rPr>
          <w:rFonts w:hint="eastAsia" w:ascii="宋体" w:hAnsi="宋体" w:eastAsia="宋体" w:cs="宋体"/>
          <w:b/>
          <w:color w:val="auto"/>
          <w:sz w:val="44"/>
          <w:szCs w:val="44"/>
          <w:highlight w:val="none"/>
        </w:rPr>
      </w:pPr>
    </w:p>
    <w:tbl>
      <w:tblPr>
        <w:tblStyle w:val="21"/>
        <w:tblW w:w="80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62"/>
        <w:gridCol w:w="5797"/>
      </w:tblGrid>
      <w:tr w14:paraId="59F8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8" w:hRule="atLeast"/>
          <w:jc w:val="center"/>
        </w:trPr>
        <w:tc>
          <w:tcPr>
            <w:tcW w:w="2262" w:type="dxa"/>
            <w:noWrap w:val="0"/>
            <w:vAlign w:val="center"/>
          </w:tcPr>
          <w:p w14:paraId="76BAB0C6">
            <w:pPr>
              <w:spacing w:line="600" w:lineRule="auto"/>
              <w:ind w:left="0" w:leftChars="0" w:right="0" w:rightChars="0" w:firstLine="0" w:firstLineChars="0"/>
              <w:jc w:val="both"/>
              <w:rPr>
                <w:rFonts w:hint="eastAsia" w:ascii="宋体" w:hAnsi="宋体" w:eastAsia="宋体" w:cs="宋体"/>
                <w:b/>
                <w:color w:val="auto"/>
                <w:sz w:val="32"/>
                <w:szCs w:val="32"/>
                <w:highlight w:val="none"/>
                <w:vertAlign w:val="baseline"/>
              </w:rPr>
            </w:pPr>
            <w:r>
              <w:rPr>
                <w:rFonts w:hint="eastAsia" w:ascii="宋体" w:hAnsi="宋体" w:eastAsia="宋体" w:cs="宋体"/>
                <w:b/>
                <w:color w:val="auto"/>
                <w:sz w:val="32"/>
                <w:szCs w:val="32"/>
                <w:highlight w:val="none"/>
              </w:rPr>
              <w:t>项目名称</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w:t>
            </w:r>
          </w:p>
        </w:tc>
        <w:tc>
          <w:tcPr>
            <w:tcW w:w="5797" w:type="dxa"/>
            <w:noWrap w:val="0"/>
            <w:vAlign w:val="center"/>
          </w:tcPr>
          <w:p w14:paraId="552F9609">
            <w:pPr>
              <w:spacing w:line="600" w:lineRule="auto"/>
              <w:ind w:left="0" w:leftChars="0" w:right="0" w:rightChars="0" w:firstLine="0" w:firstLineChars="0"/>
              <w:jc w:val="center"/>
              <w:rPr>
                <w:rFonts w:hint="eastAsia" w:ascii="宋体" w:hAnsi="宋体" w:eastAsia="宋体" w:cs="宋体"/>
                <w:b/>
                <w:color w:val="auto"/>
                <w:sz w:val="32"/>
                <w:szCs w:val="32"/>
                <w:highlight w:val="none"/>
                <w:u w:val="none"/>
                <w:vertAlign w:val="baseline"/>
                <w:lang w:val="en-US"/>
              </w:rPr>
            </w:pPr>
            <w:r>
              <w:rPr>
                <w:rFonts w:hint="eastAsia" w:ascii="宋体" w:hAnsi="宋体" w:eastAsia="宋体" w:cs="宋体"/>
                <w:b/>
                <w:color w:val="auto"/>
                <w:sz w:val="32"/>
                <w:szCs w:val="32"/>
                <w:highlight w:val="none"/>
                <w:u w:val="none"/>
                <w:vertAlign w:val="baseline"/>
                <w:lang w:val="en-US" w:eastAsia="zh-CN"/>
              </w:rPr>
              <w:t xml:space="preserve"> </w:t>
            </w:r>
          </w:p>
        </w:tc>
      </w:tr>
      <w:tr w14:paraId="698EC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5" w:hRule="atLeast"/>
          <w:jc w:val="center"/>
        </w:trPr>
        <w:tc>
          <w:tcPr>
            <w:tcW w:w="2262" w:type="dxa"/>
            <w:noWrap w:val="0"/>
            <w:vAlign w:val="center"/>
          </w:tcPr>
          <w:p w14:paraId="2BEC7343">
            <w:pPr>
              <w:spacing w:line="600" w:lineRule="auto"/>
              <w:ind w:left="0" w:leftChars="0" w:right="0" w:rightChars="0" w:firstLine="0" w:firstLineChars="0"/>
              <w:jc w:val="both"/>
              <w:rPr>
                <w:rFonts w:hint="eastAsia" w:ascii="宋体" w:hAnsi="宋体" w:eastAsia="宋体" w:cs="宋体"/>
                <w:b/>
                <w:color w:val="auto"/>
                <w:sz w:val="32"/>
                <w:szCs w:val="32"/>
                <w:highlight w:val="none"/>
                <w:vertAlign w:val="baseline"/>
              </w:rPr>
            </w:pPr>
            <w:r>
              <w:rPr>
                <w:rFonts w:hint="eastAsia" w:ascii="宋体" w:hAnsi="宋体" w:eastAsia="宋体" w:cs="宋体"/>
                <w:b/>
                <w:color w:val="auto"/>
                <w:sz w:val="32"/>
                <w:szCs w:val="32"/>
                <w:highlight w:val="none"/>
              </w:rPr>
              <w:t>合同甲方：</w:t>
            </w:r>
          </w:p>
        </w:tc>
        <w:tc>
          <w:tcPr>
            <w:tcW w:w="5797" w:type="dxa"/>
            <w:noWrap w:val="0"/>
            <w:vAlign w:val="center"/>
          </w:tcPr>
          <w:p w14:paraId="28762872">
            <w:pPr>
              <w:spacing w:line="600" w:lineRule="auto"/>
              <w:ind w:left="0" w:leftChars="0" w:right="0" w:rightChars="0" w:firstLine="0" w:firstLineChars="0"/>
              <w:jc w:val="center"/>
              <w:rPr>
                <w:rFonts w:hint="eastAsia" w:ascii="宋体" w:hAnsi="宋体" w:eastAsia="宋体" w:cs="宋体"/>
                <w:b/>
                <w:color w:val="auto"/>
                <w:sz w:val="32"/>
                <w:szCs w:val="32"/>
                <w:highlight w:val="none"/>
                <w:u w:val="none"/>
                <w:vertAlign w:val="baseline"/>
                <w:lang w:val="en-US"/>
              </w:rPr>
            </w:pPr>
            <w:r>
              <w:rPr>
                <w:rFonts w:hint="eastAsia" w:ascii="宋体" w:hAnsi="宋体" w:eastAsia="宋体" w:cs="宋体"/>
                <w:b/>
                <w:color w:val="auto"/>
                <w:sz w:val="32"/>
                <w:szCs w:val="32"/>
                <w:highlight w:val="none"/>
                <w:u w:val="none"/>
                <w:vertAlign w:val="baseline"/>
                <w:lang w:val="en-US" w:eastAsia="zh-CN"/>
              </w:rPr>
              <w:t xml:space="preserve"> </w:t>
            </w:r>
          </w:p>
        </w:tc>
      </w:tr>
      <w:tr w14:paraId="3E394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8" w:hRule="atLeast"/>
          <w:jc w:val="center"/>
        </w:trPr>
        <w:tc>
          <w:tcPr>
            <w:tcW w:w="2262" w:type="dxa"/>
            <w:noWrap w:val="0"/>
            <w:vAlign w:val="center"/>
          </w:tcPr>
          <w:p w14:paraId="7698AFEF">
            <w:pPr>
              <w:spacing w:line="600" w:lineRule="auto"/>
              <w:ind w:left="0" w:leftChars="0" w:right="0" w:rightChars="0" w:firstLine="0" w:firstLineChars="0"/>
              <w:jc w:val="both"/>
              <w:rPr>
                <w:rFonts w:hint="eastAsia" w:ascii="宋体" w:hAnsi="宋体" w:eastAsia="宋体" w:cs="宋体"/>
                <w:b/>
                <w:color w:val="auto"/>
                <w:sz w:val="32"/>
                <w:szCs w:val="32"/>
                <w:highlight w:val="none"/>
                <w:vertAlign w:val="baseline"/>
              </w:rPr>
            </w:pPr>
            <w:r>
              <w:rPr>
                <w:rFonts w:hint="eastAsia" w:ascii="宋体" w:hAnsi="宋体" w:eastAsia="宋体" w:cs="宋体"/>
                <w:b/>
                <w:color w:val="auto"/>
                <w:sz w:val="32"/>
                <w:szCs w:val="32"/>
                <w:highlight w:val="none"/>
              </w:rPr>
              <w:t>合同乙方：</w:t>
            </w:r>
          </w:p>
        </w:tc>
        <w:tc>
          <w:tcPr>
            <w:tcW w:w="5797" w:type="dxa"/>
            <w:noWrap w:val="0"/>
            <w:vAlign w:val="center"/>
          </w:tcPr>
          <w:p w14:paraId="7EEAFF77">
            <w:pPr>
              <w:spacing w:line="600" w:lineRule="auto"/>
              <w:ind w:left="0" w:leftChars="0" w:right="0" w:rightChars="0" w:firstLine="0" w:firstLineChars="0"/>
              <w:jc w:val="center"/>
              <w:rPr>
                <w:rFonts w:hint="eastAsia" w:ascii="宋体" w:hAnsi="宋体" w:eastAsia="宋体" w:cs="宋体"/>
                <w:b/>
                <w:color w:val="auto"/>
                <w:sz w:val="32"/>
                <w:szCs w:val="32"/>
                <w:highlight w:val="none"/>
                <w:u w:val="none"/>
                <w:vertAlign w:val="baseline"/>
                <w:lang w:val="en-US"/>
              </w:rPr>
            </w:pPr>
            <w:r>
              <w:rPr>
                <w:rFonts w:hint="eastAsia" w:ascii="宋体" w:hAnsi="宋体" w:eastAsia="宋体" w:cs="宋体"/>
                <w:b/>
                <w:color w:val="auto"/>
                <w:sz w:val="32"/>
                <w:szCs w:val="32"/>
                <w:highlight w:val="none"/>
                <w:u w:val="none"/>
                <w:vertAlign w:val="baseline"/>
                <w:lang w:val="en-US" w:eastAsia="zh-CN"/>
              </w:rPr>
              <w:t xml:space="preserve"> </w:t>
            </w:r>
          </w:p>
        </w:tc>
      </w:tr>
    </w:tbl>
    <w:p w14:paraId="239D1774">
      <w:pPr>
        <w:spacing w:line="600" w:lineRule="auto"/>
        <w:ind w:firstLine="442" w:firstLineChars="100"/>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 xml:space="preserve"> </w:t>
      </w:r>
    </w:p>
    <w:p w14:paraId="35161421">
      <w:pPr>
        <w:spacing w:line="600" w:lineRule="auto"/>
        <w:ind w:firstLine="442" w:firstLineChars="100"/>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 xml:space="preserve"> </w:t>
      </w:r>
    </w:p>
    <w:p w14:paraId="61BDE697">
      <w:pPr>
        <w:spacing w:line="600" w:lineRule="auto"/>
        <w:rPr>
          <w:rFonts w:hint="eastAsia" w:ascii="宋体" w:hAnsi="宋体" w:eastAsia="宋体" w:cs="宋体"/>
          <w:b/>
          <w:color w:val="auto"/>
          <w:sz w:val="44"/>
          <w:szCs w:val="44"/>
          <w:highlight w:val="none"/>
        </w:rPr>
        <w:sectPr>
          <w:pgSz w:w="11906" w:h="16838"/>
          <w:pgMar w:top="1440" w:right="1800" w:bottom="1440" w:left="1800" w:header="851" w:footer="992" w:gutter="0"/>
          <w:pgNumType w:fmt="decimal"/>
          <w:cols w:space="720" w:num="1"/>
          <w:docGrid w:type="lines" w:linePitch="312" w:charSpace="0"/>
        </w:sectPr>
      </w:pPr>
    </w:p>
    <w:p w14:paraId="2FD5BF2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《广西壮族自治区政府采购合同》</w:t>
      </w:r>
    </w:p>
    <w:p w14:paraId="39F080B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color w:val="auto"/>
          <w:sz w:val="32"/>
          <w:szCs w:val="32"/>
          <w:highlight w:val="none"/>
        </w:rPr>
        <w:t>文本</w:t>
      </w:r>
    </w:p>
    <w:p w14:paraId="50A4CB97">
      <w:pPr>
        <w:keepNext w:val="0"/>
        <w:keepLines w:val="0"/>
        <w:pageBreakBefore w:val="0"/>
        <w:widowControl w:val="0"/>
        <w:kinsoku/>
        <w:wordWrap w:val="0"/>
        <w:overflowPunct/>
        <w:topLinePunct/>
        <w:autoSpaceDE/>
        <w:autoSpaceDN/>
        <w:bidi w:val="0"/>
        <w:adjustRightInd/>
        <w:snapToGrid w:val="0"/>
        <w:spacing w:line="400" w:lineRule="exact"/>
        <w:ind w:right="482" w:firstLine="3150" w:firstLineChars="1500"/>
        <w:jc w:val="right"/>
        <w:textAlignment w:val="auto"/>
        <w:rPr>
          <w:rFonts w:hint="eastAsia" w:ascii="宋体" w:hAnsi="宋体" w:eastAsia="宋体" w:cs="宋体"/>
          <w:bCs/>
          <w:color w:val="auto"/>
          <w:szCs w:val="21"/>
          <w:highlight w:val="none"/>
          <w:u w:val="single"/>
          <w:lang w:eastAsia="zh-CN"/>
        </w:rPr>
      </w:pPr>
      <w:r>
        <w:rPr>
          <w:rFonts w:hint="eastAsia" w:ascii="宋体" w:hAnsi="宋体" w:eastAsia="宋体" w:cs="宋体"/>
          <w:bCs/>
          <w:color w:val="auto"/>
          <w:szCs w:val="21"/>
          <w:highlight w:val="none"/>
        </w:rPr>
        <w:t>合同编号：</w:t>
      </w:r>
      <w:r>
        <w:rPr>
          <w:rFonts w:hint="eastAsia" w:ascii="宋体" w:hAnsi="宋体" w:eastAsia="宋体" w:cs="宋体"/>
          <w:bCs/>
          <w:color w:val="auto"/>
          <w:szCs w:val="21"/>
          <w:highlight w:val="none"/>
          <w:lang w:val="en-US" w:eastAsia="zh-CN"/>
        </w:rPr>
        <w:t xml:space="preserve"> </w:t>
      </w:r>
    </w:p>
    <w:p w14:paraId="3077FF7D">
      <w:pPr>
        <w:keepNext w:val="0"/>
        <w:keepLines w:val="0"/>
        <w:pageBreakBefore w:val="0"/>
        <w:widowControl w:val="0"/>
        <w:kinsoku/>
        <w:overflowPunct/>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采购人（甲方）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u w:val="non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20"/>
          <w:szCs w:val="21"/>
          <w:highlight w:val="none"/>
        </w:rPr>
        <w:t>采 购 计 划 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p>
    <w:p w14:paraId="5C9A158E">
      <w:pPr>
        <w:keepNext w:val="0"/>
        <w:keepLines w:val="0"/>
        <w:pageBreakBefore w:val="0"/>
        <w:widowControl w:val="0"/>
        <w:kinsoku/>
        <w:wordWrap w:val="0"/>
        <w:overflowPunct/>
        <w:topLinePunct/>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 应 商（乙方）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pacing w:val="-20"/>
          <w:szCs w:val="21"/>
          <w:highlight w:val="none"/>
        </w:rPr>
        <w:t>招  标  编  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5AD937CD">
      <w:pPr>
        <w:keepNext w:val="0"/>
        <w:keepLines w:val="0"/>
        <w:pageBreakBefore w:val="0"/>
        <w:widowControl w:val="0"/>
        <w:kinsoku/>
        <w:overflowPunct/>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签  订  地  点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签 订 时 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p>
    <w:p w14:paraId="56DE5779">
      <w:pPr>
        <w:snapToGrid w:val="0"/>
        <w:spacing w:line="360" w:lineRule="auto"/>
        <w:ind w:firstLine="420" w:firstLineChars="200"/>
        <w:rPr>
          <w:rFonts w:hint="eastAsia" w:ascii="宋体" w:hAnsi="宋体" w:eastAsia="宋体" w:cs="宋体"/>
          <w:color w:val="auto"/>
          <w:szCs w:val="21"/>
          <w:highlight w:val="none"/>
        </w:rPr>
      </w:pPr>
    </w:p>
    <w:p w14:paraId="762FC5D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本合同为中小企业预留合同：</w:t>
      </w:r>
      <w:r>
        <w:rPr>
          <w:rFonts w:hint="eastAsia" w:ascii="宋体" w:hAnsi="宋体" w:eastAsia="宋体" w:cs="宋体"/>
          <w:color w:val="auto"/>
          <w:szCs w:val="21"/>
          <w:highlight w:val="none"/>
          <w:u w:val="single"/>
        </w:rPr>
        <w:t>（</w:t>
      </w:r>
      <w:r>
        <w:rPr>
          <w:rFonts w:hint="eastAsia" w:ascii="宋体" w:hAnsi="宋体" w:cs="宋体"/>
          <w:color w:val="auto"/>
          <w:szCs w:val="21"/>
          <w:highlight w:val="none"/>
          <w:u w:val="single"/>
          <w:lang w:eastAsia="zh-CN"/>
        </w:rPr>
        <w:t>否</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w:t>
      </w:r>
    </w:p>
    <w:p w14:paraId="0D6F345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根据《中华人民共和国政府采购法》、《中华人民共和国</w:t>
      </w:r>
      <w:r>
        <w:rPr>
          <w:rFonts w:hint="eastAsia" w:ascii="宋体" w:hAnsi="宋体" w:eastAsia="宋体" w:cs="宋体"/>
          <w:color w:val="auto"/>
          <w:szCs w:val="21"/>
          <w:highlight w:val="none"/>
          <w:lang w:val="en-US" w:eastAsia="zh-CN"/>
        </w:rPr>
        <w:t>民法典</w:t>
      </w:r>
      <w:r>
        <w:rPr>
          <w:rFonts w:hint="eastAsia" w:ascii="宋体" w:hAnsi="宋体" w:eastAsia="宋体" w:cs="宋体"/>
          <w:color w:val="auto"/>
          <w:szCs w:val="21"/>
          <w:highlight w:val="none"/>
        </w:rPr>
        <w:t>》等法律、法规规定，按照招标文件（采购文件）规定条款和中标（成交）供应商承诺，甲乙双方签订本合同。</w:t>
      </w:r>
    </w:p>
    <w:p w14:paraId="0663604F">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合同标的</w:t>
      </w:r>
    </w:p>
    <w:p w14:paraId="42141267">
      <w:pPr>
        <w:keepNext w:val="0"/>
        <w:keepLines w:val="0"/>
        <w:pageBreakBefore w:val="0"/>
        <w:widowControl w:val="0"/>
        <w:numPr>
          <w:ilvl w:val="0"/>
          <w:numId w:val="64"/>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主要标的信息</w:t>
      </w:r>
    </w:p>
    <w:tbl>
      <w:tblPr>
        <w:tblStyle w:val="20"/>
        <w:tblW w:w="888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947"/>
        <w:gridCol w:w="914"/>
      </w:tblGrid>
      <w:tr w14:paraId="7389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296C613B">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233" w:type="dxa"/>
            <w:noWrap w:val="0"/>
            <w:vAlign w:val="center"/>
          </w:tcPr>
          <w:p w14:paraId="0847E727">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设备</w:t>
            </w:r>
            <w:r>
              <w:rPr>
                <w:rFonts w:hint="eastAsia" w:ascii="宋体" w:hAnsi="宋体" w:eastAsia="宋体" w:cs="宋体"/>
                <w:color w:val="auto"/>
                <w:szCs w:val="21"/>
                <w:highlight w:val="none"/>
              </w:rPr>
              <w:t>名称</w:t>
            </w:r>
          </w:p>
        </w:tc>
        <w:tc>
          <w:tcPr>
            <w:tcW w:w="1059" w:type="dxa"/>
            <w:noWrap w:val="0"/>
            <w:vAlign w:val="center"/>
          </w:tcPr>
          <w:p w14:paraId="06B6A9C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商标品牌</w:t>
            </w:r>
          </w:p>
        </w:tc>
        <w:tc>
          <w:tcPr>
            <w:tcW w:w="1233" w:type="dxa"/>
            <w:noWrap w:val="0"/>
            <w:vAlign w:val="center"/>
          </w:tcPr>
          <w:p w14:paraId="36D4455F">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210" w:type="dxa"/>
            <w:noWrap w:val="0"/>
            <w:vAlign w:val="center"/>
          </w:tcPr>
          <w:p w14:paraId="1A5BD426">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生产厂家</w:t>
            </w:r>
          </w:p>
        </w:tc>
        <w:tc>
          <w:tcPr>
            <w:tcW w:w="908" w:type="dxa"/>
            <w:noWrap w:val="0"/>
            <w:vAlign w:val="center"/>
          </w:tcPr>
          <w:p w14:paraId="0316BBC0">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  量</w:t>
            </w:r>
          </w:p>
        </w:tc>
        <w:tc>
          <w:tcPr>
            <w:tcW w:w="668" w:type="dxa"/>
            <w:noWrap w:val="0"/>
            <w:vAlign w:val="center"/>
          </w:tcPr>
          <w:p w14:paraId="4A35A896">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947" w:type="dxa"/>
            <w:noWrap w:val="0"/>
            <w:vAlign w:val="center"/>
          </w:tcPr>
          <w:p w14:paraId="119A7FE0">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  价</w:t>
            </w:r>
          </w:p>
          <w:p w14:paraId="7C7330F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w:t>
            </w:r>
          </w:p>
        </w:tc>
        <w:tc>
          <w:tcPr>
            <w:tcW w:w="914" w:type="dxa"/>
            <w:noWrap w:val="0"/>
            <w:vAlign w:val="center"/>
          </w:tcPr>
          <w:p w14:paraId="237BC7BD">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  额</w:t>
            </w:r>
          </w:p>
          <w:p w14:paraId="7EE687B7">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w:t>
            </w:r>
          </w:p>
        </w:tc>
      </w:tr>
      <w:tr w14:paraId="655B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5A527D0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33" w:type="dxa"/>
            <w:noWrap w:val="0"/>
            <w:vAlign w:val="center"/>
          </w:tcPr>
          <w:p w14:paraId="61CF8823">
            <w:pPr>
              <w:snapToGrid w:val="0"/>
              <w:spacing w:line="360" w:lineRule="auto"/>
              <w:jc w:val="center"/>
              <w:rPr>
                <w:rFonts w:hint="eastAsia" w:ascii="宋体" w:hAnsi="宋体" w:eastAsia="宋体" w:cs="宋体"/>
                <w:color w:val="auto"/>
                <w:szCs w:val="21"/>
                <w:highlight w:val="none"/>
              </w:rPr>
            </w:pPr>
          </w:p>
        </w:tc>
        <w:tc>
          <w:tcPr>
            <w:tcW w:w="1059" w:type="dxa"/>
            <w:noWrap w:val="0"/>
            <w:vAlign w:val="center"/>
          </w:tcPr>
          <w:p w14:paraId="68578640">
            <w:pPr>
              <w:snapToGrid w:val="0"/>
              <w:spacing w:line="360" w:lineRule="auto"/>
              <w:jc w:val="center"/>
              <w:rPr>
                <w:rFonts w:hint="eastAsia" w:ascii="宋体" w:hAnsi="宋体" w:eastAsia="宋体" w:cs="宋体"/>
                <w:color w:val="auto"/>
                <w:szCs w:val="21"/>
                <w:highlight w:val="none"/>
              </w:rPr>
            </w:pPr>
          </w:p>
        </w:tc>
        <w:tc>
          <w:tcPr>
            <w:tcW w:w="1233" w:type="dxa"/>
            <w:noWrap w:val="0"/>
            <w:vAlign w:val="center"/>
          </w:tcPr>
          <w:p w14:paraId="1293AA8C">
            <w:pPr>
              <w:snapToGrid w:val="0"/>
              <w:spacing w:line="360" w:lineRule="auto"/>
              <w:jc w:val="center"/>
              <w:rPr>
                <w:rFonts w:hint="eastAsia" w:ascii="宋体" w:hAnsi="宋体" w:eastAsia="宋体" w:cs="宋体"/>
                <w:color w:val="auto"/>
                <w:szCs w:val="21"/>
                <w:highlight w:val="none"/>
              </w:rPr>
            </w:pPr>
          </w:p>
        </w:tc>
        <w:tc>
          <w:tcPr>
            <w:tcW w:w="1210" w:type="dxa"/>
            <w:noWrap w:val="0"/>
            <w:vAlign w:val="top"/>
          </w:tcPr>
          <w:p w14:paraId="35D635EB">
            <w:pPr>
              <w:snapToGrid w:val="0"/>
              <w:spacing w:line="360" w:lineRule="auto"/>
              <w:jc w:val="center"/>
              <w:rPr>
                <w:rFonts w:hint="eastAsia" w:ascii="宋体" w:hAnsi="宋体" w:eastAsia="宋体" w:cs="宋体"/>
                <w:color w:val="auto"/>
                <w:szCs w:val="21"/>
                <w:highlight w:val="none"/>
              </w:rPr>
            </w:pPr>
          </w:p>
        </w:tc>
        <w:tc>
          <w:tcPr>
            <w:tcW w:w="908" w:type="dxa"/>
            <w:noWrap w:val="0"/>
            <w:vAlign w:val="top"/>
          </w:tcPr>
          <w:p w14:paraId="7B7B4EB5">
            <w:pPr>
              <w:snapToGrid w:val="0"/>
              <w:spacing w:line="360" w:lineRule="auto"/>
              <w:jc w:val="center"/>
              <w:rPr>
                <w:rFonts w:hint="eastAsia" w:ascii="宋体" w:hAnsi="宋体" w:eastAsia="宋体" w:cs="宋体"/>
                <w:color w:val="auto"/>
                <w:szCs w:val="21"/>
                <w:highlight w:val="none"/>
              </w:rPr>
            </w:pPr>
          </w:p>
        </w:tc>
        <w:tc>
          <w:tcPr>
            <w:tcW w:w="668" w:type="dxa"/>
            <w:noWrap w:val="0"/>
            <w:vAlign w:val="top"/>
          </w:tcPr>
          <w:p w14:paraId="02E856DB">
            <w:pPr>
              <w:snapToGrid w:val="0"/>
              <w:spacing w:line="360" w:lineRule="auto"/>
              <w:jc w:val="center"/>
              <w:rPr>
                <w:rFonts w:hint="eastAsia" w:ascii="宋体" w:hAnsi="宋体" w:eastAsia="宋体" w:cs="宋体"/>
                <w:color w:val="auto"/>
                <w:szCs w:val="21"/>
                <w:highlight w:val="none"/>
              </w:rPr>
            </w:pPr>
          </w:p>
        </w:tc>
        <w:tc>
          <w:tcPr>
            <w:tcW w:w="947" w:type="dxa"/>
            <w:noWrap w:val="0"/>
            <w:vAlign w:val="center"/>
          </w:tcPr>
          <w:p w14:paraId="3B4BEA60">
            <w:pPr>
              <w:snapToGrid w:val="0"/>
              <w:spacing w:line="360" w:lineRule="auto"/>
              <w:jc w:val="center"/>
              <w:rPr>
                <w:rFonts w:hint="eastAsia" w:ascii="宋体" w:hAnsi="宋体" w:eastAsia="宋体" w:cs="宋体"/>
                <w:color w:val="auto"/>
                <w:szCs w:val="21"/>
                <w:highlight w:val="none"/>
              </w:rPr>
            </w:pPr>
          </w:p>
        </w:tc>
        <w:tc>
          <w:tcPr>
            <w:tcW w:w="914" w:type="dxa"/>
            <w:noWrap w:val="0"/>
            <w:vAlign w:val="center"/>
          </w:tcPr>
          <w:p w14:paraId="03EB7A6A">
            <w:pPr>
              <w:snapToGrid w:val="0"/>
              <w:spacing w:line="360" w:lineRule="auto"/>
              <w:jc w:val="center"/>
              <w:rPr>
                <w:rFonts w:hint="eastAsia" w:ascii="宋体" w:hAnsi="宋体" w:eastAsia="宋体" w:cs="宋体"/>
                <w:color w:val="auto"/>
                <w:szCs w:val="21"/>
                <w:highlight w:val="none"/>
              </w:rPr>
            </w:pPr>
          </w:p>
        </w:tc>
      </w:tr>
      <w:tr w14:paraId="27FD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3C9F0062">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33" w:type="dxa"/>
            <w:noWrap w:val="0"/>
            <w:vAlign w:val="center"/>
          </w:tcPr>
          <w:p w14:paraId="7C05B36B">
            <w:pPr>
              <w:snapToGrid w:val="0"/>
              <w:spacing w:line="360" w:lineRule="auto"/>
              <w:jc w:val="center"/>
              <w:rPr>
                <w:rFonts w:hint="eastAsia" w:ascii="宋体" w:hAnsi="宋体" w:eastAsia="宋体" w:cs="宋体"/>
                <w:color w:val="auto"/>
                <w:szCs w:val="21"/>
                <w:highlight w:val="none"/>
              </w:rPr>
            </w:pPr>
          </w:p>
        </w:tc>
        <w:tc>
          <w:tcPr>
            <w:tcW w:w="1059" w:type="dxa"/>
            <w:noWrap w:val="0"/>
            <w:vAlign w:val="center"/>
          </w:tcPr>
          <w:p w14:paraId="28FDE114">
            <w:pPr>
              <w:snapToGrid w:val="0"/>
              <w:spacing w:line="360" w:lineRule="auto"/>
              <w:jc w:val="center"/>
              <w:rPr>
                <w:rFonts w:hint="eastAsia" w:ascii="宋体" w:hAnsi="宋体" w:eastAsia="宋体" w:cs="宋体"/>
                <w:color w:val="auto"/>
                <w:szCs w:val="21"/>
                <w:highlight w:val="none"/>
              </w:rPr>
            </w:pPr>
          </w:p>
        </w:tc>
        <w:tc>
          <w:tcPr>
            <w:tcW w:w="1233" w:type="dxa"/>
            <w:noWrap w:val="0"/>
            <w:vAlign w:val="center"/>
          </w:tcPr>
          <w:p w14:paraId="3D70AD79">
            <w:pPr>
              <w:snapToGrid w:val="0"/>
              <w:spacing w:line="360" w:lineRule="auto"/>
              <w:jc w:val="center"/>
              <w:rPr>
                <w:rFonts w:hint="eastAsia" w:ascii="宋体" w:hAnsi="宋体" w:eastAsia="宋体" w:cs="宋体"/>
                <w:color w:val="auto"/>
                <w:szCs w:val="21"/>
                <w:highlight w:val="none"/>
              </w:rPr>
            </w:pPr>
          </w:p>
        </w:tc>
        <w:tc>
          <w:tcPr>
            <w:tcW w:w="1210" w:type="dxa"/>
            <w:noWrap w:val="0"/>
            <w:vAlign w:val="top"/>
          </w:tcPr>
          <w:p w14:paraId="77EEB0CD">
            <w:pPr>
              <w:snapToGrid w:val="0"/>
              <w:spacing w:line="360" w:lineRule="auto"/>
              <w:jc w:val="center"/>
              <w:rPr>
                <w:rFonts w:hint="eastAsia" w:ascii="宋体" w:hAnsi="宋体" w:eastAsia="宋体" w:cs="宋体"/>
                <w:color w:val="auto"/>
                <w:szCs w:val="21"/>
                <w:highlight w:val="none"/>
              </w:rPr>
            </w:pPr>
          </w:p>
        </w:tc>
        <w:tc>
          <w:tcPr>
            <w:tcW w:w="908" w:type="dxa"/>
            <w:noWrap w:val="0"/>
            <w:vAlign w:val="top"/>
          </w:tcPr>
          <w:p w14:paraId="1609AC6B">
            <w:pPr>
              <w:snapToGrid w:val="0"/>
              <w:spacing w:line="360" w:lineRule="auto"/>
              <w:jc w:val="center"/>
              <w:rPr>
                <w:rFonts w:hint="eastAsia" w:ascii="宋体" w:hAnsi="宋体" w:eastAsia="宋体" w:cs="宋体"/>
                <w:color w:val="auto"/>
                <w:szCs w:val="21"/>
                <w:highlight w:val="none"/>
              </w:rPr>
            </w:pPr>
          </w:p>
        </w:tc>
        <w:tc>
          <w:tcPr>
            <w:tcW w:w="668" w:type="dxa"/>
            <w:noWrap w:val="0"/>
            <w:vAlign w:val="top"/>
          </w:tcPr>
          <w:p w14:paraId="2C2A6893">
            <w:pPr>
              <w:snapToGrid w:val="0"/>
              <w:spacing w:line="360" w:lineRule="auto"/>
              <w:jc w:val="center"/>
              <w:rPr>
                <w:rFonts w:hint="eastAsia" w:ascii="宋体" w:hAnsi="宋体" w:eastAsia="宋体" w:cs="宋体"/>
                <w:color w:val="auto"/>
                <w:szCs w:val="21"/>
                <w:highlight w:val="none"/>
              </w:rPr>
            </w:pPr>
          </w:p>
        </w:tc>
        <w:tc>
          <w:tcPr>
            <w:tcW w:w="947" w:type="dxa"/>
            <w:noWrap w:val="0"/>
            <w:vAlign w:val="center"/>
          </w:tcPr>
          <w:p w14:paraId="36DE3388">
            <w:pPr>
              <w:snapToGrid w:val="0"/>
              <w:spacing w:line="360" w:lineRule="auto"/>
              <w:jc w:val="center"/>
              <w:rPr>
                <w:rFonts w:hint="eastAsia" w:ascii="宋体" w:hAnsi="宋体" w:eastAsia="宋体" w:cs="宋体"/>
                <w:color w:val="auto"/>
                <w:szCs w:val="21"/>
                <w:highlight w:val="none"/>
              </w:rPr>
            </w:pPr>
          </w:p>
        </w:tc>
        <w:tc>
          <w:tcPr>
            <w:tcW w:w="914" w:type="dxa"/>
            <w:noWrap w:val="0"/>
            <w:vAlign w:val="center"/>
          </w:tcPr>
          <w:p w14:paraId="4C509248">
            <w:pPr>
              <w:snapToGrid w:val="0"/>
              <w:spacing w:line="360" w:lineRule="auto"/>
              <w:jc w:val="center"/>
              <w:rPr>
                <w:rFonts w:hint="eastAsia" w:ascii="宋体" w:hAnsi="宋体" w:eastAsia="宋体" w:cs="宋体"/>
                <w:color w:val="auto"/>
                <w:szCs w:val="21"/>
                <w:highlight w:val="none"/>
              </w:rPr>
            </w:pPr>
          </w:p>
        </w:tc>
      </w:tr>
      <w:tr w14:paraId="45A6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730B92AB">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233" w:type="dxa"/>
            <w:noWrap w:val="0"/>
            <w:vAlign w:val="center"/>
          </w:tcPr>
          <w:p w14:paraId="2D4B9960">
            <w:pPr>
              <w:snapToGrid w:val="0"/>
              <w:spacing w:line="360" w:lineRule="auto"/>
              <w:jc w:val="center"/>
              <w:rPr>
                <w:rFonts w:hint="eastAsia" w:ascii="宋体" w:hAnsi="宋体" w:eastAsia="宋体" w:cs="宋体"/>
                <w:color w:val="auto"/>
                <w:szCs w:val="21"/>
                <w:highlight w:val="none"/>
              </w:rPr>
            </w:pPr>
          </w:p>
        </w:tc>
        <w:tc>
          <w:tcPr>
            <w:tcW w:w="1059" w:type="dxa"/>
            <w:noWrap w:val="0"/>
            <w:vAlign w:val="center"/>
          </w:tcPr>
          <w:p w14:paraId="7FADCEBC">
            <w:pPr>
              <w:snapToGrid w:val="0"/>
              <w:spacing w:line="360" w:lineRule="auto"/>
              <w:jc w:val="center"/>
              <w:rPr>
                <w:rFonts w:hint="eastAsia" w:ascii="宋体" w:hAnsi="宋体" w:eastAsia="宋体" w:cs="宋体"/>
                <w:color w:val="auto"/>
                <w:szCs w:val="21"/>
                <w:highlight w:val="none"/>
              </w:rPr>
            </w:pPr>
          </w:p>
        </w:tc>
        <w:tc>
          <w:tcPr>
            <w:tcW w:w="1233" w:type="dxa"/>
            <w:noWrap w:val="0"/>
            <w:vAlign w:val="center"/>
          </w:tcPr>
          <w:p w14:paraId="3FD748F6">
            <w:pPr>
              <w:snapToGrid w:val="0"/>
              <w:spacing w:line="360" w:lineRule="auto"/>
              <w:jc w:val="center"/>
              <w:rPr>
                <w:rFonts w:hint="eastAsia" w:ascii="宋体" w:hAnsi="宋体" w:eastAsia="宋体" w:cs="宋体"/>
                <w:color w:val="auto"/>
                <w:szCs w:val="21"/>
                <w:highlight w:val="none"/>
              </w:rPr>
            </w:pPr>
          </w:p>
        </w:tc>
        <w:tc>
          <w:tcPr>
            <w:tcW w:w="1210" w:type="dxa"/>
            <w:noWrap w:val="0"/>
            <w:vAlign w:val="top"/>
          </w:tcPr>
          <w:p w14:paraId="684BD0E5">
            <w:pPr>
              <w:snapToGrid w:val="0"/>
              <w:spacing w:line="360" w:lineRule="auto"/>
              <w:jc w:val="center"/>
              <w:rPr>
                <w:rFonts w:hint="eastAsia" w:ascii="宋体" w:hAnsi="宋体" w:eastAsia="宋体" w:cs="宋体"/>
                <w:color w:val="auto"/>
                <w:szCs w:val="21"/>
                <w:highlight w:val="none"/>
              </w:rPr>
            </w:pPr>
          </w:p>
        </w:tc>
        <w:tc>
          <w:tcPr>
            <w:tcW w:w="908" w:type="dxa"/>
            <w:noWrap w:val="0"/>
            <w:vAlign w:val="top"/>
          </w:tcPr>
          <w:p w14:paraId="41BA4133">
            <w:pPr>
              <w:snapToGrid w:val="0"/>
              <w:spacing w:line="360" w:lineRule="auto"/>
              <w:jc w:val="center"/>
              <w:rPr>
                <w:rFonts w:hint="eastAsia" w:ascii="宋体" w:hAnsi="宋体" w:eastAsia="宋体" w:cs="宋体"/>
                <w:color w:val="auto"/>
                <w:szCs w:val="21"/>
                <w:highlight w:val="none"/>
              </w:rPr>
            </w:pPr>
          </w:p>
        </w:tc>
        <w:tc>
          <w:tcPr>
            <w:tcW w:w="668" w:type="dxa"/>
            <w:noWrap w:val="0"/>
            <w:vAlign w:val="top"/>
          </w:tcPr>
          <w:p w14:paraId="4ED7170B">
            <w:pPr>
              <w:snapToGrid w:val="0"/>
              <w:spacing w:line="360" w:lineRule="auto"/>
              <w:jc w:val="center"/>
              <w:rPr>
                <w:rFonts w:hint="eastAsia" w:ascii="宋体" w:hAnsi="宋体" w:eastAsia="宋体" w:cs="宋体"/>
                <w:color w:val="auto"/>
                <w:szCs w:val="21"/>
                <w:highlight w:val="none"/>
              </w:rPr>
            </w:pPr>
          </w:p>
        </w:tc>
        <w:tc>
          <w:tcPr>
            <w:tcW w:w="947" w:type="dxa"/>
            <w:noWrap w:val="0"/>
            <w:vAlign w:val="center"/>
          </w:tcPr>
          <w:p w14:paraId="065D5664">
            <w:pPr>
              <w:snapToGrid w:val="0"/>
              <w:spacing w:line="360" w:lineRule="auto"/>
              <w:jc w:val="center"/>
              <w:rPr>
                <w:rFonts w:hint="eastAsia" w:ascii="宋体" w:hAnsi="宋体" w:eastAsia="宋体" w:cs="宋体"/>
                <w:color w:val="auto"/>
                <w:szCs w:val="21"/>
                <w:highlight w:val="none"/>
              </w:rPr>
            </w:pPr>
          </w:p>
        </w:tc>
        <w:tc>
          <w:tcPr>
            <w:tcW w:w="914" w:type="dxa"/>
            <w:noWrap w:val="0"/>
            <w:vAlign w:val="center"/>
          </w:tcPr>
          <w:p w14:paraId="126F47E1">
            <w:pPr>
              <w:snapToGrid w:val="0"/>
              <w:spacing w:line="360" w:lineRule="auto"/>
              <w:jc w:val="center"/>
              <w:rPr>
                <w:rFonts w:hint="eastAsia" w:ascii="宋体" w:hAnsi="宋体" w:eastAsia="宋体" w:cs="宋体"/>
                <w:color w:val="auto"/>
                <w:szCs w:val="21"/>
                <w:highlight w:val="none"/>
              </w:rPr>
            </w:pPr>
          </w:p>
        </w:tc>
      </w:tr>
      <w:tr w14:paraId="41AB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8881" w:type="dxa"/>
            <w:gridSpan w:val="9"/>
            <w:noWrap w:val="0"/>
            <w:vAlign w:val="center"/>
          </w:tcPr>
          <w:p w14:paraId="64854D4A">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人民币合计金额（大写）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（小写）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tc>
      </w:tr>
    </w:tbl>
    <w:p w14:paraId="414FA8CE">
      <w:pPr>
        <w:keepNext w:val="0"/>
        <w:keepLines w:val="0"/>
        <w:pageBreakBefore w:val="0"/>
        <w:widowControl w:val="0"/>
        <w:numPr>
          <w:ilvl w:val="0"/>
          <w:numId w:val="64"/>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合同合计金额包括从乙方发运到甲方指定交货地点的一切风险及费用(包括但不限于备件、专用工具、调试、技术培训及技术资料、运输费、保险费、装卸费、税金等)。如</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文件对其另</w:t>
      </w:r>
      <w:r>
        <w:rPr>
          <w:rFonts w:hint="eastAsia" w:ascii="宋体" w:hAnsi="宋体" w:eastAsia="宋体" w:cs="宋体"/>
          <w:color w:val="auto"/>
          <w:szCs w:val="21"/>
          <w:highlight w:val="none"/>
          <w:lang w:val="en-US" w:eastAsia="zh-CN"/>
        </w:rPr>
        <w:t>有</w:t>
      </w:r>
      <w:r>
        <w:rPr>
          <w:rFonts w:hint="eastAsia" w:ascii="宋体" w:hAnsi="宋体" w:eastAsia="宋体" w:cs="宋体"/>
          <w:color w:val="auto"/>
          <w:szCs w:val="21"/>
          <w:highlight w:val="none"/>
        </w:rPr>
        <w:t>规定的，从其规定。</w:t>
      </w:r>
    </w:p>
    <w:p w14:paraId="23E8361F">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质量要求</w:t>
      </w:r>
    </w:p>
    <w:p w14:paraId="379FA985">
      <w:pPr>
        <w:keepNext w:val="0"/>
        <w:keepLines w:val="0"/>
        <w:pageBreakBefore w:val="0"/>
        <w:widowControl w:val="0"/>
        <w:numPr>
          <w:ilvl w:val="0"/>
          <w:numId w:val="65"/>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w:t>
      </w:r>
      <w:r>
        <w:rPr>
          <w:rFonts w:hint="eastAsia" w:ascii="宋体" w:hAnsi="宋体" w:eastAsia="宋体" w:cs="宋体"/>
          <w:color w:val="auto"/>
          <w:szCs w:val="21"/>
          <w:highlight w:val="none"/>
          <w:lang w:eastAsia="zh-CN"/>
        </w:rPr>
        <w:t>设备</w:t>
      </w:r>
      <w:r>
        <w:rPr>
          <w:rFonts w:hint="eastAsia" w:ascii="宋体" w:hAnsi="宋体" w:eastAsia="宋体" w:cs="宋体"/>
          <w:color w:val="auto"/>
          <w:szCs w:val="21"/>
          <w:highlight w:val="none"/>
        </w:rPr>
        <w:t>名称、商标品牌、生产厂家、规格型号、技术参数等质量必须与招标文件规定及投标文件承诺相一致。乙方提供的节能和环保产品必须是列入政府采购品目清单的产品。</w:t>
      </w:r>
    </w:p>
    <w:p w14:paraId="6BC72084">
      <w:pPr>
        <w:keepNext w:val="0"/>
        <w:keepLines w:val="0"/>
        <w:pageBreakBefore w:val="0"/>
        <w:widowControl w:val="0"/>
        <w:numPr>
          <w:ilvl w:val="0"/>
          <w:numId w:val="65"/>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w:t>
      </w:r>
      <w:r>
        <w:rPr>
          <w:rFonts w:hint="eastAsia" w:ascii="宋体" w:hAnsi="宋体" w:eastAsia="宋体" w:cs="宋体"/>
          <w:color w:val="auto"/>
          <w:szCs w:val="21"/>
          <w:highlight w:val="none"/>
          <w:lang w:eastAsia="zh-CN"/>
        </w:rPr>
        <w:t>设备</w:t>
      </w:r>
      <w:r>
        <w:rPr>
          <w:rFonts w:hint="eastAsia" w:ascii="宋体" w:hAnsi="宋体" w:eastAsia="宋体" w:cs="宋体"/>
          <w:color w:val="auto"/>
          <w:szCs w:val="21"/>
          <w:highlight w:val="none"/>
        </w:rPr>
        <w:t>必须是全新、未使用的原装产品，且在正常安装、使用和保养条件下，其使用寿命期内各项指标均达到招标文件规定或者投标文件承诺的质量要求。</w:t>
      </w:r>
    </w:p>
    <w:p w14:paraId="48A6D6A7">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权利保证</w:t>
      </w:r>
    </w:p>
    <w:p w14:paraId="14D9D770">
      <w:pPr>
        <w:keepNext w:val="0"/>
        <w:keepLines w:val="0"/>
        <w:pageBreakBefore w:val="0"/>
        <w:widowControl w:val="0"/>
        <w:numPr>
          <w:ilvl w:val="0"/>
          <w:numId w:val="66"/>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乙方应保证所提供货物在使用时不会侵犯任何第三方的专利权、商标权、工业设计权或者其他权利。</w:t>
      </w:r>
    </w:p>
    <w:p w14:paraId="48D07F5C">
      <w:pPr>
        <w:keepNext w:val="0"/>
        <w:keepLines w:val="0"/>
        <w:pageBreakBefore w:val="0"/>
        <w:widowControl w:val="0"/>
        <w:numPr>
          <w:ilvl w:val="0"/>
          <w:numId w:val="66"/>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乙方应按招标文件规定或者投标文件承诺的时间向甲方提供使用货物的有关技术资料。</w:t>
      </w:r>
    </w:p>
    <w:p w14:paraId="51232EC6">
      <w:pPr>
        <w:keepNext w:val="0"/>
        <w:keepLines w:val="0"/>
        <w:pageBreakBefore w:val="0"/>
        <w:widowControl w:val="0"/>
        <w:numPr>
          <w:ilvl w:val="0"/>
          <w:numId w:val="66"/>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6C4D0587">
      <w:pPr>
        <w:keepNext w:val="0"/>
        <w:keepLines w:val="0"/>
        <w:pageBreakBefore w:val="0"/>
        <w:widowControl w:val="0"/>
        <w:numPr>
          <w:ilvl w:val="0"/>
          <w:numId w:val="66"/>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乙方保证将要交付的货物的所有权完全属于乙方且无任何抵押、质押、查封等产权瑕疵。</w:t>
      </w:r>
    </w:p>
    <w:p w14:paraId="1662ECA3">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包装和运输</w:t>
      </w:r>
    </w:p>
    <w:p w14:paraId="40F2FC6B">
      <w:pPr>
        <w:numPr>
          <w:ilvl w:val="0"/>
          <w:numId w:val="67"/>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乙方提供的货物均应按招标文件规定或者投标文件承诺的要求的包装材料、包装标准、包装方式进行包装，每一包装单元内应附详细的装箱单和质量合格证。</w:t>
      </w:r>
    </w:p>
    <w:p w14:paraId="70BD30D8">
      <w:pPr>
        <w:numPr>
          <w:ilvl w:val="0"/>
          <w:numId w:val="67"/>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货物的运输方式：</w:t>
      </w:r>
      <w:r>
        <w:rPr>
          <w:rFonts w:hint="eastAsia" w:ascii="宋体" w:hAnsi="宋体" w:eastAsia="宋体" w:cs="宋体"/>
          <w:color w:val="auto"/>
          <w:szCs w:val="21"/>
          <w:highlight w:val="none"/>
          <w:u w:val="single"/>
        </w:rPr>
        <w:t xml:space="preserve">             。</w:t>
      </w:r>
    </w:p>
    <w:p w14:paraId="488F9009">
      <w:pPr>
        <w:numPr>
          <w:ilvl w:val="0"/>
          <w:numId w:val="67"/>
        </w:numPr>
        <w:snapToGrid w:val="0"/>
        <w:spacing w:line="360" w:lineRule="auto"/>
        <w:ind w:left="0" w:leftChars="0"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乙方负责货物运输，货物运输合理损耗及计算方法：</w:t>
      </w:r>
      <w:r>
        <w:rPr>
          <w:rFonts w:hint="eastAsia" w:ascii="宋体" w:hAnsi="宋体" w:eastAsia="宋体" w:cs="宋体"/>
          <w:color w:val="auto"/>
          <w:szCs w:val="21"/>
          <w:highlight w:val="none"/>
          <w:u w:val="single"/>
        </w:rPr>
        <w:t xml:space="preserve">                 。</w:t>
      </w:r>
    </w:p>
    <w:p w14:paraId="735631CA">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交付和验收</w:t>
      </w:r>
    </w:p>
    <w:p w14:paraId="30CD4816">
      <w:pPr>
        <w:keepNext w:val="0"/>
        <w:keepLines w:val="0"/>
        <w:pageBreakBefore w:val="0"/>
        <w:widowControl w:val="0"/>
        <w:numPr>
          <w:ilvl w:val="0"/>
          <w:numId w:val="68"/>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交付时间：</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；交付地点：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A9187E3">
      <w:pPr>
        <w:numPr>
          <w:ilvl w:val="0"/>
          <w:numId w:val="6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乙方提供不符合招标文件规定或者投标文件承诺的和本合同规定的货物，甲方有权拒绝接受。</w:t>
      </w:r>
    </w:p>
    <w:p w14:paraId="19BC5854">
      <w:pPr>
        <w:numPr>
          <w:ilvl w:val="0"/>
          <w:numId w:val="6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65666D8C">
      <w:pPr>
        <w:numPr>
          <w:ilvl w:val="0"/>
          <w:numId w:val="6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甲方应当在到货（安装、调试完）后七个工作日内进行验收，逾期不验收的，乙方可视同验收合格。验收合格后由甲乙双方签署货物验收单并加盖采购人公章，甲乙双方各执一份。</w:t>
      </w:r>
    </w:p>
    <w:p w14:paraId="4EFE098B">
      <w:pPr>
        <w:numPr>
          <w:ilvl w:val="0"/>
          <w:numId w:val="6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2F442F70">
      <w:pPr>
        <w:numPr>
          <w:ilvl w:val="0"/>
          <w:numId w:val="6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甲方对验收有异议的，在验收后五个工作日内以书面形式向乙方提出，乙方应自收到甲方书面异议后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日内及时予以解决。</w:t>
      </w:r>
    </w:p>
    <w:p w14:paraId="0F1D345A">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安装和培训</w:t>
      </w:r>
    </w:p>
    <w:p w14:paraId="4BF174B1">
      <w:pPr>
        <w:numPr>
          <w:ilvl w:val="0"/>
          <w:numId w:val="69"/>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甲方应提供必要安装条件（如场地、电源、水源等）。</w:t>
      </w:r>
    </w:p>
    <w:p w14:paraId="603ECDF8">
      <w:pPr>
        <w:numPr>
          <w:ilvl w:val="0"/>
          <w:numId w:val="69"/>
        </w:numPr>
        <w:snapToGrid w:val="0"/>
        <w:spacing w:line="360" w:lineRule="auto"/>
        <w:ind w:left="0" w:leftChars="0"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乙方投标文件承诺负责甲方有关人员的培训。培训时间、地点：</w:t>
      </w:r>
      <w:r>
        <w:rPr>
          <w:rFonts w:hint="eastAsia" w:ascii="宋体" w:hAnsi="宋体" w:eastAsia="宋体" w:cs="宋体"/>
          <w:color w:val="auto"/>
          <w:szCs w:val="21"/>
          <w:highlight w:val="none"/>
          <w:u w:val="single"/>
          <w:lang w:val="en-US" w:eastAsia="zh-CN"/>
        </w:rPr>
        <w:t>双方协商定</w:t>
      </w:r>
      <w:r>
        <w:rPr>
          <w:rFonts w:hint="eastAsia" w:ascii="宋体" w:hAnsi="宋体" w:eastAsia="宋体" w:cs="宋体"/>
          <w:color w:val="auto"/>
          <w:szCs w:val="21"/>
          <w:highlight w:val="none"/>
          <w:u w:val="single"/>
        </w:rPr>
        <w:t>。</w:t>
      </w:r>
    </w:p>
    <w:p w14:paraId="62D061D1">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售后服务、质保期</w:t>
      </w:r>
    </w:p>
    <w:p w14:paraId="4385C5E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1.乙方应按照国家有关法律法规和“三包”规定以及本合同所附的《服务承诺》，为甲方提供售后服务。</w:t>
      </w:r>
    </w:p>
    <w:p w14:paraId="30A9C1EE">
      <w:pPr>
        <w:snapToGrid w:val="0"/>
        <w:spacing w:line="360" w:lineRule="auto"/>
        <w:ind w:firstLine="420" w:firstLineChars="200"/>
        <w:rPr>
          <w:rFonts w:hint="eastAsia" w:ascii="宋体" w:hAnsi="宋体" w:eastAsia="宋体" w:cs="宋体"/>
          <w:color w:val="auto"/>
          <w:szCs w:val="21"/>
          <w:highlight w:val="none"/>
          <w:u w:val="single"/>
          <w:lang w:val="en-US"/>
        </w:rPr>
      </w:pPr>
      <w:r>
        <w:rPr>
          <w:rFonts w:hint="eastAsia" w:ascii="宋体" w:hAnsi="宋体" w:eastAsia="宋体" w:cs="宋体"/>
          <w:color w:val="auto"/>
          <w:szCs w:val="21"/>
          <w:highlight w:val="none"/>
        </w:rPr>
        <w:t>2.货物质保期：</w:t>
      </w:r>
      <w:r>
        <w:rPr>
          <w:rFonts w:hint="eastAsia" w:ascii="宋体" w:hAnsi="宋体" w:eastAsia="宋体" w:cs="宋体"/>
          <w:color w:val="auto"/>
          <w:szCs w:val="21"/>
          <w:highlight w:val="none"/>
          <w:u w:val="single"/>
          <w:lang w:val="en-US" w:eastAsia="zh-CN"/>
        </w:rPr>
        <w:t xml:space="preserve">        </w:t>
      </w:r>
    </w:p>
    <w:p w14:paraId="72B8E52A">
      <w:pPr>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3.乙方提供的服务承诺和售后服务及保修期责任等其它具体约定事项。（见合同附件）</w:t>
      </w:r>
    </w:p>
    <w:p w14:paraId="3BBB3A31">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付款方式</w:t>
      </w:r>
    </w:p>
    <w:p w14:paraId="59C74D92">
      <w:pPr>
        <w:pStyle w:val="28"/>
        <w:keepNext w:val="0"/>
        <w:keepLines w:val="0"/>
        <w:pageBreakBefore w:val="0"/>
        <w:widowControl w:val="0"/>
        <w:numPr>
          <w:ilvl w:val="0"/>
          <w:numId w:val="70"/>
        </w:numPr>
        <w:tabs>
          <w:tab w:val="left" w:pos="840"/>
          <w:tab w:val="left" w:pos="1050"/>
        </w:tabs>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合同签订后七个工作日内，</w:t>
      </w:r>
      <w:r>
        <w:rPr>
          <w:rFonts w:hint="eastAsia" w:asciiTheme="minorEastAsia" w:hAnsiTheme="minorEastAsia" w:eastAsiaTheme="minorEastAsia" w:cstheme="minorEastAsia"/>
          <w:color w:val="auto"/>
          <w:sz w:val="21"/>
          <w:szCs w:val="21"/>
          <w:lang w:eastAsia="zh-CN"/>
        </w:rPr>
        <w:t>乙方</w:t>
      </w:r>
      <w:r>
        <w:rPr>
          <w:rFonts w:hint="eastAsia" w:asciiTheme="minorEastAsia" w:hAnsiTheme="minorEastAsia" w:eastAsiaTheme="minorEastAsia" w:cstheme="minorEastAsia"/>
          <w:color w:val="auto"/>
          <w:sz w:val="21"/>
          <w:szCs w:val="21"/>
        </w:rPr>
        <w:t>开具</w:t>
      </w:r>
      <w:r>
        <w:rPr>
          <w:rFonts w:hint="eastAsia" w:asciiTheme="minorEastAsia" w:hAnsiTheme="minorEastAsia" w:eastAsiaTheme="minorEastAsia" w:cstheme="minorEastAsia"/>
          <w:color w:val="auto"/>
          <w:spacing w:val="-1"/>
          <w:sz w:val="21"/>
          <w:szCs w:val="21"/>
        </w:rPr>
        <w:t>全额合法发票，</w:t>
      </w:r>
      <w:r>
        <w:rPr>
          <w:rFonts w:hint="eastAsia" w:asciiTheme="minorEastAsia" w:hAnsiTheme="minorEastAsia" w:eastAsiaTheme="minorEastAsia" w:cstheme="minorEastAsia"/>
          <w:color w:val="auto"/>
          <w:spacing w:val="-1"/>
          <w:sz w:val="21"/>
          <w:szCs w:val="21"/>
          <w:lang w:eastAsia="zh-CN"/>
        </w:rPr>
        <w:t>甲方</w:t>
      </w:r>
      <w:r>
        <w:rPr>
          <w:rFonts w:hint="eastAsia" w:asciiTheme="minorEastAsia" w:hAnsiTheme="minorEastAsia" w:eastAsiaTheme="minorEastAsia" w:cstheme="minorEastAsia"/>
          <w:color w:val="auto"/>
          <w:spacing w:val="-1"/>
          <w:sz w:val="21"/>
          <w:szCs w:val="21"/>
        </w:rPr>
        <w:t>在收到发票后十五个工作日内向成交供应商支付合同总额的</w:t>
      </w:r>
      <w:r>
        <w:rPr>
          <w:rFonts w:hint="eastAsia" w:asciiTheme="minorEastAsia" w:hAnsiTheme="minorEastAsia" w:eastAsiaTheme="minorEastAsia" w:cstheme="minorEastAsia"/>
          <w:color w:val="auto"/>
          <w:spacing w:val="-24"/>
          <w:sz w:val="21"/>
          <w:szCs w:val="21"/>
        </w:rPr>
        <w:t xml:space="preserve"> </w:t>
      </w:r>
      <w:r>
        <w:rPr>
          <w:rFonts w:hint="eastAsia" w:asciiTheme="minorEastAsia" w:hAnsiTheme="minorEastAsia" w:eastAsiaTheme="minorEastAsia" w:cstheme="minorEastAsia"/>
          <w:color w:val="auto"/>
          <w:spacing w:val="-1"/>
          <w:sz w:val="21"/>
          <w:szCs w:val="21"/>
        </w:rPr>
        <w:t>30%。</w:t>
      </w:r>
    </w:p>
    <w:p w14:paraId="3B3B6025">
      <w:pPr>
        <w:pStyle w:val="28"/>
        <w:keepNext w:val="0"/>
        <w:keepLines w:val="0"/>
        <w:pageBreakBefore w:val="0"/>
        <w:widowControl w:val="0"/>
        <w:numPr>
          <w:ilvl w:val="0"/>
          <w:numId w:val="70"/>
        </w:numPr>
        <w:tabs>
          <w:tab w:val="left" w:pos="840"/>
          <w:tab w:val="left" w:pos="1050"/>
        </w:tabs>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设备稳定运行并经采购人验收合格后，</w:t>
      </w:r>
      <w:r>
        <w:rPr>
          <w:rFonts w:hint="eastAsia" w:asciiTheme="minorEastAsia" w:hAnsiTheme="minorEastAsia" w:eastAsiaTheme="minorEastAsia" w:cstheme="minorEastAsia"/>
          <w:color w:val="auto"/>
          <w:spacing w:val="-2"/>
          <w:sz w:val="21"/>
          <w:szCs w:val="21"/>
          <w:lang w:eastAsia="zh-CN"/>
        </w:rPr>
        <w:t>乙方</w:t>
      </w:r>
      <w:r>
        <w:rPr>
          <w:rFonts w:hint="eastAsia" w:asciiTheme="minorEastAsia" w:hAnsiTheme="minorEastAsia" w:eastAsiaTheme="minorEastAsia" w:cstheme="minorEastAsia"/>
          <w:color w:val="auto"/>
          <w:spacing w:val="-2"/>
          <w:sz w:val="21"/>
          <w:szCs w:val="21"/>
        </w:rPr>
        <w:t>向</w:t>
      </w:r>
      <w:r>
        <w:rPr>
          <w:rFonts w:hint="eastAsia" w:asciiTheme="minorEastAsia" w:hAnsiTheme="minorEastAsia" w:eastAsiaTheme="minorEastAsia" w:cstheme="minorEastAsia"/>
          <w:color w:val="auto"/>
          <w:spacing w:val="-2"/>
          <w:sz w:val="21"/>
          <w:szCs w:val="21"/>
          <w:lang w:eastAsia="zh-CN"/>
        </w:rPr>
        <w:t>甲方</w:t>
      </w:r>
      <w:r>
        <w:rPr>
          <w:rFonts w:hint="eastAsia" w:asciiTheme="minorEastAsia" w:hAnsiTheme="minorEastAsia" w:eastAsiaTheme="minorEastAsia" w:cstheme="minorEastAsia"/>
          <w:color w:val="auto"/>
          <w:spacing w:val="-2"/>
          <w:sz w:val="21"/>
          <w:szCs w:val="21"/>
        </w:rPr>
        <w:t>申请，</w:t>
      </w:r>
      <w:r>
        <w:rPr>
          <w:rFonts w:hint="eastAsia" w:asciiTheme="minorEastAsia" w:hAnsiTheme="minorEastAsia" w:eastAsiaTheme="minorEastAsia" w:cstheme="minorEastAsia"/>
          <w:color w:val="auto"/>
          <w:sz w:val="21"/>
          <w:szCs w:val="21"/>
          <w:lang w:eastAsia="zh-CN"/>
        </w:rPr>
        <w:t>甲方</w:t>
      </w:r>
      <w:r>
        <w:rPr>
          <w:rFonts w:hint="eastAsia" w:asciiTheme="minorEastAsia" w:hAnsiTheme="minorEastAsia" w:eastAsiaTheme="minorEastAsia" w:cstheme="minorEastAsia"/>
          <w:color w:val="auto"/>
          <w:sz w:val="21"/>
          <w:szCs w:val="21"/>
        </w:rPr>
        <w:t>收到</w:t>
      </w:r>
      <w:r>
        <w:rPr>
          <w:rFonts w:hint="eastAsia" w:asciiTheme="minorEastAsia" w:hAnsiTheme="minorEastAsia" w:eastAsiaTheme="minorEastAsia" w:cstheme="minorEastAsia"/>
          <w:color w:val="auto"/>
          <w:sz w:val="21"/>
          <w:szCs w:val="21"/>
          <w:lang w:eastAsia="zh-CN"/>
        </w:rPr>
        <w:t>乙方</w:t>
      </w:r>
      <w:r>
        <w:rPr>
          <w:rFonts w:hint="eastAsia" w:asciiTheme="minorEastAsia" w:hAnsiTheme="minorEastAsia" w:eastAsiaTheme="minorEastAsia" w:cstheme="minorEastAsia"/>
          <w:color w:val="auto"/>
          <w:sz w:val="21"/>
          <w:szCs w:val="21"/>
        </w:rPr>
        <w:t>申请后三十个工作日内</w:t>
      </w:r>
      <w:r>
        <w:rPr>
          <w:rFonts w:hint="eastAsia" w:asciiTheme="minorEastAsia" w:hAnsiTheme="minorEastAsia" w:eastAsiaTheme="minorEastAsia" w:cstheme="minorEastAsia"/>
          <w:color w:val="auto"/>
          <w:sz w:val="21"/>
          <w:szCs w:val="21"/>
          <w:lang w:eastAsia="zh-CN"/>
        </w:rPr>
        <w:t>甲方</w:t>
      </w:r>
      <w:r>
        <w:rPr>
          <w:rFonts w:hint="eastAsia" w:asciiTheme="minorEastAsia" w:hAnsiTheme="minorEastAsia" w:eastAsiaTheme="minorEastAsia" w:cstheme="minorEastAsia"/>
          <w:color w:val="auto"/>
          <w:sz w:val="21"/>
          <w:szCs w:val="21"/>
        </w:rPr>
        <w:t>向</w:t>
      </w:r>
      <w:r>
        <w:rPr>
          <w:rFonts w:hint="eastAsia" w:asciiTheme="minorEastAsia" w:hAnsiTheme="minorEastAsia" w:eastAsiaTheme="minorEastAsia" w:cstheme="minorEastAsia"/>
          <w:color w:val="auto"/>
          <w:sz w:val="21"/>
          <w:szCs w:val="21"/>
          <w:lang w:eastAsia="zh-CN"/>
        </w:rPr>
        <w:t>乙方</w:t>
      </w:r>
      <w:r>
        <w:rPr>
          <w:rFonts w:hint="eastAsia" w:asciiTheme="minorEastAsia" w:hAnsiTheme="minorEastAsia" w:eastAsiaTheme="minorEastAsia" w:cstheme="minorEastAsia"/>
          <w:color w:val="auto"/>
          <w:spacing w:val="-1"/>
          <w:sz w:val="21"/>
          <w:szCs w:val="21"/>
        </w:rPr>
        <w:t>支付</w:t>
      </w:r>
      <w:r>
        <w:rPr>
          <w:rFonts w:hint="eastAsia" w:asciiTheme="minorEastAsia" w:hAnsiTheme="minorEastAsia" w:eastAsiaTheme="minorEastAsia" w:cstheme="minorEastAsia"/>
          <w:color w:val="auto"/>
          <w:spacing w:val="-2"/>
          <w:sz w:val="21"/>
          <w:szCs w:val="21"/>
        </w:rPr>
        <w:t>合同总额的</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2"/>
          <w:sz w:val="21"/>
          <w:szCs w:val="21"/>
        </w:rPr>
        <w:t>65%。</w:t>
      </w:r>
    </w:p>
    <w:p w14:paraId="3C6D46B5">
      <w:pPr>
        <w:pStyle w:val="28"/>
        <w:keepNext w:val="0"/>
        <w:keepLines w:val="0"/>
        <w:pageBreakBefore w:val="0"/>
        <w:widowControl w:val="0"/>
        <w:numPr>
          <w:ilvl w:val="0"/>
          <w:numId w:val="70"/>
        </w:numPr>
        <w:tabs>
          <w:tab w:val="left" w:pos="840"/>
          <w:tab w:val="left" w:pos="1050"/>
        </w:tabs>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pacing w:val="-2"/>
          <w:sz w:val="21"/>
          <w:szCs w:val="21"/>
          <w:lang w:val="en-US" w:eastAsia="en-US"/>
        </w:rPr>
      </w:pPr>
      <w:r>
        <w:rPr>
          <w:rFonts w:hint="eastAsia" w:asciiTheme="minorEastAsia" w:hAnsiTheme="minorEastAsia" w:eastAsiaTheme="minorEastAsia" w:cstheme="minorEastAsia"/>
          <w:color w:val="auto"/>
          <w:spacing w:val="-2"/>
          <w:sz w:val="21"/>
          <w:szCs w:val="21"/>
          <w:lang w:val="en-US" w:eastAsia="en-US"/>
        </w:rPr>
        <w:t>合同签订一年后，</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按合同履行的，无违约行为，</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向</w:t>
      </w:r>
      <w:r>
        <w:rPr>
          <w:rFonts w:hint="eastAsia" w:asciiTheme="minorEastAsia" w:hAnsiTheme="minorEastAsia" w:eastAsiaTheme="minorEastAsia" w:cstheme="minorEastAsia"/>
          <w:color w:val="auto"/>
          <w:spacing w:val="-2"/>
          <w:sz w:val="21"/>
          <w:szCs w:val="21"/>
          <w:lang w:val="en-US" w:eastAsia="zh-CN"/>
        </w:rPr>
        <w:t>甲方</w:t>
      </w:r>
      <w:r>
        <w:rPr>
          <w:rFonts w:hint="eastAsia" w:asciiTheme="minorEastAsia" w:hAnsiTheme="minorEastAsia" w:eastAsiaTheme="minorEastAsia" w:cstheme="minorEastAsia"/>
          <w:color w:val="auto"/>
          <w:spacing w:val="-2"/>
          <w:sz w:val="21"/>
          <w:szCs w:val="21"/>
          <w:lang w:val="en-US" w:eastAsia="en-US"/>
        </w:rPr>
        <w:t>申请，三十个工作日内</w:t>
      </w:r>
      <w:r>
        <w:rPr>
          <w:rFonts w:hint="eastAsia" w:asciiTheme="minorEastAsia" w:hAnsiTheme="minorEastAsia" w:eastAsiaTheme="minorEastAsia" w:cstheme="minorEastAsia"/>
          <w:color w:val="auto"/>
          <w:spacing w:val="-2"/>
          <w:sz w:val="21"/>
          <w:szCs w:val="21"/>
          <w:lang w:val="en-US" w:eastAsia="zh-CN"/>
        </w:rPr>
        <w:t>甲方</w:t>
      </w:r>
      <w:r>
        <w:rPr>
          <w:rFonts w:hint="eastAsia" w:asciiTheme="minorEastAsia" w:hAnsiTheme="minorEastAsia" w:eastAsiaTheme="minorEastAsia" w:cstheme="minorEastAsia"/>
          <w:color w:val="auto"/>
          <w:spacing w:val="-2"/>
          <w:sz w:val="21"/>
          <w:szCs w:val="21"/>
          <w:lang w:val="en-US" w:eastAsia="en-US"/>
        </w:rPr>
        <w:t>向</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支付合同总额的 5%（不计利息）。若</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不按约定履行合同的，待</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整改完成后，由</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向</w:t>
      </w:r>
      <w:r>
        <w:rPr>
          <w:rFonts w:hint="eastAsia" w:asciiTheme="minorEastAsia" w:hAnsiTheme="minorEastAsia" w:eastAsiaTheme="minorEastAsia" w:cstheme="minorEastAsia"/>
          <w:color w:val="auto"/>
          <w:spacing w:val="-2"/>
          <w:sz w:val="21"/>
          <w:szCs w:val="21"/>
          <w:lang w:val="en-US" w:eastAsia="zh-CN"/>
        </w:rPr>
        <w:t>甲方</w:t>
      </w:r>
      <w:r>
        <w:rPr>
          <w:rFonts w:hint="eastAsia" w:asciiTheme="minorEastAsia" w:hAnsiTheme="minorEastAsia" w:eastAsiaTheme="minorEastAsia" w:cstheme="minorEastAsia"/>
          <w:color w:val="auto"/>
          <w:spacing w:val="-2"/>
          <w:sz w:val="21"/>
          <w:szCs w:val="21"/>
          <w:lang w:val="en-US" w:eastAsia="en-US"/>
        </w:rPr>
        <w:t>申请付款。</w:t>
      </w:r>
    </w:p>
    <w:p w14:paraId="2B255BAE">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履约保证金</w:t>
      </w:r>
    </w:p>
    <w:p w14:paraId="24B66A16">
      <w:pPr>
        <w:autoSpaceDE w:val="0"/>
        <w:autoSpaceDN w:val="0"/>
        <w:snapToGrid w:val="0"/>
        <w:spacing w:line="360" w:lineRule="auto"/>
        <w:ind w:firstLine="424" w:firstLineChars="20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履约保证金金额：每分标按中标金额的</w:t>
      </w:r>
      <w:r>
        <w:rPr>
          <w:rFonts w:hint="eastAsia" w:ascii="宋体" w:hAnsi="宋体" w:eastAsia="宋体" w:cs="宋体"/>
          <w:color w:val="auto"/>
          <w:szCs w:val="21"/>
          <w:highlight w:val="none"/>
          <w:u w:val="single"/>
          <w:lang w:val="en-US" w:eastAsia="zh-CN"/>
        </w:rPr>
        <w:t xml:space="preserve"> / </w:t>
      </w:r>
      <w:r>
        <w:rPr>
          <w:rFonts w:hint="eastAsia" w:ascii="宋体" w:hAnsi="宋体" w:eastAsia="宋体" w:cs="宋体"/>
          <w:color w:val="auto"/>
          <w:szCs w:val="21"/>
          <w:highlight w:val="none"/>
        </w:rPr>
        <w:t>%（注：履约保证金不超过5%）。</w:t>
      </w:r>
    </w:p>
    <w:p w14:paraId="700713DD">
      <w:pPr>
        <w:autoSpaceDE w:val="0"/>
        <w:autoSpaceDN w:val="0"/>
        <w:snapToGrid w:val="0"/>
        <w:spacing w:line="360" w:lineRule="auto"/>
        <w:ind w:firstLine="424" w:firstLineChars="20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履约保证金递交方式：支票、汇票、本票或者金融、担保机构出具的保函等非现金方式（参照投标保证金）。</w:t>
      </w:r>
    </w:p>
    <w:p w14:paraId="2A589455">
      <w:pPr>
        <w:autoSpaceDE w:val="0"/>
        <w:autoSpaceDN w:val="0"/>
        <w:snapToGrid w:val="0"/>
        <w:spacing w:line="360" w:lineRule="auto"/>
        <w:ind w:firstLine="424" w:firstLineChars="20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退付方式、时间及条件：由中标人向履约保证金收取单位提供《广西壮族自治区政府采购项目合同验收书》及《政府采购项目履约保证金退付意见书》，保证金收取单位在收到合格材料后5个工作日内办理退还手续（不计利息）。</w:t>
      </w:r>
    </w:p>
    <w:p w14:paraId="424D53CB">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税费</w:t>
      </w:r>
    </w:p>
    <w:p w14:paraId="4D167E7F">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本合同执行中相关的一切税费均由乙方负担，合同另有约定的除外。</w:t>
      </w:r>
    </w:p>
    <w:p w14:paraId="78997955">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质量保证及售后服务</w:t>
      </w:r>
    </w:p>
    <w:p w14:paraId="048EE078">
      <w:pPr>
        <w:pStyle w:val="13"/>
        <w:numPr>
          <w:ilvl w:val="0"/>
          <w:numId w:val="71"/>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乙方应按招标文件规定的产品名称、商标品牌、生产厂家、规格型号、技术参数、质量标准向甲方提供未经使用的全新产品。不符合要求的，根据实际情况，经双方协商，可按以下办法处理：</w:t>
      </w:r>
    </w:p>
    <w:p w14:paraId="57F306A0">
      <w:pPr>
        <w:pStyle w:val="13"/>
        <w:keepNext w:val="0"/>
        <w:keepLines w:val="0"/>
        <w:pageBreakBefore w:val="0"/>
        <w:widowControl w:val="0"/>
        <w:numPr>
          <w:ilvl w:val="0"/>
          <w:numId w:val="72"/>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更换：由乙方承担所发生的全部费用。</w:t>
      </w:r>
    </w:p>
    <w:p w14:paraId="7EFBA7D2">
      <w:pPr>
        <w:pStyle w:val="13"/>
        <w:keepNext w:val="0"/>
        <w:keepLines w:val="0"/>
        <w:pageBreakBefore w:val="0"/>
        <w:widowControl w:val="0"/>
        <w:numPr>
          <w:ilvl w:val="0"/>
          <w:numId w:val="72"/>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贬值处理：由甲乙双方合议定价。</w:t>
      </w:r>
    </w:p>
    <w:p w14:paraId="79A3A14C">
      <w:pPr>
        <w:pStyle w:val="13"/>
        <w:keepNext w:val="0"/>
        <w:keepLines w:val="0"/>
        <w:pageBreakBefore w:val="0"/>
        <w:widowControl w:val="0"/>
        <w:numPr>
          <w:ilvl w:val="0"/>
          <w:numId w:val="72"/>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退货处理：乙方应退还甲方支付的合同款，同时应承担该货物的直接费用（运输、保险、检验、货款利息及银行手续费等）。</w:t>
      </w:r>
    </w:p>
    <w:p w14:paraId="789730BE">
      <w:pPr>
        <w:pStyle w:val="13"/>
        <w:numPr>
          <w:ilvl w:val="0"/>
          <w:numId w:val="71"/>
        </w:numPr>
        <w:snapToGrid w:val="0"/>
        <w:spacing w:line="360" w:lineRule="auto"/>
        <w:ind w:left="0" w:leftChars="0" w:firstLine="420" w:firstLineChars="200"/>
        <w:rPr>
          <w:rFonts w:hint="eastAsia" w:ascii="宋体" w:hAnsi="宋体" w:eastAsia="宋体" w:cs="宋体"/>
          <w:color w:val="auto"/>
          <w:sz w:val="21"/>
          <w:highlight w:val="none"/>
          <w:lang w:val="en-US"/>
        </w:rPr>
      </w:pPr>
      <w:r>
        <w:rPr>
          <w:rFonts w:hint="eastAsia" w:ascii="宋体" w:hAnsi="宋体" w:eastAsia="宋体" w:cs="宋体"/>
          <w:color w:val="auto"/>
          <w:sz w:val="21"/>
          <w:highlight w:val="none"/>
        </w:rPr>
        <w:t>如在使用过程中发生质量问题，乙方在接到甲方通知后到达甲方现场处理的时间</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 xml:space="preserve">   </w:t>
      </w:r>
    </w:p>
    <w:p w14:paraId="6A1105A3">
      <w:pPr>
        <w:pStyle w:val="13"/>
        <w:numPr>
          <w:ilvl w:val="0"/>
          <w:numId w:val="71"/>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在</w:t>
      </w:r>
      <w:r>
        <w:rPr>
          <w:rFonts w:hint="eastAsia" w:ascii="宋体" w:hAnsi="宋体" w:eastAsia="宋体" w:cs="宋体"/>
          <w:color w:val="auto"/>
          <w:sz w:val="21"/>
          <w:highlight w:val="none"/>
        </w:rPr>
        <w:t>质保期内，乙方应对货物出现的质量及安全问题负责处理解决并承担一切费用。</w:t>
      </w:r>
    </w:p>
    <w:p w14:paraId="3234BCA8">
      <w:pPr>
        <w:pStyle w:val="13"/>
        <w:numPr>
          <w:ilvl w:val="0"/>
          <w:numId w:val="71"/>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上述的货物质保期为</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rPr>
        <w:t>年，因人为因素出现的故障不在免费保修范围内。超过保修期的机器设备，终生维修，维修时只收部件成本费。</w:t>
      </w:r>
    </w:p>
    <w:p w14:paraId="3064A551">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调试和验收（本条款适用于甲方自行验收，委托第三方验收的另行规定）</w:t>
      </w:r>
    </w:p>
    <w:p w14:paraId="347D321B">
      <w:pPr>
        <w:pStyle w:val="13"/>
        <w:numPr>
          <w:ilvl w:val="0"/>
          <w:numId w:val="73"/>
        </w:numPr>
        <w:snapToGrid w:val="0"/>
        <w:spacing w:line="360" w:lineRule="auto"/>
        <w:ind w:left="0" w:leftChars="0" w:firstLine="420" w:firstLineChars="200"/>
        <w:jc w:val="left"/>
        <w:rPr>
          <w:rFonts w:hint="eastAsia" w:ascii="宋体" w:hAnsi="宋体" w:eastAsia="宋体" w:cs="宋体"/>
          <w:color w:val="auto"/>
          <w:sz w:val="21"/>
          <w:highlight w:val="none"/>
        </w:rPr>
      </w:pPr>
      <w:r>
        <w:rPr>
          <w:rFonts w:hint="eastAsia" w:ascii="宋体" w:hAnsi="宋体" w:eastAsia="宋体" w:cs="宋体"/>
          <w:color w:val="auto"/>
          <w:sz w:val="21"/>
          <w:highlight w:val="none"/>
        </w:rPr>
        <w:t>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52CF92F3">
      <w:pPr>
        <w:pStyle w:val="13"/>
        <w:numPr>
          <w:ilvl w:val="0"/>
          <w:numId w:val="73"/>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乙方交货前应对产品作出全面检查和对验收文件进行整理，并列出清单，作为甲方收货验收和使用的技术条件依据，检验的结果应随货物交甲方。</w:t>
      </w:r>
    </w:p>
    <w:p w14:paraId="04D90029">
      <w:pPr>
        <w:pStyle w:val="13"/>
        <w:numPr>
          <w:ilvl w:val="0"/>
          <w:numId w:val="73"/>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甲方对乙方提供的货物在使用前进行调试时，乙方需负责安装并培训甲方的使用操作人员，并协助甲方一起调试，直到符合技术要求，甲方才做最终验收。</w:t>
      </w:r>
    </w:p>
    <w:p w14:paraId="3E4C8B82">
      <w:pPr>
        <w:pStyle w:val="13"/>
        <w:numPr>
          <w:ilvl w:val="0"/>
          <w:numId w:val="73"/>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对技术复杂的货物，甲方应请国家认可的专业检测机构参与初步验收及最终验收，并由其出具质量检测报告。</w:t>
      </w:r>
    </w:p>
    <w:p w14:paraId="66835B64">
      <w:pPr>
        <w:numPr>
          <w:ilvl w:val="0"/>
          <w:numId w:val="73"/>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验收时乙方必须在现场，验收完毕后作出验收结果报告；验收费用按招标文件约定承担方负责。</w:t>
      </w:r>
    </w:p>
    <w:p w14:paraId="6133E740">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货物包装、发运及运输</w:t>
      </w:r>
    </w:p>
    <w:p w14:paraId="75FD74D5">
      <w:pPr>
        <w:pStyle w:val="13"/>
        <w:numPr>
          <w:ilvl w:val="0"/>
          <w:numId w:val="74"/>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乙方应在货物发运前对其进行满足运输距离、防潮、防震、防锈和防破损装卸等要求包装，以保证货物安全运达甲方指定地点。</w:t>
      </w:r>
    </w:p>
    <w:p w14:paraId="58586B37">
      <w:pPr>
        <w:pStyle w:val="13"/>
        <w:numPr>
          <w:ilvl w:val="0"/>
          <w:numId w:val="74"/>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使用说明书（货物属于进口产品的，供货时应同时附上中文使用说明书）、质量检验证明书、随配附件和工具以及清单一并附于货物内。</w:t>
      </w:r>
    </w:p>
    <w:p w14:paraId="2D98D7D1">
      <w:pPr>
        <w:pStyle w:val="13"/>
        <w:numPr>
          <w:ilvl w:val="0"/>
          <w:numId w:val="74"/>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乙方在货物发运手续办理完毕后二十四小时内或者货到甲方四十八小时前通知甲方，以准备接货。</w:t>
      </w:r>
    </w:p>
    <w:p w14:paraId="745DDB5C">
      <w:pPr>
        <w:pStyle w:val="13"/>
        <w:numPr>
          <w:ilvl w:val="0"/>
          <w:numId w:val="74"/>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货物在交付甲方前发生的风险均由乙方负责。</w:t>
      </w:r>
    </w:p>
    <w:p w14:paraId="5B9BEC0C">
      <w:pPr>
        <w:pStyle w:val="13"/>
        <w:numPr>
          <w:ilvl w:val="0"/>
          <w:numId w:val="74"/>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货物在规</w:t>
      </w:r>
      <w:r>
        <w:rPr>
          <w:rFonts w:hint="eastAsia" w:ascii="宋体" w:hAnsi="宋体" w:eastAsia="宋体" w:cs="宋体"/>
          <w:color w:val="auto"/>
          <w:spacing w:val="-8"/>
          <w:sz w:val="21"/>
          <w:highlight w:val="none"/>
        </w:rPr>
        <w:t>定的交付期限内由乙方送达甲方指定的地点视为交付，乙方同时需通知甲方货物已送达。</w:t>
      </w:r>
    </w:p>
    <w:p w14:paraId="4051CC4E">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违约责任</w:t>
      </w:r>
    </w:p>
    <w:p w14:paraId="6B9DB7D2">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w:t>
      </w:r>
    </w:p>
    <w:p w14:paraId="2837D4AA">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乙方提供的货物如侵犯了第三方合法权益而引发的任何纠纷或者诉讼，均由乙方负责交涉并承担全部责任。</w:t>
      </w:r>
    </w:p>
    <w:p w14:paraId="49BD40C6">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因包装、运输引起的货物损坏，按质量不合格处罚。</w:t>
      </w:r>
    </w:p>
    <w:p w14:paraId="14085FD7">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甲方无故延期接收货物、乙方逾期交货的，每天向对方偿付违约货款额3‰违约金，但违约金累计不得超过违约货款额5%，超过</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14:paraId="19433801">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乙方未按本合同和投标文件中规定的服务承诺提供售后服务的，乙方应按本合同合计金额 5%向甲方支付违约金。</w:t>
      </w:r>
    </w:p>
    <w:p w14:paraId="613ED650">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乙方提供的货物在质量保证期内，因设计、工艺或者材料的缺陷和其它质量原因造成的问题，由乙方负责，费用从余款或者履约保证金中扣除，不足另补。</w:t>
      </w:r>
    </w:p>
    <w:p w14:paraId="15B34C24">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甲乙双方有其它违约行为的，由违约方向对方支付违约内容涉及货款额的5%，违约内容涉及货款额的5%不足以赔偿经济损失的按实际赔偿。</w:t>
      </w:r>
    </w:p>
    <w:p w14:paraId="60DCDD17">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不可抗力事件处理</w:t>
      </w:r>
    </w:p>
    <w:p w14:paraId="007D66B2">
      <w:pPr>
        <w:pStyle w:val="13"/>
        <w:numPr>
          <w:ilvl w:val="0"/>
          <w:numId w:val="76"/>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在合同有效期内，任何一方因不可抗力事件导致不能履行合同，则合同履行期可延长，其延长期与不可抗力影响期相同。</w:t>
      </w:r>
    </w:p>
    <w:p w14:paraId="6DA37D06">
      <w:pPr>
        <w:pStyle w:val="13"/>
        <w:numPr>
          <w:ilvl w:val="0"/>
          <w:numId w:val="76"/>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不可抗力事件发生后，应立即通知对方，并寄送有关权威机构出具的证明。</w:t>
      </w:r>
    </w:p>
    <w:p w14:paraId="53DC3770">
      <w:pPr>
        <w:numPr>
          <w:ilvl w:val="0"/>
          <w:numId w:val="76"/>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不可抗力事件延续一百二十天以上，双方应通过友好协商，确定是否继续履行合同。</w:t>
      </w:r>
    </w:p>
    <w:p w14:paraId="20BB70D3">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合同争议解决</w:t>
      </w:r>
    </w:p>
    <w:p w14:paraId="327B8E9E">
      <w:pPr>
        <w:numPr>
          <w:ilvl w:val="0"/>
          <w:numId w:val="77"/>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因货物质量问题发生争议的，应邀请国家认可的质量检测机构对货物质量进行鉴定。货物符合标准的，鉴定费由甲方承担；货物不符合标准的，鉴定费由乙方承担。</w:t>
      </w:r>
    </w:p>
    <w:p w14:paraId="51378376">
      <w:pPr>
        <w:numPr>
          <w:ilvl w:val="0"/>
          <w:numId w:val="77"/>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因履行本合同引起的或者与本合同有关的争议，甲乙双方应首先通过友好协商解决，如果协商不能解决，可向甲方所在地有管辖权的人民法院提起诉讼。</w:t>
      </w:r>
    </w:p>
    <w:p w14:paraId="65693D6B">
      <w:pPr>
        <w:numPr>
          <w:ilvl w:val="0"/>
          <w:numId w:val="77"/>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诉讼期间，本合同继续履行。</w:t>
      </w:r>
    </w:p>
    <w:p w14:paraId="2D99D8D8">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合同生效及其它</w:t>
      </w:r>
    </w:p>
    <w:p w14:paraId="094BA9B8">
      <w:pPr>
        <w:numPr>
          <w:ilvl w:val="0"/>
          <w:numId w:val="7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合同经双方法定代表人或者委托代理人签字并加盖单位公章后生效（委托代理人签字的需后附法定代表人授权委托书，格式自拟）。</w:t>
      </w:r>
    </w:p>
    <w:p w14:paraId="5EE488CF">
      <w:pPr>
        <w:numPr>
          <w:ilvl w:val="0"/>
          <w:numId w:val="7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合同执行中涉及采购资金和采购内容修改或者补充的，须经财政部门审批，并签书面补充协议报财政部门备案，方可作为主合同不可分割的一部分。</w:t>
      </w:r>
    </w:p>
    <w:p w14:paraId="60DEF6FE">
      <w:pPr>
        <w:numPr>
          <w:ilvl w:val="0"/>
          <w:numId w:val="7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本合同未尽事宜，遵照《</w:t>
      </w:r>
      <w:r>
        <w:rPr>
          <w:rFonts w:hint="eastAsia" w:ascii="宋体" w:hAnsi="宋体" w:eastAsia="宋体" w:cs="宋体"/>
          <w:color w:val="auto"/>
          <w:szCs w:val="21"/>
          <w:highlight w:val="none"/>
          <w:lang w:val="en-US" w:eastAsia="zh-CN"/>
        </w:rPr>
        <w:t>民法典</w:t>
      </w:r>
      <w:r>
        <w:rPr>
          <w:rFonts w:hint="eastAsia" w:ascii="宋体" w:hAnsi="宋体" w:eastAsia="宋体" w:cs="宋体"/>
          <w:color w:val="auto"/>
          <w:szCs w:val="21"/>
          <w:highlight w:val="none"/>
        </w:rPr>
        <w:t>》有关条文执行。</w:t>
      </w:r>
    </w:p>
    <w:p w14:paraId="0C33E54B">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合同的变更、终止与转让</w:t>
      </w:r>
    </w:p>
    <w:p w14:paraId="78856CEA">
      <w:pPr>
        <w:numPr>
          <w:ilvl w:val="0"/>
          <w:numId w:val="79"/>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除《中华人民共和国政府采购法》第五十条规定的情形外，本合同一经签订，甲乙双方不得擅自变更、中止或者终止。</w:t>
      </w:r>
    </w:p>
    <w:p w14:paraId="4925FB96">
      <w:pPr>
        <w:numPr>
          <w:ilvl w:val="0"/>
          <w:numId w:val="79"/>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乙方不得擅自转让（无进口资格的供应商委托进口货物除外）其应履行的合同义务。</w:t>
      </w:r>
    </w:p>
    <w:p w14:paraId="22EBFA6A">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本合同书与下列文件一起构成合同文件</w:t>
      </w:r>
    </w:p>
    <w:p w14:paraId="1812F908">
      <w:pPr>
        <w:pStyle w:val="13"/>
        <w:numPr>
          <w:ilvl w:val="0"/>
          <w:numId w:val="80"/>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hAnsi="宋体" w:cs="宋体"/>
          <w:color w:val="auto"/>
          <w:sz w:val="21"/>
          <w:highlight w:val="none"/>
          <w:lang w:eastAsia="zh-CN"/>
        </w:rPr>
        <w:t>成交</w:t>
      </w:r>
      <w:r>
        <w:rPr>
          <w:rFonts w:hint="eastAsia" w:ascii="宋体" w:hAnsi="宋体" w:eastAsia="宋体" w:cs="宋体"/>
          <w:color w:val="auto"/>
          <w:sz w:val="21"/>
          <w:highlight w:val="none"/>
        </w:rPr>
        <w:t>通知书；</w:t>
      </w:r>
    </w:p>
    <w:p w14:paraId="1CA663B8">
      <w:pPr>
        <w:pStyle w:val="13"/>
        <w:numPr>
          <w:ilvl w:val="0"/>
          <w:numId w:val="80"/>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hAnsi="宋体" w:cs="宋体"/>
          <w:color w:val="auto"/>
          <w:sz w:val="21"/>
          <w:highlight w:val="none"/>
          <w:lang w:eastAsia="zh-CN"/>
        </w:rPr>
        <w:t>报价表</w:t>
      </w:r>
      <w:r>
        <w:rPr>
          <w:rFonts w:hint="eastAsia" w:ascii="宋体" w:hAnsi="宋体" w:eastAsia="宋体" w:cs="宋体"/>
          <w:color w:val="auto"/>
          <w:sz w:val="21"/>
          <w:highlight w:val="none"/>
        </w:rPr>
        <w:t>；</w:t>
      </w:r>
    </w:p>
    <w:p w14:paraId="34C726EE">
      <w:pPr>
        <w:pStyle w:val="13"/>
        <w:numPr>
          <w:ilvl w:val="0"/>
          <w:numId w:val="80"/>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报价</w:t>
      </w:r>
      <w:r>
        <w:rPr>
          <w:rFonts w:hint="eastAsia" w:ascii="宋体" w:hAnsi="宋体" w:eastAsia="宋体" w:cs="宋体"/>
          <w:color w:val="auto"/>
          <w:sz w:val="21"/>
          <w:highlight w:val="none"/>
          <w:lang w:eastAsia="zh-CN"/>
        </w:rPr>
        <w:t>明细</w:t>
      </w:r>
      <w:r>
        <w:rPr>
          <w:rFonts w:hint="eastAsia" w:ascii="宋体" w:hAnsi="宋体" w:eastAsia="宋体" w:cs="宋体"/>
          <w:color w:val="auto"/>
          <w:sz w:val="21"/>
          <w:highlight w:val="none"/>
        </w:rPr>
        <w:t>表</w:t>
      </w:r>
    </w:p>
    <w:p w14:paraId="2357557F">
      <w:pPr>
        <w:pStyle w:val="13"/>
        <w:numPr>
          <w:ilvl w:val="0"/>
          <w:numId w:val="80"/>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商务条款偏离表和技术偏离表；</w:t>
      </w:r>
    </w:p>
    <w:p w14:paraId="241F5A96">
      <w:pPr>
        <w:pStyle w:val="13"/>
        <w:numPr>
          <w:ilvl w:val="0"/>
          <w:numId w:val="80"/>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其他合同文件。</w:t>
      </w:r>
    </w:p>
    <w:p w14:paraId="5569A466">
      <w:pPr>
        <w:pStyle w:val="13"/>
        <w:keepNext w:val="0"/>
        <w:keepLines w:val="0"/>
        <w:pageBreakBefore w:val="0"/>
        <w:widowControl w:val="0"/>
        <w:numPr>
          <w:ilvl w:val="0"/>
          <w:numId w:val="80"/>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b/>
          <w:color w:val="auto"/>
          <w:sz w:val="21"/>
          <w:highlight w:val="none"/>
        </w:rPr>
      </w:pPr>
      <w:r>
        <w:rPr>
          <w:rFonts w:hint="eastAsia" w:ascii="宋体" w:hAnsi="宋体" w:eastAsia="宋体" w:cs="宋体"/>
          <w:color w:val="auto"/>
          <w:sz w:val="21"/>
          <w:highlight w:val="none"/>
        </w:rPr>
        <w:t>上述合同文件互相补充和解释。如果合同文件之间存在矛盾或者不一致之处，以上述文件 的排列顺序在先者为准。</w:t>
      </w:r>
    </w:p>
    <w:p w14:paraId="26746E8B">
      <w:pPr>
        <w:keepNext w:val="0"/>
        <w:keepLines w:val="0"/>
        <w:pageBreakBefore w:val="0"/>
        <w:widowControl w:val="0"/>
        <w:numPr>
          <w:ilvl w:val="2"/>
          <w:numId w:val="63"/>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本合同一式四份，具有同等法律效力，甲乙双方各执二份（可根据需要另增加）。</w:t>
      </w:r>
    </w:p>
    <w:p w14:paraId="68D28A34">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本合同甲乙双方签字盖章后生效，自签订之日起七个工作日内，甲方应当将合同副本报同级财政部门备案。</w:t>
      </w:r>
    </w:p>
    <w:p w14:paraId="7DAA8EA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本合同自签订之日起2个工作日内，甲方应当将采购合同在广西壮族自治区财政厅指定的媒体上公告。</w:t>
      </w:r>
    </w:p>
    <w:p w14:paraId="76326D69">
      <w:pPr>
        <w:snapToGrid w:val="0"/>
        <w:spacing w:line="360" w:lineRule="auto"/>
        <w:rPr>
          <w:rFonts w:hint="eastAsia" w:ascii="宋体" w:hAnsi="宋体" w:eastAsia="宋体" w:cs="宋体"/>
          <w:color w:val="auto"/>
          <w:szCs w:val="21"/>
          <w:highlight w:val="none"/>
        </w:rPr>
      </w:pPr>
    </w:p>
    <w:tbl>
      <w:tblPr>
        <w:tblStyle w:val="20"/>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9"/>
        <w:gridCol w:w="4490"/>
      </w:tblGrid>
      <w:tr w14:paraId="5CDA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0293AC9C">
            <w:pPr>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甲方（章）  </w:t>
            </w:r>
            <w:r>
              <w:rPr>
                <w:rFonts w:hint="eastAsia" w:ascii="宋体" w:hAnsi="宋体" w:eastAsia="宋体" w:cs="宋体"/>
                <w:color w:val="auto"/>
                <w:szCs w:val="21"/>
                <w:highlight w:val="none"/>
                <w:lang w:val="en-US" w:eastAsia="zh-CN"/>
              </w:rPr>
              <w:t xml:space="preserve"> </w:t>
            </w:r>
          </w:p>
          <w:p w14:paraId="1C19E031">
            <w:pPr>
              <w:snapToGrid w:val="0"/>
              <w:spacing w:line="360" w:lineRule="auto"/>
              <w:rPr>
                <w:rFonts w:hint="eastAsia" w:ascii="宋体" w:hAnsi="宋体" w:eastAsia="宋体" w:cs="宋体"/>
                <w:color w:val="auto"/>
                <w:szCs w:val="21"/>
                <w:highlight w:val="none"/>
                <w:lang w:val="en-US" w:eastAsia="zh-CN"/>
              </w:rPr>
            </w:pPr>
          </w:p>
          <w:p w14:paraId="1D56358F">
            <w:pPr>
              <w:snapToGrid w:val="0"/>
              <w:spacing w:line="360" w:lineRule="auto"/>
              <w:rPr>
                <w:rFonts w:hint="eastAsia" w:ascii="宋体" w:hAnsi="宋体" w:eastAsia="宋体" w:cs="宋体"/>
                <w:color w:val="auto"/>
                <w:szCs w:val="21"/>
                <w:highlight w:val="none"/>
                <w:lang w:val="en-US" w:eastAsia="zh-CN"/>
              </w:rPr>
            </w:pPr>
          </w:p>
          <w:p w14:paraId="541295C1">
            <w:pPr>
              <w:snapToGrid w:val="0"/>
              <w:spacing w:line="360" w:lineRule="auto"/>
              <w:ind w:firstLine="945" w:firstLineChars="45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490" w:type="dxa"/>
            <w:noWrap w:val="0"/>
            <w:vAlign w:val="center"/>
          </w:tcPr>
          <w:p w14:paraId="234BF13A">
            <w:pPr>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乙方（章）  </w:t>
            </w:r>
            <w:r>
              <w:rPr>
                <w:rFonts w:hint="eastAsia" w:ascii="宋体" w:hAnsi="宋体" w:eastAsia="宋体" w:cs="宋体"/>
                <w:color w:val="auto"/>
                <w:szCs w:val="21"/>
                <w:highlight w:val="none"/>
                <w:lang w:val="en-US" w:eastAsia="zh-CN"/>
              </w:rPr>
              <w:t xml:space="preserve"> </w:t>
            </w:r>
          </w:p>
          <w:p w14:paraId="42B20148">
            <w:pPr>
              <w:snapToGrid w:val="0"/>
              <w:spacing w:line="360" w:lineRule="auto"/>
              <w:rPr>
                <w:rFonts w:hint="eastAsia" w:ascii="宋体" w:hAnsi="宋体" w:eastAsia="宋体" w:cs="宋体"/>
                <w:color w:val="auto"/>
                <w:szCs w:val="21"/>
                <w:highlight w:val="none"/>
                <w:lang w:val="en-US" w:eastAsia="zh-CN"/>
              </w:rPr>
            </w:pPr>
          </w:p>
          <w:p w14:paraId="24740DC6">
            <w:pPr>
              <w:snapToGrid w:val="0"/>
              <w:spacing w:line="360" w:lineRule="auto"/>
              <w:rPr>
                <w:rFonts w:hint="eastAsia" w:ascii="宋体" w:hAnsi="宋体" w:eastAsia="宋体" w:cs="宋体"/>
                <w:color w:val="auto"/>
                <w:szCs w:val="21"/>
                <w:highlight w:val="none"/>
                <w:lang w:val="en-US" w:eastAsia="zh-CN"/>
              </w:rPr>
            </w:pPr>
          </w:p>
          <w:p w14:paraId="6977E645">
            <w:pPr>
              <w:snapToGrid w:val="0"/>
              <w:spacing w:line="360" w:lineRule="auto"/>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7DC3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6D27E930">
            <w:pPr>
              <w:snapToGrid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lang w:val="en-US" w:eastAsia="zh-CN"/>
              </w:rPr>
              <w:t xml:space="preserve"> </w:t>
            </w:r>
          </w:p>
        </w:tc>
        <w:tc>
          <w:tcPr>
            <w:tcW w:w="4490" w:type="dxa"/>
            <w:noWrap w:val="0"/>
            <w:vAlign w:val="center"/>
          </w:tcPr>
          <w:p w14:paraId="762EBB4B">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lang w:val="en-US" w:eastAsia="zh-CN"/>
              </w:rPr>
              <w:t xml:space="preserve"> </w:t>
            </w:r>
          </w:p>
        </w:tc>
      </w:tr>
      <w:tr w14:paraId="6486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6D9E07FE">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法定代表人或者委托代理人：</w:t>
            </w:r>
          </w:p>
        </w:tc>
        <w:tc>
          <w:tcPr>
            <w:tcW w:w="4490" w:type="dxa"/>
            <w:noWrap w:val="0"/>
            <w:vAlign w:val="center"/>
          </w:tcPr>
          <w:p w14:paraId="77B4DBA0">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法定代表人或者委托代理人：</w:t>
            </w:r>
          </w:p>
        </w:tc>
      </w:tr>
      <w:tr w14:paraId="2463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7DA6B561">
            <w:pPr>
              <w:snapToGrid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lang w:val="en-US" w:eastAsia="zh-CN"/>
              </w:rPr>
              <w:t xml:space="preserve"> </w:t>
            </w:r>
          </w:p>
        </w:tc>
        <w:tc>
          <w:tcPr>
            <w:tcW w:w="4490" w:type="dxa"/>
            <w:noWrap w:val="0"/>
            <w:vAlign w:val="center"/>
          </w:tcPr>
          <w:p w14:paraId="4917156D">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lang w:val="en-US" w:eastAsia="zh-CN"/>
              </w:rPr>
              <w:t xml:space="preserve"> </w:t>
            </w:r>
          </w:p>
        </w:tc>
      </w:tr>
      <w:tr w14:paraId="2308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2DE7BCC4">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4490" w:type="dxa"/>
            <w:noWrap w:val="0"/>
            <w:vAlign w:val="center"/>
          </w:tcPr>
          <w:p w14:paraId="4A5A4406">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r>
      <w:tr w14:paraId="4FCA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72039B44">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4490" w:type="dxa"/>
            <w:noWrap w:val="0"/>
            <w:vAlign w:val="center"/>
          </w:tcPr>
          <w:p w14:paraId="7BDD14C2">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lang w:val="en-US" w:eastAsia="zh-CN"/>
              </w:rPr>
              <w:t xml:space="preserve"> </w:t>
            </w:r>
          </w:p>
        </w:tc>
      </w:tr>
      <w:tr w14:paraId="4DE9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0D348BE0">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4490" w:type="dxa"/>
            <w:noWrap w:val="0"/>
            <w:vAlign w:val="center"/>
          </w:tcPr>
          <w:p w14:paraId="5CCDE831">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r>
              <w:rPr>
                <w:rFonts w:hint="eastAsia" w:ascii="宋体" w:hAnsi="宋体" w:eastAsia="宋体" w:cs="宋体"/>
                <w:color w:val="auto"/>
                <w:szCs w:val="21"/>
                <w:highlight w:val="none"/>
                <w:lang w:val="en-US" w:eastAsia="zh-CN"/>
              </w:rPr>
              <w:t xml:space="preserve"> </w:t>
            </w:r>
          </w:p>
        </w:tc>
      </w:tr>
      <w:tr w14:paraId="1DF4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468B3137">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4490" w:type="dxa"/>
            <w:noWrap w:val="0"/>
            <w:vAlign w:val="center"/>
          </w:tcPr>
          <w:p w14:paraId="26F7795B">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lang w:val="en-US" w:eastAsia="zh-CN"/>
              </w:rPr>
              <w:t xml:space="preserve"> </w:t>
            </w:r>
          </w:p>
        </w:tc>
      </w:tr>
    </w:tbl>
    <w:p w14:paraId="1FC53E7E">
      <w:pPr>
        <w:snapToGrid w:val="0"/>
        <w:spacing w:line="360" w:lineRule="auto"/>
        <w:ind w:left="420" w:hanging="420" w:hangingChars="200"/>
        <w:rPr>
          <w:rFonts w:hint="eastAsia" w:ascii="宋体" w:hAnsi="宋体" w:eastAsia="宋体" w:cs="宋体"/>
          <w:color w:val="auto"/>
          <w:szCs w:val="21"/>
          <w:highlight w:val="none"/>
        </w:rPr>
      </w:pPr>
    </w:p>
    <w:p w14:paraId="370D544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r>
        <w:rPr>
          <w:rFonts w:hint="eastAsia" w:ascii="宋体" w:hAnsi="宋体" w:eastAsia="宋体" w:cs="宋体"/>
          <w:b/>
          <w:bCs/>
          <w:color w:val="auto"/>
          <w:sz w:val="32"/>
          <w:szCs w:val="32"/>
          <w:highlight w:val="none"/>
        </w:rPr>
        <w:t>合 同 附 件</w:t>
      </w:r>
    </w:p>
    <w:p w14:paraId="463AF120">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一般货物类</w:t>
      </w:r>
    </w:p>
    <w:tbl>
      <w:tblPr>
        <w:tblStyle w:val="20"/>
        <w:tblW w:w="8600" w:type="dxa"/>
        <w:tblInd w:w="0" w:type="dxa"/>
        <w:tblLayout w:type="fixed"/>
        <w:tblCellMar>
          <w:top w:w="0" w:type="dxa"/>
          <w:left w:w="108" w:type="dxa"/>
          <w:bottom w:w="0" w:type="dxa"/>
          <w:right w:w="108" w:type="dxa"/>
        </w:tblCellMar>
      </w:tblPr>
      <w:tblGrid>
        <w:gridCol w:w="4286"/>
        <w:gridCol w:w="4314"/>
      </w:tblGrid>
      <w:tr w14:paraId="44EB5053">
        <w:tblPrEx>
          <w:tblCellMar>
            <w:top w:w="0" w:type="dxa"/>
            <w:left w:w="108" w:type="dxa"/>
            <w:bottom w:w="0" w:type="dxa"/>
            <w:right w:w="108" w:type="dxa"/>
          </w:tblCellMar>
        </w:tblPrEx>
        <w:trPr>
          <w:trHeight w:val="2073" w:hRule="atLeast"/>
        </w:trPr>
        <w:tc>
          <w:tcPr>
            <w:tcW w:w="8600" w:type="dxa"/>
            <w:gridSpan w:val="2"/>
            <w:tcBorders>
              <w:top w:val="single" w:color="auto" w:sz="4" w:space="0"/>
              <w:left w:val="single" w:color="auto" w:sz="4" w:space="0"/>
              <w:right w:val="single" w:color="auto" w:sz="4" w:space="0"/>
            </w:tcBorders>
            <w:noWrap w:val="0"/>
            <w:vAlign w:val="top"/>
          </w:tcPr>
          <w:p w14:paraId="52D5DB74">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供应商承诺具体事项：</w:t>
            </w:r>
          </w:p>
        </w:tc>
      </w:tr>
      <w:tr w14:paraId="68460629">
        <w:tblPrEx>
          <w:tblCellMar>
            <w:top w:w="0" w:type="dxa"/>
            <w:left w:w="108" w:type="dxa"/>
            <w:bottom w:w="0" w:type="dxa"/>
            <w:right w:w="108" w:type="dxa"/>
          </w:tblCellMar>
        </w:tblPrEx>
        <w:trPr>
          <w:trHeight w:val="2076" w:hRule="atLeast"/>
        </w:trPr>
        <w:tc>
          <w:tcPr>
            <w:tcW w:w="8600" w:type="dxa"/>
            <w:gridSpan w:val="2"/>
            <w:tcBorders>
              <w:top w:val="single" w:color="auto" w:sz="4" w:space="0"/>
              <w:left w:val="single" w:color="auto" w:sz="4" w:space="0"/>
              <w:right w:val="single" w:color="auto" w:sz="4" w:space="0"/>
            </w:tcBorders>
            <w:noWrap w:val="0"/>
            <w:vAlign w:val="top"/>
          </w:tcPr>
          <w:p w14:paraId="0C13AE7B">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 售后服务具体事项：</w:t>
            </w:r>
          </w:p>
        </w:tc>
      </w:tr>
      <w:tr w14:paraId="1C1EAA43">
        <w:tblPrEx>
          <w:tblCellMar>
            <w:top w:w="0" w:type="dxa"/>
            <w:left w:w="108" w:type="dxa"/>
            <w:bottom w:w="0" w:type="dxa"/>
            <w:right w:w="108" w:type="dxa"/>
          </w:tblCellMar>
        </w:tblPrEx>
        <w:trPr>
          <w:trHeight w:val="1843" w:hRule="atLeast"/>
        </w:trPr>
        <w:tc>
          <w:tcPr>
            <w:tcW w:w="8600" w:type="dxa"/>
            <w:gridSpan w:val="2"/>
            <w:tcBorders>
              <w:top w:val="single" w:color="auto" w:sz="4" w:space="0"/>
              <w:left w:val="single" w:color="auto" w:sz="4" w:space="0"/>
              <w:right w:val="single" w:color="auto" w:sz="4" w:space="0"/>
            </w:tcBorders>
            <w:noWrap w:val="0"/>
            <w:vAlign w:val="top"/>
          </w:tcPr>
          <w:p w14:paraId="4542858E">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 保修期责任：</w:t>
            </w:r>
          </w:p>
        </w:tc>
      </w:tr>
      <w:tr w14:paraId="5416E7FE">
        <w:tblPrEx>
          <w:tblCellMar>
            <w:top w:w="0" w:type="dxa"/>
            <w:left w:w="108" w:type="dxa"/>
            <w:bottom w:w="0" w:type="dxa"/>
            <w:right w:w="108" w:type="dxa"/>
          </w:tblCellMar>
        </w:tblPrEx>
        <w:trPr>
          <w:trHeight w:val="2297" w:hRule="atLeast"/>
        </w:trPr>
        <w:tc>
          <w:tcPr>
            <w:tcW w:w="8600" w:type="dxa"/>
            <w:gridSpan w:val="2"/>
            <w:tcBorders>
              <w:top w:val="single" w:color="auto" w:sz="4" w:space="0"/>
              <w:left w:val="single" w:color="auto" w:sz="4" w:space="0"/>
              <w:right w:val="single" w:color="auto" w:sz="4" w:space="0"/>
            </w:tcBorders>
            <w:noWrap w:val="0"/>
            <w:vAlign w:val="top"/>
          </w:tcPr>
          <w:p w14:paraId="342A6D6E">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 其他具体事项：</w:t>
            </w:r>
          </w:p>
        </w:tc>
      </w:tr>
      <w:tr w14:paraId="2854AEC9">
        <w:tblPrEx>
          <w:tblCellMar>
            <w:top w:w="0" w:type="dxa"/>
            <w:left w:w="108" w:type="dxa"/>
            <w:bottom w:w="0" w:type="dxa"/>
            <w:right w:w="108" w:type="dxa"/>
          </w:tblCellMar>
        </w:tblPrEx>
        <w:trPr>
          <w:trHeight w:val="2898" w:hRule="atLeast"/>
        </w:trPr>
        <w:tc>
          <w:tcPr>
            <w:tcW w:w="4286" w:type="dxa"/>
            <w:tcBorders>
              <w:top w:val="single" w:color="auto" w:sz="4" w:space="0"/>
              <w:left w:val="single" w:color="auto" w:sz="4" w:space="0"/>
              <w:bottom w:val="single" w:color="auto" w:sz="4" w:space="0"/>
              <w:right w:val="single" w:color="auto" w:sz="4" w:space="0"/>
            </w:tcBorders>
            <w:noWrap w:val="0"/>
            <w:vAlign w:val="center"/>
          </w:tcPr>
          <w:p w14:paraId="2F49C43E">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甲方（章）</w:t>
            </w:r>
          </w:p>
          <w:p w14:paraId="29AB597A">
            <w:pPr>
              <w:snapToGrid w:val="0"/>
              <w:spacing w:line="360" w:lineRule="auto"/>
              <w:ind w:firstLine="422" w:firstLineChars="200"/>
              <w:rPr>
                <w:rFonts w:hint="eastAsia" w:ascii="宋体" w:hAnsi="宋体" w:eastAsia="宋体" w:cs="宋体"/>
                <w:b/>
                <w:color w:val="auto"/>
                <w:szCs w:val="21"/>
                <w:highlight w:val="none"/>
              </w:rPr>
            </w:pPr>
          </w:p>
          <w:p w14:paraId="699FB260">
            <w:pPr>
              <w:snapToGrid w:val="0"/>
              <w:spacing w:line="360" w:lineRule="auto"/>
              <w:rPr>
                <w:rFonts w:hint="eastAsia" w:ascii="宋体" w:hAnsi="宋体" w:eastAsia="宋体" w:cs="宋体"/>
                <w:b/>
                <w:color w:val="auto"/>
                <w:szCs w:val="21"/>
                <w:highlight w:val="none"/>
              </w:rPr>
            </w:pPr>
          </w:p>
          <w:p w14:paraId="16D509F5">
            <w:pPr>
              <w:snapToGrid w:val="0"/>
              <w:spacing w:line="360" w:lineRule="auto"/>
              <w:rPr>
                <w:rFonts w:hint="eastAsia" w:ascii="宋体" w:hAnsi="宋体" w:eastAsia="宋体" w:cs="宋体"/>
                <w:b/>
                <w:color w:val="auto"/>
                <w:szCs w:val="21"/>
                <w:highlight w:val="none"/>
              </w:rPr>
            </w:pPr>
          </w:p>
          <w:p w14:paraId="452B4FFE">
            <w:pPr>
              <w:snapToGrid w:val="0"/>
              <w:spacing w:line="360" w:lineRule="auto"/>
              <w:rPr>
                <w:rFonts w:hint="eastAsia" w:ascii="宋体" w:hAnsi="宋体" w:eastAsia="宋体" w:cs="宋体"/>
                <w:b/>
                <w:color w:val="auto"/>
                <w:szCs w:val="21"/>
                <w:highlight w:val="none"/>
              </w:rPr>
            </w:pPr>
          </w:p>
          <w:p w14:paraId="4585D5A5">
            <w:pPr>
              <w:snapToGrid w:val="0"/>
              <w:spacing w:line="360" w:lineRule="auto"/>
              <w:rPr>
                <w:rFonts w:hint="eastAsia" w:ascii="宋体" w:hAnsi="宋体" w:eastAsia="宋体" w:cs="宋体"/>
                <w:b/>
                <w:color w:val="auto"/>
                <w:szCs w:val="21"/>
                <w:highlight w:val="none"/>
              </w:rPr>
            </w:pPr>
          </w:p>
          <w:p w14:paraId="141B71A1">
            <w:pPr>
              <w:snapToGrid w:val="0"/>
              <w:spacing w:line="360" w:lineRule="auto"/>
              <w:ind w:firstLine="422" w:firstLineChars="200"/>
              <w:jc w:val="righ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年   月   日 </w:t>
            </w:r>
          </w:p>
        </w:tc>
        <w:tc>
          <w:tcPr>
            <w:tcW w:w="4314" w:type="dxa"/>
            <w:tcBorders>
              <w:top w:val="single" w:color="auto" w:sz="4" w:space="0"/>
              <w:left w:val="single" w:color="auto" w:sz="4" w:space="0"/>
              <w:bottom w:val="single" w:color="auto" w:sz="4" w:space="0"/>
              <w:right w:val="single" w:color="auto" w:sz="4" w:space="0"/>
            </w:tcBorders>
            <w:noWrap w:val="0"/>
            <w:vAlign w:val="center"/>
          </w:tcPr>
          <w:p w14:paraId="42E9D854">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乙方（章）</w:t>
            </w:r>
          </w:p>
          <w:p w14:paraId="5B65DF1D">
            <w:pPr>
              <w:snapToGrid w:val="0"/>
              <w:spacing w:line="360" w:lineRule="auto"/>
              <w:ind w:firstLine="422" w:firstLineChars="200"/>
              <w:rPr>
                <w:rFonts w:hint="eastAsia" w:ascii="宋体" w:hAnsi="宋体" w:eastAsia="宋体" w:cs="宋体"/>
                <w:b/>
                <w:color w:val="auto"/>
                <w:szCs w:val="21"/>
                <w:highlight w:val="none"/>
              </w:rPr>
            </w:pPr>
          </w:p>
          <w:p w14:paraId="5981403E">
            <w:pPr>
              <w:snapToGrid w:val="0"/>
              <w:spacing w:line="360" w:lineRule="auto"/>
              <w:ind w:firstLine="422" w:firstLineChars="200"/>
              <w:rPr>
                <w:rFonts w:hint="eastAsia" w:ascii="宋体" w:hAnsi="宋体" w:eastAsia="宋体" w:cs="宋体"/>
                <w:b/>
                <w:color w:val="auto"/>
                <w:szCs w:val="21"/>
                <w:highlight w:val="none"/>
              </w:rPr>
            </w:pPr>
          </w:p>
          <w:p w14:paraId="57299800">
            <w:pPr>
              <w:snapToGrid w:val="0"/>
              <w:spacing w:line="360" w:lineRule="auto"/>
              <w:ind w:firstLine="422" w:firstLineChars="200"/>
              <w:rPr>
                <w:rFonts w:hint="eastAsia" w:ascii="宋体" w:hAnsi="宋体" w:eastAsia="宋体" w:cs="宋体"/>
                <w:b/>
                <w:color w:val="auto"/>
                <w:szCs w:val="21"/>
                <w:highlight w:val="none"/>
              </w:rPr>
            </w:pPr>
          </w:p>
          <w:p w14:paraId="5A64CF63">
            <w:pPr>
              <w:snapToGrid w:val="0"/>
              <w:spacing w:line="360" w:lineRule="auto"/>
              <w:ind w:firstLine="422" w:firstLineChars="200"/>
              <w:rPr>
                <w:rFonts w:hint="eastAsia" w:ascii="宋体" w:hAnsi="宋体" w:eastAsia="宋体" w:cs="宋体"/>
                <w:b/>
                <w:color w:val="auto"/>
                <w:szCs w:val="21"/>
                <w:highlight w:val="none"/>
              </w:rPr>
            </w:pPr>
          </w:p>
          <w:p w14:paraId="59372FD9">
            <w:pPr>
              <w:snapToGrid w:val="0"/>
              <w:spacing w:line="360" w:lineRule="auto"/>
              <w:rPr>
                <w:rFonts w:hint="eastAsia" w:ascii="宋体" w:hAnsi="宋体" w:eastAsia="宋体" w:cs="宋体"/>
                <w:b/>
                <w:color w:val="auto"/>
                <w:szCs w:val="21"/>
                <w:highlight w:val="none"/>
              </w:rPr>
            </w:pPr>
          </w:p>
          <w:p w14:paraId="2F959F4D">
            <w:pPr>
              <w:snapToGrid w:val="0"/>
              <w:spacing w:line="360" w:lineRule="auto"/>
              <w:ind w:firstLine="422" w:firstLineChars="200"/>
              <w:jc w:val="righ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年   月   日</w:t>
            </w:r>
          </w:p>
        </w:tc>
      </w:tr>
    </w:tbl>
    <w:p w14:paraId="54E21920">
      <w:pPr>
        <w:snapToGrid w:val="0"/>
        <w:spacing w:line="48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注：售后服务事项填不下时可另加附页</w:t>
      </w:r>
    </w:p>
    <w:p w14:paraId="3368E7DF">
      <w:pPr>
        <w:snapToGrid w:val="0"/>
        <w:spacing w:line="360" w:lineRule="auto"/>
        <w:jc w:val="left"/>
        <w:rPr>
          <w:rFonts w:hint="eastAsia" w:ascii="宋体" w:hAnsi="宋体" w:eastAsia="宋体" w:cs="宋体"/>
          <w:color w:val="auto"/>
          <w:szCs w:val="21"/>
          <w:highlight w:val="none"/>
        </w:rPr>
      </w:pPr>
    </w:p>
    <w:p w14:paraId="0F7A4E1C">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0"/>
          <w:sz w:val="32"/>
          <w:szCs w:val="32"/>
          <w:highlight w:val="none"/>
        </w:rPr>
      </w:pPr>
      <w:r>
        <w:rPr>
          <w:rFonts w:hint="eastAsia" w:ascii="宋体" w:hAnsi="宋体" w:eastAsia="宋体" w:cs="宋体"/>
          <w:b/>
          <w:color w:val="auto"/>
          <w:szCs w:val="21"/>
          <w:highlight w:val="none"/>
        </w:rPr>
        <w:br w:type="page"/>
      </w:r>
      <w:r>
        <w:rPr>
          <w:rFonts w:hint="eastAsia" w:ascii="宋体" w:hAnsi="宋体" w:eastAsia="宋体" w:cs="宋体"/>
          <w:b/>
          <w:bCs/>
          <w:color w:val="auto"/>
          <w:kern w:val="0"/>
          <w:sz w:val="32"/>
          <w:szCs w:val="32"/>
          <w:highlight w:val="none"/>
        </w:rPr>
        <w:t>广西壮族自治区政府采购项目合同验收书（格式）</w:t>
      </w:r>
    </w:p>
    <w:p w14:paraId="0707A488">
      <w:pPr>
        <w:shd w:val="clear" w:color="auto" w:fill="auto"/>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政府采购项目中标（或者成交）投标人（</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20"/>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1CD257B7">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1C23664B">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21093CC8">
            <w:pPr>
              <w:snapToGrid w:val="0"/>
              <w:spacing w:before="100" w:beforeAutospacing="1" w:after="100" w:afterAutospacing="1" w:line="320" w:lineRule="atLeast"/>
              <w:ind w:firstLine="48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18FA3F5A">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49F79A2">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694F6532">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310A369F">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539731C9">
            <w:pPr>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434FE56F">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 额</w:t>
            </w:r>
          </w:p>
        </w:tc>
      </w:tr>
      <w:tr w14:paraId="32299E40">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3A14658">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6C5BE031">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98C8943">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57353F9">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7263B9C7">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9B6E930">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A4A1857">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837E8EB">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AAAE76E">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717D730">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A40F643">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DC77420">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F0C6D25">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0EA8D6A0">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16C5689">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66297BD">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1D42839F">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717FA49">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03F6B099">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16FDBFBD">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9B13921">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24745759">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6E4B18EF">
            <w:pPr>
              <w:snapToGrid w:val="0"/>
              <w:spacing w:before="100" w:beforeAutospacing="1" w:after="100" w:afterAutospacing="1" w:line="320" w:lineRule="atLeast"/>
              <w:ind w:firstLine="2"/>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亿 仟 佰 拾 万 仟 佰 拾 元</w:t>
            </w:r>
          </w:p>
        </w:tc>
      </w:tr>
      <w:tr w14:paraId="5F318228">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6AF3736">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66835720">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61221FAD">
            <w:pPr>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64B9A4D2">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4907C94F">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FB8D67B">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7662CC15">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F4F4BD4">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67A6A963">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03D5C8F">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969B9B">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5AB2FB1">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1713659E">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CC2520A">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46692713">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0812736E">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322DD419">
            <w:pPr>
              <w:jc w:val="left"/>
              <w:rPr>
                <w:rFonts w:hint="eastAsia" w:ascii="宋体" w:hAnsi="宋体" w:eastAsia="宋体" w:cs="宋体"/>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4556D030">
            <w:pPr>
              <w:spacing w:before="100" w:beforeAutospacing="1" w:after="100" w:afterAutospacing="1" w:line="320" w:lineRule="atLeast"/>
              <w:ind w:firstLine="96"/>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0521FB6F">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4B349CB3">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0817D3E">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1F2471B1">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F82C62">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监督人员或者其他相关人员签字：</w:t>
            </w:r>
          </w:p>
          <w:p w14:paraId="562BE8B5">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4B681929">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400B7661">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中标或者成交人负责人签字或者盖章：</w:t>
            </w:r>
          </w:p>
          <w:p w14:paraId="696288B8">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722B2E49">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7A59EC06">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r>
    </w:tbl>
    <w:p w14:paraId="2BC23AB4">
      <w:pPr>
        <w:snapToGrid w:val="0"/>
        <w:ind w:firstLine="420" w:firstLineChars="200"/>
        <w:rPr>
          <w:rFonts w:hint="eastAsia" w:asciiTheme="minorEastAsia" w:hAnsiTheme="minorEastAsia" w:eastAsiaTheme="minorEastAsia" w:cstheme="minorEastAsia"/>
          <w:b/>
          <w:bCs/>
          <w:color w:val="auto"/>
          <w:kern w:val="0"/>
          <w:szCs w:val="21"/>
        </w:rPr>
      </w:pPr>
      <w:r>
        <w:rPr>
          <w:rFonts w:hint="eastAsia" w:ascii="宋体" w:hAnsi="宋体" w:eastAsia="宋体" w:cs="宋体"/>
          <w:color w:val="auto"/>
          <w:highlight w:val="none"/>
        </w:rPr>
        <w:br w:type="page"/>
      </w:r>
    </w:p>
    <w:p w14:paraId="74EDC7B6">
      <w:pPr>
        <w:snapToGrid w:val="0"/>
        <w:ind w:firstLine="422" w:firstLineChars="200"/>
        <w:rPr>
          <w:rFonts w:hint="eastAsia" w:asciiTheme="minorEastAsia" w:hAnsiTheme="minorEastAsia" w:eastAsiaTheme="minorEastAsia" w:cstheme="minorEastAsia"/>
          <w:b/>
          <w:bCs/>
          <w:color w:val="auto"/>
          <w:kern w:val="0"/>
          <w:szCs w:val="21"/>
        </w:rPr>
        <w:sectPr>
          <w:pgSz w:w="11906" w:h="16838"/>
          <w:pgMar w:top="1440" w:right="1800" w:bottom="1440" w:left="1800" w:header="851" w:footer="992" w:gutter="0"/>
          <w:pgNumType w:fmt="decimal"/>
          <w:cols w:space="720" w:num="1"/>
          <w:docGrid w:type="lines" w:linePitch="312" w:charSpace="0"/>
        </w:sectPr>
      </w:pPr>
    </w:p>
    <w:p w14:paraId="1706F57B">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rPr>
      </w:pPr>
      <w:bookmarkStart w:id="44" w:name="_Toc4934"/>
      <w:bookmarkStart w:id="45" w:name="_Toc526932595"/>
      <w:bookmarkStart w:id="46" w:name="_Toc32604"/>
      <w:r>
        <w:rPr>
          <w:rFonts w:hint="eastAsia" w:asciiTheme="minorEastAsia" w:hAnsiTheme="minorEastAsia" w:eastAsiaTheme="minorEastAsia" w:cstheme="minorEastAsia"/>
          <w:color w:val="auto"/>
          <w:sz w:val="36"/>
          <w:szCs w:val="36"/>
        </w:rPr>
        <w:t>评审</w:t>
      </w:r>
      <w:r>
        <w:rPr>
          <w:rFonts w:hint="eastAsia" w:asciiTheme="minorEastAsia" w:hAnsiTheme="minorEastAsia" w:eastAsiaTheme="minorEastAsia" w:cstheme="minorEastAsia"/>
          <w:color w:val="auto"/>
          <w:sz w:val="36"/>
          <w:szCs w:val="36"/>
          <w:lang w:eastAsia="zh-CN"/>
        </w:rPr>
        <w:t>方</w:t>
      </w:r>
      <w:r>
        <w:rPr>
          <w:rFonts w:hint="eastAsia" w:asciiTheme="minorEastAsia" w:hAnsiTheme="minorEastAsia" w:eastAsiaTheme="minorEastAsia" w:cstheme="minorEastAsia"/>
          <w:color w:val="auto"/>
          <w:sz w:val="36"/>
          <w:szCs w:val="36"/>
        </w:rPr>
        <w:t>法及评</w:t>
      </w:r>
      <w:r>
        <w:rPr>
          <w:rFonts w:hint="eastAsia" w:asciiTheme="minorEastAsia" w:hAnsiTheme="minorEastAsia" w:eastAsiaTheme="minorEastAsia" w:cstheme="minorEastAsia"/>
          <w:color w:val="auto"/>
          <w:sz w:val="36"/>
          <w:szCs w:val="36"/>
          <w:lang w:eastAsia="zh-CN"/>
        </w:rPr>
        <w:t>审</w:t>
      </w:r>
      <w:r>
        <w:rPr>
          <w:rFonts w:hint="eastAsia" w:asciiTheme="minorEastAsia" w:hAnsiTheme="minorEastAsia" w:eastAsiaTheme="minorEastAsia" w:cstheme="minorEastAsia"/>
          <w:color w:val="auto"/>
          <w:sz w:val="36"/>
          <w:szCs w:val="36"/>
        </w:rPr>
        <w:t>标准</w:t>
      </w:r>
      <w:bookmarkEnd w:id="44"/>
      <w:bookmarkEnd w:id="45"/>
      <w:bookmarkEnd w:id="46"/>
    </w:p>
    <w:p w14:paraId="176F161B">
      <w:pPr>
        <w:pStyle w:val="9"/>
        <w:keepNext w:val="0"/>
        <w:keepLines w:val="0"/>
        <w:pageBreakBefore w:val="0"/>
        <w:widowControl w:val="0"/>
        <w:numPr>
          <w:ilvl w:val="0"/>
          <w:numId w:val="81"/>
        </w:numPr>
        <w:kinsoku/>
        <w:wordWrap w:val="0"/>
        <w:overflowPunct/>
        <w:topLinePunct/>
        <w:autoSpaceDE/>
        <w:autoSpaceDN/>
        <w:bidi w:val="0"/>
        <w:adjustRightInd/>
        <w:snapToGrid w:val="0"/>
        <w:spacing w:line="360" w:lineRule="auto"/>
        <w:ind w:left="0" w:leftChars="0" w:firstLine="0" w:firstLineChars="0"/>
        <w:jc w:val="center"/>
        <w:textAlignment w:val="auto"/>
        <w:rPr>
          <w:rFonts w:hint="eastAsia" w:asciiTheme="minorEastAsia" w:hAnsiTheme="minorEastAsia" w:eastAsiaTheme="minorEastAsia" w:cstheme="minorEastAsia"/>
          <w:color w:val="auto"/>
          <w:sz w:val="31"/>
          <w:szCs w:val="31"/>
        </w:rPr>
      </w:pPr>
      <w:r>
        <w:rPr>
          <w:rFonts w:hint="eastAsia" w:asciiTheme="minorEastAsia" w:hAnsiTheme="minorEastAsia" w:eastAsiaTheme="minorEastAsia" w:cstheme="minorEastAsia"/>
          <w:b/>
          <w:bCs/>
          <w:color w:val="auto"/>
          <w:spacing w:val="3"/>
          <w:sz w:val="31"/>
          <w:szCs w:val="31"/>
        </w:rPr>
        <w:t>评审程序</w:t>
      </w:r>
    </w:p>
    <w:p w14:paraId="61C957D0">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确认谈判文件</w:t>
      </w:r>
    </w:p>
    <w:p w14:paraId="5AD718F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由谈判小组确认谈判文件。</w:t>
      </w:r>
    </w:p>
    <w:p w14:paraId="7227811D">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资格审查</w:t>
      </w:r>
    </w:p>
    <w:p w14:paraId="1C0448A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2.1 响应文件开启后，谈判小组依法对供应商的资格证明文件进行审查。</w:t>
      </w:r>
    </w:p>
    <w:p w14:paraId="43EFA3E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（1）查询渠道：“信用中国”网站（</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"https://www.creditchina.gov.cn"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rPr>
        <w:t>www.creditchina.gov.cn</w:t>
      </w:r>
      <w:r>
        <w:rPr>
          <w:rFonts w:hint="eastAsia" w:asciiTheme="minorEastAsia" w:hAnsiTheme="minorEastAsia" w:eastAsiaTheme="minorEastAsia" w:cstheme="minorEastAsia"/>
          <w:color w:val="auto"/>
          <w:sz w:val="21"/>
          <w:szCs w:val="21"/>
        </w:rPr>
        <w:fldChar w:fldCharType="end"/>
      </w:r>
      <w:r>
        <w:rPr>
          <w:rFonts w:hint="eastAsia" w:asciiTheme="minorEastAsia" w:hAnsiTheme="minorEastAsia" w:eastAsiaTheme="minorEastAsia" w:cstheme="minorEastAsia"/>
          <w:color w:val="auto"/>
          <w:sz w:val="21"/>
          <w:szCs w:val="21"/>
        </w:rPr>
        <w:t>）、中国政府采购网（</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"http://www.ccgp.gov.cn/"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rPr>
        <w:t>www.ccgp.gov.cn</w:t>
      </w:r>
      <w:r>
        <w:rPr>
          <w:rFonts w:hint="eastAsia" w:asciiTheme="minorEastAsia" w:hAnsiTheme="minorEastAsia" w:eastAsiaTheme="minorEastAsia" w:cstheme="minorEastAsia"/>
          <w:color w:val="auto"/>
          <w:sz w:val="21"/>
          <w:szCs w:val="21"/>
        </w:rPr>
        <w:fldChar w:fldCharType="end"/>
      </w:r>
      <w:r>
        <w:rPr>
          <w:rFonts w:hint="eastAsia" w:asciiTheme="minorEastAsia" w:hAnsiTheme="minorEastAsia" w:eastAsiaTheme="minorEastAsia" w:cstheme="minorEastAsia"/>
          <w:color w:val="auto"/>
          <w:sz w:val="21"/>
          <w:szCs w:val="21"/>
        </w:rPr>
        <w:t>）</w:t>
      </w:r>
    </w:p>
    <w:p w14:paraId="1BD5CA1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（2）信用查询截止时点：资格审查结束前</w:t>
      </w:r>
    </w:p>
    <w:p w14:paraId="3A47065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（3）查询记录和证据留存方式：将查询网站中的查询记录截图并作为评审资料保存。</w:t>
      </w:r>
    </w:p>
    <w:p w14:paraId="5025575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（4）信用信息使用规则：信用信息使用规则：根据财政部《关于在政府采购活动中查询及使用信用记录有关问题的通知》（财库〔2016〕125 号）的规定，对在“信用中国”网站(</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"https://www.creditchina.gov.cn"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rPr>
        <w:t>www.creditchina.gov.cn</w:t>
      </w:r>
      <w:r>
        <w:rPr>
          <w:rFonts w:hint="eastAsia" w:asciiTheme="minorEastAsia" w:hAnsiTheme="minorEastAsia" w:eastAsiaTheme="minorEastAsia" w:cstheme="minorEastAsia"/>
          <w:color w:val="auto"/>
          <w:sz w:val="21"/>
          <w:szCs w:val="21"/>
        </w:rPr>
        <w:fldChar w:fldCharType="end"/>
      </w:r>
      <w:r>
        <w:rPr>
          <w:rFonts w:hint="eastAsia" w:asciiTheme="minorEastAsia" w:hAnsiTheme="minorEastAsia" w:eastAsiaTheme="minorEastAsia" w:cstheme="minorEastAsia"/>
          <w:color w:val="auto"/>
          <w:sz w:val="21"/>
          <w:szCs w:val="21"/>
        </w:rPr>
        <w:t>) 、中国政府采购网(</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"https://www.ccgp.gov.cn"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rPr>
        <w:t>www.ccgp.gov.cn</w:t>
      </w:r>
      <w:r>
        <w:rPr>
          <w:rFonts w:hint="eastAsia" w:asciiTheme="minorEastAsia" w:hAnsiTheme="minorEastAsia" w:eastAsiaTheme="minorEastAsia" w:cstheme="minorEastAsia"/>
          <w:color w:val="auto"/>
          <w:sz w:val="21"/>
          <w:szCs w:val="21"/>
        </w:rPr>
        <w:fldChar w:fldCharType="end"/>
      </w:r>
      <w:r>
        <w:rPr>
          <w:rFonts w:hint="eastAsia" w:asciiTheme="minorEastAsia" w:hAnsiTheme="minorEastAsia" w:eastAsiaTheme="minorEastAsia" w:cstheme="minorEastAsia"/>
          <w:color w:val="auto"/>
          <w:sz w:val="21"/>
          <w:szCs w:val="21"/>
        </w:rPr>
        <w:t>)被列入失信被执行人、重大税收违法案件当事人名单、政府采购严重违法失信行为记录名单及其他不符合《中华人民共和国政府采购法》第二十二条规定条件的供应商，不得参与政府采购活动。</w:t>
      </w:r>
    </w:p>
    <w:p w14:paraId="20F60B1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 资格审查标准为本谈判文件中载明对供应商资格要求的条件。本项目资格审查采用合格制，凡符合谈判文件规定的供应商资格要求的供应商均通过资格审查。</w:t>
      </w:r>
    </w:p>
    <w:p w14:paraId="034B7CD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2.3 供应商有下列情形之一的，资格审查不通过，其响应文件按无效响应处理：</w:t>
      </w:r>
    </w:p>
    <w:p w14:paraId="11242CF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（1）不具备谈判文件中规定的资格要求的；</w:t>
      </w:r>
    </w:p>
    <w:p w14:paraId="39AA4F1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（2）响应文件中的资格证明文件缺少任一项“供应商须知前附表”资格证明文件规定的“必须提供”的文件资料的；</w:t>
      </w:r>
    </w:p>
    <w:p w14:paraId="5AC45E5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（3）响应文件中的资格证明文件出现任一项不符合“供应商须知前附表”资格证明文件规定的“必须提供”的文件资料要求或者无效的；</w:t>
      </w:r>
    </w:p>
    <w:p w14:paraId="2A0E4B5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（4）同一合同项下的不同供应商，单位负责人为同一人或者存在直接控股、管理关系的；为本项目提供过整体设计、规范编制或者项目管理、监理、检测等服务的供应商，再参加该采购项目的其他采购活动的。</w:t>
      </w:r>
    </w:p>
    <w:p w14:paraId="7B49AA7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2.4 通过资格审查的合格供应商不足 3 家（本章 3.7 条规定除外）的，不得进入符合性审查环节，应当重新开展采购活动。</w:t>
      </w:r>
    </w:p>
    <w:p w14:paraId="35C4C894">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符合性审查</w:t>
      </w:r>
    </w:p>
    <w:p w14:paraId="2EFD9A5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3.1 由谈判小组对资格审查的合格的供应商的响应文件进行竞标报价、商务、技术等实质性要求符合性审查，以确定其是否满足谈判文件的实质性要求。</w:t>
      </w:r>
    </w:p>
    <w:p w14:paraId="2748546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3.2 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61E3F3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3.3 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委托代理人签字或者加盖供应商公章。</w:t>
      </w:r>
    </w:p>
    <w:p w14:paraId="34ADEB5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3.4 首次响应文件报价出现前后不一致的，按照下列规定修正：</w:t>
      </w:r>
    </w:p>
    <w:p w14:paraId="522A2B6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（1）响应文件中报价表内容与响应文件中相应内容不一致的，以报价表为准；</w:t>
      </w:r>
    </w:p>
    <w:p w14:paraId="7B03F89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（2）大写金额和小写金额不一致的，以大写金额为准；</w:t>
      </w:r>
    </w:p>
    <w:p w14:paraId="7DECA2D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（3）单价金额小数点或者百分比有明显错位的，以报价表的总价为准，并修改单价；</w:t>
      </w:r>
    </w:p>
    <w:p w14:paraId="69CFE8C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（4）总价金额与按单价汇总金额不一致的，以单价金额计算结果为准。</w:t>
      </w:r>
    </w:p>
    <w:p w14:paraId="3134B10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同时出现两种以上不一致的，按照以上（1）-（4）规定的顺序逐条进行修正。修正后的报价经供应商确认后产生约束力，供应商不确认的，其响应文件按无效响应处理。</w:t>
      </w:r>
    </w:p>
    <w:p w14:paraId="1BB1D88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3.5 商务技术报价评审</w:t>
      </w:r>
    </w:p>
    <w:p w14:paraId="44D655B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在评审时，如发现下列情形之一的，将被视为响应文件无效响应处理：</w:t>
      </w:r>
    </w:p>
    <w:p w14:paraId="1345103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（1）商务技术评审</w:t>
      </w:r>
    </w:p>
    <w:p w14:paraId="7B085D0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1）响应文件未按谈判文件要求签署、盖章的；</w:t>
      </w:r>
    </w:p>
    <w:p w14:paraId="0A60F01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2）委托代理人未能出具有效身份证或者出具的身份证与授权委托书中的信息不符的；</w:t>
      </w:r>
    </w:p>
    <w:p w14:paraId="38C9C26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3）提交的竞标保证金无效的或者未按照谈判文件的规定提交竞标保证金；</w:t>
      </w:r>
    </w:p>
    <w:p w14:paraId="14C6CF6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4）响应文件中的报价商务技术文件出现任一项不符合“供应商须知前附表”中“必须提供”或者“委托时必须提供”文件资料要求的规定或者提供的报价商务技术文件无效。</w:t>
      </w:r>
    </w:p>
    <w:p w14:paraId="2070529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5）商务条款中标“▲”的条款发生负偏离或者允许负偏离的条款数超过“供应商须知前附表”规定项数的；</w:t>
      </w:r>
    </w:p>
    <w:p w14:paraId="2DDED50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6）未对竞标有效期作出响应或者响应文件承诺的竞标有效期不满足谈判文件要求；</w:t>
      </w:r>
    </w:p>
    <w:p w14:paraId="3AA4F0C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7）响应文件的实质性内容未使用中文表述、使用计量单位不符合谈判文件要求的；</w:t>
      </w:r>
    </w:p>
    <w:p w14:paraId="237CD92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8）响应文件中的文件资料因填写不齐全或者内容虚假或者出现其他情形而导致被谈判小组认定无效的；</w:t>
      </w:r>
    </w:p>
    <w:p w14:paraId="2EC4D77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9）响应文件含有采购人不能接受的附加条件的；</w:t>
      </w:r>
    </w:p>
    <w:p w14:paraId="63DA6F0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10）属于“供应商须知正文”第 7.5 条的情形的；</w:t>
      </w:r>
    </w:p>
    <w:p w14:paraId="300FFB5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11）技术要求中标“▲”的条款发生负偏离或允许负偏离的条款数超过“供应商须知前附表”规定项数的；</w:t>
      </w:r>
    </w:p>
    <w:p w14:paraId="4EFAA18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12）虚假竞标，或者出现其他情形而导致被谈判小组认定无效的；</w:t>
      </w:r>
    </w:p>
    <w:p w14:paraId="145B935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13）谈判文件未载明允许提供备选（替代）竞标方案或明确不允许提供备选（替代）竞标方案时，供应商提供了备选（替代）竞标方案的；</w:t>
      </w:r>
    </w:p>
    <w:p w14:paraId="2016162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14）响应文件标注的项目名称或者项目编号与谈判文件标注的项目名称或者项目编号不一致的；</w:t>
      </w:r>
    </w:p>
    <w:p w14:paraId="61100C8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15）谈判文件明确不允许分包，响应文件拟分包的；</w:t>
      </w:r>
    </w:p>
    <w:p w14:paraId="53B8979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16）未响应谈判文件实质性要求；</w:t>
      </w:r>
    </w:p>
    <w:p w14:paraId="6E32E9A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17）法律、法规和谈判文件规定的其他无效情形。</w:t>
      </w:r>
    </w:p>
    <w:p w14:paraId="7CE5454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（2）报价评审</w:t>
      </w:r>
    </w:p>
    <w:p w14:paraId="6F58E13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1）响应文件未提供“供应商须知前附表” 报价商务技术文件中规定的“竞标报价表”的；</w:t>
      </w:r>
    </w:p>
    <w:p w14:paraId="38C531A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2）未采用人民币报价或者未按照谈判文件标明的币种报价的；</w:t>
      </w:r>
    </w:p>
    <w:p w14:paraId="680647A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供应商未就所竞标分标进行报价或者存在漏项报价的；供应商未就所竞标分标的单项内容作唯一报价的；供应商未就所竞标分标的全部内容作完整唯一总价报价的；供应商响应文件中存在有选择、有条件报价的（谈判文件允许有备选方案或者其他约定的除外）；</w:t>
      </w:r>
    </w:p>
    <w:p w14:paraId="38BED9F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4）最后报价超过所竞标分标规定的采购预算金额或者最高限价的（如本项目公布了最高限价）；</w:t>
      </w:r>
    </w:p>
    <w:p w14:paraId="6F185DF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5）修正后的报价，供应商不确认的；或者经供应商确认修正后的最后报价超过所竞标分标规定的采购预算金额或者最高限价（如本项目公布了最高限价）；</w:t>
      </w:r>
    </w:p>
    <w:p w14:paraId="38B08C9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6）响应文件响应的标的数量及单位与竞争性谈判采购文件要求实质性不一致的。</w:t>
      </w:r>
    </w:p>
    <w:p w14:paraId="292BDC8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3.6 谈判小组对响应文件进行评审，未实质性响应谈判文件的响应文件按无效响应处理。谈判小组应当将资格和符合性不通过的情况告知有关供应商。谈判小组从符合谈判文件规定的相应资格条件的供应商名单中确定不少于 3 家的供应商参加谈判。</w:t>
      </w:r>
    </w:p>
    <w:p w14:paraId="52C9E87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3.7 通过符合性审查的合格供应商不足 3 家的，不得进入谈判环节，应当重新开展采购活动。</w:t>
      </w:r>
    </w:p>
    <w:p w14:paraId="68BC2706">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谈判程序</w:t>
      </w:r>
    </w:p>
    <w:p w14:paraId="3D4137D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4.1谈判小组按照“供应商须知前附表”第 26 条确定的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7F8624D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4.2 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271BE5E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4.3 对谈判文件作出的实质性变动是谈判文件的有效组成部分，谈判小组应当及时以电子谈判记录形式同时通知所有参加谈判的供应商。</w:t>
      </w:r>
    </w:p>
    <w:p w14:paraId="04813D3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4.4 供应商必须按照谈判文件的变动情况和谈判小组的要求以电子回函的形式重新提交响应文件，并由其法定代表人或者委托代理人签字或者加盖供应商公章。由委托代理人签字的，若委托代理人不是响应文件中授权的委托代理人时，必须同时出示有效的授权委托书原件。供应商为自然人的，必须由本人签字并附身份证明。参加谈判的供应商未在规定时间内以电子回函的形式重新提交响应文件的，视同退出谈判，其响应文件按无效响应处理。</w:t>
      </w:r>
    </w:p>
    <w:p w14:paraId="1AE3D7D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4.5 谈判中，谈判的任何一方不得透露与谈判有关的其他供应商的技术资料、价格和其他信息。</w:t>
      </w:r>
    </w:p>
    <w:p w14:paraId="24086BB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4.6 对谈判过程提交的响应文件进行有效性、完整性和响应程度审查，通过审查的合格供应商不足 3家的，采购人或者采购代理机构应当重新开展采购活动。</w:t>
      </w:r>
    </w:p>
    <w:p w14:paraId="1A6252B6">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最后报价</w:t>
      </w:r>
    </w:p>
    <w:p w14:paraId="47AA835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5.1 谈判文件能够详细列明采购标的的技术、服务要求的，谈判结束后，谈判小组应当要求所有继续参加谈判的供应商在规定时间内以电子文件形式提交最后报价，提交最后报价的供应商不得少于 3 家，除本章第 3.7 条外，否则必须重新采购。</w:t>
      </w:r>
    </w:p>
    <w:p w14:paraId="7C1A942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5.2 谈判文件不能详细列明采购标的的技术、服务要求，需经谈判由供应商提供最后设计方案或者解决方案的，谈判结束后，谈判小组应当按照少数服从多数的原则投票推荐 3 家以上供应商的设计方案或者解决方案，并要求其在规定时间内以电子文件形式提交最后报价。</w:t>
      </w:r>
    </w:p>
    <w:p w14:paraId="12248FD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5.3 最后报价是供应商响应文件的有效组成部分。</w:t>
      </w:r>
    </w:p>
    <w:p w14:paraId="0B8BCAF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5.4 已经提交响应文件的供应商，在提交最后报价之前，可以根据谈判情况退出谈判。采购人、采购代理机构将退还退出谈判的供应商的保证金。</w:t>
      </w:r>
    </w:p>
    <w:p w14:paraId="572CB39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5.5 供应商未在规定时间内提交最后报价的，视为退出谈判，其响应文件按无效响应处理。</w:t>
      </w:r>
    </w:p>
    <w:p w14:paraId="5D1DBCF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5.6 谈判小组收齐某一分标最后报价后或达到规定时间后统一开启，谈判小组对最后报价进行有效性、完整性和响应程度的审查。</w:t>
      </w:r>
    </w:p>
    <w:p w14:paraId="66E6415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5.7 响应文件首次及最后报价出现前后不一致的，按照本章第 3.4 条的规定修正。</w:t>
      </w:r>
    </w:p>
    <w:p w14:paraId="27E8FDF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5.8 经供应商确认修正后的最后报价作为评审及签订合同的依据。</w:t>
      </w:r>
    </w:p>
    <w:p w14:paraId="1843888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5.9 供应商出现最后报价按无效响应处理或者响应文件按无效响应处理时，谈判小组应当告知有关供应商。</w:t>
      </w:r>
    </w:p>
    <w:p w14:paraId="5009FA9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5.10 最后报价结束后，谈判小组不得再与供应商进行任何形式的商谈。</w:t>
      </w:r>
    </w:p>
    <w:p w14:paraId="426D34F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5.11 过低报价合理性的审查</w:t>
      </w:r>
    </w:p>
    <w:p w14:paraId="556C248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谈判小组认为竞标人的报价明显低于其他通过符合性审查竞标人的报价，有可能影响产品质量或者不能诚信履约的，应当要求其在评标现场合理的时间内提供书面说明，必要时提交相关证明材料；竞标人不能证明其报价合理性的，谈判小组将其作为报价无效处理。</w:t>
      </w:r>
    </w:p>
    <w:p w14:paraId="39D76C9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①采购评审中出现下列情形之一的，谈判小组应当启动异常低价投标审查程序：</w:t>
      </w:r>
    </w:p>
    <w:p w14:paraId="3A7341E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A.竞标报价低于全部通过符合性审查竞标人竞标报价平均值 50%的，即竞标报价＜全部通过符合性审查竞标人投标报价平均值×50%；</w:t>
      </w:r>
    </w:p>
    <w:p w14:paraId="0578DA8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B.竞标报价低于通过符合性审查的次低报价竞标人竞标报价 50%的，即竞标报价＜通过符合性审查的次低报价竞标人竞标报价×50%；</w:t>
      </w:r>
    </w:p>
    <w:p w14:paraId="7FA15D2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C.竞标报价低于采购项目最高限价 45%的，即竞标报价＜采购项目最高限价×45%；</w:t>
      </w:r>
    </w:p>
    <w:p w14:paraId="0B54C92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D.谈判小组基于专业判断，认为竞标人报价过低，有可能影响产品质量或者不能诚信履约的其他情形。相关法律法规对竞标人报价有规定的，从其规定。</w:t>
      </w:r>
    </w:p>
    <w:p w14:paraId="1E26251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②谈判小组会启动异常低价竞标审查后，属于上述 A 项至 D 项情形的，应当要求相关竞标人在评标现场合理的时间内对竞标价格作出解释，提供项目具体成本测算等与报价合理性相关的书面说明及必要的证明材料，包括但不限于原材料成本、人工成本、制造费用等，给予相关竞标人的合理时间一般不少于30分钟。其中，属于上述 C 项情形，竞标人已随响应文件一并提交相关书面说明及必要的证明材料的，在评标现场可不再重复提交。</w:t>
      </w:r>
    </w:p>
    <w:p w14:paraId="57D24D4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③谈判小组依据专业经验，参考同类项目中标（成交）价格、类似产品市场价格水平、行业人工费用标准、国家有关部门指导行业协会发布的行业平均成本等情况，对报价合理性进行判断。竞标人不能提供书面说明、证明材料，或者提供的书面说明、证明材料不能证明其报价合理性的，谈判小组应当将其作为报价无效处理。</w:t>
      </w:r>
    </w:p>
    <w:p w14:paraId="6CC908DF">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最后报价政府采购政策性扣除</w:t>
      </w:r>
    </w:p>
    <w:p w14:paraId="29AE073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6.1 评标价为供应商的最后报价进行政策性扣除后的价格，评标价只是作为评审时使用。最终成交供应商的成交金额等于最后报价（如有修正，以确认修正后的最后报价为准）。</w:t>
      </w:r>
    </w:p>
    <w:p w14:paraId="0A61AC4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 xml:space="preserve"> 中小企业政策性扣除计算方法</w:t>
      </w:r>
    </w:p>
    <w:p w14:paraId="12E5560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根据《政府采购促进中小企业发展管理办法》（财库〔2020〕46 号）及《广西壮族自治区财政厅关于持续优化政府采购营商环境推动高质量发展的通知》（桂财采〔2024〕55号）的规定，供应商在其响应文件中提供《中小企业声明函》，且响应货物全部由小微企业制造，对供应商的竞标报价给予</w:t>
      </w:r>
      <w:r>
        <w:rPr>
          <w:rFonts w:hint="eastAsia" w:asciiTheme="minorEastAsia" w:hAnsiTheme="minorEastAsia" w:eastAsiaTheme="minorEastAsia" w:cstheme="minorEastAsia"/>
          <w:color w:val="auto"/>
          <w:sz w:val="21"/>
          <w:szCs w:val="21"/>
          <w:lang w:val="en-US" w:eastAsia="zh-CN"/>
        </w:rPr>
        <w:t>20</w:t>
      </w:r>
      <w:r>
        <w:rPr>
          <w:rFonts w:hint="eastAsia" w:asciiTheme="minorEastAsia" w:hAnsiTheme="minorEastAsia" w:eastAsiaTheme="minorEastAsia" w:cstheme="minorEastAsia"/>
          <w:color w:val="auto"/>
          <w:sz w:val="21"/>
          <w:szCs w:val="21"/>
        </w:rPr>
        <w:t>%的扣除，扣除后的价格为评审价，即中小企业政策性折扣=竞标报价×</w:t>
      </w:r>
      <w:r>
        <w:rPr>
          <w:rFonts w:hint="eastAsia" w:asciiTheme="minorEastAsia" w:hAnsiTheme="minorEastAsia" w:eastAsiaTheme="minorEastAsia" w:cstheme="minorEastAsia"/>
          <w:color w:val="auto"/>
          <w:sz w:val="21"/>
          <w:szCs w:val="21"/>
          <w:lang w:val="en-US" w:eastAsia="zh-CN"/>
        </w:rPr>
        <w:t>20</w:t>
      </w:r>
      <w:r>
        <w:rPr>
          <w:rFonts w:hint="eastAsia" w:asciiTheme="minorEastAsia" w:hAnsiTheme="minorEastAsia" w:eastAsiaTheme="minorEastAsia" w:cstheme="minorEastAsia"/>
          <w:color w:val="auto"/>
          <w:sz w:val="21"/>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中小企业政策性折扣=竞标报价×4%。除上述情况外，评审价=竞标报价。</w:t>
      </w:r>
    </w:p>
    <w:p w14:paraId="7D29ED1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 xml:space="preserve"> 按照《财政部、司法部关于政府采购支持监狱企业发展有关问题的通知》（财库〔2014〕68 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6B1E300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 xml:space="preserve"> 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 并对声明的真实性负责。残疾人福利性单位属于小型、微型企业的，不重复享受政策。</w:t>
      </w:r>
    </w:p>
    <w:p w14:paraId="2385B59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6.</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 xml:space="preserve"> 本国产品政策性扣除计算方法</w:t>
      </w:r>
      <w:r>
        <w:rPr>
          <w:rFonts w:hint="eastAsia" w:asciiTheme="minorEastAsia" w:hAnsiTheme="minorEastAsia" w:eastAsiaTheme="minorEastAsia" w:cstheme="minorEastAsia"/>
          <w:color w:val="auto"/>
          <w:sz w:val="21"/>
          <w:szCs w:val="21"/>
          <w:lang w:eastAsia="zh-CN"/>
        </w:rPr>
        <w:t>：</w:t>
      </w:r>
    </w:p>
    <w:p w14:paraId="53BC3A8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根据《国务院办公厅关于在政府采购中实施本国产品标准及相关政策的通知》（国办发〔2025〕34 号）的规定，政府采购活动中既有本国产品又有非本国产品参与竞争的，依法对本国产品给予价格评审优惠，对本国产品的报价给予20%的价格扣除，用扣除后的价格参与评审。</w:t>
      </w:r>
    </w:p>
    <w:p w14:paraId="6BF2218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7EC2D6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如果所有参与竞争的供应商均可享受本国产品价格评审优惠，则统一不进行价格扣除。</w:t>
      </w:r>
    </w:p>
    <w:p w14:paraId="07DC644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供应商在其响应文件中提供《关于符合本国产品标准的声明函》或财政部会同有关部门规定的有关证明文件，出具符合要求的《声明函》或有关证明文件的，该产品视为本国产品。</w:t>
      </w:r>
    </w:p>
    <w:p w14:paraId="34D96AD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6.</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 xml:space="preserve"> 中小企业政策性折扣与本国产品政策性折扣进行叠加计算，用扣除后的价格参加评审。即评审价=竞标报价-中小企业政策性折扣-本国产品政策性折扣，除上述情况外，评审价=竞标报价。</w:t>
      </w:r>
    </w:p>
    <w:p w14:paraId="5370A786">
      <w:pPr>
        <w:pStyle w:val="9"/>
        <w:keepNext w:val="0"/>
        <w:keepLines w:val="0"/>
        <w:pageBreakBefore w:val="0"/>
        <w:widowControl w:val="0"/>
        <w:numPr>
          <w:ilvl w:val="0"/>
          <w:numId w:val="81"/>
        </w:numPr>
        <w:kinsoku/>
        <w:wordWrap w:val="0"/>
        <w:overflowPunct/>
        <w:topLinePunct/>
        <w:autoSpaceDE/>
        <w:autoSpaceDN/>
        <w:bidi w:val="0"/>
        <w:adjustRightInd/>
        <w:snapToGrid w:val="0"/>
        <w:spacing w:line="360" w:lineRule="auto"/>
        <w:ind w:left="0" w:leftChars="0" w:firstLine="0" w:firstLineChars="0"/>
        <w:jc w:val="center"/>
        <w:textAlignment w:val="auto"/>
        <w:rPr>
          <w:rFonts w:hint="eastAsia" w:asciiTheme="minorEastAsia" w:hAnsiTheme="minorEastAsia" w:eastAsiaTheme="minorEastAsia" w:cstheme="minorEastAsia"/>
          <w:b/>
          <w:bCs/>
          <w:color w:val="auto"/>
          <w:spacing w:val="3"/>
          <w:sz w:val="31"/>
          <w:szCs w:val="31"/>
        </w:rPr>
      </w:pPr>
      <w:r>
        <w:rPr>
          <w:rFonts w:hint="eastAsia" w:asciiTheme="minorEastAsia" w:hAnsiTheme="minorEastAsia" w:eastAsiaTheme="minorEastAsia" w:cstheme="minorEastAsia"/>
          <w:b/>
          <w:bCs/>
          <w:color w:val="auto"/>
          <w:spacing w:val="3"/>
          <w:sz w:val="31"/>
          <w:szCs w:val="31"/>
        </w:rPr>
        <w:t>评定成交的标准</w:t>
      </w:r>
    </w:p>
    <w:p w14:paraId="5528AD4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谈判小组应当从质量和服务均能满足谈判文件实质性响应要求的供应商中，按照评标价由低到高的顺序提出 3 名以上成交候选人（评标价相同时，按照最后报价由低到高顺序依次推荐；最后报价相同时，由谈判小组按“供应商须知前附表”第 26 条规定的顺序推荐）,并编写评审报告。</w:t>
      </w:r>
    </w:p>
    <w:p w14:paraId="2932ECC1">
      <w:pPr>
        <w:rPr>
          <w:rFonts w:hint="eastAsia" w:asciiTheme="minorEastAsia" w:hAnsiTheme="minorEastAsia" w:eastAsiaTheme="minorEastAsia" w:cstheme="minorEastAsia"/>
          <w:color w:val="auto"/>
        </w:rPr>
      </w:pPr>
    </w:p>
    <w:p w14:paraId="7BFAD66E">
      <w:pPr>
        <w:rPr>
          <w:rFonts w:hint="eastAsia" w:asciiTheme="minorEastAsia" w:hAnsiTheme="minorEastAsia" w:eastAsiaTheme="minorEastAsia" w:cstheme="minorEastAsia"/>
          <w:color w:val="auto"/>
        </w:rPr>
      </w:pPr>
    </w:p>
    <w:sectPr>
      <w:footerReference r:id="rId13" w:type="default"/>
      <w:pgSz w:w="11906" w:h="16838"/>
      <w:pgMar w:top="1440" w:right="1800" w:bottom="1440" w:left="1800" w:header="851" w:footer="85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8CDF5">
    <w:pPr>
      <w:pStyle w:val="14"/>
      <w:framePr w:wrap="around" w:vAnchor="text" w:hAnchor="margin" w:xAlign="center" w:y="1"/>
      <w:rPr>
        <w:rStyle w:val="23"/>
      </w:rPr>
    </w:pPr>
    <w:r>
      <w:fldChar w:fldCharType="begin"/>
    </w:r>
    <w:r>
      <w:rPr>
        <w:rStyle w:val="23"/>
      </w:rPr>
      <w:instrText xml:space="preserve">PAGE  </w:instrText>
    </w:r>
    <w:r>
      <w:fldChar w:fldCharType="end"/>
    </w:r>
  </w:p>
  <w:p w14:paraId="56B6807F">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B34C6">
    <w:pPr>
      <w:pStyle w:val="14"/>
      <w:ind w:right="360"/>
      <w:jc w:val="both"/>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AA505">
    <w:pPr>
      <w:pStyle w:val="14"/>
      <w:tabs>
        <w:tab w:val="center" w:pos="487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81906">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081906">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5533C">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FE894">
                          <w:pPr>
                            <w:pStyle w:val="14"/>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BDFE894">
                    <w:pPr>
                      <w:pStyle w:val="1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D2296">
    <w:pPr>
      <w:spacing w:line="174" w:lineRule="auto"/>
      <w:ind w:left="49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96BE6">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8096BE6">
                    <w:pPr>
                      <w:pStyle w:val="1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927B4">
    <w:pPr>
      <w:spacing w:line="174" w:lineRule="auto"/>
      <w:ind w:left="49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C159A">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56C159A">
                    <w:pPr>
                      <w:pStyle w:val="1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D3FC3">
    <w:pPr>
      <w:spacing w:line="174" w:lineRule="auto"/>
      <w:ind w:left="49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CA742">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4CA742">
                    <w:pPr>
                      <w:pStyle w:val="1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1C138">
    <w:pPr>
      <w:spacing w:line="174" w:lineRule="auto"/>
      <w:ind w:left="49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4E037">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424E037">
                    <w:pPr>
                      <w:pStyle w:val="1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68BBB">
    <w:pPr>
      <w:spacing w:line="174" w:lineRule="auto"/>
      <w:ind w:left="47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2A7C0">
                          <w:pPr>
                            <w:pStyle w:val="14"/>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372A7C0">
                    <w:pPr>
                      <w:pStyle w:val="14"/>
                    </w:pPr>
                    <w:r>
                      <w:fldChar w:fldCharType="begin"/>
                    </w:r>
                    <w:r>
                      <w:instrText xml:space="preserve"> PAGE  \* MERGEFORMAT </w:instrText>
                    </w:r>
                    <w:r>
                      <w:fldChar w:fldCharType="separate"/>
                    </w:r>
                    <w:r>
                      <w:t>69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3343C">
    <w:pPr>
      <w:pStyle w:val="15"/>
      <w:pBdr>
        <w:bottom w:val="none" w:color="auto" w:sz="0" w:space="0"/>
      </w:pBdr>
      <w:tabs>
        <w:tab w:val="center" w:pos="0"/>
        <w:tab w:val="left" w:pos="8306"/>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5A5AF">
    <w:pPr>
      <w:pStyle w:val="15"/>
      <w:pBdr>
        <w:top w:val="none" w:color="auto" w:sz="0" w:space="0"/>
        <w:left w:val="none" w:color="auto" w:sz="0" w:space="0"/>
        <w:bottom w:val="none" w:color="auto" w:sz="0" w:space="1"/>
        <w:right w:val="none" w:color="auto" w:sz="0" w:space="0"/>
        <w:between w:val="none" w:color="auto" w:sz="0" w:space="0"/>
      </w:pBdr>
      <w:jc w:val="center"/>
      <w:rPr>
        <w:rFonts w:hint="eastAsia" w:ascii="仿宋_GB2312" w:hAnsi="仿宋_GB2312" w:eastAsia="仿宋_GB2312" w:cs="仿宋_GB2312"/>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1CB06"/>
    <w:multiLevelType w:val="singleLevel"/>
    <w:tmpl w:val="84E1CB06"/>
    <w:lvl w:ilvl="0" w:tentative="0">
      <w:start w:val="1"/>
      <w:numFmt w:val="decimal"/>
      <w:lvlText w:val="(%1)"/>
      <w:lvlJc w:val="left"/>
      <w:pPr>
        <w:ind w:left="425" w:hanging="425"/>
      </w:pPr>
      <w:rPr>
        <w:rFonts w:hint="default"/>
      </w:rPr>
    </w:lvl>
  </w:abstractNum>
  <w:abstractNum w:abstractNumId="1">
    <w:nsid w:val="852D0956"/>
    <w:multiLevelType w:val="singleLevel"/>
    <w:tmpl w:val="852D0956"/>
    <w:lvl w:ilvl="0" w:tentative="0">
      <w:start w:val="1"/>
      <w:numFmt w:val="decimal"/>
      <w:lvlText w:val="(%1)"/>
      <w:lvlJc w:val="left"/>
      <w:pPr>
        <w:ind w:left="425" w:hanging="425"/>
      </w:pPr>
      <w:rPr>
        <w:rFonts w:hint="default"/>
      </w:rPr>
    </w:lvl>
  </w:abstractNum>
  <w:abstractNum w:abstractNumId="2">
    <w:nsid w:val="8A328473"/>
    <w:multiLevelType w:val="singleLevel"/>
    <w:tmpl w:val="8A328473"/>
    <w:lvl w:ilvl="0" w:tentative="0">
      <w:start w:val="1"/>
      <w:numFmt w:val="decimal"/>
      <w:suff w:val="nothing"/>
      <w:lvlText w:val="%1．"/>
      <w:lvlJc w:val="left"/>
      <w:pPr>
        <w:ind w:left="0" w:firstLine="400"/>
      </w:pPr>
      <w:rPr>
        <w:rFonts w:hint="default"/>
      </w:rPr>
    </w:lvl>
  </w:abstractNum>
  <w:abstractNum w:abstractNumId="3">
    <w:nsid w:val="8BCC722D"/>
    <w:multiLevelType w:val="singleLevel"/>
    <w:tmpl w:val="8BCC722D"/>
    <w:lvl w:ilvl="0" w:tentative="0">
      <w:start w:val="1"/>
      <w:numFmt w:val="decimal"/>
      <w:suff w:val="nothing"/>
      <w:lvlText w:val="%1．"/>
      <w:lvlJc w:val="left"/>
      <w:pPr>
        <w:ind w:left="0" w:firstLine="400"/>
      </w:pPr>
      <w:rPr>
        <w:rFonts w:hint="default"/>
      </w:rPr>
    </w:lvl>
  </w:abstractNum>
  <w:abstractNum w:abstractNumId="4">
    <w:nsid w:val="8DDD9005"/>
    <w:multiLevelType w:val="singleLevel"/>
    <w:tmpl w:val="8DDD9005"/>
    <w:lvl w:ilvl="0" w:tentative="0">
      <w:start w:val="1"/>
      <w:numFmt w:val="decimal"/>
      <w:lvlText w:val="(%1)"/>
      <w:lvlJc w:val="left"/>
      <w:pPr>
        <w:ind w:left="425" w:hanging="425"/>
      </w:pPr>
      <w:rPr>
        <w:rFonts w:hint="default"/>
      </w:rPr>
    </w:lvl>
  </w:abstractNum>
  <w:abstractNum w:abstractNumId="5">
    <w:nsid w:val="8DF308F6"/>
    <w:multiLevelType w:val="singleLevel"/>
    <w:tmpl w:val="8DF308F6"/>
    <w:lvl w:ilvl="0" w:tentative="0">
      <w:start w:val="1"/>
      <w:numFmt w:val="decimal"/>
      <w:lvlText w:val="(%1)"/>
      <w:lvlJc w:val="left"/>
      <w:pPr>
        <w:ind w:left="425" w:hanging="425"/>
      </w:pPr>
      <w:rPr>
        <w:rFonts w:hint="default"/>
      </w:rPr>
    </w:lvl>
  </w:abstractNum>
  <w:abstractNum w:abstractNumId="6">
    <w:nsid w:val="90A8A080"/>
    <w:multiLevelType w:val="singleLevel"/>
    <w:tmpl w:val="90A8A080"/>
    <w:lvl w:ilvl="0" w:tentative="0">
      <w:start w:val="1"/>
      <w:numFmt w:val="decimal"/>
      <w:suff w:val="nothing"/>
      <w:lvlText w:val="%1．"/>
      <w:lvlJc w:val="left"/>
      <w:pPr>
        <w:ind w:left="0" w:firstLine="400"/>
      </w:pPr>
      <w:rPr>
        <w:rFonts w:hint="default"/>
      </w:rPr>
    </w:lvl>
  </w:abstractNum>
  <w:abstractNum w:abstractNumId="7">
    <w:nsid w:val="9D3FBBF2"/>
    <w:multiLevelType w:val="singleLevel"/>
    <w:tmpl w:val="9D3FBBF2"/>
    <w:lvl w:ilvl="0" w:tentative="0">
      <w:start w:val="1"/>
      <w:numFmt w:val="decimal"/>
      <w:suff w:val="nothing"/>
      <w:lvlText w:val="%1．"/>
      <w:lvlJc w:val="left"/>
      <w:pPr>
        <w:ind w:left="0" w:firstLine="400"/>
      </w:pPr>
      <w:rPr>
        <w:rFonts w:hint="default"/>
      </w:rPr>
    </w:lvl>
  </w:abstractNum>
  <w:abstractNum w:abstractNumId="8">
    <w:nsid w:val="9FDA91F9"/>
    <w:multiLevelType w:val="singleLevel"/>
    <w:tmpl w:val="9FDA91F9"/>
    <w:lvl w:ilvl="0" w:tentative="0">
      <w:start w:val="1"/>
      <w:numFmt w:val="decimal"/>
      <w:suff w:val="nothing"/>
      <w:lvlText w:val="%1．"/>
      <w:lvlJc w:val="left"/>
      <w:pPr>
        <w:ind w:left="0" w:firstLine="400"/>
      </w:pPr>
      <w:rPr>
        <w:rFonts w:hint="default" w:asciiTheme="minorEastAsia" w:hAnsiTheme="minorEastAsia" w:eastAsiaTheme="minorEastAsia" w:cstheme="minorEastAsia"/>
      </w:rPr>
    </w:lvl>
  </w:abstractNum>
  <w:abstractNum w:abstractNumId="9">
    <w:nsid w:val="A0E7278A"/>
    <w:multiLevelType w:val="singleLevel"/>
    <w:tmpl w:val="A0E7278A"/>
    <w:lvl w:ilvl="0" w:tentative="0">
      <w:start w:val="1"/>
      <w:numFmt w:val="decimal"/>
      <w:suff w:val="nothing"/>
      <w:lvlText w:val="%1．"/>
      <w:lvlJc w:val="left"/>
      <w:pPr>
        <w:ind w:left="0" w:firstLine="400"/>
      </w:pPr>
      <w:rPr>
        <w:rFonts w:hint="default"/>
      </w:rPr>
    </w:lvl>
  </w:abstractNum>
  <w:abstractNum w:abstractNumId="10">
    <w:nsid w:val="A3580349"/>
    <w:multiLevelType w:val="singleLevel"/>
    <w:tmpl w:val="A3580349"/>
    <w:lvl w:ilvl="0" w:tentative="0">
      <w:start w:val="1"/>
      <w:numFmt w:val="decimal"/>
      <w:suff w:val="nothing"/>
      <w:lvlText w:val="%1．"/>
      <w:lvlJc w:val="left"/>
      <w:pPr>
        <w:ind w:left="0" w:firstLine="400"/>
      </w:pPr>
      <w:rPr>
        <w:rFonts w:hint="default"/>
      </w:rPr>
    </w:lvl>
  </w:abstractNum>
  <w:abstractNum w:abstractNumId="11">
    <w:nsid w:val="A7E6C7AD"/>
    <w:multiLevelType w:val="singleLevel"/>
    <w:tmpl w:val="A7E6C7AD"/>
    <w:lvl w:ilvl="0" w:tentative="0">
      <w:start w:val="1"/>
      <w:numFmt w:val="decimal"/>
      <w:suff w:val="nothing"/>
      <w:lvlText w:val="%1．"/>
      <w:lvlJc w:val="left"/>
      <w:pPr>
        <w:ind w:left="0" w:firstLine="400"/>
      </w:pPr>
      <w:rPr>
        <w:rFonts w:hint="default"/>
        <w:b w:val="0"/>
        <w:bCs w:val="0"/>
      </w:rPr>
    </w:lvl>
  </w:abstractNum>
  <w:abstractNum w:abstractNumId="12">
    <w:nsid w:val="A8CF4CB0"/>
    <w:multiLevelType w:val="singleLevel"/>
    <w:tmpl w:val="A8CF4CB0"/>
    <w:lvl w:ilvl="0" w:tentative="0">
      <w:start w:val="1"/>
      <w:numFmt w:val="decimal"/>
      <w:lvlText w:val="(%1)"/>
      <w:lvlJc w:val="left"/>
      <w:pPr>
        <w:ind w:left="425" w:hanging="425"/>
      </w:pPr>
      <w:rPr>
        <w:rFonts w:hint="default"/>
      </w:rPr>
    </w:lvl>
  </w:abstractNum>
  <w:abstractNum w:abstractNumId="13">
    <w:nsid w:val="AAC71CAE"/>
    <w:multiLevelType w:val="singleLevel"/>
    <w:tmpl w:val="AAC71CAE"/>
    <w:lvl w:ilvl="0" w:tentative="0">
      <w:start w:val="1"/>
      <w:numFmt w:val="decimal"/>
      <w:lvlText w:val="(%1)"/>
      <w:lvlJc w:val="left"/>
      <w:pPr>
        <w:ind w:left="425" w:hanging="425"/>
      </w:pPr>
      <w:rPr>
        <w:rFonts w:hint="default"/>
      </w:rPr>
    </w:lvl>
  </w:abstractNum>
  <w:abstractNum w:abstractNumId="14">
    <w:nsid w:val="B3A6DA04"/>
    <w:multiLevelType w:val="singleLevel"/>
    <w:tmpl w:val="B3A6DA04"/>
    <w:lvl w:ilvl="0" w:tentative="0">
      <w:start w:val="1"/>
      <w:numFmt w:val="decimal"/>
      <w:suff w:val="nothing"/>
      <w:lvlText w:val="%1．"/>
      <w:lvlJc w:val="left"/>
      <w:pPr>
        <w:ind w:left="0" w:firstLine="400"/>
      </w:pPr>
      <w:rPr>
        <w:rFonts w:hint="default"/>
      </w:rPr>
    </w:lvl>
  </w:abstractNum>
  <w:abstractNum w:abstractNumId="15">
    <w:nsid w:val="BF0E5BE0"/>
    <w:multiLevelType w:val="singleLevel"/>
    <w:tmpl w:val="BF0E5BE0"/>
    <w:lvl w:ilvl="0" w:tentative="0">
      <w:start w:val="1"/>
      <w:numFmt w:val="decimal"/>
      <w:suff w:val="nothing"/>
      <w:lvlText w:val="%1．"/>
      <w:lvlJc w:val="left"/>
      <w:pPr>
        <w:ind w:left="0" w:firstLine="400"/>
      </w:pPr>
      <w:rPr>
        <w:rFonts w:hint="default"/>
      </w:rPr>
    </w:lvl>
  </w:abstractNum>
  <w:abstractNum w:abstractNumId="16">
    <w:nsid w:val="BFE6FE10"/>
    <w:multiLevelType w:val="singleLevel"/>
    <w:tmpl w:val="BFE6FE10"/>
    <w:lvl w:ilvl="0" w:tentative="0">
      <w:start w:val="1"/>
      <w:numFmt w:val="decimal"/>
      <w:suff w:val="nothing"/>
      <w:lvlText w:val="%1．"/>
      <w:lvlJc w:val="left"/>
      <w:pPr>
        <w:ind w:left="0" w:firstLine="400"/>
      </w:pPr>
      <w:rPr>
        <w:rFonts w:hint="default"/>
      </w:rPr>
    </w:lvl>
  </w:abstractNum>
  <w:abstractNum w:abstractNumId="17">
    <w:nsid w:val="C2AFBAC3"/>
    <w:multiLevelType w:val="singleLevel"/>
    <w:tmpl w:val="C2AFBAC3"/>
    <w:lvl w:ilvl="0" w:tentative="0">
      <w:start w:val="1"/>
      <w:numFmt w:val="decimal"/>
      <w:lvlText w:val="(%1)"/>
      <w:lvlJc w:val="left"/>
      <w:pPr>
        <w:ind w:left="425" w:hanging="425"/>
      </w:pPr>
      <w:rPr>
        <w:rFonts w:hint="default"/>
      </w:rPr>
    </w:lvl>
  </w:abstractNum>
  <w:abstractNum w:abstractNumId="18">
    <w:nsid w:val="C7D8E920"/>
    <w:multiLevelType w:val="singleLevel"/>
    <w:tmpl w:val="C7D8E920"/>
    <w:lvl w:ilvl="0" w:tentative="0">
      <w:start w:val="1"/>
      <w:numFmt w:val="decimal"/>
      <w:suff w:val="nothing"/>
      <w:lvlText w:val="%1．"/>
      <w:lvlJc w:val="left"/>
      <w:pPr>
        <w:ind w:left="0" w:firstLine="400"/>
      </w:pPr>
      <w:rPr>
        <w:rFonts w:hint="default" w:asciiTheme="minorEastAsia" w:hAnsiTheme="minorEastAsia" w:eastAsiaTheme="minorEastAsia" w:cstheme="minorEastAsia"/>
      </w:rPr>
    </w:lvl>
  </w:abstractNum>
  <w:abstractNum w:abstractNumId="19">
    <w:nsid w:val="CFA25ED3"/>
    <w:multiLevelType w:val="singleLevel"/>
    <w:tmpl w:val="CFA25ED3"/>
    <w:lvl w:ilvl="0" w:tentative="0">
      <w:start w:val="1"/>
      <w:numFmt w:val="decimal"/>
      <w:lvlText w:val="(%1)"/>
      <w:lvlJc w:val="left"/>
      <w:pPr>
        <w:ind w:left="425" w:hanging="425"/>
      </w:pPr>
      <w:rPr>
        <w:rFonts w:hint="default" w:ascii="宋体" w:hAnsi="宋体" w:eastAsia="宋体" w:cstheme="majorEastAsia"/>
        <w:sz w:val="21"/>
        <w:szCs w:val="21"/>
      </w:rPr>
    </w:lvl>
  </w:abstractNum>
  <w:abstractNum w:abstractNumId="20">
    <w:nsid w:val="D0FB5D7E"/>
    <w:multiLevelType w:val="singleLevel"/>
    <w:tmpl w:val="D0FB5D7E"/>
    <w:lvl w:ilvl="0" w:tentative="0">
      <w:start w:val="1"/>
      <w:numFmt w:val="decimal"/>
      <w:lvlText w:val="(%1)"/>
      <w:lvlJc w:val="left"/>
      <w:pPr>
        <w:ind w:left="425" w:hanging="425"/>
      </w:pPr>
      <w:rPr>
        <w:rFonts w:hint="default"/>
      </w:rPr>
    </w:lvl>
  </w:abstractNum>
  <w:abstractNum w:abstractNumId="21">
    <w:nsid w:val="D56AD381"/>
    <w:multiLevelType w:val="singleLevel"/>
    <w:tmpl w:val="D56AD381"/>
    <w:lvl w:ilvl="0" w:tentative="0">
      <w:start w:val="1"/>
      <w:numFmt w:val="decimal"/>
      <w:lvlText w:val="(%1)"/>
      <w:lvlJc w:val="left"/>
      <w:pPr>
        <w:ind w:left="425" w:hanging="425"/>
      </w:pPr>
      <w:rPr>
        <w:rFonts w:hint="default"/>
      </w:rPr>
    </w:lvl>
  </w:abstractNum>
  <w:abstractNum w:abstractNumId="22">
    <w:nsid w:val="D63A800E"/>
    <w:multiLevelType w:val="singleLevel"/>
    <w:tmpl w:val="D63A800E"/>
    <w:lvl w:ilvl="0" w:tentative="0">
      <w:start w:val="1"/>
      <w:numFmt w:val="chineseCounting"/>
      <w:suff w:val="nothing"/>
      <w:lvlText w:val="（%1）"/>
      <w:lvlJc w:val="left"/>
      <w:pPr>
        <w:ind w:left="0" w:firstLine="420"/>
      </w:pPr>
      <w:rPr>
        <w:rFonts w:hint="eastAsia"/>
      </w:rPr>
    </w:lvl>
  </w:abstractNum>
  <w:abstractNum w:abstractNumId="23">
    <w:nsid w:val="D7CCAA4C"/>
    <w:multiLevelType w:val="singleLevel"/>
    <w:tmpl w:val="D7CCAA4C"/>
    <w:lvl w:ilvl="0" w:tentative="0">
      <w:start w:val="1"/>
      <w:numFmt w:val="decimal"/>
      <w:suff w:val="nothing"/>
      <w:lvlText w:val="%1．"/>
      <w:lvlJc w:val="left"/>
      <w:pPr>
        <w:ind w:left="0" w:firstLine="400"/>
      </w:pPr>
      <w:rPr>
        <w:rFonts w:hint="default"/>
      </w:rPr>
    </w:lvl>
  </w:abstractNum>
  <w:abstractNum w:abstractNumId="24">
    <w:nsid w:val="DAC9856F"/>
    <w:multiLevelType w:val="singleLevel"/>
    <w:tmpl w:val="DAC9856F"/>
    <w:lvl w:ilvl="0" w:tentative="0">
      <w:start w:val="1"/>
      <w:numFmt w:val="decimal"/>
      <w:lvlText w:val="(%1)"/>
      <w:lvlJc w:val="left"/>
      <w:pPr>
        <w:ind w:left="425" w:hanging="425"/>
      </w:pPr>
      <w:rPr>
        <w:rFonts w:hint="default"/>
      </w:rPr>
    </w:lvl>
  </w:abstractNum>
  <w:abstractNum w:abstractNumId="25">
    <w:nsid w:val="DB51EC78"/>
    <w:multiLevelType w:val="singleLevel"/>
    <w:tmpl w:val="DB51EC78"/>
    <w:lvl w:ilvl="0" w:tentative="0">
      <w:start w:val="1"/>
      <w:numFmt w:val="decimal"/>
      <w:suff w:val="nothing"/>
      <w:lvlText w:val="%1．"/>
      <w:lvlJc w:val="left"/>
      <w:pPr>
        <w:ind w:left="0" w:firstLine="400"/>
      </w:pPr>
      <w:rPr>
        <w:rFonts w:hint="default"/>
      </w:rPr>
    </w:lvl>
  </w:abstractNum>
  <w:abstractNum w:abstractNumId="26">
    <w:nsid w:val="DC7694C7"/>
    <w:multiLevelType w:val="singleLevel"/>
    <w:tmpl w:val="DC7694C7"/>
    <w:lvl w:ilvl="0" w:tentative="0">
      <w:start w:val="1"/>
      <w:numFmt w:val="decimal"/>
      <w:suff w:val="nothing"/>
      <w:lvlText w:val="%1．"/>
      <w:lvlJc w:val="left"/>
      <w:pPr>
        <w:ind w:left="0" w:firstLine="400"/>
      </w:pPr>
      <w:rPr>
        <w:rFonts w:hint="default"/>
        <w:b w:val="0"/>
        <w:bCs w:val="0"/>
      </w:rPr>
    </w:lvl>
  </w:abstractNum>
  <w:abstractNum w:abstractNumId="27">
    <w:nsid w:val="DDE950E2"/>
    <w:multiLevelType w:val="singleLevel"/>
    <w:tmpl w:val="DDE950E2"/>
    <w:lvl w:ilvl="0" w:tentative="0">
      <w:start w:val="1"/>
      <w:numFmt w:val="decimal"/>
      <w:suff w:val="nothing"/>
      <w:lvlText w:val="%1．"/>
      <w:lvlJc w:val="left"/>
      <w:pPr>
        <w:ind w:left="0" w:firstLine="400"/>
      </w:pPr>
      <w:rPr>
        <w:rFonts w:hint="default"/>
      </w:rPr>
    </w:lvl>
  </w:abstractNum>
  <w:abstractNum w:abstractNumId="28">
    <w:nsid w:val="DE1A3EAA"/>
    <w:multiLevelType w:val="singleLevel"/>
    <w:tmpl w:val="DE1A3EAA"/>
    <w:lvl w:ilvl="0" w:tentative="0">
      <w:start w:val="1"/>
      <w:numFmt w:val="decimalEnclosedCircleChinese"/>
      <w:suff w:val="nothing"/>
      <w:lvlText w:val="%1　"/>
      <w:lvlJc w:val="left"/>
      <w:pPr>
        <w:ind w:left="0" w:firstLine="400"/>
      </w:pPr>
      <w:rPr>
        <w:rFonts w:hint="eastAsia"/>
      </w:rPr>
    </w:lvl>
  </w:abstractNum>
  <w:abstractNum w:abstractNumId="29">
    <w:nsid w:val="DEE4B8FF"/>
    <w:multiLevelType w:val="singleLevel"/>
    <w:tmpl w:val="DEE4B8FF"/>
    <w:lvl w:ilvl="0" w:tentative="0">
      <w:start w:val="1"/>
      <w:numFmt w:val="decimal"/>
      <w:lvlText w:val="(%1)"/>
      <w:lvlJc w:val="left"/>
      <w:pPr>
        <w:ind w:left="425" w:hanging="425"/>
      </w:pPr>
      <w:rPr>
        <w:rFonts w:hint="default"/>
      </w:rPr>
    </w:lvl>
  </w:abstractNum>
  <w:abstractNum w:abstractNumId="30">
    <w:nsid w:val="E37CB7C8"/>
    <w:multiLevelType w:val="singleLevel"/>
    <w:tmpl w:val="E37CB7C8"/>
    <w:lvl w:ilvl="0" w:tentative="0">
      <w:start w:val="1"/>
      <w:numFmt w:val="decimal"/>
      <w:suff w:val="nothing"/>
      <w:lvlText w:val="%1．"/>
      <w:lvlJc w:val="left"/>
      <w:pPr>
        <w:ind w:left="0" w:firstLine="400"/>
      </w:pPr>
      <w:rPr>
        <w:rFonts w:hint="default"/>
      </w:rPr>
    </w:lvl>
  </w:abstractNum>
  <w:abstractNum w:abstractNumId="31">
    <w:nsid w:val="E9B48BD9"/>
    <w:multiLevelType w:val="singleLevel"/>
    <w:tmpl w:val="E9B48BD9"/>
    <w:lvl w:ilvl="0" w:tentative="0">
      <w:start w:val="1"/>
      <w:numFmt w:val="decimal"/>
      <w:lvlText w:val="(%1)"/>
      <w:lvlJc w:val="left"/>
      <w:pPr>
        <w:ind w:left="425" w:hanging="425"/>
      </w:pPr>
      <w:rPr>
        <w:rFonts w:hint="default"/>
      </w:rPr>
    </w:lvl>
  </w:abstractNum>
  <w:abstractNum w:abstractNumId="32">
    <w:nsid w:val="E9F8451B"/>
    <w:multiLevelType w:val="singleLevel"/>
    <w:tmpl w:val="E9F8451B"/>
    <w:lvl w:ilvl="0" w:tentative="0">
      <w:start w:val="1"/>
      <w:numFmt w:val="chineseCounting"/>
      <w:suff w:val="nothing"/>
      <w:lvlText w:val="%1、"/>
      <w:lvlJc w:val="left"/>
      <w:pPr>
        <w:ind w:left="0" w:firstLine="420"/>
      </w:pPr>
      <w:rPr>
        <w:rFonts w:hint="eastAsia"/>
      </w:rPr>
    </w:lvl>
  </w:abstractNum>
  <w:abstractNum w:abstractNumId="33">
    <w:nsid w:val="ED27A420"/>
    <w:multiLevelType w:val="singleLevel"/>
    <w:tmpl w:val="ED27A420"/>
    <w:lvl w:ilvl="0" w:tentative="0">
      <w:start w:val="1"/>
      <w:numFmt w:val="decimal"/>
      <w:lvlText w:val="(%1)"/>
      <w:lvlJc w:val="left"/>
      <w:pPr>
        <w:ind w:left="425" w:hanging="425"/>
      </w:pPr>
      <w:rPr>
        <w:rFonts w:hint="default"/>
      </w:rPr>
    </w:lvl>
  </w:abstractNum>
  <w:abstractNum w:abstractNumId="34">
    <w:nsid w:val="EE18BACC"/>
    <w:multiLevelType w:val="singleLevel"/>
    <w:tmpl w:val="EE18BACC"/>
    <w:lvl w:ilvl="0" w:tentative="0">
      <w:start w:val="1"/>
      <w:numFmt w:val="decimal"/>
      <w:suff w:val="nothing"/>
      <w:lvlText w:val="%1．"/>
      <w:lvlJc w:val="left"/>
      <w:pPr>
        <w:ind w:left="0" w:firstLine="400"/>
      </w:pPr>
      <w:rPr>
        <w:rFonts w:hint="default"/>
      </w:rPr>
    </w:lvl>
  </w:abstractNum>
  <w:abstractNum w:abstractNumId="35">
    <w:nsid w:val="EE62DAF9"/>
    <w:multiLevelType w:val="singleLevel"/>
    <w:tmpl w:val="EE62DAF9"/>
    <w:lvl w:ilvl="0" w:tentative="0">
      <w:start w:val="1"/>
      <w:numFmt w:val="decimal"/>
      <w:suff w:val="nothing"/>
      <w:lvlText w:val="%1．"/>
      <w:lvlJc w:val="left"/>
      <w:pPr>
        <w:ind w:left="0" w:firstLine="400"/>
      </w:pPr>
      <w:rPr>
        <w:rFonts w:hint="default"/>
      </w:rPr>
    </w:lvl>
  </w:abstractNum>
  <w:abstractNum w:abstractNumId="36">
    <w:nsid w:val="F1C61033"/>
    <w:multiLevelType w:val="singleLevel"/>
    <w:tmpl w:val="F1C61033"/>
    <w:lvl w:ilvl="0" w:tentative="0">
      <w:start w:val="1"/>
      <w:numFmt w:val="decimal"/>
      <w:suff w:val="nothing"/>
      <w:lvlText w:val="%1．"/>
      <w:lvlJc w:val="left"/>
      <w:pPr>
        <w:ind w:left="0" w:firstLine="400"/>
      </w:pPr>
      <w:rPr>
        <w:rFonts w:hint="default"/>
      </w:rPr>
    </w:lvl>
  </w:abstractNum>
  <w:abstractNum w:abstractNumId="37">
    <w:nsid w:val="F3C0AB29"/>
    <w:multiLevelType w:val="singleLevel"/>
    <w:tmpl w:val="F3C0AB29"/>
    <w:lvl w:ilvl="0" w:tentative="0">
      <w:start w:val="1"/>
      <w:numFmt w:val="decimal"/>
      <w:suff w:val="nothing"/>
      <w:lvlText w:val="%1．"/>
      <w:lvlJc w:val="left"/>
      <w:pPr>
        <w:ind w:left="0" w:firstLine="400"/>
      </w:pPr>
      <w:rPr>
        <w:rFonts w:hint="default"/>
        <w:b w:val="0"/>
        <w:bCs w:val="0"/>
      </w:rPr>
    </w:lvl>
  </w:abstractNum>
  <w:abstractNum w:abstractNumId="38">
    <w:nsid w:val="F3DCFEAE"/>
    <w:multiLevelType w:val="singleLevel"/>
    <w:tmpl w:val="F3DCFEAE"/>
    <w:lvl w:ilvl="0" w:tentative="0">
      <w:start w:val="1"/>
      <w:numFmt w:val="decimal"/>
      <w:lvlText w:val="(%1)"/>
      <w:lvlJc w:val="left"/>
      <w:pPr>
        <w:ind w:left="425" w:hanging="425"/>
      </w:pPr>
      <w:rPr>
        <w:rFonts w:hint="default"/>
      </w:rPr>
    </w:lvl>
  </w:abstractNum>
  <w:abstractNum w:abstractNumId="39">
    <w:nsid w:val="F887D544"/>
    <w:multiLevelType w:val="singleLevel"/>
    <w:tmpl w:val="F887D544"/>
    <w:lvl w:ilvl="0" w:tentative="0">
      <w:start w:val="1"/>
      <w:numFmt w:val="chineseCounting"/>
      <w:suff w:val="nothing"/>
      <w:lvlText w:val="（%1）"/>
      <w:lvlJc w:val="left"/>
      <w:pPr>
        <w:ind w:left="0" w:firstLine="420"/>
      </w:pPr>
      <w:rPr>
        <w:rFonts w:hint="eastAsia"/>
      </w:rPr>
    </w:lvl>
  </w:abstractNum>
  <w:abstractNum w:abstractNumId="40">
    <w:nsid w:val="F889951E"/>
    <w:multiLevelType w:val="singleLevel"/>
    <w:tmpl w:val="F889951E"/>
    <w:lvl w:ilvl="0" w:tentative="0">
      <w:start w:val="1"/>
      <w:numFmt w:val="decimal"/>
      <w:lvlText w:val="(%1)"/>
      <w:lvlJc w:val="left"/>
      <w:pPr>
        <w:ind w:left="425" w:hanging="425"/>
      </w:pPr>
      <w:rPr>
        <w:rFonts w:hint="default"/>
      </w:rPr>
    </w:lvl>
  </w:abstractNum>
  <w:abstractNum w:abstractNumId="41">
    <w:nsid w:val="F96823E0"/>
    <w:multiLevelType w:val="singleLevel"/>
    <w:tmpl w:val="F96823E0"/>
    <w:lvl w:ilvl="0" w:tentative="0">
      <w:start w:val="1"/>
      <w:numFmt w:val="decimal"/>
      <w:lvlText w:val="(%1)"/>
      <w:lvlJc w:val="left"/>
      <w:pPr>
        <w:ind w:left="425" w:hanging="425"/>
      </w:pPr>
      <w:rPr>
        <w:rFonts w:hint="default"/>
      </w:rPr>
    </w:lvl>
  </w:abstractNum>
  <w:abstractNum w:abstractNumId="42">
    <w:nsid w:val="FAD01F79"/>
    <w:multiLevelType w:val="singleLevel"/>
    <w:tmpl w:val="FAD01F79"/>
    <w:lvl w:ilvl="0" w:tentative="0">
      <w:start w:val="1"/>
      <w:numFmt w:val="decimal"/>
      <w:lvlText w:val="(%1)"/>
      <w:lvlJc w:val="left"/>
      <w:pPr>
        <w:ind w:left="425" w:hanging="425"/>
      </w:pPr>
      <w:rPr>
        <w:rFonts w:hint="default"/>
      </w:rPr>
    </w:lvl>
  </w:abstractNum>
  <w:abstractNum w:abstractNumId="43">
    <w:nsid w:val="FC9FFBB0"/>
    <w:multiLevelType w:val="singleLevel"/>
    <w:tmpl w:val="FC9FFBB0"/>
    <w:lvl w:ilvl="0" w:tentative="0">
      <w:start w:val="1"/>
      <w:numFmt w:val="decimal"/>
      <w:suff w:val="nothing"/>
      <w:lvlText w:val="%1．"/>
      <w:lvlJc w:val="left"/>
      <w:pPr>
        <w:ind w:left="0" w:firstLine="400"/>
      </w:pPr>
      <w:rPr>
        <w:rFonts w:hint="default"/>
      </w:rPr>
    </w:lvl>
  </w:abstractNum>
  <w:abstractNum w:abstractNumId="44">
    <w:nsid w:val="04AD1E2F"/>
    <w:multiLevelType w:val="singleLevel"/>
    <w:tmpl w:val="04AD1E2F"/>
    <w:lvl w:ilvl="0" w:tentative="0">
      <w:start w:val="1"/>
      <w:numFmt w:val="decimal"/>
      <w:suff w:val="nothing"/>
      <w:lvlText w:val="%1．"/>
      <w:lvlJc w:val="left"/>
      <w:pPr>
        <w:ind w:left="0" w:firstLine="400"/>
      </w:pPr>
      <w:rPr>
        <w:rFonts w:hint="default"/>
      </w:rPr>
    </w:lvl>
  </w:abstractNum>
  <w:abstractNum w:abstractNumId="45">
    <w:nsid w:val="0AF4E259"/>
    <w:multiLevelType w:val="singleLevel"/>
    <w:tmpl w:val="0AF4E259"/>
    <w:lvl w:ilvl="0" w:tentative="0">
      <w:start w:val="1"/>
      <w:numFmt w:val="decimal"/>
      <w:suff w:val="nothing"/>
      <w:lvlText w:val="%1．"/>
      <w:lvlJc w:val="left"/>
      <w:pPr>
        <w:ind w:left="0" w:firstLine="400"/>
      </w:pPr>
      <w:rPr>
        <w:rFonts w:hint="default" w:ascii="宋体" w:hAnsi="宋体" w:eastAsia="宋体" w:cstheme="minorEastAsia"/>
        <w:b w:val="0"/>
        <w:bCs w:val="0"/>
        <w:sz w:val="21"/>
        <w:szCs w:val="21"/>
      </w:rPr>
    </w:lvl>
  </w:abstractNum>
  <w:abstractNum w:abstractNumId="46">
    <w:nsid w:val="0C529029"/>
    <w:multiLevelType w:val="singleLevel"/>
    <w:tmpl w:val="0C529029"/>
    <w:lvl w:ilvl="0" w:tentative="0">
      <w:start w:val="1"/>
      <w:numFmt w:val="decimal"/>
      <w:suff w:val="nothing"/>
      <w:lvlText w:val="%1．"/>
      <w:lvlJc w:val="left"/>
      <w:pPr>
        <w:ind w:left="0" w:firstLine="400"/>
      </w:pPr>
      <w:rPr>
        <w:rFonts w:hint="default"/>
      </w:rPr>
    </w:lvl>
  </w:abstractNum>
  <w:abstractNum w:abstractNumId="47">
    <w:nsid w:val="0D0635D1"/>
    <w:multiLevelType w:val="singleLevel"/>
    <w:tmpl w:val="0D0635D1"/>
    <w:lvl w:ilvl="0" w:tentative="0">
      <w:start w:val="1"/>
      <w:numFmt w:val="decimal"/>
      <w:suff w:val="nothing"/>
      <w:lvlText w:val="%1．"/>
      <w:lvlJc w:val="left"/>
      <w:pPr>
        <w:ind w:left="0" w:firstLine="400"/>
      </w:pPr>
      <w:rPr>
        <w:rFonts w:hint="default"/>
      </w:rPr>
    </w:lvl>
  </w:abstractNum>
  <w:abstractNum w:abstractNumId="48">
    <w:nsid w:val="10C16C1A"/>
    <w:multiLevelType w:val="singleLevel"/>
    <w:tmpl w:val="10C16C1A"/>
    <w:lvl w:ilvl="0" w:tentative="0">
      <w:start w:val="1"/>
      <w:numFmt w:val="decimal"/>
      <w:lvlText w:val="(%1)"/>
      <w:lvlJc w:val="left"/>
      <w:pPr>
        <w:ind w:left="425" w:hanging="425"/>
      </w:pPr>
      <w:rPr>
        <w:rFonts w:hint="default"/>
      </w:rPr>
    </w:lvl>
  </w:abstractNum>
  <w:abstractNum w:abstractNumId="49">
    <w:nsid w:val="221787C6"/>
    <w:multiLevelType w:val="singleLevel"/>
    <w:tmpl w:val="221787C6"/>
    <w:lvl w:ilvl="0" w:tentative="0">
      <w:start w:val="1"/>
      <w:numFmt w:val="decimal"/>
      <w:lvlText w:val="(%1)"/>
      <w:lvlJc w:val="left"/>
      <w:pPr>
        <w:ind w:left="425" w:hanging="425"/>
      </w:pPr>
      <w:rPr>
        <w:rFonts w:hint="default"/>
      </w:rPr>
    </w:lvl>
  </w:abstractNum>
  <w:abstractNum w:abstractNumId="50">
    <w:nsid w:val="265ED959"/>
    <w:multiLevelType w:val="singleLevel"/>
    <w:tmpl w:val="265ED959"/>
    <w:lvl w:ilvl="0" w:tentative="0">
      <w:start w:val="1"/>
      <w:numFmt w:val="decimal"/>
      <w:lvlText w:val="(%1)"/>
      <w:lvlJc w:val="left"/>
      <w:pPr>
        <w:ind w:left="425" w:hanging="425"/>
      </w:pPr>
      <w:rPr>
        <w:rFonts w:hint="default"/>
      </w:rPr>
    </w:lvl>
  </w:abstractNum>
  <w:abstractNum w:abstractNumId="51">
    <w:nsid w:val="2A1165D5"/>
    <w:multiLevelType w:val="singleLevel"/>
    <w:tmpl w:val="2A1165D5"/>
    <w:lvl w:ilvl="0" w:tentative="0">
      <w:start w:val="1"/>
      <w:numFmt w:val="decimal"/>
      <w:suff w:val="nothing"/>
      <w:lvlText w:val="%1．"/>
      <w:lvlJc w:val="left"/>
      <w:pPr>
        <w:ind w:left="0" w:firstLine="400"/>
      </w:pPr>
      <w:rPr>
        <w:rFonts w:hint="default"/>
      </w:rPr>
    </w:lvl>
  </w:abstractNum>
  <w:abstractNum w:abstractNumId="52">
    <w:nsid w:val="2C0F4426"/>
    <w:multiLevelType w:val="singleLevel"/>
    <w:tmpl w:val="2C0F4426"/>
    <w:lvl w:ilvl="0" w:tentative="0">
      <w:start w:val="1"/>
      <w:numFmt w:val="decimal"/>
      <w:suff w:val="nothing"/>
      <w:lvlText w:val="%1．"/>
      <w:lvlJc w:val="left"/>
      <w:pPr>
        <w:ind w:left="0" w:firstLine="400"/>
      </w:pPr>
      <w:rPr>
        <w:rFonts w:hint="default"/>
      </w:rPr>
    </w:lvl>
  </w:abstractNum>
  <w:abstractNum w:abstractNumId="53">
    <w:nsid w:val="2C30992D"/>
    <w:multiLevelType w:val="singleLevel"/>
    <w:tmpl w:val="2C30992D"/>
    <w:lvl w:ilvl="0" w:tentative="0">
      <w:start w:val="1"/>
      <w:numFmt w:val="decimal"/>
      <w:suff w:val="nothing"/>
      <w:lvlText w:val="%1．"/>
      <w:lvlJc w:val="left"/>
      <w:pPr>
        <w:ind w:left="0" w:firstLine="400"/>
      </w:pPr>
      <w:rPr>
        <w:rFonts w:hint="default"/>
      </w:rPr>
    </w:lvl>
  </w:abstractNum>
  <w:abstractNum w:abstractNumId="54">
    <w:nsid w:val="2C521B2C"/>
    <w:multiLevelType w:val="singleLevel"/>
    <w:tmpl w:val="2C521B2C"/>
    <w:lvl w:ilvl="0" w:tentative="0">
      <w:start w:val="1"/>
      <w:numFmt w:val="decimal"/>
      <w:suff w:val="nothing"/>
      <w:lvlText w:val="%1．"/>
      <w:lvlJc w:val="left"/>
      <w:pPr>
        <w:ind w:left="0" w:firstLine="400"/>
      </w:pPr>
      <w:rPr>
        <w:rFonts w:hint="default"/>
      </w:rPr>
    </w:lvl>
  </w:abstractNum>
  <w:abstractNum w:abstractNumId="55">
    <w:nsid w:val="3144454B"/>
    <w:multiLevelType w:val="singleLevel"/>
    <w:tmpl w:val="3144454B"/>
    <w:lvl w:ilvl="0" w:tentative="0">
      <w:start w:val="1"/>
      <w:numFmt w:val="decimal"/>
      <w:lvlText w:val="(%1)"/>
      <w:lvlJc w:val="left"/>
      <w:pPr>
        <w:ind w:left="425" w:hanging="425"/>
      </w:pPr>
      <w:rPr>
        <w:rFonts w:hint="default"/>
      </w:rPr>
    </w:lvl>
  </w:abstractNum>
  <w:abstractNum w:abstractNumId="56">
    <w:nsid w:val="36B92BCE"/>
    <w:multiLevelType w:val="singleLevel"/>
    <w:tmpl w:val="36B92BCE"/>
    <w:lvl w:ilvl="0" w:tentative="0">
      <w:start w:val="1"/>
      <w:numFmt w:val="decimal"/>
      <w:lvlText w:val="(%1)"/>
      <w:lvlJc w:val="left"/>
      <w:pPr>
        <w:ind w:left="425" w:hanging="425"/>
      </w:pPr>
      <w:rPr>
        <w:rFonts w:hint="default"/>
      </w:rPr>
    </w:lvl>
  </w:abstractNum>
  <w:abstractNum w:abstractNumId="57">
    <w:nsid w:val="36E4BF7E"/>
    <w:multiLevelType w:val="singleLevel"/>
    <w:tmpl w:val="36E4BF7E"/>
    <w:lvl w:ilvl="0" w:tentative="0">
      <w:start w:val="1"/>
      <w:numFmt w:val="decimal"/>
      <w:suff w:val="nothing"/>
      <w:lvlText w:val="%1．"/>
      <w:lvlJc w:val="left"/>
      <w:pPr>
        <w:ind w:left="0" w:firstLine="400"/>
      </w:pPr>
      <w:rPr>
        <w:rFonts w:hint="default"/>
      </w:rPr>
    </w:lvl>
  </w:abstractNum>
  <w:abstractNum w:abstractNumId="58">
    <w:nsid w:val="38E464B0"/>
    <w:multiLevelType w:val="multilevel"/>
    <w:tmpl w:val="38E464B0"/>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59">
    <w:nsid w:val="3972620A"/>
    <w:multiLevelType w:val="singleLevel"/>
    <w:tmpl w:val="3972620A"/>
    <w:lvl w:ilvl="0" w:tentative="0">
      <w:start w:val="1"/>
      <w:numFmt w:val="chineseCounting"/>
      <w:suff w:val="nothing"/>
      <w:lvlText w:val="（%1）"/>
      <w:lvlJc w:val="left"/>
      <w:pPr>
        <w:ind w:left="0" w:firstLine="420"/>
      </w:pPr>
      <w:rPr>
        <w:rFonts w:hint="eastAsia"/>
      </w:rPr>
    </w:lvl>
  </w:abstractNum>
  <w:abstractNum w:abstractNumId="60">
    <w:nsid w:val="3BF1D64C"/>
    <w:multiLevelType w:val="singleLevel"/>
    <w:tmpl w:val="3BF1D64C"/>
    <w:lvl w:ilvl="0" w:tentative="0">
      <w:start w:val="1"/>
      <w:numFmt w:val="decimal"/>
      <w:suff w:val="nothing"/>
      <w:lvlText w:val="%1．"/>
      <w:lvlJc w:val="left"/>
      <w:pPr>
        <w:ind w:left="0" w:firstLine="400"/>
      </w:pPr>
      <w:rPr>
        <w:rFonts w:hint="default"/>
      </w:rPr>
    </w:lvl>
  </w:abstractNum>
  <w:abstractNum w:abstractNumId="61">
    <w:nsid w:val="4A5FC96D"/>
    <w:multiLevelType w:val="singleLevel"/>
    <w:tmpl w:val="4A5FC96D"/>
    <w:lvl w:ilvl="0" w:tentative="0">
      <w:start w:val="1"/>
      <w:numFmt w:val="decimal"/>
      <w:lvlText w:val="(%1)"/>
      <w:lvlJc w:val="left"/>
      <w:pPr>
        <w:ind w:left="425" w:hanging="425"/>
      </w:pPr>
      <w:rPr>
        <w:rFonts w:hint="default"/>
      </w:rPr>
    </w:lvl>
  </w:abstractNum>
  <w:abstractNum w:abstractNumId="62">
    <w:nsid w:val="4A83E521"/>
    <w:multiLevelType w:val="singleLevel"/>
    <w:tmpl w:val="4A83E521"/>
    <w:lvl w:ilvl="0" w:tentative="0">
      <w:start w:val="1"/>
      <w:numFmt w:val="decimal"/>
      <w:suff w:val="nothing"/>
      <w:lvlText w:val="%1．"/>
      <w:lvlJc w:val="left"/>
      <w:pPr>
        <w:ind w:left="0" w:firstLine="400"/>
      </w:pPr>
      <w:rPr>
        <w:rFonts w:hint="default"/>
      </w:rPr>
    </w:lvl>
  </w:abstractNum>
  <w:abstractNum w:abstractNumId="63">
    <w:nsid w:val="4E7F09B0"/>
    <w:multiLevelType w:val="multilevel"/>
    <w:tmpl w:val="4E7F09B0"/>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tabs>
          <w:tab w:val="left" w:pos="0"/>
        </w:tabs>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64">
    <w:nsid w:val="53D1E8EE"/>
    <w:multiLevelType w:val="singleLevel"/>
    <w:tmpl w:val="53D1E8EE"/>
    <w:lvl w:ilvl="0" w:tentative="0">
      <w:start w:val="1"/>
      <w:numFmt w:val="decimal"/>
      <w:suff w:val="nothing"/>
      <w:lvlText w:val="%1．"/>
      <w:lvlJc w:val="left"/>
      <w:pPr>
        <w:ind w:left="0" w:firstLine="400"/>
      </w:pPr>
      <w:rPr>
        <w:rFonts w:hint="default"/>
        <w:b/>
        <w:bCs/>
      </w:rPr>
    </w:lvl>
  </w:abstractNum>
  <w:abstractNum w:abstractNumId="65">
    <w:nsid w:val="59153E18"/>
    <w:multiLevelType w:val="singleLevel"/>
    <w:tmpl w:val="59153E18"/>
    <w:lvl w:ilvl="0" w:tentative="0">
      <w:start w:val="1"/>
      <w:numFmt w:val="decimal"/>
      <w:suff w:val="nothing"/>
      <w:lvlText w:val="%1．"/>
      <w:lvlJc w:val="left"/>
      <w:pPr>
        <w:ind w:left="0" w:firstLine="400"/>
      </w:pPr>
      <w:rPr>
        <w:rFonts w:hint="default"/>
      </w:rPr>
    </w:lvl>
  </w:abstractNum>
  <w:abstractNum w:abstractNumId="66">
    <w:nsid w:val="59FEBEA4"/>
    <w:multiLevelType w:val="singleLevel"/>
    <w:tmpl w:val="59FEBEA4"/>
    <w:lvl w:ilvl="0" w:tentative="0">
      <w:start w:val="1"/>
      <w:numFmt w:val="decimal"/>
      <w:suff w:val="nothing"/>
      <w:lvlText w:val="%1．"/>
      <w:lvlJc w:val="left"/>
      <w:pPr>
        <w:ind w:left="0" w:firstLine="400"/>
      </w:pPr>
      <w:rPr>
        <w:rFonts w:hint="default"/>
      </w:rPr>
    </w:lvl>
  </w:abstractNum>
  <w:abstractNum w:abstractNumId="67">
    <w:nsid w:val="6A29AE0B"/>
    <w:multiLevelType w:val="singleLevel"/>
    <w:tmpl w:val="6A29AE0B"/>
    <w:lvl w:ilvl="0" w:tentative="0">
      <w:start w:val="1"/>
      <w:numFmt w:val="decimal"/>
      <w:suff w:val="nothing"/>
      <w:lvlText w:val="%1．"/>
      <w:lvlJc w:val="left"/>
      <w:pPr>
        <w:ind w:left="0" w:firstLine="400"/>
      </w:pPr>
      <w:rPr>
        <w:rFonts w:hint="default"/>
      </w:rPr>
    </w:lvl>
  </w:abstractNum>
  <w:abstractNum w:abstractNumId="68">
    <w:nsid w:val="6A79D979"/>
    <w:multiLevelType w:val="singleLevel"/>
    <w:tmpl w:val="6A79D979"/>
    <w:lvl w:ilvl="0" w:tentative="0">
      <w:start w:val="1"/>
      <w:numFmt w:val="chineseCounting"/>
      <w:suff w:val="nothing"/>
      <w:lvlText w:val="（%1）"/>
      <w:lvlJc w:val="left"/>
      <w:pPr>
        <w:ind w:left="0" w:firstLine="420"/>
      </w:pPr>
      <w:rPr>
        <w:rFonts w:hint="eastAsia"/>
      </w:rPr>
    </w:lvl>
  </w:abstractNum>
  <w:abstractNum w:abstractNumId="69">
    <w:nsid w:val="6B659AB1"/>
    <w:multiLevelType w:val="singleLevel"/>
    <w:tmpl w:val="6B659AB1"/>
    <w:lvl w:ilvl="0" w:tentative="0">
      <w:start w:val="1"/>
      <w:numFmt w:val="decimal"/>
      <w:lvlText w:val="(%1)"/>
      <w:lvlJc w:val="left"/>
      <w:pPr>
        <w:ind w:left="425" w:hanging="425"/>
      </w:pPr>
      <w:rPr>
        <w:rFonts w:hint="default"/>
      </w:rPr>
    </w:lvl>
  </w:abstractNum>
  <w:abstractNum w:abstractNumId="70">
    <w:nsid w:val="6BA0D988"/>
    <w:multiLevelType w:val="singleLevel"/>
    <w:tmpl w:val="6BA0D988"/>
    <w:lvl w:ilvl="0" w:tentative="0">
      <w:start w:val="1"/>
      <w:numFmt w:val="decimal"/>
      <w:suff w:val="nothing"/>
      <w:lvlText w:val="%1．"/>
      <w:lvlJc w:val="left"/>
      <w:pPr>
        <w:ind w:left="0" w:firstLine="400"/>
      </w:pPr>
      <w:rPr>
        <w:rFonts w:hint="default" w:asciiTheme="minorEastAsia" w:hAnsiTheme="minorEastAsia" w:eastAsiaTheme="minorEastAsia" w:cstheme="minorEastAsia"/>
        <w:b/>
        <w:bCs/>
      </w:rPr>
    </w:lvl>
  </w:abstractNum>
  <w:abstractNum w:abstractNumId="71">
    <w:nsid w:val="6C5A5334"/>
    <w:multiLevelType w:val="singleLevel"/>
    <w:tmpl w:val="6C5A5334"/>
    <w:lvl w:ilvl="0" w:tentative="0">
      <w:start w:val="1"/>
      <w:numFmt w:val="decimal"/>
      <w:lvlText w:val="(%1)"/>
      <w:lvlJc w:val="left"/>
      <w:pPr>
        <w:ind w:left="425" w:hanging="425"/>
      </w:pPr>
      <w:rPr>
        <w:rFonts w:hint="default"/>
      </w:rPr>
    </w:lvl>
  </w:abstractNum>
  <w:abstractNum w:abstractNumId="72">
    <w:nsid w:val="7011BCE1"/>
    <w:multiLevelType w:val="singleLevel"/>
    <w:tmpl w:val="7011BCE1"/>
    <w:lvl w:ilvl="0" w:tentative="0">
      <w:start w:val="1"/>
      <w:numFmt w:val="decimal"/>
      <w:suff w:val="nothing"/>
      <w:lvlText w:val="%1．"/>
      <w:lvlJc w:val="left"/>
      <w:pPr>
        <w:ind w:left="0" w:firstLine="400"/>
      </w:pPr>
      <w:rPr>
        <w:rFonts w:hint="default"/>
      </w:rPr>
    </w:lvl>
  </w:abstractNum>
  <w:abstractNum w:abstractNumId="73">
    <w:nsid w:val="73964171"/>
    <w:multiLevelType w:val="singleLevel"/>
    <w:tmpl w:val="73964171"/>
    <w:lvl w:ilvl="0" w:tentative="0">
      <w:start w:val="1"/>
      <w:numFmt w:val="chineseCounting"/>
      <w:suff w:val="nothing"/>
      <w:lvlText w:val="%1、"/>
      <w:lvlJc w:val="left"/>
      <w:pPr>
        <w:ind w:left="0" w:firstLine="420"/>
      </w:pPr>
      <w:rPr>
        <w:rFonts w:hint="eastAsia"/>
      </w:rPr>
    </w:lvl>
  </w:abstractNum>
  <w:abstractNum w:abstractNumId="74">
    <w:nsid w:val="75FF41AC"/>
    <w:multiLevelType w:val="singleLevel"/>
    <w:tmpl w:val="75FF41AC"/>
    <w:lvl w:ilvl="0" w:tentative="0">
      <w:start w:val="1"/>
      <w:numFmt w:val="chineseCounting"/>
      <w:suff w:val="nothing"/>
      <w:lvlText w:val="（%1）"/>
      <w:lvlJc w:val="left"/>
      <w:pPr>
        <w:ind w:left="0" w:firstLine="420"/>
      </w:pPr>
      <w:rPr>
        <w:rFonts w:hint="eastAsia"/>
      </w:rPr>
    </w:lvl>
  </w:abstractNum>
  <w:abstractNum w:abstractNumId="75">
    <w:nsid w:val="76B0BE5E"/>
    <w:multiLevelType w:val="singleLevel"/>
    <w:tmpl w:val="76B0BE5E"/>
    <w:lvl w:ilvl="0" w:tentative="0">
      <w:start w:val="1"/>
      <w:numFmt w:val="decimal"/>
      <w:lvlText w:val="(%1)"/>
      <w:lvlJc w:val="left"/>
      <w:pPr>
        <w:ind w:left="425" w:hanging="425"/>
      </w:pPr>
      <w:rPr>
        <w:rFonts w:hint="default"/>
      </w:rPr>
    </w:lvl>
  </w:abstractNum>
  <w:abstractNum w:abstractNumId="76">
    <w:nsid w:val="787F95FD"/>
    <w:multiLevelType w:val="singleLevel"/>
    <w:tmpl w:val="787F95FD"/>
    <w:lvl w:ilvl="0" w:tentative="0">
      <w:start w:val="1"/>
      <w:numFmt w:val="decimal"/>
      <w:lvlText w:val="(%1)"/>
      <w:lvlJc w:val="left"/>
      <w:pPr>
        <w:ind w:left="425" w:hanging="425"/>
      </w:pPr>
      <w:rPr>
        <w:rFonts w:hint="default"/>
      </w:rPr>
    </w:lvl>
  </w:abstractNum>
  <w:abstractNum w:abstractNumId="77">
    <w:nsid w:val="7937A453"/>
    <w:multiLevelType w:val="singleLevel"/>
    <w:tmpl w:val="7937A453"/>
    <w:lvl w:ilvl="0" w:tentative="0">
      <w:start w:val="1"/>
      <w:numFmt w:val="chineseCounting"/>
      <w:suff w:val="nothing"/>
      <w:lvlText w:val="%1、"/>
      <w:lvlJc w:val="left"/>
      <w:pPr>
        <w:ind w:left="0" w:firstLine="420"/>
      </w:pPr>
      <w:rPr>
        <w:rFonts w:hint="eastAsia"/>
      </w:rPr>
    </w:lvl>
  </w:abstractNum>
  <w:abstractNum w:abstractNumId="78">
    <w:nsid w:val="79EA12AE"/>
    <w:multiLevelType w:val="singleLevel"/>
    <w:tmpl w:val="79EA12AE"/>
    <w:lvl w:ilvl="0" w:tentative="0">
      <w:start w:val="1"/>
      <w:numFmt w:val="chineseCounting"/>
      <w:suff w:val="nothing"/>
      <w:lvlText w:val="%1、"/>
      <w:lvlJc w:val="left"/>
      <w:pPr>
        <w:ind w:left="0" w:firstLine="420"/>
      </w:pPr>
      <w:rPr>
        <w:rFonts w:hint="eastAsia"/>
      </w:rPr>
    </w:lvl>
  </w:abstractNum>
  <w:abstractNum w:abstractNumId="79">
    <w:nsid w:val="7A70F4D5"/>
    <w:multiLevelType w:val="singleLevel"/>
    <w:tmpl w:val="7A70F4D5"/>
    <w:lvl w:ilvl="0" w:tentative="0">
      <w:start w:val="1"/>
      <w:numFmt w:val="chineseCounting"/>
      <w:suff w:val="nothing"/>
      <w:lvlText w:val="%1、"/>
      <w:lvlJc w:val="left"/>
      <w:pPr>
        <w:ind w:left="0" w:firstLine="420"/>
      </w:pPr>
      <w:rPr>
        <w:rFonts w:hint="eastAsia"/>
      </w:rPr>
    </w:lvl>
  </w:abstractNum>
  <w:abstractNum w:abstractNumId="80">
    <w:nsid w:val="7C51AA85"/>
    <w:multiLevelType w:val="singleLevel"/>
    <w:tmpl w:val="7C51AA85"/>
    <w:lvl w:ilvl="0" w:tentative="0">
      <w:start w:val="1"/>
      <w:numFmt w:val="decimal"/>
      <w:lvlText w:val="(%1)"/>
      <w:lvlJc w:val="left"/>
      <w:pPr>
        <w:ind w:left="425" w:hanging="425"/>
      </w:pPr>
      <w:rPr>
        <w:rFonts w:hint="default"/>
      </w:rPr>
    </w:lvl>
  </w:abstractNum>
  <w:abstractNum w:abstractNumId="81">
    <w:nsid w:val="7D78F45C"/>
    <w:multiLevelType w:val="singleLevel"/>
    <w:tmpl w:val="7D78F45C"/>
    <w:lvl w:ilvl="0" w:tentative="0">
      <w:start w:val="1"/>
      <w:numFmt w:val="chineseCounting"/>
      <w:suff w:val="nothing"/>
      <w:lvlText w:val="%1、"/>
      <w:lvlJc w:val="left"/>
      <w:pPr>
        <w:ind w:left="0" w:firstLine="420"/>
      </w:pPr>
      <w:rPr>
        <w:rFonts w:hint="eastAsia"/>
      </w:rPr>
    </w:lvl>
  </w:abstractNum>
  <w:num w:numId="1">
    <w:abstractNumId w:val="58"/>
  </w:num>
  <w:num w:numId="2">
    <w:abstractNumId w:val="77"/>
  </w:num>
  <w:num w:numId="3">
    <w:abstractNumId w:val="44"/>
  </w:num>
  <w:num w:numId="4">
    <w:abstractNumId w:val="49"/>
  </w:num>
  <w:num w:numId="5">
    <w:abstractNumId w:val="57"/>
  </w:num>
  <w:num w:numId="6">
    <w:abstractNumId w:val="17"/>
  </w:num>
  <w:num w:numId="7">
    <w:abstractNumId w:val="65"/>
  </w:num>
  <w:num w:numId="8">
    <w:abstractNumId w:val="45"/>
  </w:num>
  <w:num w:numId="9">
    <w:abstractNumId w:val="19"/>
  </w:num>
  <w:num w:numId="10">
    <w:abstractNumId w:val="70"/>
  </w:num>
  <w:num w:numId="11">
    <w:abstractNumId w:val="11"/>
  </w:num>
  <w:num w:numId="12">
    <w:abstractNumId w:val="37"/>
  </w:num>
  <w:num w:numId="13">
    <w:abstractNumId w:val="60"/>
  </w:num>
  <w:num w:numId="14">
    <w:abstractNumId w:val="71"/>
  </w:num>
  <w:num w:numId="15">
    <w:abstractNumId w:val="55"/>
  </w:num>
  <w:num w:numId="16">
    <w:abstractNumId w:val="28"/>
  </w:num>
  <w:num w:numId="17">
    <w:abstractNumId w:val="23"/>
  </w:num>
  <w:num w:numId="18">
    <w:abstractNumId w:val="66"/>
  </w:num>
  <w:num w:numId="19">
    <w:abstractNumId w:val="72"/>
  </w:num>
  <w:num w:numId="20">
    <w:abstractNumId w:val="32"/>
  </w:num>
  <w:num w:numId="21">
    <w:abstractNumId w:val="64"/>
  </w:num>
  <w:num w:numId="22">
    <w:abstractNumId w:val="4"/>
  </w:num>
  <w:num w:numId="23">
    <w:abstractNumId w:val="76"/>
  </w:num>
  <w:num w:numId="24">
    <w:abstractNumId w:val="33"/>
  </w:num>
  <w:num w:numId="25">
    <w:abstractNumId w:val="29"/>
  </w:num>
  <w:num w:numId="26">
    <w:abstractNumId w:val="61"/>
  </w:num>
  <w:num w:numId="27">
    <w:abstractNumId w:val="41"/>
  </w:num>
  <w:num w:numId="28">
    <w:abstractNumId w:val="68"/>
  </w:num>
  <w:num w:numId="29">
    <w:abstractNumId w:val="12"/>
  </w:num>
  <w:num w:numId="30">
    <w:abstractNumId w:val="0"/>
  </w:num>
  <w:num w:numId="31">
    <w:abstractNumId w:val="75"/>
  </w:num>
  <w:num w:numId="32">
    <w:abstractNumId w:val="22"/>
  </w:num>
  <w:num w:numId="33">
    <w:abstractNumId w:val="15"/>
  </w:num>
  <w:num w:numId="34">
    <w:abstractNumId w:val="20"/>
  </w:num>
  <w:num w:numId="35">
    <w:abstractNumId w:val="42"/>
  </w:num>
  <w:num w:numId="36">
    <w:abstractNumId w:val="80"/>
  </w:num>
  <w:num w:numId="37">
    <w:abstractNumId w:val="50"/>
  </w:num>
  <w:num w:numId="38">
    <w:abstractNumId w:val="48"/>
  </w:num>
  <w:num w:numId="39">
    <w:abstractNumId w:val="13"/>
  </w:num>
  <w:num w:numId="40">
    <w:abstractNumId w:val="21"/>
  </w:num>
  <w:num w:numId="41">
    <w:abstractNumId w:val="31"/>
  </w:num>
  <w:num w:numId="42">
    <w:abstractNumId w:val="56"/>
  </w:num>
  <w:num w:numId="43">
    <w:abstractNumId w:val="38"/>
  </w:num>
  <w:num w:numId="44">
    <w:abstractNumId w:val="1"/>
  </w:num>
  <w:num w:numId="45">
    <w:abstractNumId w:val="79"/>
  </w:num>
  <w:num w:numId="46">
    <w:abstractNumId w:val="39"/>
  </w:num>
  <w:num w:numId="47">
    <w:abstractNumId w:val="59"/>
  </w:num>
  <w:num w:numId="48">
    <w:abstractNumId w:val="78"/>
  </w:num>
  <w:num w:numId="49">
    <w:abstractNumId w:val="74"/>
  </w:num>
  <w:num w:numId="50">
    <w:abstractNumId w:val="8"/>
  </w:num>
  <w:num w:numId="51">
    <w:abstractNumId w:val="18"/>
  </w:num>
  <w:num w:numId="52">
    <w:abstractNumId w:val="30"/>
  </w:num>
  <w:num w:numId="53">
    <w:abstractNumId w:val="24"/>
  </w:num>
  <w:num w:numId="54">
    <w:abstractNumId w:val="69"/>
  </w:num>
  <w:num w:numId="55">
    <w:abstractNumId w:val="3"/>
  </w:num>
  <w:num w:numId="56">
    <w:abstractNumId w:val="14"/>
  </w:num>
  <w:num w:numId="57">
    <w:abstractNumId w:val="54"/>
  </w:num>
  <w:num w:numId="58">
    <w:abstractNumId w:val="81"/>
  </w:num>
  <w:num w:numId="59">
    <w:abstractNumId w:val="16"/>
  </w:num>
  <w:num w:numId="60">
    <w:abstractNumId w:val="34"/>
  </w:num>
  <w:num w:numId="61">
    <w:abstractNumId w:val="46"/>
  </w:num>
  <w:num w:numId="62">
    <w:abstractNumId w:val="10"/>
  </w:num>
  <w:num w:numId="63">
    <w:abstractNumId w:val="63"/>
  </w:num>
  <w:num w:numId="64">
    <w:abstractNumId w:val="43"/>
  </w:num>
  <w:num w:numId="65">
    <w:abstractNumId w:val="52"/>
  </w:num>
  <w:num w:numId="66">
    <w:abstractNumId w:val="27"/>
  </w:num>
  <w:num w:numId="67">
    <w:abstractNumId w:val="9"/>
  </w:num>
  <w:num w:numId="68">
    <w:abstractNumId w:val="51"/>
  </w:num>
  <w:num w:numId="69">
    <w:abstractNumId w:val="53"/>
  </w:num>
  <w:num w:numId="70">
    <w:abstractNumId w:val="5"/>
  </w:num>
  <w:num w:numId="71">
    <w:abstractNumId w:val="36"/>
  </w:num>
  <w:num w:numId="72">
    <w:abstractNumId w:val="40"/>
  </w:num>
  <w:num w:numId="73">
    <w:abstractNumId w:val="47"/>
  </w:num>
  <w:num w:numId="74">
    <w:abstractNumId w:val="67"/>
  </w:num>
  <w:num w:numId="75">
    <w:abstractNumId w:val="6"/>
  </w:num>
  <w:num w:numId="76">
    <w:abstractNumId w:val="62"/>
  </w:num>
  <w:num w:numId="77">
    <w:abstractNumId w:val="25"/>
  </w:num>
  <w:num w:numId="78">
    <w:abstractNumId w:val="35"/>
  </w:num>
  <w:num w:numId="79">
    <w:abstractNumId w:val="7"/>
  </w:num>
  <w:num w:numId="80">
    <w:abstractNumId w:val="26"/>
  </w:num>
  <w:num w:numId="81">
    <w:abstractNumId w:val="73"/>
  </w:num>
  <w:num w:numId="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B848EA"/>
    <w:rsid w:val="00745286"/>
    <w:rsid w:val="008C6C96"/>
    <w:rsid w:val="00B95CDD"/>
    <w:rsid w:val="00E42FF7"/>
    <w:rsid w:val="01C42B8B"/>
    <w:rsid w:val="022950E4"/>
    <w:rsid w:val="028D5673"/>
    <w:rsid w:val="02900029"/>
    <w:rsid w:val="02A66735"/>
    <w:rsid w:val="03CC3F79"/>
    <w:rsid w:val="05EE2780"/>
    <w:rsid w:val="061971CD"/>
    <w:rsid w:val="0633208D"/>
    <w:rsid w:val="064B71E3"/>
    <w:rsid w:val="06B36F7D"/>
    <w:rsid w:val="06CE1DB6"/>
    <w:rsid w:val="0753050D"/>
    <w:rsid w:val="08D21B08"/>
    <w:rsid w:val="08D86F1C"/>
    <w:rsid w:val="09242161"/>
    <w:rsid w:val="09714747"/>
    <w:rsid w:val="097332C3"/>
    <w:rsid w:val="0ABB08A3"/>
    <w:rsid w:val="0AFC4639"/>
    <w:rsid w:val="0B136C51"/>
    <w:rsid w:val="0B7D3DAB"/>
    <w:rsid w:val="0BB872E7"/>
    <w:rsid w:val="0BE91BB2"/>
    <w:rsid w:val="0C1E0427"/>
    <w:rsid w:val="0C914B9B"/>
    <w:rsid w:val="0CBB7FFE"/>
    <w:rsid w:val="0D5531E9"/>
    <w:rsid w:val="0E422DC0"/>
    <w:rsid w:val="0E4312DC"/>
    <w:rsid w:val="0E610D30"/>
    <w:rsid w:val="0EB14497"/>
    <w:rsid w:val="0EE13979"/>
    <w:rsid w:val="0F225395"/>
    <w:rsid w:val="0F2C1D70"/>
    <w:rsid w:val="0F6E4136"/>
    <w:rsid w:val="0F8971C2"/>
    <w:rsid w:val="0FDE0875"/>
    <w:rsid w:val="10417994"/>
    <w:rsid w:val="10CF6E57"/>
    <w:rsid w:val="12741295"/>
    <w:rsid w:val="129F262D"/>
    <w:rsid w:val="12D06EB6"/>
    <w:rsid w:val="12D6271E"/>
    <w:rsid w:val="12E06C78"/>
    <w:rsid w:val="14CB202B"/>
    <w:rsid w:val="152A5286"/>
    <w:rsid w:val="16F83F95"/>
    <w:rsid w:val="170D3652"/>
    <w:rsid w:val="1726179A"/>
    <w:rsid w:val="173E0892"/>
    <w:rsid w:val="177E5132"/>
    <w:rsid w:val="17996410"/>
    <w:rsid w:val="181B0BD3"/>
    <w:rsid w:val="182867A9"/>
    <w:rsid w:val="189C1D14"/>
    <w:rsid w:val="18B708FC"/>
    <w:rsid w:val="18BB0D5A"/>
    <w:rsid w:val="18E84F59"/>
    <w:rsid w:val="195F0AAC"/>
    <w:rsid w:val="197F2BE5"/>
    <w:rsid w:val="1A352420"/>
    <w:rsid w:val="1A9133CF"/>
    <w:rsid w:val="1A9C7C88"/>
    <w:rsid w:val="1AC6751C"/>
    <w:rsid w:val="1AD60E50"/>
    <w:rsid w:val="1AD87250"/>
    <w:rsid w:val="1B0961A9"/>
    <w:rsid w:val="1B285AE1"/>
    <w:rsid w:val="1B8227E1"/>
    <w:rsid w:val="1BF400B9"/>
    <w:rsid w:val="1C057BD0"/>
    <w:rsid w:val="1C073948"/>
    <w:rsid w:val="1C913B01"/>
    <w:rsid w:val="1DCD5FE1"/>
    <w:rsid w:val="1DFB572F"/>
    <w:rsid w:val="1E6A6411"/>
    <w:rsid w:val="1ECF0BC9"/>
    <w:rsid w:val="1FAA740D"/>
    <w:rsid w:val="1FC529DB"/>
    <w:rsid w:val="202B56B1"/>
    <w:rsid w:val="20C56FF2"/>
    <w:rsid w:val="20EE157B"/>
    <w:rsid w:val="21C10A3D"/>
    <w:rsid w:val="221D798C"/>
    <w:rsid w:val="23BE0880"/>
    <w:rsid w:val="23DA7B95"/>
    <w:rsid w:val="245E7725"/>
    <w:rsid w:val="24B848EA"/>
    <w:rsid w:val="24C0322E"/>
    <w:rsid w:val="24E46F1D"/>
    <w:rsid w:val="2530011B"/>
    <w:rsid w:val="26270419"/>
    <w:rsid w:val="2681079B"/>
    <w:rsid w:val="26844E74"/>
    <w:rsid w:val="26E34FB2"/>
    <w:rsid w:val="26FB2A3A"/>
    <w:rsid w:val="27D45637"/>
    <w:rsid w:val="280653FC"/>
    <w:rsid w:val="28225752"/>
    <w:rsid w:val="285223EF"/>
    <w:rsid w:val="28640213"/>
    <w:rsid w:val="289B2912"/>
    <w:rsid w:val="28C332ED"/>
    <w:rsid w:val="28F60FCD"/>
    <w:rsid w:val="28FD4204"/>
    <w:rsid w:val="29A841FB"/>
    <w:rsid w:val="29B175E9"/>
    <w:rsid w:val="29DD03DE"/>
    <w:rsid w:val="29FD282F"/>
    <w:rsid w:val="2A7313E5"/>
    <w:rsid w:val="2ACB541A"/>
    <w:rsid w:val="2B033E75"/>
    <w:rsid w:val="2B344437"/>
    <w:rsid w:val="2D594220"/>
    <w:rsid w:val="2D5C70B9"/>
    <w:rsid w:val="2D614E83"/>
    <w:rsid w:val="2D7E77E3"/>
    <w:rsid w:val="2EBA6F40"/>
    <w:rsid w:val="2EC456C9"/>
    <w:rsid w:val="2EE0327E"/>
    <w:rsid w:val="2F94153F"/>
    <w:rsid w:val="2F950E14"/>
    <w:rsid w:val="308F1FC1"/>
    <w:rsid w:val="30A77050"/>
    <w:rsid w:val="30C61BCC"/>
    <w:rsid w:val="3147746A"/>
    <w:rsid w:val="316E291C"/>
    <w:rsid w:val="329C31F7"/>
    <w:rsid w:val="32F01183"/>
    <w:rsid w:val="3302598D"/>
    <w:rsid w:val="33203AA6"/>
    <w:rsid w:val="33226E62"/>
    <w:rsid w:val="332F4C42"/>
    <w:rsid w:val="333A41AC"/>
    <w:rsid w:val="334B496C"/>
    <w:rsid w:val="34452E08"/>
    <w:rsid w:val="350876F9"/>
    <w:rsid w:val="351F745D"/>
    <w:rsid w:val="35327452"/>
    <w:rsid w:val="35DF103A"/>
    <w:rsid w:val="3603722A"/>
    <w:rsid w:val="367B0D63"/>
    <w:rsid w:val="36932551"/>
    <w:rsid w:val="36D952EB"/>
    <w:rsid w:val="37773C20"/>
    <w:rsid w:val="37A367C3"/>
    <w:rsid w:val="37DA41AF"/>
    <w:rsid w:val="38683DB9"/>
    <w:rsid w:val="38763ED8"/>
    <w:rsid w:val="38975BFC"/>
    <w:rsid w:val="38AD5E44"/>
    <w:rsid w:val="38F7118D"/>
    <w:rsid w:val="39FF3A59"/>
    <w:rsid w:val="3A9C574C"/>
    <w:rsid w:val="3B2138AB"/>
    <w:rsid w:val="3B60677A"/>
    <w:rsid w:val="3BE92C13"/>
    <w:rsid w:val="3BFE66BE"/>
    <w:rsid w:val="3CA57A27"/>
    <w:rsid w:val="3CD261C5"/>
    <w:rsid w:val="3D000214"/>
    <w:rsid w:val="3D453E79"/>
    <w:rsid w:val="3DE47B36"/>
    <w:rsid w:val="3EBE490B"/>
    <w:rsid w:val="3EBE51F6"/>
    <w:rsid w:val="3ECE510B"/>
    <w:rsid w:val="3F370BCB"/>
    <w:rsid w:val="3F92100B"/>
    <w:rsid w:val="3F9D450B"/>
    <w:rsid w:val="3FBE1BF2"/>
    <w:rsid w:val="3FFD0478"/>
    <w:rsid w:val="401069C0"/>
    <w:rsid w:val="405F5252"/>
    <w:rsid w:val="41D103D1"/>
    <w:rsid w:val="41D34149"/>
    <w:rsid w:val="4294421B"/>
    <w:rsid w:val="4377235C"/>
    <w:rsid w:val="439B47F3"/>
    <w:rsid w:val="43B9111D"/>
    <w:rsid w:val="44054362"/>
    <w:rsid w:val="44305883"/>
    <w:rsid w:val="44E74103"/>
    <w:rsid w:val="4504286C"/>
    <w:rsid w:val="46801604"/>
    <w:rsid w:val="479954ED"/>
    <w:rsid w:val="47A0321C"/>
    <w:rsid w:val="47A04ACD"/>
    <w:rsid w:val="48B54FCB"/>
    <w:rsid w:val="49494CF1"/>
    <w:rsid w:val="49947D12"/>
    <w:rsid w:val="4A0F7CE8"/>
    <w:rsid w:val="4A7D5920"/>
    <w:rsid w:val="4A804742"/>
    <w:rsid w:val="4B674C7E"/>
    <w:rsid w:val="4BF83930"/>
    <w:rsid w:val="4C9D3FD5"/>
    <w:rsid w:val="4CC639CE"/>
    <w:rsid w:val="4CFF0B7C"/>
    <w:rsid w:val="4D3A6A91"/>
    <w:rsid w:val="4DED3E9B"/>
    <w:rsid w:val="4E1F4272"/>
    <w:rsid w:val="4E7E71EB"/>
    <w:rsid w:val="4EF55A4F"/>
    <w:rsid w:val="4F3964BA"/>
    <w:rsid w:val="4F471CD3"/>
    <w:rsid w:val="4F493C9D"/>
    <w:rsid w:val="50BB1E74"/>
    <w:rsid w:val="524D13AE"/>
    <w:rsid w:val="528F1C9C"/>
    <w:rsid w:val="52B0193D"/>
    <w:rsid w:val="52DB2E5E"/>
    <w:rsid w:val="53234805"/>
    <w:rsid w:val="53260B56"/>
    <w:rsid w:val="53FD668B"/>
    <w:rsid w:val="547F6CE6"/>
    <w:rsid w:val="554546AE"/>
    <w:rsid w:val="55562C6F"/>
    <w:rsid w:val="56360525"/>
    <w:rsid w:val="56772E9D"/>
    <w:rsid w:val="56925E96"/>
    <w:rsid w:val="56B57E6A"/>
    <w:rsid w:val="56F02C50"/>
    <w:rsid w:val="57435475"/>
    <w:rsid w:val="57FF293E"/>
    <w:rsid w:val="58354DBE"/>
    <w:rsid w:val="58442751"/>
    <w:rsid w:val="58951D01"/>
    <w:rsid w:val="58BA1767"/>
    <w:rsid w:val="58DA7713"/>
    <w:rsid w:val="58EC5B5B"/>
    <w:rsid w:val="596516D3"/>
    <w:rsid w:val="5A7D78CB"/>
    <w:rsid w:val="5ACC7530"/>
    <w:rsid w:val="5B414E09"/>
    <w:rsid w:val="5B8C5F46"/>
    <w:rsid w:val="5C433822"/>
    <w:rsid w:val="5C9E4397"/>
    <w:rsid w:val="5D1C737D"/>
    <w:rsid w:val="5DB1138B"/>
    <w:rsid w:val="5E5B612C"/>
    <w:rsid w:val="5FF53085"/>
    <w:rsid w:val="600F05EB"/>
    <w:rsid w:val="621912AD"/>
    <w:rsid w:val="625A316E"/>
    <w:rsid w:val="62813845"/>
    <w:rsid w:val="62AD7C47"/>
    <w:rsid w:val="636D3E47"/>
    <w:rsid w:val="63CD67F3"/>
    <w:rsid w:val="65624D19"/>
    <w:rsid w:val="65654809"/>
    <w:rsid w:val="65CB5489"/>
    <w:rsid w:val="65DF45BB"/>
    <w:rsid w:val="66D13943"/>
    <w:rsid w:val="66EF4CD2"/>
    <w:rsid w:val="670D087B"/>
    <w:rsid w:val="670E33AA"/>
    <w:rsid w:val="67136644"/>
    <w:rsid w:val="67627252"/>
    <w:rsid w:val="67806F5E"/>
    <w:rsid w:val="68475309"/>
    <w:rsid w:val="688069A3"/>
    <w:rsid w:val="68F760C0"/>
    <w:rsid w:val="6A1231B1"/>
    <w:rsid w:val="6AE543A8"/>
    <w:rsid w:val="6BE5185F"/>
    <w:rsid w:val="6D4B1E43"/>
    <w:rsid w:val="6D6D4BA2"/>
    <w:rsid w:val="6D9730CF"/>
    <w:rsid w:val="6E0628E0"/>
    <w:rsid w:val="6EBC6DC6"/>
    <w:rsid w:val="6ECD2434"/>
    <w:rsid w:val="6F3620D6"/>
    <w:rsid w:val="708B7819"/>
    <w:rsid w:val="710D5D74"/>
    <w:rsid w:val="739F35DC"/>
    <w:rsid w:val="7463285B"/>
    <w:rsid w:val="74EB596C"/>
    <w:rsid w:val="757A7E5C"/>
    <w:rsid w:val="76277FE4"/>
    <w:rsid w:val="767E6A05"/>
    <w:rsid w:val="77E141C3"/>
    <w:rsid w:val="7840713B"/>
    <w:rsid w:val="786E14FC"/>
    <w:rsid w:val="78C7785D"/>
    <w:rsid w:val="78CA10FB"/>
    <w:rsid w:val="79773031"/>
    <w:rsid w:val="797E32B5"/>
    <w:rsid w:val="79955265"/>
    <w:rsid w:val="7A2605B3"/>
    <w:rsid w:val="7B15210C"/>
    <w:rsid w:val="7B332F87"/>
    <w:rsid w:val="7B7E0F1D"/>
    <w:rsid w:val="7B986440"/>
    <w:rsid w:val="7BC41E31"/>
    <w:rsid w:val="7BFC48BF"/>
    <w:rsid w:val="7C4453CC"/>
    <w:rsid w:val="7D105D87"/>
    <w:rsid w:val="7D3F1527"/>
    <w:rsid w:val="7DD90031"/>
    <w:rsid w:val="7DF033B2"/>
    <w:rsid w:val="7E3C65F7"/>
    <w:rsid w:val="7E9F375B"/>
    <w:rsid w:val="7EC94097"/>
    <w:rsid w:val="7F1D7A6E"/>
    <w:rsid w:val="7F5C44C1"/>
    <w:rsid w:val="7F843F41"/>
    <w:rsid w:val="7F9F508F"/>
    <w:rsid w:val="7FE96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lang w:val="zh-CN" w:eastAsia="zh-CN"/>
    </w:rPr>
  </w:style>
  <w:style w:type="paragraph" w:styleId="3">
    <w:name w:val="heading 2"/>
    <w:basedOn w:val="1"/>
    <w:next w:val="1"/>
    <w:qFormat/>
    <w:uiPriority w:val="0"/>
    <w:pPr>
      <w:keepNext/>
      <w:adjustRightInd w:val="0"/>
      <w:spacing w:before="120" w:line="360" w:lineRule="auto"/>
      <w:jc w:val="center"/>
      <w:outlineLvl w:val="1"/>
    </w:pPr>
    <w:rPr>
      <w:rFonts w:eastAsia="隶书"/>
      <w:b/>
      <w:kern w:val="0"/>
      <w:sz w:val="44"/>
      <w:szCs w:val="20"/>
      <w:lang w:val="zh-CN" w:eastAsia="zh-CN"/>
    </w:rPr>
  </w:style>
  <w:style w:type="paragraph" w:styleId="4">
    <w:name w:val="heading 3"/>
    <w:basedOn w:val="1"/>
    <w:next w:val="1"/>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cs="Times New Roman"/>
      <w:sz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unhideWhenUsed/>
    <w:qFormat/>
    <w:uiPriority w:val="99"/>
    <w:pPr>
      <w:ind w:left="420" w:leftChars="200"/>
    </w:pPr>
  </w:style>
  <w:style w:type="paragraph" w:styleId="7">
    <w:name w:val="annotation text"/>
    <w:basedOn w:val="1"/>
    <w:qFormat/>
    <w:uiPriority w:val="0"/>
    <w:pPr>
      <w:jc w:val="left"/>
    </w:pPr>
    <w:rPr>
      <w:lang w:val="zh-CN" w:eastAsia="zh-CN"/>
    </w:rPr>
  </w:style>
  <w:style w:type="paragraph" w:styleId="8">
    <w:name w:val="Body Text 3"/>
    <w:basedOn w:val="1"/>
    <w:unhideWhenUsed/>
    <w:qFormat/>
    <w:uiPriority w:val="99"/>
    <w:pPr>
      <w:spacing w:after="120"/>
    </w:pPr>
    <w:rPr>
      <w:sz w:val="16"/>
      <w:szCs w:val="16"/>
    </w:rPr>
  </w:style>
  <w:style w:type="paragraph" w:styleId="9">
    <w:name w:val="Body Text"/>
    <w:basedOn w:val="1"/>
    <w:qFormat/>
    <w:uiPriority w:val="0"/>
    <w:pPr>
      <w:spacing w:line="420" w:lineRule="exact"/>
    </w:pPr>
    <w:rPr>
      <w:sz w:val="24"/>
      <w:lang w:val="zh-CN" w:eastAsia="zh-CN"/>
    </w:rPr>
  </w:style>
  <w:style w:type="paragraph" w:styleId="10">
    <w:name w:val="Body Text Indent"/>
    <w:basedOn w:val="1"/>
    <w:next w:val="11"/>
    <w:qFormat/>
    <w:uiPriority w:val="0"/>
    <w:pPr>
      <w:spacing w:after="120"/>
      <w:ind w:left="420" w:leftChars="200"/>
    </w:pPr>
    <w:rPr>
      <w:lang w:val="zh-CN" w:eastAsia="zh-CN"/>
    </w:rPr>
  </w:style>
  <w:style w:type="paragraph" w:customStyle="1" w:styleId="11">
    <w:name w:val="Default"/>
    <w:next w:val="12"/>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2">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3">
    <w:name w:val="Plain Text"/>
    <w:basedOn w:val="1"/>
    <w:next w:val="5"/>
    <w:qFormat/>
    <w:uiPriority w:val="0"/>
    <w:rPr>
      <w:rFonts w:ascii="宋体" w:hAnsi="Courier New" w:cs="Courier New"/>
      <w:szCs w:val="21"/>
    </w:rPr>
  </w:style>
  <w:style w:type="paragraph" w:styleId="14">
    <w:name w:val="footer"/>
    <w:basedOn w:val="1"/>
    <w:qFormat/>
    <w:uiPriority w:val="0"/>
    <w:pPr>
      <w:tabs>
        <w:tab w:val="center" w:pos="4153"/>
        <w:tab w:val="right" w:pos="8306"/>
      </w:tabs>
      <w:snapToGrid w:val="0"/>
      <w:jc w:val="left"/>
    </w:pPr>
    <w:rPr>
      <w:sz w:val="18"/>
      <w:szCs w:val="18"/>
      <w:lang w:val="zh-CN" w:eastAsia="zh-CN"/>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16">
    <w:name w:val="toc 1"/>
    <w:basedOn w:val="1"/>
    <w:next w:val="1"/>
    <w:semiHidden/>
    <w:unhideWhenUsed/>
    <w:qFormat/>
    <w:uiPriority w:val="0"/>
  </w:style>
  <w:style w:type="paragraph" w:styleId="17">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18">
    <w:name w:val="Body Text First Indent"/>
    <w:basedOn w:val="9"/>
    <w:qFormat/>
    <w:uiPriority w:val="0"/>
    <w:pPr>
      <w:ind w:firstLine="420" w:firstLineChars="100"/>
    </w:pPr>
  </w:style>
  <w:style w:type="paragraph" w:styleId="19">
    <w:name w:val="Body Text First Indent 2"/>
    <w:basedOn w:val="10"/>
    <w:next w:val="1"/>
    <w:semiHidden/>
    <w:unhideWhenUsed/>
    <w:qFormat/>
    <w:uiPriority w:val="99"/>
    <w:pPr>
      <w:ind w:firstLine="420" w:firstLineChars="200"/>
    </w:pPr>
    <w:rPr>
      <w:lang w:val="en-US" w:eastAsia="zh-CN"/>
    </w:rPr>
  </w:style>
  <w:style w:type="table" w:styleId="21">
    <w:name w:val="Table Grid"/>
    <w:basedOn w:val="2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rPr>
      <w:rFonts w:ascii="Times New Roman" w:hAnsi="Times New Roman" w:eastAsia="宋体" w:cs="Times New Roman"/>
    </w:rPr>
  </w:style>
  <w:style w:type="paragraph" w:customStyle="1" w:styleId="24">
    <w:name w:val="目录 11"/>
    <w:basedOn w:val="1"/>
    <w:next w:val="1"/>
    <w:qFormat/>
    <w:uiPriority w:val="0"/>
    <w:pPr>
      <w:spacing w:before="120" w:after="120"/>
      <w:jc w:val="left"/>
    </w:pPr>
    <w:rPr>
      <w:rFonts w:ascii="Calibri" w:hAnsi="Calibri"/>
      <w:b/>
      <w:bCs/>
      <w:caps/>
      <w:sz w:val="20"/>
      <w:szCs w:val="20"/>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_Style 124"/>
    <w:basedOn w:val="1"/>
    <w:next w:val="25"/>
    <w:qFormat/>
    <w:uiPriority w:val="34"/>
    <w:pPr>
      <w:ind w:firstLine="420" w:firstLineChars="200"/>
    </w:pPr>
    <w:rPr>
      <w:rFonts w:ascii="Calibri" w:hAnsi="Calibri"/>
      <w:szCs w:val="22"/>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Table Text"/>
    <w:basedOn w:val="1"/>
    <w:semiHidden/>
    <w:qFormat/>
    <w:uiPriority w:val="0"/>
    <w:rPr>
      <w:rFonts w:ascii="宋体" w:hAnsi="宋体" w:eastAsia="宋体" w:cs="宋体"/>
      <w:sz w:val="21"/>
      <w:szCs w:val="21"/>
      <w:lang w:val="en-US" w:eastAsia="en-US" w:bidi="ar-SA"/>
    </w:rPr>
  </w:style>
  <w:style w:type="paragraph" w:customStyle="1" w:styleId="29">
    <w:name w:val="Normal (Web)_file_907"/>
    <w:basedOn w:val="30"/>
    <w:semiHidden/>
    <w:unhideWhenUsed/>
    <w:qFormat/>
    <w:uiPriority w:val="99"/>
  </w:style>
  <w:style w:type="paragraph" w:customStyle="1" w:styleId="30">
    <w:name w:val="Normal_file_9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
    <w:name w:val="Normal (Web)_file_908"/>
    <w:basedOn w:val="32"/>
    <w:semiHidden/>
    <w:unhideWhenUsed/>
    <w:qFormat/>
    <w:uiPriority w:val="99"/>
  </w:style>
  <w:style w:type="paragraph" w:customStyle="1" w:styleId="32">
    <w:name w:val="Normal_file_9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
    <w:name w:val="Normal (Web)_file_909"/>
    <w:basedOn w:val="34"/>
    <w:semiHidden/>
    <w:unhideWhenUsed/>
    <w:qFormat/>
    <w:uiPriority w:val="99"/>
  </w:style>
  <w:style w:type="paragraph" w:customStyle="1" w:styleId="34">
    <w:name w:val="Normal_file_90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5">
    <w:name w:val="Emphasis_file_909"/>
    <w:basedOn w:val="36"/>
    <w:qFormat/>
    <w:uiPriority w:val="20"/>
    <w:rPr>
      <w:i/>
      <w:iCs/>
    </w:rPr>
  </w:style>
  <w:style w:type="character" w:customStyle="1" w:styleId="36">
    <w:name w:val="Default Paragraph Font_file_909"/>
    <w:semiHidden/>
    <w:unhideWhenUsed/>
    <w:qFormat/>
    <w:uiPriority w:val="1"/>
  </w:style>
  <w:style w:type="paragraph" w:customStyle="1" w:styleId="37">
    <w:name w:val="Normal (Web)_file_910"/>
    <w:basedOn w:val="38"/>
    <w:semiHidden/>
    <w:unhideWhenUsed/>
    <w:qFormat/>
    <w:uiPriority w:val="99"/>
  </w:style>
  <w:style w:type="paragraph" w:customStyle="1" w:styleId="38">
    <w:name w:val="Normal_file_9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
    <w:name w:val="Normal (Web)_file_905"/>
    <w:basedOn w:val="40"/>
    <w:semiHidden/>
    <w:unhideWhenUsed/>
    <w:qFormat/>
    <w:uiPriority w:val="99"/>
  </w:style>
  <w:style w:type="paragraph" w:customStyle="1" w:styleId="40">
    <w:name w:val="Normal_file_9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
    <w:name w:val="Normal (Web)_file_903_file_911"/>
    <w:basedOn w:val="42"/>
    <w:semiHidden/>
    <w:unhideWhenUsed/>
    <w:qFormat/>
    <w:uiPriority w:val="99"/>
  </w:style>
  <w:style w:type="paragraph" w:customStyle="1" w:styleId="42">
    <w:name w:val="Normal_file_903_file_911"/>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37432</Words>
  <Characters>39779</Characters>
  <Lines>0</Lines>
  <Paragraphs>0</Paragraphs>
  <TotalTime>74</TotalTime>
  <ScaleCrop>false</ScaleCrop>
  <LinksUpToDate>false</LinksUpToDate>
  <CharactersWithSpaces>42591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2026-07-06T08:34:00Z</dcterms:created>
  <dc:creator>标叔</dc:creator>
  <cp:lastModifiedBy>招标代理公司</cp:lastModifiedBy>
  <cp:lastPrinted>2026-08-13T07:48:00Z</cp:lastPrinted>
  <dcterms:modified xsi:type="dcterms:W3CDTF">2026-09-02T02:03:03Z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BCEC8A76178F4DE590D89CCCBF9F883D_11</vt:lpwstr>
  </property>
  <property fmtid="{D5CDD505-2E9C-101B-9397-08002B2CF9AE}" pid="4" name="KSOTemplateDocerSaveRecord">
    <vt:lpwstr>eyJoZGlkIjoiZGVjNTEyOTFhZGVkZWFkZDMzYzA5NTFiMTZjOTIzMTMiLCJ1c2VySWQiOiIxNzI5MDIwOTI1In0=</vt:lpwstr>
  </property>
</Properties>
</file>