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CBDD7A3">
      <w:pPr>
        <w:pStyle w:val="20"/>
        <w:spacing w:line="320" w:lineRule="exact"/>
        <w:ind w:firstLine="5670"/>
        <w:jc w:val="right"/>
        <w:rPr>
          <w:rFonts w:hAnsi="宋体"/>
          <w:color w:val="auto"/>
          <w:highlight w:val="none"/>
        </w:rPr>
      </w:pPr>
    </w:p>
    <w:p w14:paraId="4218B93B">
      <w:pPr>
        <w:jc w:val="center"/>
        <w:outlineLvl w:val="0"/>
        <w:rPr>
          <w:rFonts w:ascii="宋体" w:hAnsi="宋体" w:cs="宋体"/>
          <w:color w:val="auto"/>
          <w:sz w:val="52"/>
          <w:highlight w:val="none"/>
        </w:rPr>
      </w:pPr>
      <w:bookmarkStart w:id="0" w:name="_Toc4557"/>
      <w:bookmarkStart w:id="1" w:name="_Toc23012"/>
    </w:p>
    <w:p w14:paraId="42388FD9">
      <w:pPr>
        <w:jc w:val="center"/>
        <w:outlineLvl w:val="0"/>
        <w:rPr>
          <w:rFonts w:ascii="宋体" w:hAnsi="宋体" w:cs="宋体"/>
          <w:color w:val="auto"/>
          <w:sz w:val="84"/>
          <w:highlight w:val="none"/>
        </w:rPr>
      </w:pPr>
      <w:r>
        <w:rPr>
          <w:rFonts w:hint="eastAsia" w:ascii="宋体" w:hAnsi="宋体" w:cs="宋体"/>
          <w:color w:val="auto"/>
          <w:sz w:val="52"/>
          <w:highlight w:val="none"/>
        </w:rPr>
        <w:t>广西德元工程项目管理有限责任公司</w:t>
      </w:r>
      <w:r>
        <w:rPr>
          <w:rFonts w:hint="eastAsia" w:ascii="宋体" w:hAnsi="宋体" w:cs="宋体"/>
          <w:color w:val="auto"/>
          <w:sz w:val="52"/>
          <w:highlight w:val="none"/>
        </w:rPr>
        <w:cr/>
      </w:r>
      <w:bookmarkEnd w:id="0"/>
      <w:bookmarkEnd w:id="1"/>
      <w:r>
        <w:rPr>
          <w:rFonts w:hint="eastAsia" w:ascii="宋体" w:hAnsi="宋体" w:cs="宋体"/>
          <w:color w:val="auto"/>
          <w:sz w:val="84"/>
          <w:highlight w:val="none"/>
        </w:rPr>
        <w:tab/>
      </w:r>
    </w:p>
    <w:p w14:paraId="1AB0BD4C">
      <w:pPr>
        <w:jc w:val="center"/>
        <w:rPr>
          <w:rFonts w:ascii="宋体" w:hAnsi="宋体" w:cs="宋体"/>
          <w:color w:val="auto"/>
          <w:sz w:val="52"/>
          <w:szCs w:val="52"/>
          <w:highlight w:val="none"/>
        </w:rPr>
      </w:pPr>
      <w:r>
        <w:rPr>
          <w:rFonts w:hint="eastAsia" w:ascii="宋体" w:hAnsi="宋体" w:cs="宋体"/>
          <w:color w:val="auto"/>
          <w:sz w:val="52"/>
          <w:szCs w:val="52"/>
          <w:highlight w:val="none"/>
        </w:rPr>
        <w:t>竞争性谈判文件</w:t>
      </w:r>
    </w:p>
    <w:p w14:paraId="0A044731">
      <w:pPr>
        <w:pStyle w:val="20"/>
        <w:rPr>
          <w:rFonts w:hAnsi="宋体" w:cs="宋体"/>
          <w:b/>
          <w:color w:val="auto"/>
          <w:sz w:val="21"/>
          <w:szCs w:val="21"/>
          <w:highlight w:val="none"/>
        </w:rPr>
      </w:pPr>
    </w:p>
    <w:p w14:paraId="59584AB6">
      <w:pPr>
        <w:pStyle w:val="20"/>
        <w:rPr>
          <w:rFonts w:hAnsi="宋体" w:cs="宋体"/>
          <w:b/>
          <w:color w:val="auto"/>
          <w:sz w:val="21"/>
          <w:szCs w:val="21"/>
          <w:highlight w:val="none"/>
        </w:rPr>
      </w:pPr>
    </w:p>
    <w:p w14:paraId="3E3DAAD5">
      <w:pPr>
        <w:pStyle w:val="20"/>
        <w:rPr>
          <w:rFonts w:hAnsi="宋体" w:cs="宋体"/>
          <w:b/>
          <w:color w:val="auto"/>
          <w:sz w:val="21"/>
          <w:szCs w:val="21"/>
          <w:highlight w:val="none"/>
        </w:rPr>
      </w:pPr>
    </w:p>
    <w:p w14:paraId="7954400F">
      <w:pPr>
        <w:pStyle w:val="20"/>
        <w:rPr>
          <w:rFonts w:hAnsi="宋体" w:cs="宋体"/>
          <w:b/>
          <w:color w:val="auto"/>
          <w:sz w:val="21"/>
          <w:szCs w:val="21"/>
          <w:highlight w:val="none"/>
        </w:rPr>
      </w:pPr>
    </w:p>
    <w:p w14:paraId="6002BC36">
      <w:pPr>
        <w:pStyle w:val="20"/>
        <w:rPr>
          <w:rFonts w:hAnsi="宋体" w:cs="宋体"/>
          <w:b/>
          <w:color w:val="auto"/>
          <w:sz w:val="21"/>
          <w:szCs w:val="21"/>
          <w:highlight w:val="none"/>
        </w:rPr>
      </w:pPr>
    </w:p>
    <w:p w14:paraId="035E0CAA">
      <w:pPr>
        <w:ind w:left="2202" w:leftChars="284" w:right="913" w:hanging="1606" w:hangingChars="500"/>
        <w:rPr>
          <w:rFonts w:ascii="宋体" w:hAnsi="宋体" w:cs="宋体"/>
          <w:b/>
          <w:color w:val="auto"/>
          <w:sz w:val="32"/>
          <w:szCs w:val="32"/>
          <w:highlight w:val="none"/>
        </w:rPr>
      </w:pPr>
      <w:r>
        <w:rPr>
          <w:rFonts w:hint="eastAsia" w:ascii="宋体" w:hAnsi="宋体" w:cs="宋体"/>
          <w:b/>
          <w:color w:val="auto"/>
          <w:sz w:val="32"/>
          <w:szCs w:val="32"/>
          <w:highlight w:val="none"/>
        </w:rPr>
        <w:t>项目名称：</w:t>
      </w:r>
      <w:r>
        <w:rPr>
          <w:rFonts w:hint="eastAsia" w:ascii="宋体" w:hAnsi="宋体" w:cs="宋体"/>
          <w:b/>
          <w:color w:val="auto"/>
          <w:sz w:val="32"/>
          <w:szCs w:val="32"/>
          <w:highlight w:val="none"/>
          <w:lang w:eastAsia="zh-CN"/>
        </w:rPr>
        <w:t>2026年第一批自治区地震灾后恢复重建—柳太路路灯修复材料采购-LED灯具、电器材料采购</w:t>
      </w:r>
      <w:r>
        <w:rPr>
          <w:rFonts w:hint="eastAsia" w:ascii="宋体" w:hAnsi="宋体" w:cs="宋体"/>
          <w:b/>
          <w:color w:val="auto"/>
          <w:sz w:val="32"/>
          <w:szCs w:val="32"/>
          <w:highlight w:val="none"/>
        </w:rPr>
        <w:t xml:space="preserve"> </w:t>
      </w:r>
    </w:p>
    <w:p w14:paraId="4D195EB8">
      <w:pPr>
        <w:ind w:right="913" w:firstLine="643" w:firstLineChars="200"/>
        <w:rPr>
          <w:rFonts w:ascii="宋体" w:hAnsi="宋体" w:cs="宋体"/>
          <w:b/>
          <w:color w:val="auto"/>
          <w:sz w:val="32"/>
          <w:szCs w:val="32"/>
          <w:highlight w:val="none"/>
        </w:rPr>
      </w:pPr>
    </w:p>
    <w:p w14:paraId="7B737301">
      <w:pPr>
        <w:ind w:right="913" w:firstLine="643" w:firstLineChars="200"/>
        <w:rPr>
          <w:rFonts w:ascii="宋体" w:hAnsi="宋体" w:cs="宋体"/>
          <w:b/>
          <w:color w:val="auto"/>
          <w:sz w:val="32"/>
          <w:szCs w:val="32"/>
          <w:highlight w:val="none"/>
        </w:rPr>
      </w:pPr>
    </w:p>
    <w:p w14:paraId="4AC9E27B">
      <w:pPr>
        <w:ind w:right="913" w:firstLine="643" w:firstLineChars="200"/>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rPr>
        <w:t>项目编号：</w:t>
      </w:r>
      <w:r>
        <w:rPr>
          <w:rFonts w:hint="eastAsia" w:ascii="宋体" w:hAnsi="宋体" w:cs="宋体"/>
          <w:b/>
          <w:color w:val="auto"/>
          <w:sz w:val="32"/>
          <w:szCs w:val="32"/>
          <w:highlight w:val="none"/>
          <w:lang w:eastAsia="zh-CN"/>
        </w:rPr>
        <w:t>LZZC2026-J1-990704-GXDY</w:t>
      </w:r>
    </w:p>
    <w:p w14:paraId="52B227D2">
      <w:pPr>
        <w:ind w:right="-1" w:firstLine="643" w:firstLineChars="200"/>
        <w:rPr>
          <w:rFonts w:ascii="宋体" w:hAnsi="宋体" w:cs="宋体"/>
          <w:b/>
          <w:color w:val="auto"/>
          <w:sz w:val="32"/>
          <w:szCs w:val="32"/>
          <w:highlight w:val="none"/>
        </w:rPr>
      </w:pPr>
      <w:r>
        <w:rPr>
          <w:rFonts w:hint="eastAsia" w:ascii="宋体" w:hAnsi="宋体" w:cs="宋体"/>
          <w:b/>
          <w:color w:val="auto"/>
          <w:sz w:val="32"/>
          <w:szCs w:val="32"/>
          <w:highlight w:val="none"/>
        </w:rPr>
        <w:t xml:space="preserve">  </w:t>
      </w:r>
    </w:p>
    <w:p w14:paraId="5586611D">
      <w:pPr>
        <w:ind w:right="-1" w:firstLine="643" w:firstLineChars="200"/>
        <w:rPr>
          <w:rFonts w:ascii="宋体" w:hAnsi="宋体" w:cs="宋体"/>
          <w:b/>
          <w:color w:val="auto"/>
          <w:sz w:val="32"/>
          <w:szCs w:val="32"/>
          <w:highlight w:val="none"/>
        </w:rPr>
      </w:pPr>
      <w:r>
        <w:rPr>
          <w:rFonts w:hint="eastAsia" w:ascii="宋体" w:hAnsi="宋体" w:cs="宋体"/>
          <w:b/>
          <w:color w:val="auto"/>
          <w:sz w:val="32"/>
          <w:szCs w:val="32"/>
          <w:highlight w:val="none"/>
        </w:rPr>
        <w:t xml:space="preserve"> </w:t>
      </w:r>
    </w:p>
    <w:p w14:paraId="1EAB827D">
      <w:pPr>
        <w:ind w:right="-1" w:firstLine="643" w:firstLineChars="200"/>
        <w:outlineLvl w:val="0"/>
        <w:rPr>
          <w:rFonts w:ascii="宋体" w:hAnsi="宋体" w:cs="宋体"/>
          <w:b/>
          <w:color w:val="auto"/>
          <w:sz w:val="32"/>
          <w:szCs w:val="32"/>
          <w:highlight w:val="none"/>
        </w:rPr>
      </w:pPr>
      <w:bookmarkStart w:id="2" w:name="_Toc19780"/>
      <w:bookmarkStart w:id="3" w:name="_Toc29159"/>
      <w:r>
        <w:rPr>
          <w:rFonts w:hint="eastAsia" w:ascii="宋体" w:hAnsi="宋体" w:cs="宋体"/>
          <w:b/>
          <w:color w:val="auto"/>
          <w:sz w:val="32"/>
          <w:szCs w:val="32"/>
          <w:highlight w:val="none"/>
        </w:rPr>
        <w:t>采购人：</w:t>
      </w:r>
      <w:bookmarkEnd w:id="2"/>
      <w:bookmarkEnd w:id="3"/>
      <w:r>
        <w:rPr>
          <w:rFonts w:hint="eastAsia" w:ascii="宋体" w:hAnsi="宋体" w:cs="宋体"/>
          <w:b/>
          <w:color w:val="auto"/>
          <w:sz w:val="32"/>
          <w:szCs w:val="32"/>
          <w:highlight w:val="none"/>
        </w:rPr>
        <w:t>柳州市城市照明管理处</w:t>
      </w:r>
    </w:p>
    <w:p w14:paraId="354BA09F">
      <w:pPr>
        <w:spacing w:line="560" w:lineRule="exact"/>
        <w:ind w:firstLine="643" w:firstLineChars="200"/>
        <w:jc w:val="center"/>
        <w:rPr>
          <w:rFonts w:ascii="宋体" w:hAnsi="宋体" w:cs="宋体"/>
          <w:b/>
          <w:color w:val="auto"/>
          <w:sz w:val="32"/>
          <w:szCs w:val="32"/>
          <w:highlight w:val="none"/>
        </w:rPr>
      </w:pPr>
    </w:p>
    <w:p w14:paraId="735C2215">
      <w:pPr>
        <w:spacing w:line="560" w:lineRule="exact"/>
        <w:ind w:firstLine="643" w:firstLineChars="200"/>
        <w:jc w:val="center"/>
        <w:rPr>
          <w:rFonts w:ascii="宋体" w:hAnsi="宋体" w:cs="宋体"/>
          <w:b/>
          <w:color w:val="auto"/>
          <w:sz w:val="32"/>
          <w:szCs w:val="32"/>
          <w:highlight w:val="none"/>
        </w:rPr>
      </w:pPr>
    </w:p>
    <w:p w14:paraId="3449FF98">
      <w:pPr>
        <w:ind w:right="-1" w:firstLine="643" w:firstLineChars="200"/>
        <w:rPr>
          <w:rFonts w:ascii="宋体" w:hAnsi="宋体" w:cs="宋体"/>
          <w:b/>
          <w:color w:val="auto"/>
          <w:sz w:val="32"/>
          <w:szCs w:val="32"/>
          <w:highlight w:val="none"/>
        </w:rPr>
      </w:pPr>
      <w:r>
        <w:rPr>
          <w:rFonts w:hint="eastAsia" w:ascii="宋体" w:hAnsi="宋体" w:cs="宋体"/>
          <w:b/>
          <w:color w:val="auto"/>
          <w:sz w:val="32"/>
          <w:szCs w:val="32"/>
          <w:highlight w:val="none"/>
        </w:rPr>
        <w:t>采购代理机构：广西德元工程项目管理有限责任公司</w:t>
      </w:r>
    </w:p>
    <w:p w14:paraId="64A7CAF8">
      <w:pPr>
        <w:jc w:val="center"/>
        <w:rPr>
          <w:rFonts w:ascii="宋体" w:hAnsi="宋体" w:cs="宋体"/>
          <w:b/>
          <w:color w:val="auto"/>
          <w:sz w:val="32"/>
          <w:szCs w:val="32"/>
          <w:highlight w:val="none"/>
        </w:rPr>
      </w:pPr>
    </w:p>
    <w:p w14:paraId="4505EE0A">
      <w:pPr>
        <w:jc w:val="center"/>
        <w:rPr>
          <w:rFonts w:ascii="宋体" w:hAnsi="宋体" w:cs="宋体"/>
          <w:b/>
          <w:color w:val="auto"/>
          <w:sz w:val="32"/>
          <w:szCs w:val="32"/>
          <w:highlight w:val="none"/>
        </w:rPr>
      </w:pPr>
      <w:r>
        <w:rPr>
          <w:rFonts w:hint="eastAsia" w:ascii="宋体" w:hAnsi="宋体" w:cs="宋体"/>
          <w:b/>
          <w:color w:val="auto"/>
          <w:sz w:val="32"/>
          <w:szCs w:val="32"/>
          <w:highlight w:val="none"/>
        </w:rPr>
        <w:t>2026年</w:t>
      </w:r>
      <w:r>
        <w:rPr>
          <w:rFonts w:hint="eastAsia" w:ascii="宋体" w:hAnsi="宋体" w:cs="宋体"/>
          <w:b/>
          <w:color w:val="auto"/>
          <w:sz w:val="32"/>
          <w:szCs w:val="32"/>
          <w:highlight w:val="none"/>
          <w:lang w:val="en-US" w:eastAsia="zh-CN"/>
        </w:rPr>
        <w:t>9</w:t>
      </w:r>
      <w:r>
        <w:rPr>
          <w:rFonts w:hint="eastAsia" w:ascii="宋体" w:hAnsi="宋体" w:cs="宋体"/>
          <w:b/>
          <w:color w:val="auto"/>
          <w:sz w:val="32"/>
          <w:szCs w:val="32"/>
          <w:highlight w:val="none"/>
        </w:rPr>
        <w:t>月</w:t>
      </w:r>
    </w:p>
    <w:p w14:paraId="3AFD8088">
      <w:pPr>
        <w:pStyle w:val="20"/>
        <w:snapToGrid w:val="0"/>
        <w:spacing w:line="360" w:lineRule="auto"/>
        <w:jc w:val="center"/>
        <w:rPr>
          <w:rFonts w:hAnsi="宋体" w:cs="Adobe 黑体 Std R"/>
          <w:color w:val="auto"/>
          <w:sz w:val="44"/>
          <w:szCs w:val="24"/>
          <w:highlight w:val="none"/>
        </w:rPr>
      </w:pPr>
      <w:r>
        <w:rPr>
          <w:rFonts w:hAnsi="宋体" w:cs="Adobe 黑体 Std R"/>
          <w:color w:val="auto"/>
          <w:sz w:val="44"/>
          <w:szCs w:val="24"/>
          <w:highlight w:val="none"/>
        </w:rPr>
        <w:br w:type="page"/>
      </w:r>
      <w:r>
        <w:rPr>
          <w:rFonts w:hint="eastAsia" w:hAnsi="宋体" w:cs="Adobe 黑体 Std R"/>
          <w:color w:val="auto"/>
          <w:sz w:val="44"/>
          <w:szCs w:val="24"/>
          <w:highlight w:val="none"/>
        </w:rPr>
        <w:t>目  录</w:t>
      </w:r>
    </w:p>
    <w:p w14:paraId="1F77B451">
      <w:pPr>
        <w:pStyle w:val="27"/>
        <w:tabs>
          <w:tab w:val="right" w:leader="dot" w:pos="9638"/>
        </w:tabs>
        <w:rPr>
          <w:color w:val="auto"/>
          <w:sz w:val="28"/>
          <w:szCs w:val="28"/>
          <w:highlight w:val="none"/>
        </w:rPr>
      </w:pPr>
      <w:r>
        <w:rPr>
          <w:rFonts w:ascii="宋体" w:hAnsi="宋体"/>
          <w:b/>
          <w:color w:val="auto"/>
          <w:sz w:val="28"/>
          <w:szCs w:val="28"/>
          <w:highlight w:val="none"/>
        </w:rPr>
        <w:fldChar w:fldCharType="begin"/>
      </w:r>
      <w:r>
        <w:rPr>
          <w:rFonts w:ascii="宋体" w:hAnsi="宋体"/>
          <w:b/>
          <w:color w:val="auto"/>
          <w:sz w:val="28"/>
          <w:szCs w:val="28"/>
          <w:highlight w:val="none"/>
        </w:rPr>
        <w:instrText xml:space="preserve"> TOC \o "1-3" \h \z \u </w:instrText>
      </w:r>
      <w:r>
        <w:rPr>
          <w:rFonts w:ascii="宋体" w:hAnsi="宋体"/>
          <w:b/>
          <w:color w:val="auto"/>
          <w:sz w:val="28"/>
          <w:szCs w:val="28"/>
          <w:highlight w:val="none"/>
        </w:rPr>
        <w:fldChar w:fldCharType="separate"/>
      </w:r>
      <w:r>
        <w:rPr>
          <w:color w:val="auto"/>
          <w:highlight w:val="none"/>
        </w:rPr>
        <w:fldChar w:fldCharType="begin"/>
      </w:r>
      <w:r>
        <w:rPr>
          <w:color w:val="auto"/>
          <w:highlight w:val="none"/>
        </w:rPr>
        <w:instrText xml:space="preserve"> HYPERLINK \l "_Toc8698" </w:instrText>
      </w:r>
      <w:r>
        <w:rPr>
          <w:color w:val="auto"/>
          <w:highlight w:val="none"/>
        </w:rPr>
        <w:fldChar w:fldCharType="separate"/>
      </w:r>
      <w:r>
        <w:rPr>
          <w:rFonts w:hint="eastAsia" w:ascii="宋体" w:hAnsi="宋体"/>
          <w:color w:val="auto"/>
          <w:sz w:val="28"/>
          <w:szCs w:val="28"/>
          <w:highlight w:val="none"/>
        </w:rPr>
        <w:t>第一章竞争性谈判公告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_Toc8698 \h </w:instrText>
      </w:r>
      <w:r>
        <w:rPr>
          <w:color w:val="auto"/>
          <w:sz w:val="28"/>
          <w:szCs w:val="28"/>
          <w:highlight w:val="none"/>
        </w:rPr>
        <w:fldChar w:fldCharType="separate"/>
      </w:r>
      <w:r>
        <w:rPr>
          <w:color w:val="auto"/>
          <w:sz w:val="28"/>
          <w:szCs w:val="28"/>
          <w:highlight w:val="none"/>
        </w:rPr>
        <w:t>3</w:t>
      </w:r>
      <w:r>
        <w:rPr>
          <w:color w:val="auto"/>
          <w:sz w:val="28"/>
          <w:szCs w:val="28"/>
          <w:highlight w:val="none"/>
        </w:rPr>
        <w:fldChar w:fldCharType="end"/>
      </w:r>
      <w:r>
        <w:rPr>
          <w:color w:val="auto"/>
          <w:sz w:val="28"/>
          <w:szCs w:val="28"/>
          <w:highlight w:val="none"/>
        </w:rPr>
        <w:fldChar w:fldCharType="end"/>
      </w:r>
    </w:p>
    <w:p w14:paraId="57A4D009">
      <w:pPr>
        <w:pStyle w:val="27"/>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"_Toc13853" </w:instrText>
      </w:r>
      <w:r>
        <w:rPr>
          <w:color w:val="auto"/>
          <w:highlight w:val="none"/>
        </w:rPr>
        <w:fldChar w:fldCharType="separate"/>
      </w:r>
      <w:r>
        <w:rPr>
          <w:rFonts w:hint="eastAsia" w:ascii="宋体" w:hAnsi="宋体"/>
          <w:bCs/>
          <w:color w:val="auto"/>
          <w:sz w:val="28"/>
          <w:szCs w:val="28"/>
          <w:highlight w:val="none"/>
        </w:rPr>
        <w:t>第二章 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_Toc13853 \h </w:instrText>
      </w:r>
      <w:r>
        <w:rPr>
          <w:color w:val="auto"/>
          <w:sz w:val="28"/>
          <w:szCs w:val="28"/>
          <w:highlight w:val="none"/>
        </w:rPr>
        <w:fldChar w:fldCharType="separate"/>
      </w:r>
      <w:r>
        <w:rPr>
          <w:color w:val="auto"/>
          <w:sz w:val="28"/>
          <w:szCs w:val="28"/>
          <w:highlight w:val="none"/>
        </w:rPr>
        <w:t>6</w:t>
      </w:r>
      <w:r>
        <w:rPr>
          <w:color w:val="auto"/>
          <w:sz w:val="28"/>
          <w:szCs w:val="28"/>
          <w:highlight w:val="none"/>
        </w:rPr>
        <w:fldChar w:fldCharType="end"/>
      </w:r>
      <w:r>
        <w:rPr>
          <w:color w:val="auto"/>
          <w:sz w:val="28"/>
          <w:szCs w:val="28"/>
          <w:highlight w:val="none"/>
        </w:rPr>
        <w:fldChar w:fldCharType="end"/>
      </w:r>
    </w:p>
    <w:p w14:paraId="4BE8DD29">
      <w:pPr>
        <w:pStyle w:val="27"/>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"_Toc9868" </w:instrText>
      </w:r>
      <w:r>
        <w:rPr>
          <w:color w:val="auto"/>
          <w:highlight w:val="none"/>
        </w:rPr>
        <w:fldChar w:fldCharType="separate"/>
      </w:r>
      <w:r>
        <w:rPr>
          <w:rFonts w:hint="eastAsia" w:ascii="宋体" w:hAnsi="宋体"/>
          <w:color w:val="auto"/>
          <w:sz w:val="28"/>
          <w:szCs w:val="28"/>
          <w:highlight w:val="none"/>
        </w:rPr>
        <w:t>第三章  采购需求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_Toc9868 \h </w:instrText>
      </w:r>
      <w:r>
        <w:rPr>
          <w:color w:val="auto"/>
          <w:sz w:val="28"/>
          <w:szCs w:val="28"/>
          <w:highlight w:val="none"/>
        </w:rPr>
        <w:fldChar w:fldCharType="separate"/>
      </w:r>
      <w:r>
        <w:rPr>
          <w:color w:val="auto"/>
          <w:sz w:val="28"/>
          <w:szCs w:val="28"/>
          <w:highlight w:val="none"/>
        </w:rPr>
        <w:t>27</w:t>
      </w:r>
      <w:r>
        <w:rPr>
          <w:color w:val="auto"/>
          <w:sz w:val="28"/>
          <w:szCs w:val="28"/>
          <w:highlight w:val="none"/>
        </w:rPr>
        <w:fldChar w:fldCharType="end"/>
      </w:r>
      <w:r>
        <w:rPr>
          <w:color w:val="auto"/>
          <w:sz w:val="28"/>
          <w:szCs w:val="28"/>
          <w:highlight w:val="none"/>
        </w:rPr>
        <w:fldChar w:fldCharType="end"/>
      </w:r>
    </w:p>
    <w:p w14:paraId="7CFEDD54">
      <w:pPr>
        <w:pStyle w:val="27"/>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"_Toc8893" </w:instrText>
      </w:r>
      <w:r>
        <w:rPr>
          <w:color w:val="auto"/>
          <w:highlight w:val="none"/>
        </w:rPr>
        <w:fldChar w:fldCharType="separate"/>
      </w:r>
      <w:r>
        <w:rPr>
          <w:rFonts w:hint="eastAsia" w:ascii="宋体" w:hAnsi="宋体"/>
          <w:color w:val="auto"/>
          <w:sz w:val="28"/>
          <w:szCs w:val="28"/>
          <w:highlight w:val="none"/>
        </w:rPr>
        <w:t>第四章 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_Toc8893 \h </w:instrText>
      </w:r>
      <w:r>
        <w:rPr>
          <w:color w:val="auto"/>
          <w:sz w:val="28"/>
          <w:szCs w:val="28"/>
          <w:highlight w:val="none"/>
        </w:rPr>
        <w:fldChar w:fldCharType="separate"/>
      </w:r>
      <w:r>
        <w:rPr>
          <w:color w:val="auto"/>
          <w:sz w:val="28"/>
          <w:szCs w:val="28"/>
          <w:highlight w:val="none"/>
        </w:rPr>
        <w:t>40</w:t>
      </w:r>
      <w:r>
        <w:rPr>
          <w:color w:val="auto"/>
          <w:sz w:val="28"/>
          <w:szCs w:val="28"/>
          <w:highlight w:val="none"/>
        </w:rPr>
        <w:fldChar w:fldCharType="end"/>
      </w:r>
      <w:r>
        <w:rPr>
          <w:color w:val="auto"/>
          <w:sz w:val="28"/>
          <w:szCs w:val="28"/>
          <w:highlight w:val="none"/>
        </w:rPr>
        <w:fldChar w:fldCharType="end"/>
      </w:r>
    </w:p>
    <w:p w14:paraId="314AD040">
      <w:pPr>
        <w:pStyle w:val="27"/>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"_Toc19961" </w:instrText>
      </w:r>
      <w:r>
        <w:rPr>
          <w:color w:val="auto"/>
          <w:highlight w:val="none"/>
        </w:rPr>
        <w:fldChar w:fldCharType="separate"/>
      </w:r>
      <w:r>
        <w:rPr>
          <w:rFonts w:hint="eastAsia" w:ascii="宋体" w:hAnsi="宋体"/>
          <w:color w:val="auto"/>
          <w:sz w:val="28"/>
          <w:szCs w:val="28"/>
          <w:highlight w:val="none"/>
        </w:rPr>
        <w:t>第五章 合同主要（基本条款）</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_Toc19961 \h </w:instrText>
      </w:r>
      <w:r>
        <w:rPr>
          <w:color w:val="auto"/>
          <w:sz w:val="28"/>
          <w:szCs w:val="28"/>
          <w:highlight w:val="none"/>
        </w:rPr>
        <w:fldChar w:fldCharType="separate"/>
      </w:r>
      <w:r>
        <w:rPr>
          <w:color w:val="auto"/>
          <w:sz w:val="28"/>
          <w:szCs w:val="28"/>
          <w:highlight w:val="none"/>
        </w:rPr>
        <w:t>62</w:t>
      </w:r>
      <w:r>
        <w:rPr>
          <w:color w:val="auto"/>
          <w:sz w:val="28"/>
          <w:szCs w:val="28"/>
          <w:highlight w:val="none"/>
        </w:rPr>
        <w:fldChar w:fldCharType="end"/>
      </w:r>
      <w:r>
        <w:rPr>
          <w:color w:val="auto"/>
          <w:sz w:val="28"/>
          <w:szCs w:val="28"/>
          <w:highlight w:val="none"/>
        </w:rPr>
        <w:fldChar w:fldCharType="end"/>
      </w:r>
    </w:p>
    <w:p w14:paraId="2F2C3119">
      <w:pPr>
        <w:pStyle w:val="27"/>
        <w:tabs>
          <w:tab w:val="right" w:leader="dot" w:pos="9638"/>
        </w:tabs>
        <w:rPr>
          <w:color w:val="auto"/>
          <w:sz w:val="28"/>
          <w:szCs w:val="28"/>
          <w:highlight w:val="none"/>
        </w:rPr>
      </w:pPr>
      <w:r>
        <w:rPr>
          <w:color w:val="auto"/>
          <w:highlight w:val="none"/>
        </w:rPr>
        <w:fldChar w:fldCharType="begin"/>
      </w:r>
      <w:r>
        <w:rPr>
          <w:color w:val="auto"/>
          <w:highlight w:val="none"/>
        </w:rPr>
        <w:instrText xml:space="preserve"> HYPERLINK \l "_Toc4437" </w:instrText>
      </w:r>
      <w:r>
        <w:rPr>
          <w:color w:val="auto"/>
          <w:highlight w:val="none"/>
        </w:rPr>
        <w:fldChar w:fldCharType="separate"/>
      </w:r>
      <w:r>
        <w:rPr>
          <w:rFonts w:hint="eastAsia" w:ascii="宋体" w:hAnsi="宋体"/>
          <w:color w:val="auto"/>
          <w:sz w:val="28"/>
          <w:szCs w:val="28"/>
          <w:highlight w:val="none"/>
        </w:rPr>
        <w:t>第六章 评审办法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_Toc4437 \h </w:instrText>
      </w:r>
      <w:r>
        <w:rPr>
          <w:color w:val="auto"/>
          <w:sz w:val="28"/>
          <w:szCs w:val="28"/>
          <w:highlight w:val="none"/>
        </w:rPr>
        <w:fldChar w:fldCharType="separate"/>
      </w:r>
      <w:r>
        <w:rPr>
          <w:color w:val="auto"/>
          <w:sz w:val="28"/>
          <w:szCs w:val="28"/>
          <w:highlight w:val="none"/>
        </w:rPr>
        <w:t>67</w:t>
      </w:r>
      <w:r>
        <w:rPr>
          <w:color w:val="auto"/>
          <w:sz w:val="28"/>
          <w:szCs w:val="28"/>
          <w:highlight w:val="none"/>
        </w:rPr>
        <w:fldChar w:fldCharType="end"/>
      </w:r>
      <w:r>
        <w:rPr>
          <w:color w:val="auto"/>
          <w:sz w:val="28"/>
          <w:szCs w:val="28"/>
          <w:highlight w:val="none"/>
        </w:rPr>
        <w:fldChar w:fldCharType="end"/>
      </w:r>
    </w:p>
    <w:p w14:paraId="239E69C5">
      <w:pPr>
        <w:rPr>
          <w:rFonts w:ascii="宋体" w:hAnsi="宋体"/>
          <w:color w:val="auto"/>
          <w:sz w:val="28"/>
          <w:szCs w:val="28"/>
          <w:highlight w:val="none"/>
        </w:rPr>
      </w:pPr>
      <w:r>
        <w:rPr>
          <w:rFonts w:ascii="宋体" w:hAnsi="宋体"/>
          <w:color w:val="auto"/>
          <w:sz w:val="28"/>
          <w:szCs w:val="28"/>
          <w:highlight w:val="none"/>
        </w:rPr>
        <w:fldChar w:fldCharType="end"/>
      </w:r>
    </w:p>
    <w:p w14:paraId="4882E53E">
      <w:pPr>
        <w:pStyle w:val="20"/>
        <w:snapToGrid w:val="0"/>
        <w:spacing w:line="360" w:lineRule="auto"/>
        <w:jc w:val="center"/>
        <w:rPr>
          <w:rFonts w:hAnsi="宋体" w:cs="Adobe 黑体 Std R"/>
          <w:color w:val="auto"/>
          <w:sz w:val="44"/>
          <w:szCs w:val="24"/>
          <w:highlight w:val="none"/>
        </w:rPr>
      </w:pPr>
    </w:p>
    <w:p w14:paraId="5907A8B7">
      <w:pPr>
        <w:ind w:left="-2"/>
        <w:jc w:val="left"/>
        <w:rPr>
          <w:rFonts w:ascii="宋体" w:hAnsi="宋体" w:cs="Adobe 黑体 Std R"/>
          <w:color w:val="auto"/>
          <w:sz w:val="32"/>
          <w:highlight w:val="none"/>
        </w:rPr>
      </w:pPr>
    </w:p>
    <w:p w14:paraId="03E8A28A">
      <w:pPr>
        <w:jc w:val="center"/>
        <w:rPr>
          <w:rFonts w:ascii="宋体" w:hAnsi="宋体"/>
          <w:b/>
          <w:color w:val="auto"/>
          <w:sz w:val="32"/>
          <w:highlight w:val="none"/>
        </w:rPr>
      </w:pPr>
    </w:p>
    <w:p w14:paraId="7AC83478">
      <w:pPr>
        <w:jc w:val="center"/>
        <w:rPr>
          <w:rFonts w:ascii="宋体" w:hAnsi="宋体"/>
          <w:b/>
          <w:color w:val="auto"/>
          <w:sz w:val="32"/>
          <w:highlight w:val="none"/>
        </w:rPr>
      </w:pPr>
    </w:p>
    <w:p w14:paraId="73BCD424">
      <w:pPr>
        <w:jc w:val="center"/>
        <w:rPr>
          <w:rFonts w:ascii="宋体" w:hAnsi="宋体"/>
          <w:b/>
          <w:color w:val="auto"/>
          <w:sz w:val="32"/>
          <w:highlight w:val="none"/>
        </w:rPr>
      </w:pPr>
    </w:p>
    <w:p w14:paraId="63111DB6">
      <w:pPr>
        <w:jc w:val="center"/>
        <w:rPr>
          <w:rFonts w:ascii="宋体" w:hAnsi="宋体"/>
          <w:b/>
          <w:color w:val="auto"/>
          <w:sz w:val="32"/>
          <w:highlight w:val="none"/>
        </w:rPr>
      </w:pPr>
    </w:p>
    <w:p w14:paraId="3FA4BBB5">
      <w:pPr>
        <w:jc w:val="center"/>
        <w:rPr>
          <w:rFonts w:ascii="宋体" w:hAnsi="宋体"/>
          <w:b/>
          <w:color w:val="auto"/>
          <w:sz w:val="32"/>
          <w:highlight w:val="none"/>
        </w:rPr>
      </w:pPr>
    </w:p>
    <w:p w14:paraId="6A2AEA66">
      <w:pPr>
        <w:jc w:val="center"/>
        <w:rPr>
          <w:rFonts w:ascii="宋体" w:hAnsi="宋体"/>
          <w:b/>
          <w:color w:val="auto"/>
          <w:sz w:val="32"/>
          <w:highlight w:val="none"/>
        </w:rPr>
      </w:pPr>
    </w:p>
    <w:p w14:paraId="49779824">
      <w:pPr>
        <w:jc w:val="center"/>
        <w:rPr>
          <w:rFonts w:ascii="宋体" w:hAnsi="宋体"/>
          <w:b/>
          <w:color w:val="auto"/>
          <w:sz w:val="32"/>
          <w:highlight w:val="none"/>
        </w:rPr>
      </w:pPr>
    </w:p>
    <w:p w14:paraId="32570876">
      <w:pPr>
        <w:jc w:val="center"/>
        <w:rPr>
          <w:rFonts w:ascii="宋体" w:hAnsi="宋体"/>
          <w:b/>
          <w:color w:val="auto"/>
          <w:sz w:val="32"/>
          <w:highlight w:val="none"/>
        </w:rPr>
      </w:pPr>
    </w:p>
    <w:p w14:paraId="28695AD4">
      <w:pPr>
        <w:jc w:val="center"/>
        <w:rPr>
          <w:rFonts w:ascii="宋体" w:hAnsi="宋体"/>
          <w:b/>
          <w:color w:val="auto"/>
          <w:sz w:val="32"/>
          <w:highlight w:val="none"/>
        </w:rPr>
      </w:pPr>
    </w:p>
    <w:p w14:paraId="3787BD99">
      <w:pPr>
        <w:jc w:val="center"/>
        <w:rPr>
          <w:rFonts w:ascii="宋体" w:hAnsi="宋体"/>
          <w:b/>
          <w:color w:val="auto"/>
          <w:sz w:val="32"/>
          <w:highlight w:val="none"/>
        </w:rPr>
      </w:pPr>
    </w:p>
    <w:p w14:paraId="16E7E6DB">
      <w:pPr>
        <w:jc w:val="center"/>
        <w:rPr>
          <w:rFonts w:ascii="宋体" w:hAnsi="宋体"/>
          <w:b/>
          <w:color w:val="auto"/>
          <w:sz w:val="32"/>
          <w:highlight w:val="none"/>
        </w:rPr>
      </w:pPr>
    </w:p>
    <w:p w14:paraId="09D4FD6C">
      <w:pPr>
        <w:pStyle w:val="2"/>
        <w:spacing w:line="360" w:lineRule="exact"/>
        <w:rPr>
          <w:rFonts w:ascii="宋体" w:hAnsi="宋体"/>
          <w:color w:val="auto"/>
          <w:sz w:val="24"/>
          <w:highlight w:val="none"/>
        </w:rPr>
      </w:pPr>
      <w:bookmarkStart w:id="4" w:name="_Toc8698"/>
      <w:r>
        <w:rPr>
          <w:rFonts w:hint="eastAsia" w:ascii="宋体" w:hAnsi="宋体"/>
          <w:color w:val="auto"/>
          <w:highlight w:val="none"/>
        </w:rPr>
        <w:t>第一章</w:t>
      </w:r>
      <w:r>
        <w:rPr>
          <w:rFonts w:hint="eastAsia" w:ascii="宋体" w:hAnsi="宋体"/>
          <w:color w:val="auto"/>
          <w:szCs w:val="32"/>
          <w:highlight w:val="none"/>
        </w:rPr>
        <w:t>竞争性谈判公告</w:t>
      </w:r>
      <w:bookmarkEnd w:id="4"/>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4868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trPr>
        <w:tc>
          <w:tcPr>
            <w:tcW w:w="9854" w:type="dxa"/>
          </w:tcPr>
          <w:p w14:paraId="7E0BDA65">
            <w:pPr>
              <w:pStyle w:val="32"/>
              <w:widowControl/>
              <w:spacing w:beforeAutospacing="0" w:afterAutospacing="0" w:line="360" w:lineRule="exact"/>
              <w:rPr>
                <w:rFonts w:ascii="宋体" w:hAnsi="宋体" w:cs="宋体"/>
                <w:color w:val="auto"/>
                <w:sz w:val="21"/>
                <w:szCs w:val="21"/>
                <w:highlight w:val="none"/>
              </w:rPr>
            </w:pPr>
            <w:r>
              <w:rPr>
                <w:rFonts w:hint="eastAsia" w:ascii="宋体" w:hAnsi="宋体" w:cs="宋体"/>
                <w:color w:val="auto"/>
                <w:sz w:val="21"/>
                <w:szCs w:val="21"/>
                <w:highlight w:val="none"/>
              </w:rPr>
              <w:t>项目概况</w:t>
            </w:r>
          </w:p>
          <w:p w14:paraId="010D01F5">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lang w:eastAsia="zh-CN"/>
              </w:rPr>
              <w:t>2026年第一批自治区地震灾后恢复重建—柳太路路灯修复材料采购-LED灯具、电器材料采购</w:t>
            </w:r>
            <w:r>
              <w:rPr>
                <w:rFonts w:hint="eastAsia" w:ascii="宋体" w:hAnsi="宋体" w:cs="宋体"/>
                <w:color w:val="auto"/>
                <w:sz w:val="21"/>
                <w:szCs w:val="21"/>
                <w:highlight w:val="none"/>
              </w:rPr>
              <w:t>采购项目的潜在供应商应在广西政府采购云平台（https://www.gcy.zfcg.gxzf.gov.cn/）获取采购文件，并于2026年</w:t>
            </w:r>
            <w:r>
              <w:rPr>
                <w:rFonts w:hint="eastAsia" w:ascii="宋体" w:hAnsi="宋体" w:cs="宋体"/>
                <w:color w:val="auto"/>
                <w:sz w:val="21"/>
                <w:szCs w:val="21"/>
                <w:highlight w:val="none"/>
                <w:lang w:eastAsia="zh-CN"/>
              </w:rPr>
              <w:t>10月</w:t>
            </w:r>
            <w:r>
              <w:rPr>
                <w:rFonts w:hint="eastAsia" w:ascii="宋体" w:hAnsi="宋体" w:cs="宋体"/>
                <w:color w:val="auto"/>
                <w:sz w:val="21"/>
                <w:szCs w:val="21"/>
                <w:highlight w:val="none"/>
                <w:lang w:val="en-US" w:eastAsia="zh-CN"/>
              </w:rPr>
              <w:t>16</w:t>
            </w:r>
            <w:r>
              <w:rPr>
                <w:rFonts w:hint="eastAsia" w:ascii="宋体" w:hAnsi="宋体" w:cs="宋体"/>
                <w:color w:val="auto"/>
                <w:sz w:val="21"/>
                <w:szCs w:val="21"/>
                <w:highlight w:val="none"/>
                <w:lang w:eastAsia="zh-CN"/>
              </w:rPr>
              <w:t>日</w:t>
            </w:r>
            <w:r>
              <w:rPr>
                <w:rFonts w:hint="eastAsia" w:ascii="宋体" w:hAnsi="宋体" w:cs="宋体"/>
                <w:color w:val="auto"/>
                <w:sz w:val="21"/>
                <w:szCs w:val="21"/>
                <w:highlight w:val="none"/>
              </w:rPr>
              <w:t xml:space="preserve"> 09:20（北京时间）前提交响应文件。</w:t>
            </w:r>
          </w:p>
        </w:tc>
      </w:tr>
    </w:tbl>
    <w:p w14:paraId="6D2E5495">
      <w:pPr>
        <w:pStyle w:val="32"/>
        <w:widowControl/>
        <w:spacing w:beforeAutospacing="0" w:afterAutospacing="0" w:line="360" w:lineRule="exact"/>
        <w:rPr>
          <w:rFonts w:ascii="宋体" w:hAnsi="宋体" w:cs="宋体"/>
          <w:color w:val="auto"/>
          <w:sz w:val="21"/>
          <w:szCs w:val="21"/>
          <w:highlight w:val="none"/>
        </w:rPr>
      </w:pPr>
      <w:r>
        <w:rPr>
          <w:rFonts w:hint="eastAsia" w:ascii="宋体" w:hAnsi="宋体" w:cs="宋体"/>
          <w:color w:val="auto"/>
          <w:sz w:val="21"/>
          <w:szCs w:val="21"/>
          <w:highlight w:val="none"/>
        </w:rPr>
        <w:t xml:space="preserve">   </w:t>
      </w:r>
      <w:r>
        <w:rPr>
          <w:rStyle w:val="39"/>
          <w:rFonts w:hint="eastAsia" w:ascii="宋体" w:hAnsi="宋体" w:cs="宋体"/>
          <w:color w:val="auto"/>
          <w:sz w:val="21"/>
          <w:szCs w:val="21"/>
          <w:highlight w:val="none"/>
        </w:rPr>
        <w:t>一、项目基本情况</w:t>
      </w:r>
      <w:r>
        <w:rPr>
          <w:rFonts w:hint="eastAsia" w:ascii="宋体" w:hAnsi="宋体" w:cs="宋体"/>
          <w:color w:val="auto"/>
          <w:sz w:val="21"/>
          <w:szCs w:val="21"/>
          <w:highlight w:val="none"/>
        </w:rPr>
        <w:t>                                            </w:t>
      </w:r>
    </w:p>
    <w:p w14:paraId="7193668F">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项目编号：</w:t>
      </w:r>
      <w:r>
        <w:rPr>
          <w:rFonts w:hint="eastAsia" w:ascii="宋体" w:hAnsi="宋体" w:cs="宋体"/>
          <w:color w:val="auto"/>
          <w:sz w:val="21"/>
          <w:szCs w:val="21"/>
          <w:highlight w:val="none"/>
          <w:lang w:eastAsia="zh-CN"/>
        </w:rPr>
        <w:t>LZZC2026-J1-990704-GXDY</w:t>
      </w:r>
      <w:r>
        <w:rPr>
          <w:rFonts w:hint="eastAsia" w:ascii="宋体" w:hAnsi="宋体" w:cs="宋体"/>
          <w:color w:val="auto"/>
          <w:sz w:val="21"/>
          <w:szCs w:val="21"/>
          <w:highlight w:val="none"/>
        </w:rPr>
        <w:t> </w:t>
      </w:r>
    </w:p>
    <w:p w14:paraId="5A05CB4E">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项目名称：</w:t>
      </w:r>
      <w:r>
        <w:rPr>
          <w:rFonts w:hint="eastAsia" w:ascii="宋体" w:hAnsi="宋体" w:cs="宋体"/>
          <w:color w:val="auto"/>
          <w:sz w:val="21"/>
          <w:szCs w:val="21"/>
          <w:highlight w:val="none"/>
          <w:lang w:eastAsia="zh-CN"/>
        </w:rPr>
        <w:t>2026年第一批自治区地震灾后恢复重建—柳太路路灯修复材料采购-LED灯具、电器材料采购</w:t>
      </w:r>
      <w:r>
        <w:rPr>
          <w:rFonts w:hint="eastAsia" w:ascii="宋体" w:hAnsi="宋体" w:cs="宋体"/>
          <w:color w:val="auto"/>
          <w:sz w:val="21"/>
          <w:szCs w:val="21"/>
          <w:highlight w:val="none"/>
        </w:rPr>
        <w:t> </w:t>
      </w:r>
    </w:p>
    <w:p w14:paraId="02F9FE32">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采购方式：竞争性谈判 </w:t>
      </w:r>
    </w:p>
    <w:p w14:paraId="271972E8">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预算总金额（元）：</w:t>
      </w:r>
      <w:r>
        <w:rPr>
          <w:rFonts w:hint="eastAsia" w:ascii="宋体" w:hAnsi="宋体" w:cs="宋体"/>
          <w:color w:val="auto"/>
          <w:sz w:val="21"/>
          <w:szCs w:val="21"/>
          <w:highlight w:val="none"/>
          <w:lang w:val="en-US" w:eastAsia="zh-CN"/>
        </w:rPr>
        <w:t>56810</w:t>
      </w:r>
      <w:r>
        <w:rPr>
          <w:rFonts w:hint="eastAsia" w:ascii="宋体" w:hAnsi="宋体" w:cs="宋体"/>
          <w:color w:val="auto"/>
          <w:sz w:val="21"/>
          <w:szCs w:val="21"/>
          <w:highlight w:val="none"/>
        </w:rPr>
        <w:t> </w:t>
      </w:r>
    </w:p>
    <w:p w14:paraId="4284BB62">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采购需求：</w:t>
      </w:r>
    </w:p>
    <w:p w14:paraId="2B2615EB">
      <w:pPr>
        <w:pStyle w:val="32"/>
        <w:widowControl/>
        <w:spacing w:beforeAutospacing="0" w:afterAutospacing="0" w:line="36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标项</w:t>
      </w:r>
      <w:r>
        <w:rPr>
          <w:rFonts w:hint="eastAsia" w:ascii="宋体" w:hAnsi="宋体" w:cs="宋体"/>
          <w:color w:val="auto"/>
          <w:sz w:val="21"/>
          <w:szCs w:val="21"/>
          <w:highlight w:val="none"/>
          <w:lang w:val="en-US" w:eastAsia="zh-CN"/>
        </w:rPr>
        <w:t>一</w:t>
      </w:r>
    </w:p>
    <w:p w14:paraId="14337D0B">
      <w:pPr>
        <w:pStyle w:val="32"/>
        <w:widowControl/>
        <w:spacing w:beforeAutospacing="0" w:afterAutospacing="0" w:line="36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标项名称:分标2</w:t>
      </w:r>
      <w:r>
        <w:rPr>
          <w:rFonts w:hint="eastAsia" w:ascii="宋体" w:hAnsi="宋体" w:cs="宋体"/>
          <w:color w:val="auto"/>
          <w:sz w:val="21"/>
          <w:szCs w:val="21"/>
          <w:highlight w:val="none"/>
          <w:lang w:val="en-US" w:eastAsia="zh-CN"/>
        </w:rPr>
        <w:t>-LED灯具、电器材料采购</w:t>
      </w:r>
    </w:p>
    <w:p w14:paraId="2860DF43">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数量:不限</w:t>
      </w:r>
    </w:p>
    <w:p w14:paraId="1D0024EB">
      <w:pPr>
        <w:pStyle w:val="32"/>
        <w:widowControl/>
        <w:spacing w:beforeAutospacing="0" w:afterAutospacing="0" w:line="360" w:lineRule="exact"/>
        <w:ind w:firstLine="420"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预算金额（元）:</w:t>
      </w:r>
      <w:r>
        <w:rPr>
          <w:rFonts w:hint="eastAsia" w:ascii="宋体" w:hAnsi="宋体" w:cs="宋体"/>
          <w:color w:val="auto"/>
          <w:sz w:val="21"/>
          <w:szCs w:val="21"/>
          <w:highlight w:val="none"/>
          <w:lang w:val="en-US" w:eastAsia="zh-CN"/>
        </w:rPr>
        <w:t>56810</w:t>
      </w:r>
    </w:p>
    <w:p w14:paraId="23A90683">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简要规格描述或项目基本概况介绍、用途：</w:t>
      </w:r>
      <w:r>
        <w:rPr>
          <w:rFonts w:hint="eastAsia" w:ascii="宋体" w:hAnsi="宋体" w:cs="宋体"/>
          <w:color w:val="auto"/>
          <w:sz w:val="21"/>
          <w:szCs w:val="21"/>
          <w:highlight w:val="none"/>
          <w:lang w:eastAsia="zh-CN"/>
        </w:rPr>
        <w:t>2026年第一批自治区地震灾后恢复重建—柳太路路灯修复材料采购-LED灯具、电器材料采购</w:t>
      </w:r>
      <w:r>
        <w:rPr>
          <w:rFonts w:hint="eastAsia" w:ascii="宋体" w:hAnsi="宋体" w:cs="宋体"/>
          <w:color w:val="auto"/>
          <w:sz w:val="21"/>
          <w:szCs w:val="21"/>
          <w:highlight w:val="none"/>
        </w:rPr>
        <w:t>一项，具体内容见竞争性谈判文件第三章《采购需求》。</w:t>
      </w:r>
    </w:p>
    <w:p w14:paraId="06DE6835">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最高限价（如有）：</w:t>
      </w:r>
      <w:r>
        <w:rPr>
          <w:rFonts w:hint="eastAsia" w:ascii="宋体" w:hAnsi="宋体" w:cs="宋体"/>
          <w:color w:val="auto"/>
          <w:sz w:val="21"/>
          <w:szCs w:val="21"/>
          <w:highlight w:val="none"/>
          <w:lang w:val="en-US" w:eastAsia="zh-CN"/>
        </w:rPr>
        <w:t>56810</w:t>
      </w:r>
      <w:r>
        <w:rPr>
          <w:rFonts w:hint="eastAsia" w:ascii="宋体" w:hAnsi="宋体" w:cs="宋体"/>
          <w:color w:val="auto"/>
          <w:sz w:val="21"/>
          <w:szCs w:val="21"/>
          <w:highlight w:val="none"/>
        </w:rPr>
        <w:t>  </w:t>
      </w:r>
    </w:p>
    <w:p w14:paraId="37218755">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合同履约期限：自签订合同之日起一年。本项目非一次性供货，按采购人实际需求分批供应。</w:t>
      </w:r>
    </w:p>
    <w:p w14:paraId="0C7F569A">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本项目（否）接受联合体投标</w:t>
      </w:r>
    </w:p>
    <w:p w14:paraId="7305B429">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备注：</w:t>
      </w:r>
    </w:p>
    <w:p w14:paraId="703ADDC7">
      <w:pPr>
        <w:pStyle w:val="32"/>
        <w:widowControl/>
        <w:spacing w:beforeAutospacing="0" w:afterAutospacing="0" w:line="360" w:lineRule="exact"/>
        <w:ind w:firstLine="422" w:firstLineChars="200"/>
        <w:rPr>
          <w:rFonts w:ascii="宋体" w:hAnsi="宋体" w:cs="宋体"/>
          <w:color w:val="auto"/>
          <w:sz w:val="21"/>
          <w:szCs w:val="21"/>
          <w:highlight w:val="none"/>
        </w:rPr>
      </w:pPr>
      <w:r>
        <w:rPr>
          <w:rStyle w:val="39"/>
          <w:rFonts w:hint="eastAsia" w:ascii="宋体" w:hAnsi="宋体" w:cs="宋体"/>
          <w:color w:val="auto"/>
          <w:sz w:val="21"/>
          <w:szCs w:val="21"/>
          <w:highlight w:val="none"/>
        </w:rPr>
        <w:t>二、申请人的资格要求：</w:t>
      </w:r>
    </w:p>
    <w:p w14:paraId="610FCFA0">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1.满足《中华人民共和国政府采购法》第二十二条规定；</w:t>
      </w:r>
    </w:p>
    <w:p w14:paraId="4C568276">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2.落实政府采购政策需满足的资格要求：分标1：本项目专门面向</w:t>
      </w:r>
      <w:r>
        <w:rPr>
          <w:rFonts w:hint="eastAsia" w:ascii="宋体" w:hAnsi="宋体" w:cs="宋体"/>
          <w:color w:val="auto"/>
          <w:sz w:val="21"/>
          <w:szCs w:val="21"/>
          <w:highlight w:val="none"/>
          <w:lang w:val="en-US" w:eastAsia="zh-CN"/>
        </w:rPr>
        <w:t>中小</w:t>
      </w:r>
      <w:r>
        <w:rPr>
          <w:rFonts w:hint="eastAsia" w:ascii="宋体" w:hAnsi="宋体" w:cs="宋体"/>
          <w:color w:val="auto"/>
          <w:sz w:val="21"/>
          <w:szCs w:val="21"/>
          <w:highlight w:val="none"/>
        </w:rPr>
        <w:t>企业，投标货物生产商须为《关于印发中小企业划型标准规定的通知》（工信部联企业〔2011〕300号）规定的</w:t>
      </w:r>
      <w:r>
        <w:rPr>
          <w:rFonts w:hint="eastAsia" w:ascii="宋体" w:hAnsi="宋体" w:cs="宋体"/>
          <w:color w:val="auto"/>
          <w:sz w:val="21"/>
          <w:szCs w:val="21"/>
          <w:highlight w:val="none"/>
          <w:lang w:eastAsia="zh-CN"/>
        </w:rPr>
        <w:t>工</w:t>
      </w:r>
      <w:r>
        <w:rPr>
          <w:rFonts w:hint="eastAsia" w:ascii="宋体" w:hAnsi="宋体" w:cs="宋体"/>
          <w:color w:val="auto"/>
          <w:sz w:val="21"/>
          <w:szCs w:val="21"/>
          <w:highlight w:val="none"/>
        </w:rPr>
        <w:t>业的</w:t>
      </w:r>
      <w:r>
        <w:rPr>
          <w:rFonts w:hint="eastAsia" w:ascii="宋体" w:hAnsi="宋体" w:cs="宋体"/>
          <w:color w:val="auto"/>
          <w:sz w:val="21"/>
          <w:szCs w:val="21"/>
          <w:highlight w:val="none"/>
          <w:lang w:val="en-US" w:eastAsia="zh-CN"/>
        </w:rPr>
        <w:t>中小</w:t>
      </w:r>
      <w:r>
        <w:rPr>
          <w:rFonts w:hint="eastAsia" w:ascii="宋体" w:hAnsi="宋体" w:cs="宋体"/>
          <w:color w:val="auto"/>
          <w:sz w:val="21"/>
          <w:szCs w:val="21"/>
          <w:highlight w:val="none"/>
        </w:rPr>
        <w:t>企业，或者是《关于政府采购支持监狱企业发展有关问题的通知》(财库[2014]68号)规定的监狱企业，或者是《关于促进残疾人就业政府采购政策的通知》（财库〔2017〕141号）规定的残疾人福利性企业。 </w:t>
      </w:r>
    </w:p>
    <w:p w14:paraId="2DEDF8B1">
      <w:pPr>
        <w:pStyle w:val="32"/>
        <w:widowControl/>
        <w:spacing w:beforeAutospacing="0" w:afterAutospacing="0" w:line="36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3.本项目的特定资格要求：无 </w:t>
      </w:r>
    </w:p>
    <w:p w14:paraId="7814AE10">
      <w:pPr>
        <w:pStyle w:val="32"/>
        <w:widowControl/>
        <w:spacing w:beforeAutospacing="0" w:afterAutospacing="0" w:line="360" w:lineRule="exact"/>
        <w:ind w:firstLine="422" w:firstLineChars="200"/>
        <w:jc w:val="both"/>
        <w:rPr>
          <w:rFonts w:ascii="宋体" w:hAnsi="宋体" w:cs="宋体"/>
          <w:color w:val="auto"/>
          <w:sz w:val="21"/>
          <w:szCs w:val="21"/>
          <w:highlight w:val="none"/>
        </w:rPr>
      </w:pPr>
      <w:r>
        <w:rPr>
          <w:rStyle w:val="39"/>
          <w:rFonts w:hint="eastAsia" w:ascii="宋体" w:hAnsi="宋体" w:cs="宋体"/>
          <w:color w:val="auto"/>
          <w:sz w:val="21"/>
          <w:szCs w:val="21"/>
          <w:highlight w:val="none"/>
        </w:rPr>
        <w:t>三、获取采购文件</w:t>
      </w:r>
    </w:p>
    <w:p w14:paraId="53212CEA">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时间：2026年</w:t>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30</w:t>
      </w:r>
      <w:r>
        <w:rPr>
          <w:rFonts w:hint="eastAsia" w:ascii="宋体" w:hAnsi="宋体" w:cs="宋体"/>
          <w:color w:val="auto"/>
          <w:sz w:val="21"/>
          <w:szCs w:val="21"/>
          <w:highlight w:val="none"/>
        </w:rPr>
        <w:t>日至2026年</w:t>
      </w:r>
      <w:r>
        <w:rPr>
          <w:rFonts w:hint="eastAsia" w:ascii="宋体" w:hAnsi="宋体" w:cs="宋体"/>
          <w:color w:val="auto"/>
          <w:sz w:val="21"/>
          <w:szCs w:val="21"/>
          <w:highlight w:val="none"/>
          <w:lang w:val="en-US" w:eastAsia="zh-CN"/>
        </w:rPr>
        <w:t>10</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10</w:t>
      </w:r>
      <w:r>
        <w:rPr>
          <w:rFonts w:hint="eastAsia" w:ascii="宋体" w:hAnsi="宋体" w:cs="宋体"/>
          <w:color w:val="auto"/>
          <w:sz w:val="21"/>
          <w:szCs w:val="21"/>
          <w:highlight w:val="none"/>
        </w:rPr>
        <w:t>日，每天上午</w:t>
      </w:r>
      <w:r>
        <w:rPr>
          <w:rFonts w:hint="eastAsia" w:ascii="宋体" w:hAnsi="宋体" w:cs="宋体"/>
          <w:color w:val="auto"/>
          <w:sz w:val="21"/>
          <w:szCs w:val="21"/>
          <w:highlight w:val="none"/>
          <w:lang w:val="en-US" w:eastAsia="zh-CN"/>
        </w:rPr>
        <w:t>00</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00</w:t>
      </w:r>
      <w:r>
        <w:rPr>
          <w:rFonts w:hint="eastAsia" w:ascii="宋体" w:hAnsi="宋体" w:cs="宋体"/>
          <w:color w:val="auto"/>
          <w:sz w:val="21"/>
          <w:szCs w:val="21"/>
          <w:highlight w:val="none"/>
        </w:rPr>
        <w:t>至12:00，下午</w:t>
      </w:r>
      <w:r>
        <w:rPr>
          <w:rFonts w:hint="eastAsia" w:ascii="宋体" w:hAnsi="宋体" w:cs="宋体"/>
          <w:color w:val="auto"/>
          <w:sz w:val="21"/>
          <w:szCs w:val="21"/>
          <w:highlight w:val="none"/>
          <w:lang w:val="en-US" w:eastAsia="zh-CN"/>
        </w:rPr>
        <w:t>12</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00</w:t>
      </w:r>
      <w:r>
        <w:rPr>
          <w:rFonts w:hint="eastAsia" w:ascii="宋体" w:hAnsi="宋体" w:cs="宋体"/>
          <w:color w:val="auto"/>
          <w:sz w:val="21"/>
          <w:szCs w:val="21"/>
          <w:highlight w:val="none"/>
        </w:rPr>
        <w:t>至</w:t>
      </w:r>
      <w:r>
        <w:rPr>
          <w:rFonts w:hint="eastAsia" w:ascii="宋体" w:hAnsi="宋体" w:cs="宋体"/>
          <w:color w:val="auto"/>
          <w:sz w:val="21"/>
          <w:szCs w:val="21"/>
          <w:highlight w:val="none"/>
          <w:lang w:val="en-US" w:eastAsia="zh-CN"/>
        </w:rPr>
        <w:t>23</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59</w:t>
      </w:r>
      <w:r>
        <w:rPr>
          <w:rFonts w:hint="eastAsia" w:ascii="宋体" w:hAnsi="宋体" w:cs="宋体"/>
          <w:color w:val="auto"/>
          <w:sz w:val="21"/>
          <w:szCs w:val="21"/>
          <w:highlight w:val="none"/>
        </w:rPr>
        <w:t>（北京时间，法定节假日除外）</w:t>
      </w:r>
    </w:p>
    <w:p w14:paraId="69DF2757">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地点（网址）：</w:t>
      </w:r>
      <w:bookmarkStart w:id="5" w:name="OLE_LINK7"/>
      <w:r>
        <w:rPr>
          <w:rFonts w:hint="eastAsia" w:ascii="宋体" w:hAnsi="宋体" w:cs="宋体"/>
          <w:color w:val="auto"/>
          <w:sz w:val="21"/>
          <w:szCs w:val="21"/>
          <w:highlight w:val="none"/>
        </w:rPr>
        <w:t>广西政府采购云平台（https://www.gcy.zfcg.gxzf.gov.cn/）</w:t>
      </w:r>
      <w:bookmarkEnd w:id="5"/>
      <w:r>
        <w:rPr>
          <w:rFonts w:hint="eastAsia" w:ascii="宋体" w:hAnsi="宋体" w:cs="宋体"/>
          <w:color w:val="auto"/>
          <w:sz w:val="21"/>
          <w:szCs w:val="21"/>
          <w:highlight w:val="none"/>
        </w:rPr>
        <w:t>  </w:t>
      </w:r>
    </w:p>
    <w:p w14:paraId="0446C369">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方式：</w:t>
      </w:r>
      <w:bookmarkStart w:id="6" w:name="OLE_LINK8"/>
      <w:r>
        <w:rPr>
          <w:rFonts w:hint="eastAsia" w:ascii="宋体" w:hAnsi="宋体" w:cs="宋体"/>
          <w:color w:val="auto"/>
          <w:sz w:val="21"/>
          <w:szCs w:val="21"/>
          <w:highlight w:val="none"/>
        </w:rPr>
        <w:t>本项目为全流程电子化项目，不发放纸质文件，供应商可自行在“广西政府采购云平台”（https://www.gcy.zfcg.gxzf.gov.cn/）下载竞争性谈判文件，实名申请获取竞争性谈判文件，如在操作过程中遇到问题或者需要技术支持，请致电广西政府采购云平台客服热线：95763。供应商登陆“广西政府采购云平台”平台，应进行“申请获取竞争性谈判文件”操作，否则，有可能导致无法在线编制响应文件并参与竞标，其不利后果由供应商自行承担。</w:t>
      </w:r>
      <w:bookmarkEnd w:id="6"/>
      <w:r>
        <w:rPr>
          <w:rFonts w:hint="eastAsia" w:ascii="宋体" w:hAnsi="宋体" w:cs="宋体"/>
          <w:color w:val="auto"/>
          <w:sz w:val="21"/>
          <w:szCs w:val="21"/>
          <w:highlight w:val="none"/>
        </w:rPr>
        <w:t>  </w:t>
      </w:r>
    </w:p>
    <w:p w14:paraId="418CEA26">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售价（元）：0 </w:t>
      </w:r>
    </w:p>
    <w:p w14:paraId="2E3996C4">
      <w:pPr>
        <w:pStyle w:val="32"/>
        <w:widowControl/>
        <w:spacing w:beforeAutospacing="0" w:afterAutospacing="0" w:line="360" w:lineRule="exact"/>
        <w:ind w:firstLine="422" w:firstLineChars="200"/>
        <w:jc w:val="both"/>
        <w:rPr>
          <w:rFonts w:ascii="宋体" w:hAnsi="宋体" w:cs="宋体"/>
          <w:color w:val="auto"/>
          <w:sz w:val="21"/>
          <w:szCs w:val="21"/>
          <w:highlight w:val="none"/>
        </w:rPr>
      </w:pPr>
      <w:r>
        <w:rPr>
          <w:rStyle w:val="39"/>
          <w:rFonts w:hint="eastAsia" w:ascii="宋体" w:hAnsi="宋体" w:cs="宋体"/>
          <w:color w:val="auto"/>
          <w:sz w:val="21"/>
          <w:szCs w:val="21"/>
          <w:highlight w:val="none"/>
        </w:rPr>
        <w:t>四、响应文件提交</w:t>
      </w:r>
    </w:p>
    <w:p w14:paraId="48713962">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截止时间：2026年</w:t>
      </w:r>
      <w:r>
        <w:rPr>
          <w:rFonts w:hint="eastAsia" w:ascii="宋体" w:hAnsi="宋体" w:cs="宋体"/>
          <w:color w:val="auto"/>
          <w:sz w:val="21"/>
          <w:szCs w:val="21"/>
          <w:highlight w:val="none"/>
          <w:lang w:eastAsia="zh-CN"/>
        </w:rPr>
        <w:t>10月</w:t>
      </w:r>
      <w:r>
        <w:rPr>
          <w:rFonts w:hint="eastAsia" w:ascii="宋体" w:hAnsi="宋体" w:cs="宋体"/>
          <w:color w:val="auto"/>
          <w:sz w:val="21"/>
          <w:szCs w:val="21"/>
          <w:highlight w:val="none"/>
          <w:lang w:val="en-US" w:eastAsia="zh-CN"/>
        </w:rPr>
        <w:t>16</w:t>
      </w:r>
      <w:r>
        <w:rPr>
          <w:rFonts w:hint="eastAsia" w:ascii="宋体" w:hAnsi="宋体" w:cs="宋体"/>
          <w:color w:val="auto"/>
          <w:sz w:val="21"/>
          <w:szCs w:val="21"/>
          <w:highlight w:val="none"/>
          <w:lang w:eastAsia="zh-CN"/>
        </w:rPr>
        <w:t>日</w:t>
      </w:r>
      <w:r>
        <w:rPr>
          <w:rFonts w:hint="eastAsia" w:ascii="宋体" w:hAnsi="宋体" w:cs="宋体"/>
          <w:color w:val="auto"/>
          <w:sz w:val="21"/>
          <w:szCs w:val="21"/>
          <w:highlight w:val="none"/>
        </w:rPr>
        <w:t xml:space="preserve"> 09:20（北京时间）</w:t>
      </w:r>
    </w:p>
    <w:p w14:paraId="47869C1C">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地点（网址）：请登录广西政府采购云平台投标客户端投标 </w:t>
      </w:r>
    </w:p>
    <w:p w14:paraId="3E912ADB">
      <w:pPr>
        <w:pStyle w:val="32"/>
        <w:widowControl/>
        <w:spacing w:beforeAutospacing="0" w:afterAutospacing="0" w:line="360" w:lineRule="exact"/>
        <w:ind w:firstLine="422" w:firstLineChars="200"/>
        <w:jc w:val="both"/>
        <w:rPr>
          <w:rFonts w:ascii="宋体" w:hAnsi="宋体" w:cs="宋体"/>
          <w:color w:val="auto"/>
          <w:sz w:val="21"/>
          <w:szCs w:val="21"/>
          <w:highlight w:val="none"/>
        </w:rPr>
      </w:pPr>
      <w:r>
        <w:rPr>
          <w:rStyle w:val="39"/>
          <w:rFonts w:hint="eastAsia" w:ascii="宋体" w:hAnsi="宋体" w:cs="宋体"/>
          <w:color w:val="auto"/>
          <w:sz w:val="21"/>
          <w:szCs w:val="21"/>
          <w:highlight w:val="none"/>
        </w:rPr>
        <w:t>五、响应文件开启</w:t>
      </w:r>
      <w:r>
        <w:rPr>
          <w:rFonts w:hint="eastAsia" w:ascii="宋体" w:hAnsi="宋体" w:cs="宋体"/>
          <w:color w:val="auto"/>
          <w:sz w:val="21"/>
          <w:szCs w:val="21"/>
          <w:highlight w:val="none"/>
        </w:rPr>
        <w:t> </w:t>
      </w:r>
    </w:p>
    <w:p w14:paraId="6B383725">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开启时间：2026年</w:t>
      </w:r>
      <w:r>
        <w:rPr>
          <w:rFonts w:hint="eastAsia" w:ascii="宋体" w:hAnsi="宋体" w:cs="宋体"/>
          <w:color w:val="auto"/>
          <w:sz w:val="21"/>
          <w:szCs w:val="21"/>
          <w:highlight w:val="none"/>
          <w:lang w:eastAsia="zh-CN"/>
        </w:rPr>
        <w:t>10月</w:t>
      </w:r>
      <w:r>
        <w:rPr>
          <w:rFonts w:hint="eastAsia" w:ascii="宋体" w:hAnsi="宋体" w:cs="宋体"/>
          <w:color w:val="auto"/>
          <w:sz w:val="21"/>
          <w:szCs w:val="21"/>
          <w:highlight w:val="none"/>
          <w:lang w:val="en-US" w:eastAsia="zh-CN"/>
        </w:rPr>
        <w:t>16</w:t>
      </w:r>
      <w:r>
        <w:rPr>
          <w:rFonts w:hint="eastAsia" w:ascii="宋体" w:hAnsi="宋体" w:cs="宋体"/>
          <w:color w:val="auto"/>
          <w:sz w:val="21"/>
          <w:szCs w:val="21"/>
          <w:highlight w:val="none"/>
          <w:lang w:eastAsia="zh-CN"/>
        </w:rPr>
        <w:t>日</w:t>
      </w:r>
      <w:r>
        <w:rPr>
          <w:rFonts w:hint="eastAsia" w:ascii="宋体" w:hAnsi="宋体" w:cs="宋体"/>
          <w:color w:val="auto"/>
          <w:sz w:val="21"/>
          <w:szCs w:val="21"/>
          <w:highlight w:val="none"/>
        </w:rPr>
        <w:t xml:space="preserve"> 09:20（北京时间）</w:t>
      </w:r>
    </w:p>
    <w:p w14:paraId="0A1180F1">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地点：广西政府采购云平台（https://www.gcy.zfcg.gxzf.gov.cn/） </w:t>
      </w:r>
    </w:p>
    <w:p w14:paraId="282C53F9">
      <w:pPr>
        <w:pStyle w:val="32"/>
        <w:widowControl/>
        <w:spacing w:beforeAutospacing="0" w:afterAutospacing="0" w:line="360" w:lineRule="exact"/>
        <w:ind w:firstLine="422" w:firstLineChars="200"/>
        <w:jc w:val="both"/>
        <w:rPr>
          <w:rFonts w:ascii="宋体" w:hAnsi="宋体" w:cs="宋体"/>
          <w:color w:val="auto"/>
          <w:sz w:val="21"/>
          <w:szCs w:val="21"/>
          <w:highlight w:val="none"/>
        </w:rPr>
      </w:pPr>
      <w:r>
        <w:rPr>
          <w:rStyle w:val="39"/>
          <w:rFonts w:hint="eastAsia" w:ascii="宋体" w:hAnsi="宋体" w:cs="宋体"/>
          <w:color w:val="auto"/>
          <w:sz w:val="21"/>
          <w:szCs w:val="21"/>
          <w:highlight w:val="none"/>
        </w:rPr>
        <w:t>六、公告期限</w:t>
      </w:r>
      <w:r>
        <w:rPr>
          <w:rFonts w:hint="eastAsia" w:ascii="宋体" w:hAnsi="宋体" w:cs="宋体"/>
          <w:color w:val="auto"/>
          <w:sz w:val="21"/>
          <w:szCs w:val="21"/>
          <w:highlight w:val="none"/>
        </w:rPr>
        <w:t> </w:t>
      </w:r>
    </w:p>
    <w:p w14:paraId="7868EFA0">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自本公告发布之日起3个工作日。</w:t>
      </w:r>
    </w:p>
    <w:p w14:paraId="333A0333">
      <w:pPr>
        <w:pStyle w:val="32"/>
        <w:widowControl/>
        <w:spacing w:beforeAutospacing="0" w:afterAutospacing="0" w:line="360" w:lineRule="exact"/>
        <w:ind w:firstLine="422" w:firstLineChars="200"/>
        <w:jc w:val="both"/>
        <w:rPr>
          <w:rFonts w:ascii="宋体" w:hAnsi="宋体" w:cs="宋体"/>
          <w:color w:val="auto"/>
          <w:sz w:val="21"/>
          <w:szCs w:val="21"/>
          <w:highlight w:val="none"/>
        </w:rPr>
      </w:pPr>
      <w:r>
        <w:rPr>
          <w:rStyle w:val="39"/>
          <w:rFonts w:hint="eastAsia" w:ascii="宋体" w:hAnsi="宋体" w:cs="宋体"/>
          <w:color w:val="auto"/>
          <w:sz w:val="21"/>
          <w:szCs w:val="21"/>
          <w:highlight w:val="none"/>
        </w:rPr>
        <w:t>七、其他补充事宜</w:t>
      </w:r>
      <w:r>
        <w:rPr>
          <w:rFonts w:hint="eastAsia" w:ascii="宋体" w:hAnsi="宋体" w:cs="宋体"/>
          <w:color w:val="auto"/>
          <w:sz w:val="21"/>
          <w:szCs w:val="21"/>
          <w:highlight w:val="none"/>
        </w:rPr>
        <w:t> </w:t>
      </w:r>
    </w:p>
    <w:p w14:paraId="7642FB61">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1.本项目需要落实的政府采购政策：</w:t>
      </w:r>
    </w:p>
    <w:p w14:paraId="69F9804D">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（1）政府采购促进中小企业发展。</w:t>
      </w:r>
    </w:p>
    <w:p w14:paraId="68C892D7">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（2）政府采购促进残疾人就业政策。</w:t>
      </w:r>
    </w:p>
    <w:p w14:paraId="5DA2A8DE">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（3）政府采购支持监狱企业发展。</w:t>
      </w:r>
    </w:p>
    <w:p w14:paraId="42070C54">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（4）政府采购支持采用本国产品的政策。</w:t>
      </w:r>
    </w:p>
    <w:p w14:paraId="70926E44">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（5）强制采购节能产品；优先采购节能产品、环境标志产品。</w:t>
      </w:r>
    </w:p>
    <w:p w14:paraId="67B2FF97">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参加政府采购活动前三年内，在经营活动中没有重大违法记录和不良信用记录，被列入失信被执行人、重大税收违法案件当事人名单、政府采购严重违法失信行为记录名单及其他不符合《中华人民共和国政府采购法》第二十二条规定条件的供应商，将被拒绝其参与本次政府采购活动；</w:t>
      </w:r>
    </w:p>
    <w:p w14:paraId="10AC897B">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3.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3FFCEC40">
      <w:pPr>
        <w:spacing w:line="360" w:lineRule="exact"/>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4.公告发布媒介：http://zfcg.gxzf.gov.cn（广西壮族自治区政府采购网）</w:t>
      </w:r>
    </w:p>
    <w:p w14:paraId="15286A37">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http://www.zfcg.lzscz.liuzhou.go</w:t>
      </w:r>
      <w:bookmarkStart w:id="47" w:name="_GoBack"/>
      <w:bookmarkEnd w:id="47"/>
      <w:r>
        <w:rPr>
          <w:rFonts w:hint="eastAsia" w:ascii="宋体" w:hAnsi="宋体" w:cs="宋体"/>
          <w:color w:val="auto"/>
          <w:sz w:val="21"/>
          <w:szCs w:val="21"/>
          <w:highlight w:val="none"/>
        </w:rPr>
        <w:t>v.cn (柳州市政府采购网)</w:t>
      </w:r>
    </w:p>
    <w:p w14:paraId="3A44C22B">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5.“广西政府采购云平台”平台电子投标相关事宜：</w:t>
      </w:r>
    </w:p>
    <w:p w14:paraId="227BC435">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响应文件提交方式：本项目为全流程电子化项目，通过“广西政府采购云平台”（https://www.gcy.zfcg.gxzf.gov.cn/）实行在线电子投标，并按照本项目竞争性谈判文件和“广西政府采购云平台”的要求编制、加密后在投标截止时间前通过网络上传至“广西政府采购云平台”。</w:t>
      </w:r>
    </w:p>
    <w:p w14:paraId="34EBACDC">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若对项目采购电子交易系统操作有疑问，可登陆广西政府采购云平台（https://www.gcy.zfcg.gxzf.gov.cn/），点击右侧咨询小采，获取采小蜜智能服务管家帮助，或拨打广西政府采购云平台服务热线95763获取热线服务帮助。  </w:t>
      </w:r>
    </w:p>
    <w:p w14:paraId="2B7445FD">
      <w:pPr>
        <w:pStyle w:val="32"/>
        <w:widowControl/>
        <w:spacing w:beforeAutospacing="0" w:afterAutospacing="0" w:line="360" w:lineRule="exact"/>
        <w:ind w:firstLine="422" w:firstLineChars="200"/>
        <w:rPr>
          <w:rFonts w:ascii="宋体" w:hAnsi="宋体" w:cs="宋体"/>
          <w:color w:val="auto"/>
          <w:sz w:val="21"/>
          <w:szCs w:val="21"/>
          <w:highlight w:val="none"/>
        </w:rPr>
      </w:pPr>
      <w:r>
        <w:rPr>
          <w:rStyle w:val="39"/>
          <w:rFonts w:hint="eastAsia" w:ascii="宋体" w:hAnsi="宋体" w:cs="宋体"/>
          <w:color w:val="auto"/>
          <w:sz w:val="21"/>
          <w:szCs w:val="21"/>
          <w:highlight w:val="none"/>
        </w:rPr>
        <w:t>八、凡对本次招标提出询问，请按以下方式联系</w:t>
      </w:r>
    </w:p>
    <w:p w14:paraId="6ACAB6A4">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1.采购人信息 </w:t>
      </w:r>
    </w:p>
    <w:p w14:paraId="7CDDA131">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名    称：柳州市城市照明管理处 </w:t>
      </w:r>
    </w:p>
    <w:p w14:paraId="25B9421F">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地    址：柳州市柳南区航三路1号 </w:t>
      </w:r>
    </w:p>
    <w:p w14:paraId="18EE4B52">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项目联系人：</w:t>
      </w:r>
      <w:bookmarkStart w:id="7" w:name="OLE_LINK11"/>
      <w:r>
        <w:rPr>
          <w:rFonts w:hint="eastAsia" w:ascii="宋体" w:hAnsi="宋体" w:cs="宋体"/>
          <w:color w:val="auto"/>
          <w:sz w:val="21"/>
          <w:szCs w:val="21"/>
          <w:highlight w:val="none"/>
        </w:rPr>
        <w:t>邹雯</w:t>
      </w:r>
      <w:bookmarkEnd w:id="7"/>
      <w:r>
        <w:rPr>
          <w:rFonts w:hint="eastAsia" w:ascii="宋体" w:hAnsi="宋体" w:cs="宋体"/>
          <w:color w:val="auto"/>
          <w:sz w:val="21"/>
          <w:szCs w:val="21"/>
          <w:highlight w:val="none"/>
        </w:rPr>
        <w:t> </w:t>
      </w:r>
    </w:p>
    <w:p w14:paraId="33E22671">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项目联系方式：</w:t>
      </w:r>
      <w:bookmarkStart w:id="8" w:name="OLE_LINK12"/>
      <w:r>
        <w:rPr>
          <w:rFonts w:hint="eastAsia" w:ascii="宋体" w:hAnsi="宋体" w:cs="宋体"/>
          <w:color w:val="auto"/>
          <w:sz w:val="21"/>
          <w:szCs w:val="21"/>
          <w:highlight w:val="none"/>
        </w:rPr>
        <w:t>0772-3233904</w:t>
      </w:r>
      <w:bookmarkEnd w:id="8"/>
      <w:r>
        <w:rPr>
          <w:rFonts w:hint="eastAsia" w:ascii="宋体" w:hAnsi="宋体" w:cs="宋体"/>
          <w:color w:val="auto"/>
          <w:sz w:val="21"/>
          <w:szCs w:val="21"/>
          <w:highlight w:val="none"/>
        </w:rPr>
        <w:t> </w:t>
      </w:r>
    </w:p>
    <w:p w14:paraId="4C7EE33C">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2.采购代理机构信息</w:t>
      </w:r>
    </w:p>
    <w:p w14:paraId="30A3EA35">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名    称：广西德元工程项目管理有限责任公司 </w:t>
      </w:r>
    </w:p>
    <w:p w14:paraId="6FE7FA79">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地    址：柳州市跃进路19号天元金都1-</w:t>
      </w:r>
      <w:r>
        <w:rPr>
          <w:rFonts w:hint="eastAsia" w:ascii="宋体" w:hAnsi="宋体" w:cs="宋体"/>
          <w:color w:val="auto"/>
          <w:sz w:val="21"/>
          <w:szCs w:val="21"/>
          <w:highlight w:val="none"/>
          <w:lang w:val="en-US" w:eastAsia="zh-CN"/>
        </w:rPr>
        <w:t>411</w:t>
      </w:r>
      <w:r>
        <w:rPr>
          <w:rFonts w:hint="eastAsia" w:ascii="宋体" w:hAnsi="宋体" w:cs="宋体"/>
          <w:color w:val="auto"/>
          <w:sz w:val="21"/>
          <w:szCs w:val="21"/>
          <w:highlight w:val="none"/>
        </w:rPr>
        <w:t>室 </w:t>
      </w:r>
    </w:p>
    <w:p w14:paraId="2371AEA3">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项目联系人（询问）：</w:t>
      </w:r>
      <w:r>
        <w:rPr>
          <w:rFonts w:hint="eastAsia" w:ascii="宋体" w:hAnsi="宋体" w:cs="宋体"/>
          <w:color w:val="auto"/>
          <w:sz w:val="21"/>
          <w:szCs w:val="21"/>
          <w:highlight w:val="none"/>
          <w:lang w:val="en-US" w:eastAsia="zh-CN"/>
        </w:rPr>
        <w:t>黄俊锦</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刘博韬</w:t>
      </w:r>
      <w:r>
        <w:rPr>
          <w:rFonts w:hint="eastAsia" w:ascii="宋体" w:hAnsi="宋体" w:cs="宋体"/>
          <w:color w:val="auto"/>
          <w:sz w:val="21"/>
          <w:szCs w:val="21"/>
          <w:highlight w:val="none"/>
        </w:rPr>
        <w:t>、李</w:t>
      </w:r>
      <w:bookmarkStart w:id="9" w:name="OLE_LINK9"/>
      <w:r>
        <w:rPr>
          <w:rFonts w:hint="eastAsia" w:ascii="宋体" w:hAnsi="宋体" w:cs="宋体"/>
          <w:color w:val="auto"/>
          <w:sz w:val="21"/>
          <w:szCs w:val="21"/>
          <w:highlight w:val="none"/>
        </w:rPr>
        <w:t>元明、刘倩</w:t>
      </w:r>
      <w:bookmarkEnd w:id="9"/>
      <w:r>
        <w:rPr>
          <w:rFonts w:hint="eastAsia" w:ascii="宋体" w:hAnsi="宋体" w:cs="宋体"/>
          <w:color w:val="auto"/>
          <w:sz w:val="21"/>
          <w:szCs w:val="21"/>
          <w:highlight w:val="none"/>
        </w:rPr>
        <w:t> </w:t>
      </w:r>
    </w:p>
    <w:p w14:paraId="2E385C4F">
      <w:pPr>
        <w:pStyle w:val="32"/>
        <w:widowControl/>
        <w:spacing w:beforeAutospacing="0" w:afterAutospacing="0" w:line="36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项目联系方式（询问）：</w:t>
      </w:r>
      <w:bookmarkStart w:id="10" w:name="OLE_LINK10"/>
      <w:r>
        <w:rPr>
          <w:rFonts w:hint="eastAsia" w:ascii="宋体" w:hAnsi="宋体" w:cs="宋体"/>
          <w:color w:val="auto"/>
          <w:sz w:val="21"/>
          <w:szCs w:val="21"/>
          <w:highlight w:val="none"/>
        </w:rPr>
        <w:t>0772-2805114</w:t>
      </w:r>
      <w:bookmarkEnd w:id="10"/>
      <w:r>
        <w:rPr>
          <w:rFonts w:hint="eastAsia" w:ascii="宋体" w:hAnsi="宋体" w:cs="宋体"/>
          <w:color w:val="auto"/>
          <w:sz w:val="21"/>
          <w:szCs w:val="21"/>
          <w:highlight w:val="none"/>
        </w:rPr>
        <w:t> </w:t>
      </w:r>
    </w:p>
    <w:p w14:paraId="2435E0C0">
      <w:pPr>
        <w:spacing w:line="360" w:lineRule="exact"/>
        <w:jc w:val="center"/>
        <w:outlineLvl w:val="0"/>
        <w:rPr>
          <w:rFonts w:ascii="宋体" w:hAnsi="宋体"/>
          <w:b/>
          <w:bCs/>
          <w:color w:val="auto"/>
          <w:sz w:val="32"/>
          <w:szCs w:val="32"/>
          <w:highlight w:val="none"/>
        </w:rPr>
      </w:pPr>
      <w:bookmarkStart w:id="11" w:name="_Toc13853"/>
      <w:r>
        <w:rPr>
          <w:rFonts w:hint="eastAsia" w:ascii="宋体" w:hAnsi="宋体"/>
          <w:b/>
          <w:bCs/>
          <w:color w:val="auto"/>
          <w:sz w:val="32"/>
          <w:szCs w:val="32"/>
          <w:highlight w:val="none"/>
        </w:rPr>
        <w:t>第二章 供应商须知</w:t>
      </w:r>
      <w:bookmarkEnd w:id="11"/>
    </w:p>
    <w:tbl>
      <w:tblPr>
        <w:tblStyle w:val="36"/>
        <w:tblW w:w="9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8907"/>
      </w:tblGrid>
      <w:tr w14:paraId="2CC7D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26" w:type="dxa"/>
            <w:vAlign w:val="center"/>
          </w:tcPr>
          <w:p w14:paraId="3C989FFA">
            <w:pPr>
              <w:spacing w:line="360" w:lineRule="exact"/>
              <w:jc w:val="center"/>
              <w:rPr>
                <w:rFonts w:ascii="宋体" w:hAnsi="宋体"/>
                <w:color w:val="auto"/>
                <w:szCs w:val="21"/>
                <w:highlight w:val="none"/>
              </w:rPr>
            </w:pPr>
            <w:r>
              <w:rPr>
                <w:rFonts w:hint="eastAsia" w:ascii="宋体" w:hAnsi="宋体"/>
                <w:color w:val="auto"/>
                <w:szCs w:val="21"/>
                <w:highlight w:val="none"/>
              </w:rPr>
              <w:t>序号</w:t>
            </w:r>
          </w:p>
        </w:tc>
        <w:tc>
          <w:tcPr>
            <w:tcW w:w="8907" w:type="dxa"/>
            <w:vAlign w:val="center"/>
          </w:tcPr>
          <w:p w14:paraId="1400B572">
            <w:pPr>
              <w:spacing w:line="360" w:lineRule="exact"/>
              <w:jc w:val="center"/>
              <w:rPr>
                <w:rFonts w:ascii="宋体" w:hAnsi="宋体"/>
                <w:color w:val="auto"/>
                <w:szCs w:val="21"/>
                <w:highlight w:val="none"/>
              </w:rPr>
            </w:pPr>
            <w:r>
              <w:rPr>
                <w:rFonts w:hint="eastAsia" w:ascii="宋体" w:hAnsi="宋体"/>
                <w:color w:val="auto"/>
                <w:szCs w:val="21"/>
                <w:highlight w:val="none"/>
              </w:rPr>
              <w:t>内    容</w:t>
            </w:r>
          </w:p>
        </w:tc>
      </w:tr>
      <w:tr w14:paraId="3E7C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726" w:type="dxa"/>
            <w:vAlign w:val="center"/>
          </w:tcPr>
          <w:p w14:paraId="7083A0E5">
            <w:pPr>
              <w:spacing w:line="360" w:lineRule="exact"/>
              <w:jc w:val="center"/>
              <w:rPr>
                <w:rFonts w:ascii="宋体" w:hAnsi="宋体"/>
                <w:color w:val="auto"/>
                <w:szCs w:val="21"/>
                <w:highlight w:val="none"/>
              </w:rPr>
            </w:pPr>
            <w:r>
              <w:rPr>
                <w:rFonts w:hint="eastAsia" w:ascii="宋体" w:hAnsi="宋体"/>
                <w:color w:val="auto"/>
                <w:szCs w:val="21"/>
                <w:highlight w:val="none"/>
              </w:rPr>
              <w:t>1</w:t>
            </w:r>
          </w:p>
        </w:tc>
        <w:tc>
          <w:tcPr>
            <w:tcW w:w="8907" w:type="dxa"/>
            <w:vAlign w:val="center"/>
          </w:tcPr>
          <w:p w14:paraId="645248D8">
            <w:pPr>
              <w:spacing w:line="360" w:lineRule="exact"/>
              <w:rPr>
                <w:rFonts w:hint="eastAsia" w:ascii="宋体" w:hAnsi="宋体" w:eastAsia="宋体"/>
                <w:color w:val="auto"/>
                <w:szCs w:val="21"/>
                <w:highlight w:val="none"/>
                <w:lang w:eastAsia="zh-CN"/>
              </w:rPr>
            </w:pPr>
            <w:r>
              <w:rPr>
                <w:rFonts w:hint="eastAsia" w:ascii="宋体" w:hAnsi="宋体"/>
                <w:color w:val="auto"/>
                <w:szCs w:val="21"/>
                <w:highlight w:val="none"/>
              </w:rPr>
              <w:t>项目名称：</w:t>
            </w:r>
            <w:r>
              <w:rPr>
                <w:rFonts w:hint="eastAsia" w:ascii="宋体" w:hAnsi="宋体" w:cs="宋体"/>
                <w:color w:val="auto"/>
                <w:szCs w:val="21"/>
                <w:highlight w:val="none"/>
                <w:lang w:eastAsia="zh-CN"/>
              </w:rPr>
              <w:t>2026年第一批自治区地震灾后恢复重建—柳太路路灯修复材料采购-LED灯具、电器材料采购</w:t>
            </w:r>
          </w:p>
        </w:tc>
      </w:tr>
      <w:tr w14:paraId="6BB8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37198C96">
            <w:pPr>
              <w:spacing w:line="360" w:lineRule="exact"/>
              <w:jc w:val="center"/>
              <w:rPr>
                <w:rFonts w:ascii="宋体" w:hAnsi="宋体"/>
                <w:color w:val="auto"/>
                <w:szCs w:val="21"/>
                <w:highlight w:val="none"/>
              </w:rPr>
            </w:pPr>
            <w:r>
              <w:rPr>
                <w:rFonts w:hint="eastAsia" w:ascii="宋体" w:hAnsi="宋体"/>
                <w:color w:val="auto"/>
                <w:szCs w:val="21"/>
                <w:highlight w:val="none"/>
              </w:rPr>
              <w:t>2</w:t>
            </w:r>
          </w:p>
        </w:tc>
        <w:tc>
          <w:tcPr>
            <w:tcW w:w="8907" w:type="dxa"/>
            <w:vAlign w:val="center"/>
          </w:tcPr>
          <w:p w14:paraId="23E0B049">
            <w:pPr>
              <w:spacing w:line="360" w:lineRule="exact"/>
              <w:rPr>
                <w:rFonts w:ascii="宋体" w:hAnsi="宋体"/>
                <w:color w:val="auto"/>
                <w:szCs w:val="21"/>
                <w:highlight w:val="none"/>
              </w:rPr>
            </w:pPr>
            <w:r>
              <w:rPr>
                <w:rFonts w:hint="eastAsia" w:ascii="宋体" w:hAnsi="宋体"/>
                <w:color w:val="auto"/>
                <w:szCs w:val="21"/>
                <w:highlight w:val="none"/>
              </w:rPr>
              <w:t>供应商资格要求：</w:t>
            </w:r>
          </w:p>
          <w:p w14:paraId="54063CED">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7BCF4695">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2.落实政府采购政策需满足的资格要求：</w:t>
            </w:r>
            <w:r>
              <w:rPr>
                <w:rFonts w:hint="eastAsia" w:hAnsi="宋体"/>
                <w:color w:val="auto"/>
                <w:kern w:val="2"/>
                <w:sz w:val="21"/>
                <w:szCs w:val="21"/>
                <w:highlight w:val="none"/>
              </w:rPr>
              <w:t>本项目专门面向</w:t>
            </w:r>
            <w:r>
              <w:rPr>
                <w:rFonts w:hint="eastAsia" w:hAnsi="宋体"/>
                <w:color w:val="auto"/>
                <w:kern w:val="2"/>
                <w:sz w:val="21"/>
                <w:szCs w:val="21"/>
                <w:highlight w:val="none"/>
                <w:lang w:val="en-US" w:eastAsia="zh-CN"/>
              </w:rPr>
              <w:t>中小</w:t>
            </w:r>
            <w:r>
              <w:rPr>
                <w:rFonts w:hint="eastAsia" w:hAnsi="宋体"/>
                <w:color w:val="auto"/>
                <w:kern w:val="2"/>
                <w:sz w:val="21"/>
                <w:szCs w:val="21"/>
                <w:highlight w:val="none"/>
              </w:rPr>
              <w:t>企业，投标货物生产商须为《关于印发中小企业划型标准规定的通知》（工信部联企业〔2011〕300号）规定的</w:t>
            </w:r>
            <w:r>
              <w:rPr>
                <w:rFonts w:hint="eastAsia" w:hAnsi="宋体"/>
                <w:color w:val="auto"/>
                <w:kern w:val="2"/>
                <w:sz w:val="21"/>
                <w:szCs w:val="21"/>
                <w:highlight w:val="none"/>
                <w:lang w:eastAsia="zh-CN"/>
              </w:rPr>
              <w:t>工</w:t>
            </w:r>
            <w:r>
              <w:rPr>
                <w:rFonts w:hint="eastAsia" w:hAnsi="宋体"/>
                <w:color w:val="auto"/>
                <w:kern w:val="2"/>
                <w:sz w:val="21"/>
                <w:szCs w:val="21"/>
                <w:highlight w:val="none"/>
              </w:rPr>
              <w:t>业的</w:t>
            </w:r>
            <w:r>
              <w:rPr>
                <w:rFonts w:hint="eastAsia" w:hAnsi="宋体"/>
                <w:color w:val="auto"/>
                <w:kern w:val="2"/>
                <w:sz w:val="21"/>
                <w:szCs w:val="21"/>
                <w:highlight w:val="none"/>
                <w:lang w:val="en-US" w:eastAsia="zh-CN"/>
              </w:rPr>
              <w:t>中小</w:t>
            </w:r>
            <w:r>
              <w:rPr>
                <w:rFonts w:hint="eastAsia" w:hAnsi="宋体"/>
                <w:color w:val="auto"/>
                <w:kern w:val="2"/>
                <w:sz w:val="21"/>
                <w:szCs w:val="21"/>
                <w:highlight w:val="none"/>
              </w:rPr>
              <w:t>企业，或者是《关于政府采购支持监狱企业发展有关问题的通知》(财库[2014]68号)规定的监狱企业，或者是《关于促进残疾人就业政府采购政策的通知》（财库〔2017〕141号）规定的残疾人福利性企业</w:t>
            </w:r>
            <w:r>
              <w:rPr>
                <w:rFonts w:hint="eastAsia" w:ascii="宋体" w:hAnsi="宋体" w:cs="宋体"/>
                <w:color w:val="auto"/>
                <w:szCs w:val="21"/>
                <w:highlight w:val="none"/>
              </w:rPr>
              <w:t>；  </w:t>
            </w:r>
          </w:p>
          <w:p w14:paraId="08385FD4">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3.本项目的特定资格要求：无。 </w:t>
            </w:r>
          </w:p>
          <w:p w14:paraId="6FE13AAE">
            <w:pPr>
              <w:pStyle w:val="20"/>
              <w:spacing w:line="36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4.参加政府采购活动前三年内，在经营活动中没有重大违法记录和不良信用记录，被列入失信被执行人、重大税收违法案件当事人名单、政府采购严重违法失信行为记录名单及其他不符合《中华人民共和国政府采购法》第二十二条规定条件的供应商，将被拒绝其参与本次政府采购活动；</w:t>
            </w:r>
          </w:p>
          <w:p w14:paraId="34B024DF">
            <w:pPr>
              <w:pStyle w:val="20"/>
              <w:spacing w:line="360" w:lineRule="exact"/>
              <w:ind w:firstLine="420" w:firstLineChars="200"/>
              <w:rPr>
                <w:rFonts w:hAnsi="宋体"/>
                <w:color w:val="auto"/>
                <w:sz w:val="21"/>
                <w:szCs w:val="21"/>
                <w:highlight w:val="none"/>
              </w:rPr>
            </w:pPr>
            <w:r>
              <w:rPr>
                <w:rFonts w:hint="eastAsia" w:hAnsi="宋体" w:cs="宋体"/>
                <w:color w:val="auto"/>
                <w:sz w:val="21"/>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tc>
      </w:tr>
      <w:tr w14:paraId="5790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16EA7BFE">
            <w:pPr>
              <w:spacing w:line="360" w:lineRule="exact"/>
              <w:jc w:val="center"/>
              <w:rPr>
                <w:rFonts w:ascii="宋体" w:hAnsi="宋体"/>
                <w:color w:val="auto"/>
                <w:szCs w:val="21"/>
                <w:highlight w:val="none"/>
              </w:rPr>
            </w:pPr>
            <w:r>
              <w:rPr>
                <w:rFonts w:hint="eastAsia" w:ascii="宋体" w:hAnsi="宋体"/>
                <w:color w:val="auto"/>
                <w:szCs w:val="21"/>
                <w:highlight w:val="none"/>
              </w:rPr>
              <w:t>3</w:t>
            </w:r>
          </w:p>
        </w:tc>
        <w:tc>
          <w:tcPr>
            <w:tcW w:w="8907" w:type="dxa"/>
            <w:vAlign w:val="center"/>
          </w:tcPr>
          <w:p w14:paraId="3C56260A">
            <w:pPr>
              <w:pStyle w:val="20"/>
              <w:spacing w:line="36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☑本项目</w:t>
            </w:r>
            <w:r>
              <w:rPr>
                <w:rFonts w:hint="eastAsia" w:hAnsi="宋体" w:cs="宋体"/>
                <w:color w:val="auto"/>
                <w:kern w:val="2"/>
                <w:sz w:val="21"/>
                <w:szCs w:val="21"/>
                <w:highlight w:val="none"/>
              </w:rPr>
              <w:t>不收取竞标保</w:t>
            </w:r>
            <w:r>
              <w:rPr>
                <w:rFonts w:hint="eastAsia" w:hAnsi="宋体" w:cs="宋体"/>
                <w:color w:val="auto"/>
                <w:sz w:val="21"/>
                <w:szCs w:val="21"/>
                <w:highlight w:val="none"/>
              </w:rPr>
              <w:t xml:space="preserve">证金。 </w:t>
            </w:r>
          </w:p>
          <w:p w14:paraId="41DBFFD7">
            <w:pPr>
              <w:spacing w:line="360" w:lineRule="exact"/>
              <w:ind w:firstLine="420" w:firstLineChars="200"/>
              <w:rPr>
                <w:rFonts w:ascii="宋体" w:hAnsi="宋体" w:cs="宋体"/>
                <w:color w:val="auto"/>
                <w:szCs w:val="21"/>
                <w:highlight w:val="none"/>
              </w:rPr>
            </w:pPr>
            <w:r>
              <w:rPr>
                <w:rFonts w:hint="eastAsia" w:hAnsi="宋体" w:cs="宋体"/>
                <w:color w:val="auto"/>
                <w:szCs w:val="21"/>
                <w:highlight w:val="none"/>
              </w:rPr>
              <w:t>□本项目收取</w:t>
            </w:r>
            <w:r>
              <w:rPr>
                <w:rFonts w:hint="eastAsia" w:ascii="宋体" w:hAnsi="宋体" w:cs="宋体"/>
                <w:color w:val="auto"/>
                <w:szCs w:val="21"/>
                <w:highlight w:val="none"/>
              </w:rPr>
              <w:t>竞标</w:t>
            </w:r>
            <w:r>
              <w:rPr>
                <w:rFonts w:hint="eastAsia" w:hAnsi="宋体" w:cs="宋体"/>
                <w:color w:val="auto"/>
                <w:szCs w:val="21"/>
                <w:highlight w:val="none"/>
              </w:rPr>
              <w:t>保证金，具体规定如下：</w:t>
            </w:r>
          </w:p>
          <w:p w14:paraId="0E2DE784">
            <w:pPr>
              <w:spacing w:line="360" w:lineRule="exact"/>
              <w:ind w:firstLine="420" w:firstLineChars="200"/>
              <w:rPr>
                <w:rFonts w:hAnsi="宋体" w:cs="Arial"/>
                <w:color w:val="auto"/>
                <w:szCs w:val="21"/>
                <w:highlight w:val="none"/>
              </w:rPr>
            </w:pPr>
            <w:r>
              <w:rPr>
                <w:rFonts w:hint="eastAsia" w:ascii="宋体" w:hAnsi="宋体" w:cs="宋体"/>
                <w:color w:val="auto"/>
                <w:szCs w:val="21"/>
                <w:highlight w:val="none"/>
              </w:rPr>
              <w:t>竞标保证金为：人民币零元整（￥0.00元）</w:t>
            </w:r>
            <w:r>
              <w:rPr>
                <w:rFonts w:hint="eastAsia" w:hAnsi="宋体" w:cs="Arial"/>
                <w:color w:val="auto"/>
                <w:szCs w:val="21"/>
                <w:highlight w:val="none"/>
              </w:rPr>
              <w:t>。</w:t>
            </w:r>
            <w:r>
              <w:rPr>
                <w:rFonts w:hint="eastAsia" w:hAnsi="宋体"/>
                <w:color w:val="auto"/>
                <w:szCs w:val="21"/>
                <w:highlight w:val="none"/>
              </w:rPr>
              <w:t>须足额交纳，不得少于规定金额交纳，否则响应无效。</w:t>
            </w:r>
            <w:r>
              <w:rPr>
                <w:rFonts w:hint="eastAsia" w:hAnsi="宋体" w:cs="宋体"/>
                <w:color w:val="auto"/>
                <w:szCs w:val="21"/>
                <w:highlight w:val="none"/>
              </w:rPr>
              <w:t>竞标</w:t>
            </w:r>
            <w:r>
              <w:rPr>
                <w:rFonts w:hint="eastAsia" w:hAnsi="宋体"/>
                <w:color w:val="auto"/>
                <w:szCs w:val="21"/>
                <w:highlight w:val="none"/>
              </w:rPr>
              <w:t>保证金应在响应文件有效期内保持有效。</w:t>
            </w:r>
          </w:p>
          <w:p w14:paraId="0BD5F82E">
            <w:pPr>
              <w:spacing w:line="360" w:lineRule="exact"/>
              <w:ind w:firstLine="420" w:firstLineChars="200"/>
              <w:rPr>
                <w:rFonts w:ascii="宋体" w:hAnsi="宋体"/>
                <w:color w:val="auto"/>
                <w:szCs w:val="21"/>
                <w:highlight w:val="none"/>
              </w:rPr>
            </w:pPr>
            <w:r>
              <w:rPr>
                <w:rFonts w:hint="eastAsia" w:ascii="宋体" w:hAnsi="宋体" w:cs="宋体"/>
                <w:color w:val="auto"/>
                <w:szCs w:val="21"/>
                <w:highlight w:val="none"/>
              </w:rPr>
              <w:t>竞标</w:t>
            </w:r>
            <w:r>
              <w:rPr>
                <w:rFonts w:hint="eastAsia" w:hAnsi="宋体"/>
                <w:color w:val="auto"/>
                <w:szCs w:val="21"/>
                <w:highlight w:val="none"/>
              </w:rPr>
              <w:t>保证金的交纳方式：转账、电汇、网上银行、支票、汇票、本票或者银行、保险机构出具的保函，禁止采用现钞方式。采用转账、电汇、网上银行方式的，在首次提交响应文件截止时间前交至</w:t>
            </w:r>
            <w:r>
              <w:rPr>
                <w:rFonts w:hint="eastAsia" w:hAnsi="宋体" w:cs="Arial"/>
                <w:color w:val="auto"/>
                <w:szCs w:val="21"/>
                <w:highlight w:val="none"/>
                <w:u w:val="single"/>
              </w:rPr>
              <w:t>广西德元工程项目管理有限责任公司</w:t>
            </w:r>
            <w:r>
              <w:rPr>
                <w:rFonts w:hint="eastAsia" w:hAnsi="宋体" w:cs="Arial"/>
                <w:color w:val="auto"/>
                <w:szCs w:val="21"/>
                <w:highlight w:val="none"/>
              </w:rPr>
              <w:t>（收款单位名称），开户银行：</w:t>
            </w:r>
            <w:r>
              <w:rPr>
                <w:rFonts w:hint="eastAsia" w:hAnsi="宋体" w:cs="Arial"/>
                <w:color w:val="auto"/>
                <w:szCs w:val="21"/>
                <w:highlight w:val="none"/>
                <w:u w:val="single"/>
              </w:rPr>
              <w:t>柳州银行北站支行营业部</w:t>
            </w:r>
            <w:r>
              <w:rPr>
                <w:rFonts w:hint="eastAsia" w:hAnsi="宋体" w:cs="Arial"/>
                <w:color w:val="auto"/>
                <w:szCs w:val="21"/>
                <w:highlight w:val="none"/>
              </w:rPr>
              <w:t>，银行账号：</w:t>
            </w:r>
            <w:r>
              <w:rPr>
                <w:rFonts w:hAnsi="宋体" w:cs="Arial"/>
                <w:color w:val="auto"/>
                <w:szCs w:val="21"/>
                <w:highlight w:val="none"/>
                <w:u w:val="single"/>
              </w:rPr>
              <w:t>707002011010900000108</w:t>
            </w:r>
            <w:r>
              <w:rPr>
                <w:rFonts w:hint="eastAsia" w:hAnsi="宋体" w:cs="Arial"/>
                <w:color w:val="auto"/>
                <w:szCs w:val="21"/>
                <w:highlight w:val="none"/>
              </w:rPr>
              <w:t>；</w:t>
            </w:r>
            <w:r>
              <w:rPr>
                <w:rFonts w:hint="eastAsia" w:hAnsi="宋体"/>
                <w:color w:val="auto"/>
                <w:szCs w:val="21"/>
                <w:highlight w:val="none"/>
              </w:rPr>
              <w:t>采用支票、汇票、本票或者保函等方式的，在首次提交响应文件截止时间前，供应商应当递交单独密封的支票、汇票、本票或者保函原件，</w:t>
            </w:r>
            <w:r>
              <w:rPr>
                <w:rFonts w:hint="eastAsia" w:hAnsi="宋体"/>
                <w:b/>
                <w:bCs/>
                <w:color w:val="auto"/>
                <w:szCs w:val="21"/>
                <w:highlight w:val="none"/>
              </w:rPr>
              <w:t>否则视为无效竞标保证金。</w:t>
            </w:r>
            <w:r>
              <w:rPr>
                <w:rFonts w:hint="eastAsia" w:hAnsi="宋体"/>
                <w:color w:val="auto"/>
                <w:szCs w:val="21"/>
                <w:highlight w:val="none"/>
              </w:rPr>
              <w:t>原件递交的形式可以是在线下开标现场（柳州市公共资源交易中心对应开标室）递交密封好的原件（原件放入一个密封袋中，并在封口处加盖供应商公章或委托代理人签字，以示密封，在封套上标记“项目名称（项目编号）竞标保证金”字样）；若广西德元工程项目管理有限责任公司在保证金规定递交时间内没有收到上述原件的，</w:t>
            </w:r>
            <w:r>
              <w:rPr>
                <w:rFonts w:hint="eastAsia" w:hAnsi="宋体"/>
                <w:b/>
                <w:color w:val="auto"/>
                <w:szCs w:val="21"/>
                <w:highlight w:val="none"/>
              </w:rPr>
              <w:t>其响应无效</w:t>
            </w:r>
            <w:r>
              <w:rPr>
                <w:rFonts w:hint="eastAsia" w:hAnsi="宋体"/>
                <w:color w:val="auto"/>
                <w:szCs w:val="21"/>
                <w:highlight w:val="none"/>
              </w:rPr>
              <w:t>；因此供应商无论采用现场或者是邮寄递交上述原件时应充分考虑到达时间，以免影响竞标。</w:t>
            </w:r>
          </w:p>
        </w:tc>
      </w:tr>
      <w:tr w14:paraId="71BF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76A73DB7">
            <w:pPr>
              <w:spacing w:line="360" w:lineRule="exact"/>
              <w:jc w:val="center"/>
              <w:rPr>
                <w:rFonts w:ascii="宋体" w:hAnsi="宋体"/>
                <w:color w:val="auto"/>
                <w:szCs w:val="21"/>
                <w:highlight w:val="none"/>
              </w:rPr>
            </w:pPr>
            <w:r>
              <w:rPr>
                <w:rFonts w:hint="eastAsia" w:ascii="宋体" w:hAnsi="宋体"/>
                <w:color w:val="auto"/>
                <w:szCs w:val="21"/>
                <w:highlight w:val="none"/>
              </w:rPr>
              <w:t>4</w:t>
            </w:r>
          </w:p>
        </w:tc>
        <w:tc>
          <w:tcPr>
            <w:tcW w:w="8907" w:type="dxa"/>
            <w:vAlign w:val="center"/>
          </w:tcPr>
          <w:p w14:paraId="5AAC5D7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现场考察或答疑会：</w:t>
            </w:r>
          </w:p>
          <w:p w14:paraId="50AC498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□组织。集中考察时间：</w:t>
            </w:r>
            <w:r>
              <w:rPr>
                <w:rFonts w:hint="eastAsia" w:ascii="宋体" w:hAnsi="宋体"/>
                <w:color w:val="auto"/>
                <w:szCs w:val="21"/>
                <w:highlight w:val="none"/>
                <w:u w:val="single"/>
              </w:rPr>
              <w:t xml:space="preserve">        </w:t>
            </w:r>
            <w:r>
              <w:rPr>
                <w:rFonts w:hint="eastAsia" w:ascii="宋体" w:hAnsi="宋体"/>
                <w:color w:val="auto"/>
                <w:szCs w:val="21"/>
                <w:highlight w:val="none"/>
              </w:rPr>
              <w:t>，集中考察地点：</w:t>
            </w:r>
            <w:r>
              <w:rPr>
                <w:rFonts w:hint="eastAsia" w:ascii="宋体" w:hAnsi="宋体"/>
                <w:color w:val="auto"/>
                <w:szCs w:val="21"/>
                <w:highlight w:val="none"/>
                <w:u w:val="single"/>
              </w:rPr>
              <w:t xml:space="preserve">         </w:t>
            </w:r>
            <w:r>
              <w:rPr>
                <w:rFonts w:hint="eastAsia" w:ascii="宋体" w:hAnsi="宋体"/>
                <w:color w:val="auto"/>
                <w:szCs w:val="21"/>
                <w:highlight w:val="none"/>
              </w:rPr>
              <w:t>，联系人：</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F23D1CC">
            <w:pPr>
              <w:spacing w:line="360" w:lineRule="exact"/>
              <w:ind w:firstLine="420" w:firstLineChars="200"/>
              <w:rPr>
                <w:rFonts w:ascii="宋体" w:hAnsi="宋体"/>
                <w:color w:val="auto"/>
                <w:szCs w:val="21"/>
                <w:highlight w:val="none"/>
              </w:rPr>
            </w:pPr>
            <w:r>
              <w:rPr>
                <w:rFonts w:ascii="宋体" w:hAnsi="宋体"/>
                <w:color w:val="auto"/>
                <w:szCs w:val="21"/>
                <w:highlight w:val="none"/>
              </w:rPr>
              <w:sym w:font="Wingdings 2" w:char="0052"/>
            </w:r>
            <w:r>
              <w:rPr>
                <w:rFonts w:hint="eastAsia" w:ascii="宋体" w:hAnsi="宋体"/>
                <w:color w:val="auto"/>
                <w:szCs w:val="21"/>
                <w:highlight w:val="none"/>
              </w:rPr>
              <w:t>不组织。供应商自行考察现场。</w:t>
            </w:r>
          </w:p>
        </w:tc>
      </w:tr>
      <w:tr w14:paraId="690C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DC6FFCF">
            <w:pPr>
              <w:spacing w:line="360" w:lineRule="exact"/>
              <w:jc w:val="center"/>
              <w:rPr>
                <w:rFonts w:ascii="宋体" w:hAnsi="宋体"/>
                <w:color w:val="auto"/>
                <w:szCs w:val="21"/>
                <w:highlight w:val="none"/>
              </w:rPr>
            </w:pPr>
            <w:r>
              <w:rPr>
                <w:rFonts w:hint="eastAsia" w:ascii="宋体" w:hAnsi="宋体"/>
                <w:color w:val="auto"/>
                <w:szCs w:val="21"/>
                <w:highlight w:val="none"/>
              </w:rPr>
              <w:t>5</w:t>
            </w:r>
          </w:p>
        </w:tc>
        <w:tc>
          <w:tcPr>
            <w:tcW w:w="8907" w:type="dxa"/>
            <w:vAlign w:val="center"/>
          </w:tcPr>
          <w:p w14:paraId="6B61FEA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是否需要演示：</w:t>
            </w:r>
          </w:p>
          <w:p w14:paraId="319BF038">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不需演示。</w:t>
            </w:r>
          </w:p>
          <w:p w14:paraId="3EA05F06">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需要演示</w:t>
            </w:r>
          </w:p>
          <w:p w14:paraId="6577BD6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演示时间：</w:t>
            </w:r>
            <w:r>
              <w:rPr>
                <w:rFonts w:hint="eastAsia" w:ascii="宋体" w:hAnsi="宋体"/>
                <w:color w:val="auto"/>
                <w:szCs w:val="21"/>
                <w:highlight w:val="none"/>
                <w:u w:val="single"/>
              </w:rPr>
              <w:t xml:space="preserve">                    </w:t>
            </w:r>
            <w:r>
              <w:rPr>
                <w:rFonts w:hint="eastAsia" w:ascii="宋体" w:hAnsi="宋体"/>
                <w:color w:val="auto"/>
                <w:szCs w:val="21"/>
                <w:highlight w:val="none"/>
              </w:rPr>
              <w:t>，地点：</w:t>
            </w:r>
            <w:r>
              <w:rPr>
                <w:rFonts w:hint="eastAsia" w:ascii="宋体" w:hAnsi="宋体"/>
                <w:color w:val="auto"/>
                <w:szCs w:val="21"/>
                <w:highlight w:val="none"/>
                <w:u w:val="single"/>
              </w:rPr>
              <w:t xml:space="preserve">                  </w:t>
            </w:r>
            <w:r>
              <w:rPr>
                <w:rFonts w:hint="eastAsia" w:ascii="宋体" w:hAnsi="宋体"/>
                <w:color w:val="auto"/>
                <w:szCs w:val="21"/>
                <w:highlight w:val="none"/>
              </w:rPr>
              <w:t>。</w:t>
            </w:r>
          </w:p>
        </w:tc>
      </w:tr>
      <w:tr w14:paraId="2E97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3B9C4390">
            <w:pPr>
              <w:spacing w:line="360" w:lineRule="exact"/>
              <w:jc w:val="center"/>
              <w:rPr>
                <w:rFonts w:ascii="宋体" w:hAnsi="宋体"/>
                <w:color w:val="auto"/>
                <w:szCs w:val="21"/>
                <w:highlight w:val="none"/>
              </w:rPr>
            </w:pPr>
            <w:r>
              <w:rPr>
                <w:rFonts w:hint="eastAsia" w:ascii="宋体" w:hAnsi="宋体"/>
                <w:color w:val="auto"/>
                <w:szCs w:val="21"/>
                <w:highlight w:val="none"/>
              </w:rPr>
              <w:t>6</w:t>
            </w:r>
          </w:p>
        </w:tc>
        <w:tc>
          <w:tcPr>
            <w:tcW w:w="8907" w:type="dxa"/>
            <w:vAlign w:val="center"/>
          </w:tcPr>
          <w:p w14:paraId="4AF4339A">
            <w:pPr>
              <w:spacing w:line="360" w:lineRule="exact"/>
              <w:ind w:firstLine="420" w:firstLineChars="200"/>
              <w:rPr>
                <w:rFonts w:ascii="宋体" w:hAnsi="Calibri" w:cs="宋体"/>
                <w:color w:val="auto"/>
                <w:kern w:val="0"/>
                <w:szCs w:val="21"/>
                <w:highlight w:val="none"/>
              </w:rPr>
            </w:pPr>
            <w:r>
              <w:rPr>
                <w:rFonts w:hint="eastAsia" w:ascii="宋体" w:hAnsi="Calibri" w:cs="宋体"/>
                <w:color w:val="auto"/>
                <w:kern w:val="0"/>
                <w:szCs w:val="21"/>
                <w:highlight w:val="none"/>
              </w:rPr>
              <w:t>联合体竞标：</w:t>
            </w:r>
          </w:p>
          <w:p w14:paraId="133E1BC2">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接受联合体竞标。</w:t>
            </w:r>
          </w:p>
          <w:p w14:paraId="3FF16AD8">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不接受联合体竞标</w:t>
            </w:r>
          </w:p>
        </w:tc>
      </w:tr>
      <w:tr w14:paraId="1EBD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16CA27C">
            <w:pPr>
              <w:spacing w:line="360" w:lineRule="exact"/>
              <w:jc w:val="center"/>
              <w:rPr>
                <w:rFonts w:ascii="宋体" w:hAnsi="宋体"/>
                <w:color w:val="auto"/>
                <w:szCs w:val="21"/>
                <w:highlight w:val="none"/>
              </w:rPr>
            </w:pPr>
            <w:r>
              <w:rPr>
                <w:rFonts w:hint="eastAsia" w:ascii="宋体" w:hAnsi="宋体"/>
                <w:color w:val="auto"/>
                <w:szCs w:val="21"/>
                <w:highlight w:val="none"/>
              </w:rPr>
              <w:t>7</w:t>
            </w:r>
          </w:p>
        </w:tc>
        <w:tc>
          <w:tcPr>
            <w:tcW w:w="8907" w:type="dxa"/>
            <w:vAlign w:val="center"/>
          </w:tcPr>
          <w:p w14:paraId="065D6805">
            <w:pPr>
              <w:spacing w:line="360" w:lineRule="exact"/>
              <w:ind w:firstLine="420" w:firstLineChars="200"/>
              <w:rPr>
                <w:rFonts w:ascii="宋体" w:hAnsi="Calibri" w:cs="宋体"/>
                <w:color w:val="auto"/>
                <w:kern w:val="0"/>
                <w:szCs w:val="21"/>
                <w:highlight w:val="none"/>
              </w:rPr>
            </w:pPr>
            <w:r>
              <w:rPr>
                <w:rFonts w:hint="eastAsia" w:ascii="宋体" w:hAnsi="Calibri" w:cs="宋体"/>
                <w:color w:val="auto"/>
                <w:kern w:val="0"/>
                <w:szCs w:val="21"/>
                <w:highlight w:val="none"/>
              </w:rPr>
              <w:t>是否允许分包：</w:t>
            </w:r>
          </w:p>
          <w:p w14:paraId="7DFAA66D">
            <w:pPr>
              <w:spacing w:line="360" w:lineRule="exact"/>
              <w:ind w:firstLine="420" w:firstLineChars="200"/>
              <w:rPr>
                <w:rFonts w:ascii="宋体" w:hAnsi="Calibri" w:cs="宋体"/>
                <w:color w:val="auto"/>
                <w:kern w:val="0"/>
                <w:szCs w:val="21"/>
                <w:highlight w:val="none"/>
              </w:rPr>
            </w:pPr>
            <w:r>
              <w:rPr>
                <w:rFonts w:hint="eastAsia" w:ascii="宋体" w:hAnsi="Calibri" w:cs="宋体"/>
                <w:color w:val="auto"/>
                <w:kern w:val="0"/>
                <w:szCs w:val="21"/>
                <w:highlight w:val="none"/>
              </w:rPr>
              <w:t>☑不允许分包</w:t>
            </w:r>
          </w:p>
          <w:p w14:paraId="20EEA292">
            <w:pPr>
              <w:spacing w:line="360" w:lineRule="exact"/>
              <w:ind w:firstLine="420" w:firstLineChars="200"/>
              <w:rPr>
                <w:rFonts w:ascii="宋体" w:hAnsi="Calibri" w:cs="宋体"/>
                <w:color w:val="auto"/>
                <w:kern w:val="0"/>
                <w:szCs w:val="21"/>
                <w:highlight w:val="none"/>
              </w:rPr>
            </w:pPr>
            <w:r>
              <w:rPr>
                <w:rFonts w:hint="eastAsia" w:ascii="宋体" w:hAnsi="Calibri" w:cs="宋体"/>
                <w:color w:val="auto"/>
                <w:kern w:val="0"/>
                <w:szCs w:val="21"/>
                <w:highlight w:val="none"/>
              </w:rPr>
              <w:t>□允许分包</w:t>
            </w:r>
          </w:p>
          <w:p w14:paraId="5DA5BF5D">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分包内容：</w:t>
            </w:r>
            <w:r>
              <w:rPr>
                <w:rFonts w:hint="eastAsia" w:ascii="宋体" w:hAnsi="Calibri" w:cs="宋体"/>
                <w:color w:val="auto"/>
                <w:kern w:val="0"/>
                <w:szCs w:val="21"/>
                <w:highlight w:val="none"/>
                <w:u w:val="single"/>
              </w:rPr>
              <w:t xml:space="preserve">                       </w:t>
            </w:r>
            <w:r>
              <w:rPr>
                <w:rFonts w:hint="eastAsia" w:ascii="宋体" w:hAnsi="Calibri" w:cs="宋体"/>
                <w:color w:val="auto"/>
                <w:kern w:val="0"/>
                <w:szCs w:val="21"/>
                <w:highlight w:val="none"/>
              </w:rPr>
              <w:t>。</w:t>
            </w:r>
          </w:p>
        </w:tc>
      </w:tr>
      <w:tr w14:paraId="35E9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726" w:type="dxa"/>
            <w:vAlign w:val="center"/>
          </w:tcPr>
          <w:p w14:paraId="00F235F8">
            <w:pPr>
              <w:spacing w:line="360" w:lineRule="exact"/>
              <w:jc w:val="center"/>
              <w:rPr>
                <w:rFonts w:ascii="宋体" w:hAnsi="宋体"/>
                <w:color w:val="auto"/>
                <w:szCs w:val="21"/>
                <w:highlight w:val="none"/>
              </w:rPr>
            </w:pPr>
            <w:r>
              <w:rPr>
                <w:rFonts w:hint="eastAsia" w:ascii="宋体" w:hAnsi="宋体"/>
                <w:color w:val="auto"/>
                <w:szCs w:val="21"/>
                <w:highlight w:val="none"/>
              </w:rPr>
              <w:t>8</w:t>
            </w:r>
          </w:p>
        </w:tc>
        <w:tc>
          <w:tcPr>
            <w:tcW w:w="8907" w:type="dxa"/>
            <w:vAlign w:val="center"/>
          </w:tcPr>
          <w:p w14:paraId="307789A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响应文件组成：资格文件、商务和技术文件、报价文件。</w:t>
            </w:r>
          </w:p>
        </w:tc>
      </w:tr>
      <w:tr w14:paraId="00473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06760CB7">
            <w:pPr>
              <w:spacing w:line="360" w:lineRule="exact"/>
              <w:jc w:val="center"/>
              <w:rPr>
                <w:rFonts w:ascii="宋体" w:hAnsi="宋体"/>
                <w:color w:val="auto"/>
                <w:szCs w:val="21"/>
                <w:highlight w:val="none"/>
              </w:rPr>
            </w:pPr>
            <w:r>
              <w:rPr>
                <w:rFonts w:hint="eastAsia" w:ascii="宋体" w:hAnsi="宋体"/>
                <w:color w:val="auto"/>
                <w:szCs w:val="21"/>
                <w:highlight w:val="none"/>
              </w:rPr>
              <w:t>9</w:t>
            </w:r>
          </w:p>
        </w:tc>
        <w:tc>
          <w:tcPr>
            <w:tcW w:w="8907" w:type="dxa"/>
            <w:vAlign w:val="center"/>
          </w:tcPr>
          <w:p w14:paraId="536BF039">
            <w:pPr>
              <w:spacing w:line="360" w:lineRule="exact"/>
              <w:ind w:firstLine="420" w:firstLineChars="200"/>
              <w:rPr>
                <w:rFonts w:hAnsi="宋体" w:cs="Arial"/>
                <w:color w:val="auto"/>
                <w:szCs w:val="21"/>
                <w:highlight w:val="none"/>
              </w:rPr>
            </w:pPr>
            <w:r>
              <w:rPr>
                <w:rFonts w:hint="eastAsia" w:hAnsi="宋体" w:cs="Arial"/>
                <w:color w:val="auto"/>
                <w:szCs w:val="21"/>
                <w:highlight w:val="none"/>
              </w:rPr>
              <w:t>最高限价：人民币</w:t>
            </w:r>
            <w:r>
              <w:rPr>
                <w:rFonts w:hint="eastAsia" w:hAnsi="宋体" w:cs="Arial"/>
                <w:color w:val="auto"/>
                <w:szCs w:val="21"/>
                <w:highlight w:val="none"/>
                <w:lang w:val="en-US" w:eastAsia="zh-CN"/>
              </w:rPr>
              <w:t>伍万陆仟捌佰壹拾元整</w:t>
            </w:r>
            <w:r>
              <w:rPr>
                <w:rFonts w:hint="eastAsia" w:hAnsi="宋体" w:cs="Arial"/>
                <w:color w:val="auto"/>
                <w:szCs w:val="21"/>
                <w:highlight w:val="none"/>
              </w:rPr>
              <w:t>（¥56810.00）</w:t>
            </w:r>
          </w:p>
          <w:p w14:paraId="6E91A457">
            <w:pPr>
              <w:spacing w:line="360" w:lineRule="exact"/>
              <w:ind w:firstLine="420" w:firstLineChars="200"/>
              <w:rPr>
                <w:rFonts w:hAnsi="宋体" w:cs="Arial"/>
                <w:b/>
                <w:bCs/>
                <w:color w:val="auto"/>
                <w:szCs w:val="21"/>
                <w:highlight w:val="none"/>
              </w:rPr>
            </w:pPr>
            <w:r>
              <w:rPr>
                <w:rFonts w:hint="eastAsia" w:hAnsi="宋体" w:cs="Arial"/>
                <w:color w:val="auto"/>
                <w:szCs w:val="21"/>
                <w:highlight w:val="none"/>
              </w:rPr>
              <w:t>响应文件报价须小于等于最高限价，否则响应无效；</w:t>
            </w:r>
            <w:r>
              <w:rPr>
                <w:rFonts w:hint="eastAsia" w:hAnsi="宋体" w:cs="Arial"/>
                <w:b/>
                <w:bCs/>
                <w:color w:val="auto"/>
                <w:szCs w:val="21"/>
                <w:highlight w:val="none"/>
              </w:rPr>
              <w:t>投标人的单项货物报价不得高于预算控制单价，否则视为投标无效。</w:t>
            </w:r>
          </w:p>
          <w:p w14:paraId="6D9D3158">
            <w:pPr>
              <w:spacing w:line="360" w:lineRule="exact"/>
              <w:ind w:firstLine="422" w:firstLineChars="200"/>
              <w:rPr>
                <w:rFonts w:hAnsi="宋体" w:cs="Arial"/>
                <w:b/>
                <w:bCs/>
                <w:color w:val="auto"/>
                <w:szCs w:val="21"/>
                <w:highlight w:val="none"/>
              </w:rPr>
            </w:pPr>
            <w:r>
              <w:rPr>
                <w:rFonts w:hint="eastAsia" w:hAnsi="宋体" w:cs="Arial"/>
                <w:b/>
                <w:bCs/>
                <w:color w:val="auto"/>
                <w:szCs w:val="21"/>
                <w:highlight w:val="none"/>
              </w:rPr>
              <w:t>（1）分批供货，每批次货款根据双方确认的批次的供货数量进行结算；</w:t>
            </w:r>
          </w:p>
          <w:p w14:paraId="36C0224D">
            <w:pPr>
              <w:spacing w:line="360" w:lineRule="exact"/>
              <w:ind w:firstLine="422" w:firstLineChars="200"/>
              <w:rPr>
                <w:rFonts w:hAnsi="宋体" w:cs="Arial"/>
                <w:b/>
                <w:bCs/>
                <w:color w:val="auto"/>
                <w:szCs w:val="21"/>
                <w:highlight w:val="none"/>
              </w:rPr>
            </w:pPr>
            <w:r>
              <w:rPr>
                <w:rFonts w:hint="eastAsia" w:hAnsi="宋体" w:cs="Arial"/>
                <w:b/>
                <w:bCs/>
                <w:color w:val="auto"/>
                <w:szCs w:val="21"/>
                <w:highlight w:val="none"/>
              </w:rPr>
              <w:t>（2）按</w:t>
            </w:r>
            <w:r>
              <w:rPr>
                <w:rFonts w:hint="eastAsia" w:hAnsi="宋体" w:cs="Arial"/>
                <w:b/>
                <w:bCs/>
                <w:color w:val="auto"/>
                <w:szCs w:val="21"/>
                <w:highlight w:val="none"/>
                <w:lang w:eastAsia="zh-CN"/>
              </w:rPr>
              <w:t>批次</w:t>
            </w:r>
            <w:r>
              <w:rPr>
                <w:rFonts w:hint="eastAsia" w:hAnsi="宋体" w:cs="Arial"/>
                <w:b/>
                <w:bCs/>
                <w:color w:val="auto"/>
                <w:szCs w:val="21"/>
                <w:highlight w:val="none"/>
              </w:rPr>
              <w:t>结算，采购人在收到中标人上</w:t>
            </w:r>
            <w:r>
              <w:rPr>
                <w:rFonts w:hint="eastAsia" w:hAnsi="宋体" w:cs="Arial"/>
                <w:b/>
                <w:bCs/>
                <w:color w:val="auto"/>
                <w:szCs w:val="21"/>
                <w:highlight w:val="none"/>
                <w:lang w:eastAsia="zh-CN"/>
              </w:rPr>
              <w:t>批次货物且验收合格正常使用十五个工作日并收到</w:t>
            </w:r>
            <w:r>
              <w:rPr>
                <w:rFonts w:hint="eastAsia" w:hAnsi="宋体" w:cs="Arial"/>
                <w:b/>
                <w:bCs/>
                <w:color w:val="auto"/>
                <w:szCs w:val="21"/>
                <w:highlight w:val="none"/>
              </w:rPr>
              <w:t>全额发票</w:t>
            </w:r>
            <w:r>
              <w:rPr>
                <w:rFonts w:hint="eastAsia" w:hAnsi="宋体" w:cs="Arial"/>
                <w:b/>
                <w:bCs/>
                <w:color w:val="auto"/>
                <w:szCs w:val="21"/>
                <w:highlight w:val="none"/>
                <w:lang w:eastAsia="zh-CN"/>
              </w:rPr>
              <w:t>后</w:t>
            </w:r>
            <w:r>
              <w:rPr>
                <w:rFonts w:hint="eastAsia" w:hAnsi="宋体" w:cs="Arial"/>
                <w:b/>
                <w:bCs/>
                <w:color w:val="auto"/>
                <w:szCs w:val="21"/>
                <w:highlight w:val="none"/>
                <w:lang w:val="en-US" w:eastAsia="zh-CN"/>
              </w:rPr>
              <w:t>2</w:t>
            </w:r>
            <w:r>
              <w:rPr>
                <w:rFonts w:hint="eastAsia" w:hAnsi="宋体" w:cs="Arial"/>
                <w:b/>
                <w:bCs/>
                <w:color w:val="auto"/>
                <w:szCs w:val="21"/>
                <w:highlight w:val="none"/>
              </w:rPr>
              <w:t>个月内向中标人一次付清</w:t>
            </w:r>
            <w:r>
              <w:rPr>
                <w:rFonts w:hint="eastAsia" w:hAnsi="宋体" w:cs="Arial"/>
                <w:b/>
                <w:bCs/>
                <w:color w:val="auto"/>
                <w:szCs w:val="21"/>
                <w:highlight w:val="none"/>
                <w:lang w:eastAsia="zh-CN"/>
              </w:rPr>
              <w:t>该批次</w:t>
            </w:r>
            <w:r>
              <w:rPr>
                <w:rFonts w:hint="eastAsia" w:hAnsi="宋体" w:cs="Arial"/>
                <w:b/>
                <w:bCs/>
                <w:color w:val="auto"/>
                <w:szCs w:val="21"/>
                <w:highlight w:val="none"/>
              </w:rPr>
              <w:t>货物的全部货款。</w:t>
            </w:r>
          </w:p>
          <w:p w14:paraId="5BDE7526">
            <w:pPr>
              <w:spacing w:line="360" w:lineRule="exact"/>
              <w:ind w:firstLine="422" w:firstLineChars="200"/>
              <w:rPr>
                <w:color w:val="auto"/>
                <w:highlight w:val="none"/>
              </w:rPr>
            </w:pPr>
            <w:r>
              <w:rPr>
                <w:rFonts w:hint="eastAsia" w:hAnsi="宋体" w:cs="Arial"/>
                <w:b/>
                <w:bCs/>
                <w:color w:val="auto"/>
                <w:szCs w:val="21"/>
                <w:highlight w:val="none"/>
              </w:rPr>
              <w:t>合同期限内实际采购金额按采购人实际采购量据实结算，中标供应商不得因实际采购量与中标数量不一致提出异议。</w:t>
            </w:r>
          </w:p>
        </w:tc>
      </w:tr>
      <w:tr w14:paraId="5A0A5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3CACAAB0">
            <w:pPr>
              <w:spacing w:line="360" w:lineRule="exact"/>
              <w:jc w:val="center"/>
              <w:rPr>
                <w:rFonts w:ascii="宋体" w:hAnsi="宋体"/>
                <w:color w:val="auto"/>
                <w:szCs w:val="21"/>
                <w:highlight w:val="none"/>
              </w:rPr>
            </w:pPr>
            <w:r>
              <w:rPr>
                <w:rFonts w:hint="eastAsia" w:ascii="宋体" w:hAnsi="宋体"/>
                <w:color w:val="auto"/>
                <w:szCs w:val="21"/>
                <w:highlight w:val="none"/>
              </w:rPr>
              <w:t>10</w:t>
            </w:r>
          </w:p>
        </w:tc>
        <w:tc>
          <w:tcPr>
            <w:tcW w:w="8907" w:type="dxa"/>
            <w:vAlign w:val="center"/>
          </w:tcPr>
          <w:p w14:paraId="78DA1A05">
            <w:pPr>
              <w:spacing w:line="360" w:lineRule="exact"/>
              <w:ind w:firstLine="420" w:firstLineChars="200"/>
              <w:rPr>
                <w:rFonts w:hAnsi="宋体" w:cs="Arial"/>
                <w:color w:val="auto"/>
                <w:szCs w:val="21"/>
                <w:highlight w:val="none"/>
              </w:rPr>
            </w:pPr>
            <w:r>
              <w:rPr>
                <w:rFonts w:hint="eastAsia" w:hAnsi="宋体"/>
                <w:color w:val="auto"/>
                <w:szCs w:val="21"/>
                <w:highlight w:val="none"/>
              </w:rPr>
              <w:t>竞标</w:t>
            </w:r>
            <w:r>
              <w:rPr>
                <w:rFonts w:hint="eastAsia" w:ascii="宋体" w:hAnsi="宋体"/>
                <w:color w:val="auto"/>
                <w:szCs w:val="21"/>
                <w:highlight w:val="none"/>
              </w:rPr>
              <w:t>报价及费用：1、本项目竞标应以人民币报价；2、不论竞标结果如何，供应商均应自行承担所有与竞标有关的全部费用；</w:t>
            </w:r>
            <w:r>
              <w:rPr>
                <w:rFonts w:hint="eastAsia" w:ascii="宋体" w:hAnsi="宋体" w:cs="宋体"/>
                <w:color w:val="auto"/>
                <w:szCs w:val="21"/>
                <w:highlight w:val="none"/>
              </w:rPr>
              <w:t>3、</w:t>
            </w:r>
            <w:r>
              <w:rPr>
                <w:rFonts w:hint="eastAsia" w:ascii="宋体" w:hAnsi="宋体"/>
                <w:color w:val="auto"/>
                <w:szCs w:val="21"/>
                <w:highlight w:val="none"/>
              </w:rPr>
              <w:t>代理服务费以成交价为计费依据，参照国家发展计划委员会《招标代理服务收费管理暂行办法》(计价格[2002]1980号)收费标准及《国家发展改革委关于降低部分建设项目收费标准规范收费行为等有关问题的通知》(发改价格[2011]534号)标准费率的规定下浮</w:t>
            </w:r>
            <w:r>
              <w:rPr>
                <w:rFonts w:hint="eastAsia" w:ascii="宋体" w:hAnsi="宋体"/>
                <w:color w:val="auto"/>
                <w:szCs w:val="21"/>
                <w:highlight w:val="none"/>
                <w:lang w:val="en-US" w:eastAsia="zh-CN"/>
              </w:rPr>
              <w:t>10</w:t>
            </w:r>
            <w:r>
              <w:rPr>
                <w:rFonts w:hint="eastAsia" w:ascii="宋体" w:hAnsi="宋体"/>
                <w:color w:val="auto"/>
                <w:szCs w:val="21"/>
                <w:highlight w:val="none"/>
              </w:rPr>
              <w:t>%向成交供应商收取。</w:t>
            </w:r>
            <w:r>
              <w:rPr>
                <w:rFonts w:hint="eastAsia" w:ascii="宋体" w:hAnsi="宋体" w:cs="宋体"/>
                <w:color w:val="auto"/>
                <w:szCs w:val="21"/>
                <w:highlight w:val="none"/>
              </w:rPr>
              <w:t>成交</w:t>
            </w:r>
            <w:r>
              <w:rPr>
                <w:rFonts w:hint="eastAsia" w:ascii="宋体" w:hAnsi="宋体"/>
                <w:color w:val="auto"/>
                <w:szCs w:val="21"/>
                <w:highlight w:val="none"/>
              </w:rPr>
              <w:t>供应商</w:t>
            </w:r>
            <w:r>
              <w:rPr>
                <w:rFonts w:hint="eastAsia" w:ascii="宋体" w:hAnsi="宋体" w:cs="宋体"/>
                <w:color w:val="auto"/>
                <w:szCs w:val="21"/>
                <w:highlight w:val="none"/>
              </w:rPr>
              <w:t>在领取成交通知书时，一次性向采购代理机构支付。</w:t>
            </w:r>
          </w:p>
        </w:tc>
      </w:tr>
      <w:tr w14:paraId="1B6D4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20324AC3">
            <w:pPr>
              <w:spacing w:line="360" w:lineRule="exact"/>
              <w:jc w:val="center"/>
              <w:rPr>
                <w:rFonts w:ascii="宋体" w:hAnsi="宋体"/>
                <w:color w:val="auto"/>
                <w:szCs w:val="21"/>
                <w:highlight w:val="none"/>
              </w:rPr>
            </w:pPr>
            <w:r>
              <w:rPr>
                <w:rFonts w:hint="eastAsia" w:ascii="宋体" w:hAnsi="宋体"/>
                <w:color w:val="auto"/>
                <w:szCs w:val="21"/>
                <w:highlight w:val="none"/>
              </w:rPr>
              <w:t>11</w:t>
            </w:r>
          </w:p>
        </w:tc>
        <w:tc>
          <w:tcPr>
            <w:tcW w:w="8907" w:type="dxa"/>
            <w:vAlign w:val="center"/>
          </w:tcPr>
          <w:p w14:paraId="1E51B4D2">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提交响应文件截止时间：2026年</w:t>
            </w:r>
            <w:r>
              <w:rPr>
                <w:rFonts w:hint="eastAsia" w:ascii="宋体" w:hAnsi="宋体" w:cs="宋体"/>
                <w:color w:val="auto"/>
                <w:szCs w:val="21"/>
                <w:highlight w:val="none"/>
                <w:lang w:eastAsia="zh-CN"/>
              </w:rPr>
              <w:t>10月</w:t>
            </w:r>
            <w:r>
              <w:rPr>
                <w:rFonts w:hint="eastAsia" w:ascii="宋体" w:hAnsi="宋体" w:cs="宋体"/>
                <w:color w:val="auto"/>
                <w:szCs w:val="21"/>
                <w:highlight w:val="none"/>
                <w:lang w:val="en-US" w:eastAsia="zh-CN"/>
              </w:rPr>
              <w:t>16</w:t>
            </w:r>
            <w:r>
              <w:rPr>
                <w:rFonts w:hint="eastAsia" w:ascii="宋体" w:hAnsi="宋体" w:cs="宋体"/>
                <w:color w:val="auto"/>
                <w:szCs w:val="21"/>
                <w:highlight w:val="none"/>
                <w:lang w:eastAsia="zh-CN"/>
              </w:rPr>
              <w:t>日</w:t>
            </w:r>
            <w:r>
              <w:rPr>
                <w:rFonts w:hint="eastAsia" w:ascii="宋体" w:hAnsi="宋体" w:cs="宋体"/>
                <w:color w:val="auto"/>
                <w:szCs w:val="21"/>
                <w:highlight w:val="none"/>
              </w:rPr>
              <w:t>09时20分（北京时间）</w:t>
            </w:r>
          </w:p>
          <w:p w14:paraId="0E9BA0B6">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投标地点（网址）：登录广西政府采购云平台（www.gcy.zfcg.gxzf.gov.cn）在线提交。</w:t>
            </w:r>
          </w:p>
          <w:p w14:paraId="64F9F626">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开标时间：2026年</w:t>
            </w:r>
            <w:r>
              <w:rPr>
                <w:rFonts w:hint="eastAsia" w:ascii="宋体" w:hAnsi="宋体" w:cs="宋体"/>
                <w:color w:val="auto"/>
                <w:szCs w:val="21"/>
                <w:highlight w:val="none"/>
                <w:lang w:eastAsia="zh-CN"/>
              </w:rPr>
              <w:t>10月</w:t>
            </w:r>
            <w:r>
              <w:rPr>
                <w:rFonts w:hint="eastAsia" w:ascii="宋体" w:hAnsi="宋体" w:cs="宋体"/>
                <w:color w:val="auto"/>
                <w:szCs w:val="21"/>
                <w:highlight w:val="none"/>
                <w:lang w:val="en-US" w:eastAsia="zh-CN"/>
              </w:rPr>
              <w:t>16</w:t>
            </w:r>
            <w:r>
              <w:rPr>
                <w:rFonts w:hint="eastAsia" w:ascii="宋体" w:hAnsi="宋体" w:cs="宋体"/>
                <w:color w:val="auto"/>
                <w:szCs w:val="21"/>
                <w:highlight w:val="none"/>
                <w:lang w:eastAsia="zh-CN"/>
              </w:rPr>
              <w:t>日</w:t>
            </w:r>
            <w:r>
              <w:rPr>
                <w:rFonts w:hint="eastAsia" w:ascii="宋体" w:hAnsi="宋体" w:cs="宋体"/>
                <w:color w:val="auto"/>
                <w:szCs w:val="21"/>
                <w:highlight w:val="none"/>
              </w:rPr>
              <w:t>09时20分</w:t>
            </w:r>
          </w:p>
          <w:p w14:paraId="07B53BCF">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开标地点：广西政府采购云平台（https://www.gcy.zfcg.gxzf.gov.cn/）。</w:t>
            </w:r>
          </w:p>
          <w:p w14:paraId="621247AE">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CA 证书在线解密：供应商投标时，需携带制作响应文件时用来加密的有效数字证书（CA 认证）登录广西政府采购云平台电子开标大厅现场按规定时间对加密的响应文件进行解密，否则后果自负。</w:t>
            </w:r>
          </w:p>
          <w:p w14:paraId="6F503255">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供应商应当在首次响应文件提交截止时间前完成电子响应文件的上传、递交，响应文件提交截止时间前可以补充、修改或者撤回响应文件。补充或者修改响应文件的，应当先行撤回原文件，补充、修改后重新上传、递交。投标截止时间前未完成上传、递交的，视为撤回响应文件。响应文件提交截止时间以后上传递交的响应文件的，广西政府采购云平台将予以拒收。</w:t>
            </w:r>
          </w:p>
        </w:tc>
      </w:tr>
      <w:tr w14:paraId="4DE2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04D288A0">
            <w:pPr>
              <w:spacing w:line="360" w:lineRule="exact"/>
              <w:jc w:val="center"/>
              <w:rPr>
                <w:rFonts w:ascii="宋体" w:hAnsi="宋体"/>
                <w:color w:val="auto"/>
                <w:szCs w:val="21"/>
                <w:highlight w:val="none"/>
              </w:rPr>
            </w:pPr>
            <w:r>
              <w:rPr>
                <w:rFonts w:hint="eastAsia" w:ascii="宋体" w:hAnsi="宋体"/>
                <w:color w:val="auto"/>
                <w:szCs w:val="21"/>
                <w:highlight w:val="none"/>
              </w:rPr>
              <w:t>12</w:t>
            </w:r>
          </w:p>
        </w:tc>
        <w:tc>
          <w:tcPr>
            <w:tcW w:w="8907" w:type="dxa"/>
            <w:vAlign w:val="center"/>
          </w:tcPr>
          <w:p w14:paraId="3AE0EA18">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首次响应文件开启时间</w:t>
            </w:r>
          </w:p>
          <w:p w14:paraId="7B81B159">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时间：2026年</w:t>
            </w:r>
            <w:r>
              <w:rPr>
                <w:rFonts w:hint="eastAsia" w:ascii="宋体" w:hAnsi="宋体" w:cs="宋体"/>
                <w:color w:val="auto"/>
                <w:szCs w:val="21"/>
                <w:highlight w:val="none"/>
                <w:lang w:eastAsia="zh-CN"/>
              </w:rPr>
              <w:t>10月</w:t>
            </w:r>
            <w:r>
              <w:rPr>
                <w:rFonts w:hint="eastAsia" w:ascii="宋体" w:hAnsi="宋体" w:cs="宋体"/>
                <w:color w:val="auto"/>
                <w:szCs w:val="21"/>
                <w:highlight w:val="none"/>
                <w:lang w:val="en-US" w:eastAsia="zh-CN"/>
              </w:rPr>
              <w:t>16</w:t>
            </w:r>
            <w:r>
              <w:rPr>
                <w:rFonts w:hint="eastAsia" w:ascii="宋体" w:hAnsi="宋体" w:cs="宋体"/>
                <w:color w:val="auto"/>
                <w:szCs w:val="21"/>
                <w:highlight w:val="none"/>
                <w:lang w:eastAsia="zh-CN"/>
              </w:rPr>
              <w:t>日</w:t>
            </w:r>
            <w:r>
              <w:rPr>
                <w:rFonts w:hint="eastAsia" w:ascii="宋体" w:hAnsi="宋体" w:cs="宋体"/>
                <w:color w:val="auto"/>
                <w:szCs w:val="21"/>
                <w:highlight w:val="none"/>
              </w:rPr>
              <w:t>09时20分（北京时间）开标后</w:t>
            </w:r>
          </w:p>
          <w:p w14:paraId="1FF8089D">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地点：广西政府采购云平台（https://www.gcy.zfcg.gxzf.gov.cn/）</w:t>
            </w:r>
          </w:p>
          <w:p w14:paraId="60B56006">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谈判时间及地点：</w:t>
            </w:r>
          </w:p>
          <w:p w14:paraId="02E972DB">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谈判时间：2026年</w:t>
            </w:r>
            <w:r>
              <w:rPr>
                <w:rFonts w:hint="eastAsia" w:ascii="宋体" w:hAnsi="宋体" w:cs="宋体"/>
                <w:color w:val="auto"/>
                <w:szCs w:val="21"/>
                <w:highlight w:val="none"/>
                <w:lang w:eastAsia="zh-CN"/>
              </w:rPr>
              <w:t>10月</w:t>
            </w:r>
            <w:r>
              <w:rPr>
                <w:rFonts w:hint="eastAsia" w:ascii="宋体" w:hAnsi="宋体" w:cs="宋体"/>
                <w:color w:val="auto"/>
                <w:szCs w:val="21"/>
                <w:highlight w:val="none"/>
                <w:lang w:val="en-US" w:eastAsia="zh-CN"/>
              </w:rPr>
              <w:t>16</w:t>
            </w:r>
            <w:r>
              <w:rPr>
                <w:rFonts w:hint="eastAsia" w:ascii="宋体" w:hAnsi="宋体" w:cs="宋体"/>
                <w:color w:val="auto"/>
                <w:szCs w:val="21"/>
                <w:highlight w:val="none"/>
                <w:lang w:eastAsia="zh-CN"/>
              </w:rPr>
              <w:t>日</w:t>
            </w:r>
            <w:r>
              <w:rPr>
                <w:rFonts w:hint="eastAsia" w:ascii="宋体" w:hAnsi="宋体" w:cs="宋体"/>
                <w:color w:val="auto"/>
                <w:szCs w:val="21"/>
                <w:highlight w:val="none"/>
              </w:rPr>
              <w:t>09时20分截标后为与供应商谈判时间，具体时间由采购代理机构另行通知。</w:t>
            </w:r>
          </w:p>
          <w:p w14:paraId="3084753A">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地点：广西政府采购云平台（https://www.gcy.zfcg.gxzf.gov.cn/）</w:t>
            </w:r>
          </w:p>
        </w:tc>
      </w:tr>
      <w:tr w14:paraId="70F5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1ACCDD90">
            <w:pPr>
              <w:spacing w:line="360" w:lineRule="exact"/>
              <w:jc w:val="center"/>
              <w:rPr>
                <w:rFonts w:ascii="宋体" w:hAnsi="宋体"/>
                <w:color w:val="auto"/>
                <w:szCs w:val="21"/>
                <w:highlight w:val="none"/>
              </w:rPr>
            </w:pPr>
            <w:r>
              <w:rPr>
                <w:rFonts w:hint="eastAsia" w:ascii="宋体" w:hAnsi="宋体"/>
                <w:color w:val="auto"/>
                <w:szCs w:val="21"/>
                <w:highlight w:val="none"/>
              </w:rPr>
              <w:t>13</w:t>
            </w:r>
          </w:p>
        </w:tc>
        <w:tc>
          <w:tcPr>
            <w:tcW w:w="8907" w:type="dxa"/>
            <w:vAlign w:val="center"/>
          </w:tcPr>
          <w:p w14:paraId="339C1F77">
            <w:pPr>
              <w:autoSpaceDE w:val="0"/>
              <w:autoSpaceDN w:val="0"/>
              <w:adjustRightInd w:val="0"/>
              <w:spacing w:line="360" w:lineRule="exact"/>
              <w:ind w:firstLine="420" w:firstLineChars="200"/>
              <w:jc w:val="left"/>
              <w:rPr>
                <w:rFonts w:ascii="宋体" w:hAnsi="Calibri" w:cs="宋体"/>
                <w:color w:val="auto"/>
                <w:kern w:val="0"/>
                <w:szCs w:val="21"/>
                <w:highlight w:val="none"/>
              </w:rPr>
            </w:pPr>
            <w:r>
              <w:rPr>
                <w:rFonts w:hint="eastAsia" w:ascii="宋体" w:hAnsi="宋体" w:cs="宋体"/>
                <w:color w:val="auto"/>
                <w:szCs w:val="21"/>
                <w:highlight w:val="none"/>
              </w:rPr>
              <w:t>谈判</w:t>
            </w:r>
            <w:r>
              <w:rPr>
                <w:rFonts w:hint="eastAsia" w:ascii="宋体" w:hAnsi="Calibri" w:cs="宋体"/>
                <w:color w:val="auto"/>
                <w:kern w:val="0"/>
                <w:szCs w:val="21"/>
                <w:highlight w:val="none"/>
              </w:rPr>
              <w:t>的顺序：</w:t>
            </w:r>
          </w:p>
          <w:p w14:paraId="6DDC38A5">
            <w:pPr>
              <w:autoSpaceDE w:val="0"/>
              <w:autoSpaceDN w:val="0"/>
              <w:adjustRightInd w:val="0"/>
              <w:spacing w:line="360" w:lineRule="exact"/>
              <w:ind w:firstLine="420" w:firstLineChars="200"/>
              <w:jc w:val="left"/>
              <w:rPr>
                <w:rFonts w:ascii="宋体" w:cs="宋体"/>
                <w:color w:val="auto"/>
                <w:kern w:val="0"/>
                <w:szCs w:val="21"/>
                <w:highlight w:val="none"/>
              </w:rPr>
            </w:pPr>
            <w:r>
              <w:rPr>
                <w:rFonts w:hint="eastAsia" w:ascii="宋体" w:cs="宋体"/>
                <w:color w:val="auto"/>
                <w:kern w:val="0"/>
                <w:szCs w:val="21"/>
                <w:highlight w:val="none"/>
              </w:rPr>
              <w:t>系统自动提取的顺序。</w:t>
            </w:r>
          </w:p>
          <w:p w14:paraId="6DD861F2">
            <w:pPr>
              <w:autoSpaceDE w:val="0"/>
              <w:autoSpaceDN w:val="0"/>
              <w:adjustRightInd w:val="0"/>
              <w:spacing w:line="360" w:lineRule="exact"/>
              <w:ind w:firstLine="420" w:firstLineChars="200"/>
              <w:jc w:val="left"/>
              <w:rPr>
                <w:rFonts w:ascii="宋体" w:hAnsi="宋体" w:cs="宋体"/>
                <w:color w:val="auto"/>
                <w:szCs w:val="21"/>
                <w:highlight w:val="none"/>
              </w:rPr>
            </w:pPr>
            <w:r>
              <w:rPr>
                <w:rFonts w:hint="eastAsia" w:ascii="宋体" w:cs="宋体"/>
                <w:color w:val="auto"/>
                <w:kern w:val="0"/>
                <w:szCs w:val="21"/>
                <w:highlight w:val="none"/>
              </w:rPr>
              <w:t>参与谈判前，供应商法定代表人或者委托代理人必须通过电脑摄像头向谈判小组出示本人有效证件原件</w:t>
            </w:r>
            <w:r>
              <w:rPr>
                <w:rFonts w:ascii="宋体" w:cs="宋体"/>
                <w:color w:val="auto"/>
                <w:kern w:val="0"/>
                <w:szCs w:val="21"/>
                <w:highlight w:val="none"/>
              </w:rPr>
              <w:t>[</w:t>
            </w:r>
            <w:r>
              <w:rPr>
                <w:rFonts w:hint="eastAsia" w:ascii="宋体" w:cs="宋体"/>
                <w:color w:val="auto"/>
                <w:kern w:val="0"/>
                <w:szCs w:val="21"/>
                <w:highlight w:val="none"/>
              </w:rPr>
              <w:t>有效证件可以是身份证（含临时身份证明）、机动车驾驶证、社会保障卡或者护照的其中一项</w:t>
            </w:r>
            <w:r>
              <w:rPr>
                <w:rFonts w:ascii="宋体" w:cs="宋体"/>
                <w:color w:val="auto"/>
                <w:kern w:val="0"/>
                <w:szCs w:val="21"/>
                <w:highlight w:val="none"/>
              </w:rPr>
              <w:t>]</w:t>
            </w:r>
            <w:r>
              <w:rPr>
                <w:rFonts w:hint="eastAsia" w:ascii="宋体" w:cs="宋体"/>
                <w:color w:val="auto"/>
                <w:kern w:val="0"/>
                <w:szCs w:val="21"/>
                <w:highlight w:val="none"/>
              </w:rPr>
              <w:t>，若参与谈判的委托代理人不是响应文件中授权的委托代理人时，必须同时出示有效的法定代表人授权委托书原件。如无法核实谈判对象有效身份证明的，谈判小组将拒绝其谈判。</w:t>
            </w:r>
          </w:p>
        </w:tc>
      </w:tr>
      <w:tr w14:paraId="7692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66695DA">
            <w:pPr>
              <w:spacing w:line="360" w:lineRule="exact"/>
              <w:jc w:val="center"/>
              <w:rPr>
                <w:rFonts w:ascii="宋体" w:hAnsi="宋体"/>
                <w:color w:val="auto"/>
                <w:szCs w:val="21"/>
                <w:highlight w:val="none"/>
              </w:rPr>
            </w:pPr>
            <w:r>
              <w:rPr>
                <w:rFonts w:hint="eastAsia" w:ascii="宋体" w:hAnsi="宋体"/>
                <w:color w:val="auto"/>
                <w:szCs w:val="21"/>
                <w:highlight w:val="none"/>
              </w:rPr>
              <w:t>14</w:t>
            </w:r>
          </w:p>
        </w:tc>
        <w:tc>
          <w:tcPr>
            <w:tcW w:w="8907" w:type="dxa"/>
            <w:vAlign w:val="center"/>
          </w:tcPr>
          <w:p w14:paraId="42516815">
            <w:pPr>
              <w:spacing w:line="360" w:lineRule="exact"/>
              <w:ind w:firstLine="420" w:firstLineChars="200"/>
              <w:rPr>
                <w:rFonts w:ascii="宋体" w:hAnsi="宋体" w:cs="宋体"/>
                <w:color w:val="auto"/>
                <w:szCs w:val="21"/>
                <w:highlight w:val="none"/>
              </w:rPr>
            </w:pPr>
            <w:r>
              <w:rPr>
                <w:rFonts w:hint="eastAsia" w:ascii="宋体" w:cs="宋体"/>
                <w:color w:val="auto"/>
                <w:kern w:val="0"/>
                <w:szCs w:val="21"/>
                <w:highlight w:val="none"/>
              </w:rPr>
              <w:t>发布媒体：http://zfcg.gxzf.gov.cn（广西壮族自治区政府采购网）http://www.zfcg.lzscz.liuzhou.gov.cn (柳州市政府采购网)。</w:t>
            </w:r>
          </w:p>
        </w:tc>
      </w:tr>
      <w:tr w14:paraId="7169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8E4A21B">
            <w:pPr>
              <w:spacing w:line="360" w:lineRule="exact"/>
              <w:jc w:val="center"/>
              <w:rPr>
                <w:rFonts w:ascii="宋体" w:hAnsi="宋体"/>
                <w:color w:val="auto"/>
                <w:szCs w:val="21"/>
                <w:highlight w:val="none"/>
              </w:rPr>
            </w:pPr>
            <w:r>
              <w:rPr>
                <w:rFonts w:hint="eastAsia" w:ascii="宋体" w:hAnsi="宋体"/>
                <w:color w:val="auto"/>
                <w:szCs w:val="21"/>
                <w:highlight w:val="none"/>
              </w:rPr>
              <w:t>15</w:t>
            </w:r>
          </w:p>
        </w:tc>
        <w:tc>
          <w:tcPr>
            <w:tcW w:w="8907" w:type="dxa"/>
            <w:vAlign w:val="center"/>
          </w:tcPr>
          <w:p w14:paraId="34608B88">
            <w:pPr>
              <w:spacing w:line="360" w:lineRule="exact"/>
              <w:ind w:firstLine="420" w:firstLineChars="200"/>
              <w:rPr>
                <w:rFonts w:ascii="宋体" w:hAnsi="宋体" w:cs="宋体"/>
                <w:color w:val="auto"/>
                <w:szCs w:val="21"/>
                <w:highlight w:val="none"/>
              </w:rPr>
            </w:pPr>
            <w:r>
              <w:rPr>
                <w:rFonts w:hint="eastAsia" w:ascii="宋体" w:hAnsi="宋体"/>
                <w:color w:val="auto"/>
                <w:szCs w:val="21"/>
                <w:highlight w:val="none"/>
              </w:rPr>
              <w:t>成交公告及成交通知书：成交</w:t>
            </w:r>
            <w:r>
              <w:rPr>
                <w:rFonts w:hint="eastAsia" w:hAnsi="宋体"/>
                <w:color w:val="auto"/>
                <w:szCs w:val="21"/>
                <w:highlight w:val="none"/>
              </w:rPr>
              <w:t>供应商确定后，采购代理机构或采购人须在“信用中国”网站（</w:t>
            </w:r>
            <w:r>
              <w:rPr>
                <w:rFonts w:hAnsi="宋体"/>
                <w:color w:val="auto"/>
                <w:szCs w:val="21"/>
                <w:highlight w:val="none"/>
              </w:rPr>
              <w:t>www.creditchina.gov.cn</w:t>
            </w:r>
            <w:r>
              <w:rPr>
                <w:rFonts w:hint="eastAsia" w:hAnsi="宋体"/>
                <w:color w:val="auto"/>
                <w:szCs w:val="21"/>
                <w:highlight w:val="none"/>
              </w:rPr>
              <w:t>）和中国政府采购网（</w:t>
            </w:r>
            <w:r>
              <w:rPr>
                <w:rFonts w:hAnsi="宋体"/>
                <w:color w:val="auto"/>
                <w:szCs w:val="21"/>
                <w:highlight w:val="none"/>
              </w:rPr>
              <w:t>http://www.ccgp.gov.cn/</w:t>
            </w:r>
            <w:r>
              <w:rPr>
                <w:rFonts w:hint="eastAsia" w:hAnsi="宋体"/>
                <w:color w:val="auto"/>
                <w:szCs w:val="21"/>
                <w:highlight w:val="none"/>
              </w:rPr>
              <w:t>）查询中标供应商主体信用记录，如其未被列入失信被执行人、重大税收违法案件当事人名单、政府采购严重违法失信行为记录名单，则采购代理机构在中国政府采购网、广西政府采购网发布成交公告</w:t>
            </w:r>
            <w:r>
              <w:rPr>
                <w:rFonts w:hint="eastAsia"/>
                <w:color w:val="auto"/>
                <w:szCs w:val="21"/>
                <w:highlight w:val="none"/>
              </w:rPr>
              <w:t>同时</w:t>
            </w:r>
            <w:r>
              <w:rPr>
                <w:rFonts w:hint="eastAsia" w:hAnsi="宋体"/>
                <w:color w:val="auto"/>
                <w:szCs w:val="21"/>
                <w:highlight w:val="none"/>
              </w:rPr>
              <w:t>向成交供应商发出成交通知书；如其被列入失信被执行人、重大税收违法案件当事人名单、政府采购严重违法失信行为记录名单，则取消其中标资格，</w:t>
            </w:r>
            <w:r>
              <w:rPr>
                <w:rFonts w:hint="eastAsia"/>
                <w:color w:val="auto"/>
                <w:szCs w:val="21"/>
                <w:highlight w:val="none"/>
              </w:rPr>
              <w:t>并确定排名第二的中标候选人为中标人。排名第二的中标候选人因前款规定的同样原因被取消中标资格的，采购人可以确定排名第三的中标候选人为中标人。以上信息查询记录及相关证据与竞争性谈判文件一并保存。</w:t>
            </w:r>
          </w:p>
        </w:tc>
      </w:tr>
      <w:tr w14:paraId="2FD4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26" w:type="dxa"/>
            <w:vAlign w:val="center"/>
          </w:tcPr>
          <w:p w14:paraId="39F00E3C">
            <w:pPr>
              <w:spacing w:line="360" w:lineRule="exact"/>
              <w:jc w:val="center"/>
              <w:rPr>
                <w:rFonts w:ascii="宋体" w:hAnsi="宋体"/>
                <w:color w:val="auto"/>
                <w:szCs w:val="21"/>
                <w:highlight w:val="none"/>
              </w:rPr>
            </w:pPr>
            <w:r>
              <w:rPr>
                <w:rFonts w:hint="eastAsia" w:ascii="宋体" w:hAnsi="宋体"/>
                <w:color w:val="auto"/>
                <w:szCs w:val="21"/>
                <w:highlight w:val="none"/>
              </w:rPr>
              <w:t>16</w:t>
            </w:r>
          </w:p>
        </w:tc>
        <w:tc>
          <w:tcPr>
            <w:tcW w:w="8907" w:type="dxa"/>
            <w:vAlign w:val="center"/>
          </w:tcPr>
          <w:p w14:paraId="133DBF4B">
            <w:pPr>
              <w:spacing w:line="360" w:lineRule="exact"/>
              <w:ind w:firstLine="420" w:firstLineChars="200"/>
              <w:rPr>
                <w:rFonts w:ascii="宋体" w:hAnsi="宋体" w:cs="宋体"/>
                <w:color w:val="auto"/>
                <w:szCs w:val="21"/>
                <w:highlight w:val="none"/>
              </w:rPr>
            </w:pPr>
            <w:r>
              <w:rPr>
                <w:rFonts w:hint="eastAsia" w:ascii="宋体" w:hAnsi="宋体"/>
                <w:color w:val="auto"/>
                <w:szCs w:val="21"/>
                <w:highlight w:val="none"/>
              </w:rPr>
              <w:t>签订合同时间：</w:t>
            </w:r>
            <w:r>
              <w:rPr>
                <w:rFonts w:hint="eastAsia" w:ascii="宋体" w:hAnsi="宋体" w:cs="宋体"/>
                <w:color w:val="auto"/>
                <w:szCs w:val="21"/>
                <w:highlight w:val="none"/>
              </w:rPr>
              <w:t>成交通知书发出之日起二十五日内</w:t>
            </w:r>
            <w:r>
              <w:rPr>
                <w:rFonts w:hint="eastAsia" w:ascii="宋体" w:hAnsi="宋体"/>
                <w:color w:val="auto"/>
                <w:szCs w:val="21"/>
                <w:highlight w:val="none"/>
              </w:rPr>
              <w:t>。</w:t>
            </w:r>
          </w:p>
        </w:tc>
      </w:tr>
      <w:tr w14:paraId="015D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4FCF8014">
            <w:pPr>
              <w:spacing w:line="360" w:lineRule="exact"/>
              <w:jc w:val="center"/>
              <w:rPr>
                <w:rFonts w:ascii="宋体" w:hAnsi="宋体"/>
                <w:color w:val="auto"/>
                <w:szCs w:val="21"/>
                <w:highlight w:val="none"/>
              </w:rPr>
            </w:pPr>
            <w:r>
              <w:rPr>
                <w:rFonts w:hint="eastAsia" w:ascii="宋体" w:hAnsi="宋体"/>
                <w:color w:val="auto"/>
                <w:szCs w:val="21"/>
                <w:highlight w:val="none"/>
              </w:rPr>
              <w:t>17</w:t>
            </w:r>
          </w:p>
        </w:tc>
        <w:tc>
          <w:tcPr>
            <w:tcW w:w="8907" w:type="dxa"/>
            <w:vAlign w:val="center"/>
          </w:tcPr>
          <w:p w14:paraId="7037B167">
            <w:pPr>
              <w:spacing w:line="360" w:lineRule="exact"/>
              <w:ind w:firstLine="420" w:firstLineChars="200"/>
              <w:rPr>
                <w:rFonts w:ascii="宋体" w:hAnsi="宋体"/>
                <w:color w:val="auto"/>
                <w:szCs w:val="21"/>
                <w:highlight w:val="none"/>
              </w:rPr>
            </w:pPr>
            <w:r>
              <w:rPr>
                <w:rFonts w:hint="eastAsia" w:hAnsi="宋体" w:cs="Courier New"/>
                <w:color w:val="auto"/>
                <w:szCs w:val="21"/>
                <w:highlight w:val="none"/>
              </w:rPr>
              <w:t>政府采购合同公告：根据《中华人民共和国政府采购法实施条例》第五十条规定，采购人应当自政府采购合同签订之日起</w:t>
            </w:r>
            <w:r>
              <w:rPr>
                <w:rFonts w:hAnsi="宋体" w:cs="Courier New"/>
                <w:color w:val="auto"/>
                <w:szCs w:val="21"/>
                <w:highlight w:val="none"/>
              </w:rPr>
              <w:t>2</w:t>
            </w:r>
            <w:r>
              <w:rPr>
                <w:rFonts w:hint="eastAsia" w:hAnsi="宋体" w:cs="Courier New"/>
                <w:color w:val="auto"/>
                <w:szCs w:val="21"/>
                <w:highlight w:val="none"/>
              </w:rPr>
              <w:t>个工作日内，将政府采购合同在省级以上人民政府财政部门指定的媒体上公告，但政府采购合同中涉及国家秘密、商业秘密的内容除外。因此请各供应商应在响应文件中注明投标内容中涉及商业秘密的部分，未注明的视为响应文件中不涉及商业秘密。</w:t>
            </w:r>
          </w:p>
        </w:tc>
      </w:tr>
      <w:tr w14:paraId="67A8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vAlign w:val="center"/>
          </w:tcPr>
          <w:p w14:paraId="079AE629">
            <w:pPr>
              <w:spacing w:line="360" w:lineRule="exact"/>
              <w:jc w:val="center"/>
              <w:rPr>
                <w:rFonts w:ascii="宋体" w:hAnsi="宋体"/>
                <w:color w:val="auto"/>
                <w:szCs w:val="21"/>
                <w:highlight w:val="none"/>
              </w:rPr>
            </w:pPr>
            <w:r>
              <w:rPr>
                <w:rFonts w:hint="eastAsia" w:ascii="宋体" w:hAnsi="宋体"/>
                <w:color w:val="auto"/>
                <w:szCs w:val="21"/>
                <w:highlight w:val="none"/>
              </w:rPr>
              <w:t>18</w:t>
            </w:r>
          </w:p>
        </w:tc>
        <w:tc>
          <w:tcPr>
            <w:tcW w:w="8907" w:type="dxa"/>
            <w:vAlign w:val="center"/>
          </w:tcPr>
          <w:p w14:paraId="4E405617">
            <w:pPr>
              <w:autoSpaceDE w:val="0"/>
              <w:autoSpaceDN w:val="0"/>
              <w:spacing w:line="360" w:lineRule="exact"/>
              <w:ind w:firstLine="420" w:firstLineChars="200"/>
              <w:textAlignment w:val="bottom"/>
              <w:rPr>
                <w:rFonts w:ascii="宋体" w:hAnsi="宋体"/>
                <w:color w:val="auto"/>
                <w:szCs w:val="21"/>
                <w:highlight w:val="none"/>
              </w:rPr>
            </w:pPr>
            <w:r>
              <w:rPr>
                <w:rFonts w:hint="eastAsia" w:ascii="宋体" w:hAnsi="宋体"/>
                <w:color w:val="auto"/>
                <w:szCs w:val="21"/>
                <w:highlight w:val="none"/>
              </w:rPr>
              <w:t>履约保证金：</w:t>
            </w:r>
          </w:p>
          <w:p w14:paraId="23D4AC25">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不需要提交。</w:t>
            </w:r>
          </w:p>
          <w:p w14:paraId="5AB5B590">
            <w:pPr>
              <w:spacing w:line="360" w:lineRule="exact"/>
              <w:ind w:firstLine="420" w:firstLineChars="200"/>
              <w:rPr>
                <w:rFonts w:ascii="宋体" w:hAnsi="宋体"/>
                <w:color w:val="auto"/>
                <w:szCs w:val="21"/>
                <w:highlight w:val="none"/>
              </w:rPr>
            </w:pPr>
            <w:r>
              <w:rPr>
                <w:rFonts w:hint="eastAsia" w:ascii="宋体" w:hAnsi="Calibri" w:cs="宋体"/>
                <w:color w:val="auto"/>
                <w:kern w:val="0"/>
                <w:szCs w:val="21"/>
                <w:highlight w:val="none"/>
              </w:rPr>
              <w:t>□</w:t>
            </w:r>
            <w:r>
              <w:rPr>
                <w:rFonts w:hint="eastAsia" w:ascii="宋体" w:hAnsi="宋体"/>
                <w:color w:val="auto"/>
                <w:szCs w:val="21"/>
                <w:highlight w:val="none"/>
              </w:rPr>
              <w:t>需要提交：</w:t>
            </w:r>
          </w:p>
          <w:p w14:paraId="75B290F5">
            <w:pPr>
              <w:autoSpaceDE w:val="0"/>
              <w:autoSpaceDN w:val="0"/>
              <w:snapToGrid w:val="0"/>
              <w:spacing w:line="360" w:lineRule="exact"/>
              <w:ind w:firstLine="422"/>
              <w:textAlignment w:val="bottom"/>
              <w:rPr>
                <w:rFonts w:ascii="宋体" w:hAnsi="宋体"/>
                <w:color w:val="auto"/>
                <w:szCs w:val="21"/>
                <w:highlight w:val="none"/>
              </w:rPr>
            </w:pPr>
            <w:r>
              <w:rPr>
                <w:rFonts w:hint="eastAsia" w:ascii="宋体" w:hAnsi="宋体"/>
                <w:color w:val="auto"/>
                <w:szCs w:val="21"/>
                <w:highlight w:val="none"/>
              </w:rPr>
              <w:t>在签订合同前提交合同金额的%做为履约保证金。</w:t>
            </w:r>
          </w:p>
          <w:p w14:paraId="608EE490">
            <w:pPr>
              <w:autoSpaceDE w:val="0"/>
              <w:autoSpaceDN w:val="0"/>
              <w:snapToGrid w:val="0"/>
              <w:spacing w:line="360" w:lineRule="exact"/>
              <w:ind w:firstLine="422"/>
              <w:textAlignment w:val="bottom"/>
              <w:rPr>
                <w:rFonts w:ascii="宋体" w:hAnsi="宋体"/>
                <w:color w:val="auto"/>
                <w:szCs w:val="21"/>
                <w:highlight w:val="none"/>
              </w:rPr>
            </w:pPr>
            <w:r>
              <w:rPr>
                <w:rFonts w:hint="eastAsia" w:ascii="宋体" w:hAnsi="宋体"/>
                <w:color w:val="auto"/>
                <w:szCs w:val="21"/>
                <w:highlight w:val="none"/>
              </w:rPr>
              <w:t>递交账户：</w:t>
            </w:r>
          </w:p>
          <w:p w14:paraId="66A0393E">
            <w:pPr>
              <w:autoSpaceDE w:val="0"/>
              <w:autoSpaceDN w:val="0"/>
              <w:snapToGrid w:val="0"/>
              <w:spacing w:line="360" w:lineRule="exact"/>
              <w:ind w:firstLine="422"/>
              <w:textAlignment w:val="bottom"/>
              <w:rPr>
                <w:rFonts w:hAnsi="宋体" w:cs="Arial"/>
                <w:color w:val="auto"/>
                <w:highlight w:val="none"/>
              </w:rPr>
            </w:pPr>
            <w:r>
              <w:rPr>
                <w:rFonts w:hint="eastAsia" w:hAnsi="宋体" w:cs="Arial"/>
                <w:color w:val="auto"/>
                <w:highlight w:val="none"/>
              </w:rPr>
              <w:t>开户银行：</w:t>
            </w:r>
          </w:p>
          <w:p w14:paraId="324D823B">
            <w:pPr>
              <w:spacing w:line="360" w:lineRule="exact"/>
              <w:ind w:firstLine="420" w:firstLineChars="200"/>
              <w:rPr>
                <w:rFonts w:hAnsi="宋体" w:cs="Courier New"/>
                <w:color w:val="auto"/>
                <w:szCs w:val="21"/>
                <w:highlight w:val="none"/>
              </w:rPr>
            </w:pPr>
            <w:r>
              <w:rPr>
                <w:rFonts w:hint="eastAsia" w:hAnsi="宋体" w:cs="Arial"/>
                <w:color w:val="auto"/>
                <w:highlight w:val="none"/>
              </w:rPr>
              <w:t>银行账号：</w:t>
            </w:r>
          </w:p>
        </w:tc>
      </w:tr>
      <w:tr w14:paraId="574C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26" w:type="dxa"/>
            <w:vAlign w:val="center"/>
          </w:tcPr>
          <w:p w14:paraId="21845910">
            <w:pPr>
              <w:spacing w:line="360" w:lineRule="exact"/>
              <w:jc w:val="center"/>
              <w:rPr>
                <w:rFonts w:ascii="宋体" w:hAnsi="宋体"/>
                <w:color w:val="auto"/>
                <w:szCs w:val="21"/>
                <w:highlight w:val="none"/>
              </w:rPr>
            </w:pPr>
            <w:r>
              <w:rPr>
                <w:rFonts w:hint="eastAsia" w:ascii="宋体" w:hAnsi="宋体"/>
                <w:color w:val="auto"/>
                <w:szCs w:val="21"/>
                <w:highlight w:val="none"/>
              </w:rPr>
              <w:t>19</w:t>
            </w:r>
          </w:p>
        </w:tc>
        <w:tc>
          <w:tcPr>
            <w:tcW w:w="8907" w:type="dxa"/>
            <w:vAlign w:val="center"/>
          </w:tcPr>
          <w:p w14:paraId="700F41FA">
            <w:pPr>
              <w:spacing w:line="360" w:lineRule="exact"/>
              <w:ind w:firstLine="420" w:firstLineChars="200"/>
              <w:rPr>
                <w:rFonts w:hAnsi="宋体" w:cs="Courier New"/>
                <w:color w:val="auto"/>
                <w:szCs w:val="21"/>
                <w:highlight w:val="none"/>
              </w:rPr>
            </w:pPr>
            <w:r>
              <w:rPr>
                <w:rFonts w:hint="eastAsia" w:ascii="宋体" w:hAnsi="宋体" w:cs="宋体"/>
                <w:color w:val="auto"/>
                <w:szCs w:val="21"/>
                <w:highlight w:val="none"/>
              </w:rPr>
              <w:t>响应文件有效期：提交首次响应文件截止之日起60天内。</w:t>
            </w:r>
          </w:p>
        </w:tc>
      </w:tr>
      <w:tr w14:paraId="4933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26" w:type="dxa"/>
            <w:vAlign w:val="center"/>
          </w:tcPr>
          <w:p w14:paraId="2EB03ECC">
            <w:pPr>
              <w:spacing w:line="360" w:lineRule="exact"/>
              <w:jc w:val="center"/>
              <w:rPr>
                <w:rFonts w:ascii="宋体" w:hAnsi="宋体"/>
                <w:color w:val="auto"/>
                <w:szCs w:val="21"/>
                <w:highlight w:val="none"/>
              </w:rPr>
            </w:pPr>
            <w:r>
              <w:rPr>
                <w:rFonts w:hint="eastAsia" w:ascii="宋体" w:hAnsi="宋体"/>
                <w:color w:val="auto"/>
                <w:szCs w:val="21"/>
                <w:highlight w:val="none"/>
              </w:rPr>
              <w:t>20</w:t>
            </w:r>
          </w:p>
        </w:tc>
        <w:tc>
          <w:tcPr>
            <w:tcW w:w="8907" w:type="dxa"/>
            <w:vAlign w:val="center"/>
          </w:tcPr>
          <w:p w14:paraId="5DE73498">
            <w:pPr>
              <w:autoSpaceDE w:val="0"/>
              <w:autoSpaceDN w:val="0"/>
              <w:spacing w:line="360" w:lineRule="exact"/>
              <w:ind w:firstLine="420" w:firstLineChars="200"/>
              <w:textAlignment w:val="bottom"/>
              <w:rPr>
                <w:rFonts w:ascii="宋体" w:hAnsi="宋体"/>
                <w:color w:val="auto"/>
                <w:szCs w:val="21"/>
                <w:highlight w:val="none"/>
              </w:rPr>
            </w:pPr>
            <w:r>
              <w:rPr>
                <w:rFonts w:hint="eastAsia" w:ascii="宋体" w:hAnsi="宋体"/>
                <w:color w:val="auto"/>
                <w:szCs w:val="21"/>
                <w:highlight w:val="none"/>
              </w:rPr>
              <w:t>采购资金来源：</w:t>
            </w:r>
            <w:r>
              <w:rPr>
                <w:rFonts w:hint="eastAsia" w:ascii="Microsoft JhengHei" w:hAnsi="Microsoft JhengHei" w:eastAsia="Microsoft JhengHei"/>
                <w:b/>
                <w:color w:val="auto"/>
                <w:szCs w:val="21"/>
                <w:highlight w:val="none"/>
              </w:rPr>
              <w:t>√</w:t>
            </w:r>
            <w:r>
              <w:rPr>
                <w:rFonts w:hint="eastAsia"/>
                <w:color w:val="auto"/>
                <w:szCs w:val="21"/>
                <w:highlight w:val="none"/>
              </w:rPr>
              <w:t>预算资金、预算外资金、其他资金</w:t>
            </w:r>
          </w:p>
        </w:tc>
      </w:tr>
      <w:tr w14:paraId="7BBB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726" w:type="dxa"/>
            <w:vAlign w:val="center"/>
          </w:tcPr>
          <w:p w14:paraId="5F9F2950">
            <w:pPr>
              <w:spacing w:line="360" w:lineRule="exact"/>
              <w:jc w:val="center"/>
              <w:rPr>
                <w:rFonts w:ascii="宋体" w:hAnsi="宋体"/>
                <w:color w:val="auto"/>
                <w:szCs w:val="21"/>
                <w:highlight w:val="none"/>
              </w:rPr>
            </w:pPr>
            <w:r>
              <w:rPr>
                <w:rFonts w:hint="eastAsia" w:ascii="宋体" w:hAnsi="宋体"/>
                <w:color w:val="auto"/>
                <w:szCs w:val="21"/>
                <w:highlight w:val="none"/>
              </w:rPr>
              <w:t>21</w:t>
            </w:r>
          </w:p>
        </w:tc>
        <w:tc>
          <w:tcPr>
            <w:tcW w:w="8907" w:type="dxa"/>
            <w:vAlign w:val="center"/>
          </w:tcPr>
          <w:p w14:paraId="33CFC68B">
            <w:pPr>
              <w:autoSpaceDE w:val="0"/>
              <w:autoSpaceDN w:val="0"/>
              <w:spacing w:line="360" w:lineRule="exact"/>
              <w:ind w:firstLine="420" w:firstLineChars="200"/>
              <w:textAlignment w:val="bottom"/>
              <w:rPr>
                <w:rFonts w:ascii="宋体" w:hAnsi="宋体"/>
                <w:color w:val="auto"/>
                <w:szCs w:val="21"/>
                <w:highlight w:val="none"/>
              </w:rPr>
            </w:pPr>
            <w:r>
              <w:rPr>
                <w:rFonts w:hint="eastAsia" w:ascii="宋体" w:hAnsi="宋体"/>
                <w:color w:val="auto"/>
                <w:szCs w:val="21"/>
                <w:highlight w:val="none"/>
              </w:rPr>
              <w:t>付款方式：</w:t>
            </w:r>
            <w:r>
              <w:rPr>
                <w:rFonts w:hint="eastAsia"/>
                <w:color w:val="auto"/>
                <w:szCs w:val="21"/>
                <w:highlight w:val="none"/>
              </w:rPr>
              <w:t>国库集中支付或采购专户支付、</w:t>
            </w:r>
            <w:r>
              <w:rPr>
                <w:rFonts w:hint="eastAsia" w:ascii="Microsoft JhengHei" w:hAnsi="Microsoft JhengHei" w:eastAsia="Microsoft JhengHei"/>
                <w:b/>
                <w:color w:val="auto"/>
                <w:szCs w:val="21"/>
                <w:highlight w:val="none"/>
              </w:rPr>
              <w:t>√</w:t>
            </w:r>
            <w:r>
              <w:rPr>
                <w:rFonts w:hint="eastAsia"/>
                <w:color w:val="auto"/>
                <w:szCs w:val="21"/>
                <w:highlight w:val="none"/>
              </w:rPr>
              <w:t>采购人自行支付</w:t>
            </w:r>
          </w:p>
        </w:tc>
      </w:tr>
      <w:tr w14:paraId="49D2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26" w:type="dxa"/>
            <w:vAlign w:val="center"/>
          </w:tcPr>
          <w:p w14:paraId="5A45CBDE">
            <w:pPr>
              <w:spacing w:line="360" w:lineRule="exact"/>
              <w:jc w:val="center"/>
              <w:rPr>
                <w:rFonts w:ascii="宋体" w:hAnsi="宋体"/>
                <w:color w:val="auto"/>
                <w:szCs w:val="21"/>
                <w:highlight w:val="none"/>
              </w:rPr>
            </w:pPr>
            <w:r>
              <w:rPr>
                <w:rFonts w:hint="eastAsia" w:ascii="宋体" w:hAnsi="宋体"/>
                <w:color w:val="auto"/>
                <w:szCs w:val="21"/>
                <w:highlight w:val="none"/>
              </w:rPr>
              <w:t>22</w:t>
            </w:r>
          </w:p>
        </w:tc>
        <w:tc>
          <w:tcPr>
            <w:tcW w:w="8907" w:type="dxa"/>
            <w:vAlign w:val="center"/>
          </w:tcPr>
          <w:p w14:paraId="62DCC5C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解释：本竞争性谈判文件的解释权属于采购单位。</w:t>
            </w:r>
          </w:p>
        </w:tc>
      </w:tr>
      <w:tr w14:paraId="1A4E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370F63A9">
            <w:pPr>
              <w:spacing w:line="360" w:lineRule="exact"/>
              <w:jc w:val="center"/>
              <w:rPr>
                <w:rFonts w:ascii="宋体" w:hAnsi="宋体"/>
                <w:color w:val="auto"/>
                <w:szCs w:val="21"/>
                <w:highlight w:val="none"/>
              </w:rPr>
            </w:pPr>
            <w:r>
              <w:rPr>
                <w:rFonts w:hint="eastAsia" w:ascii="宋体" w:hAnsi="宋体"/>
                <w:color w:val="auto"/>
                <w:szCs w:val="21"/>
                <w:highlight w:val="none"/>
              </w:rPr>
              <w:t>23</w:t>
            </w:r>
          </w:p>
        </w:tc>
        <w:tc>
          <w:tcPr>
            <w:tcW w:w="8907" w:type="dxa"/>
            <w:vAlign w:val="center"/>
          </w:tcPr>
          <w:p w14:paraId="678DC968">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注意事项：</w:t>
            </w:r>
          </w:p>
          <w:p w14:paraId="2B5CCBF4">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本项目为全流程电子化采购项目，通过广西政府采购云平台（www.gcy.zfcg.gxzf.gov.cn）实行在线电子竞标，供应商应按照本项目竞争性谈判文件和广西政府采购云平台的要求编制、加密后在提交响应文件截止时间前通过网络上传至广西政府采购云平台，</w:t>
            </w:r>
            <w:r>
              <w:rPr>
                <w:rFonts w:hint="eastAsia" w:ascii="宋体" w:hAnsi="宋体" w:cs="宋体"/>
                <w:b/>
                <w:bCs/>
                <w:color w:val="auto"/>
                <w:szCs w:val="21"/>
                <w:highlight w:val="none"/>
              </w:rPr>
              <w:t>供应商在广西政府采购云平台提交电子响应文件时，请填写参加远程采购活动经办人联系方式。</w:t>
            </w:r>
            <w:r>
              <w:rPr>
                <w:rFonts w:hint="eastAsia" w:ascii="宋体" w:hAnsi="宋体" w:cs="宋体"/>
                <w:color w:val="auto"/>
                <w:szCs w:val="21"/>
                <w:highlight w:val="none"/>
              </w:rPr>
              <w:t>供应商登录广西政府采购云平台，依次进入“服务中心-项目采购-操作流程-电子招投标-政府采购项目电子交易管理操作指南-供应商”查看电子竞标具体操作流程。</w:t>
            </w:r>
          </w:p>
          <w:p w14:paraId="7E7C09E0">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95763）。</w:t>
            </w:r>
          </w:p>
          <w:p w14:paraId="63FEECF7">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0602FD0C">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2CF29931">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（4）供应商需要在具备有摄像头及语音功能且互联网网络状况良好的电脑登录广西政府采购云平台远程开标大厅参与本次谈判，否则后果自负。</w:t>
            </w:r>
          </w:p>
          <w:p w14:paraId="040785CD">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本项目为电子标项目，不要求参与竞标的供应商到达现场，但竞标供应商应派法定代表人或委托代理人在线准时出席电子标评审，随时关注项目谈判进度，在谈判过程中对谈判小组发出的谈判内容于规定的时间内进行确认回复。</w:t>
            </w:r>
          </w:p>
          <w:p w14:paraId="5A0D7D6D">
            <w:pPr>
              <w:autoSpaceDE w:val="0"/>
              <w:autoSpaceDN w:val="0"/>
              <w:spacing w:line="360" w:lineRule="exact"/>
              <w:ind w:firstLine="420" w:firstLineChars="200"/>
              <w:textAlignment w:val="bottom"/>
              <w:rPr>
                <w:rFonts w:hAnsi="宋体" w:cs="Courier New"/>
                <w:color w:val="auto"/>
                <w:szCs w:val="21"/>
                <w:highlight w:val="none"/>
              </w:rPr>
            </w:pPr>
            <w:r>
              <w:rPr>
                <w:rFonts w:hint="eastAsia" w:ascii="宋体" w:hAnsi="宋体" w:cs="宋体"/>
                <w:color w:val="auto"/>
                <w:szCs w:val="21"/>
                <w:highlight w:val="none"/>
              </w:rPr>
              <w:t>（6）若对项目采购电子交易系统操作有疑问，可登陆广西政府采购云平台（https://www.gcy.zfcg.gxzf.gov.cn/），点击右侧咨询小采，获取采小蜜智能服务管家帮助，或拨打广西政府采购云平台服务热线95763获取热线服务帮助。</w:t>
            </w:r>
          </w:p>
        </w:tc>
      </w:tr>
      <w:tr w14:paraId="08D0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726" w:type="dxa"/>
            <w:vAlign w:val="center"/>
          </w:tcPr>
          <w:p w14:paraId="018330E1">
            <w:pPr>
              <w:spacing w:line="360" w:lineRule="exact"/>
              <w:jc w:val="center"/>
              <w:rPr>
                <w:rFonts w:ascii="宋体" w:hAnsi="宋体"/>
                <w:color w:val="auto"/>
                <w:szCs w:val="21"/>
                <w:highlight w:val="none"/>
              </w:rPr>
            </w:pPr>
            <w:r>
              <w:rPr>
                <w:rFonts w:hint="eastAsia" w:ascii="宋体" w:hAnsi="宋体"/>
                <w:color w:val="auto"/>
                <w:szCs w:val="21"/>
                <w:highlight w:val="none"/>
              </w:rPr>
              <w:t>24</w:t>
            </w:r>
          </w:p>
        </w:tc>
        <w:tc>
          <w:tcPr>
            <w:tcW w:w="8907" w:type="dxa"/>
            <w:vAlign w:val="center"/>
          </w:tcPr>
          <w:p w14:paraId="5B77560D">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电子响应文件的制作、加密：</w:t>
            </w:r>
          </w:p>
          <w:p w14:paraId="46448AC2">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1、供应商制作电子响应文件前，应登陆“广西政府采购云平台”平台进行“申请获取竞争性谈判文件”操作，否则，有可能导致无法在线编制响应文件并参与竞标，其不利后果由供应商自行承担。</w:t>
            </w:r>
          </w:p>
          <w:p w14:paraId="34F99804">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供应商下载或获取竞争性谈判文件后，登录“广西政府采购云平台电子投标客户端”，按照本竞争性谈判文件规定的响应文件格式、顺序以及“广西政府采购云平台”平台的要求，通过“广西政府采购云平台电子投标客户端”编制电子响应文件。</w:t>
            </w:r>
          </w:p>
          <w:p w14:paraId="29DC1D90">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供应商应按“广西政府采购云平台电子投标客户端”载明的“标书关联”功能进行电子响应文件的关联定位，以便评标小组在评审时点击相应评审项可直接定位到该评审内容；如供应商的电子响应文件未能关联定位相应内容，或者关联定位的内容与该评审项不符，导致评标小组无法查询并做出对供应商不利的评审，相关后果由供应商自行承担。</w:t>
            </w:r>
          </w:p>
          <w:p w14:paraId="63D659E4">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电子响应文件不得涂改，若有修改错漏处，须由法定代表人（负责人、自然人）或授权委托代理人通过“广西政府采购云平台电子投标客户端”采用广西政府采购云平台个人CA证书签章，没有办理广西政府采购云平台个人CA证书签章的，在响应文件中响应位置手写签字后扫描或者拍照做成 PDF 的格式上传。因响应文件字迹潦草、表达不清、内容不完整、编排混乱导致响应文件被误读、漏读，或者在按竞争性谈判文件规定的部位查找不到相关内容的，其不利后果由供应商自行承担。</w:t>
            </w:r>
          </w:p>
          <w:p w14:paraId="1DA56919">
            <w:pPr>
              <w:spacing w:line="360" w:lineRule="exact"/>
              <w:ind w:firstLine="420" w:firstLineChars="200"/>
              <w:rPr>
                <w:rFonts w:hAnsi="宋体" w:cs="Courier New"/>
                <w:color w:val="auto"/>
                <w:szCs w:val="21"/>
                <w:highlight w:val="none"/>
              </w:rPr>
            </w:pPr>
            <w:r>
              <w:rPr>
                <w:rFonts w:hint="eastAsia" w:ascii="宋体" w:hAnsi="宋体" w:cs="宋体"/>
                <w:color w:val="auto"/>
                <w:szCs w:val="21"/>
                <w:highlight w:val="none"/>
              </w:rPr>
              <w:t>5、供应商编制、生成电子响应文件后应当加密响应文件。供应商未按规定编制并加密的响应文件，“广西政府采购云平台”平台将予以拒收。</w:t>
            </w:r>
          </w:p>
        </w:tc>
      </w:tr>
      <w:tr w14:paraId="47FD2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79A6B7BE">
            <w:pPr>
              <w:spacing w:line="360" w:lineRule="exact"/>
              <w:jc w:val="center"/>
              <w:rPr>
                <w:rFonts w:ascii="宋体" w:hAnsi="宋体"/>
                <w:color w:val="auto"/>
                <w:szCs w:val="21"/>
                <w:highlight w:val="none"/>
              </w:rPr>
            </w:pPr>
            <w:r>
              <w:rPr>
                <w:rFonts w:hint="eastAsia" w:ascii="宋体" w:hAnsi="宋体"/>
                <w:color w:val="auto"/>
                <w:szCs w:val="21"/>
                <w:highlight w:val="none"/>
              </w:rPr>
              <w:t>25</w:t>
            </w:r>
          </w:p>
        </w:tc>
        <w:tc>
          <w:tcPr>
            <w:tcW w:w="8907" w:type="dxa"/>
            <w:vAlign w:val="center"/>
          </w:tcPr>
          <w:p w14:paraId="6DB1DFCE">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供应商公章及签字：</w:t>
            </w:r>
          </w:p>
          <w:p w14:paraId="32DE4E26">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1、本竞争性谈判文件中描述供应商的“公章”是指供应商通过指定电子化政府采购平台办理数字证书（CA认证证书）获得的以法定主体行为名称制作的电子印章。</w:t>
            </w:r>
          </w:p>
          <w:p w14:paraId="3B37C6C7">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2、本竞争性谈判文件中要求供应商对其电子响应文件的相关内容加盖公章的，均指采用CA证书签章。</w:t>
            </w:r>
          </w:p>
          <w:p w14:paraId="424313C3">
            <w:pPr>
              <w:spacing w:line="360" w:lineRule="exact"/>
              <w:ind w:firstLine="420" w:firstLineChars="200"/>
              <w:rPr>
                <w:rFonts w:hAnsi="宋体" w:cs="Courier New"/>
                <w:color w:val="auto"/>
                <w:szCs w:val="21"/>
                <w:highlight w:val="none"/>
              </w:rPr>
            </w:pPr>
            <w:r>
              <w:rPr>
                <w:rFonts w:hint="eastAsia" w:ascii="宋体" w:hAnsi="宋体" w:cs="宋体"/>
                <w:color w:val="auto"/>
                <w:szCs w:val="21"/>
                <w:highlight w:val="none"/>
              </w:rPr>
              <w:t>3、本竞争性谈判文件中描述供应商的“签字”是指供应商通过指定电子化政府采购平台办理数字证书（CA认证证书）获得的以供应商法定代表人（负责人、自然人）或者委托代理人姓名制作的个人电子印章或手写签字。没有办理个人CA证书的，可以为手写签字的形式。</w:t>
            </w:r>
          </w:p>
        </w:tc>
      </w:tr>
      <w:tr w14:paraId="0D668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26" w:type="dxa"/>
            <w:vAlign w:val="center"/>
          </w:tcPr>
          <w:p w14:paraId="57BDCBD9">
            <w:pPr>
              <w:spacing w:line="360" w:lineRule="exact"/>
              <w:jc w:val="center"/>
              <w:rPr>
                <w:rFonts w:ascii="宋体" w:hAnsi="宋体"/>
                <w:color w:val="auto"/>
                <w:szCs w:val="21"/>
                <w:highlight w:val="none"/>
              </w:rPr>
            </w:pPr>
            <w:r>
              <w:rPr>
                <w:rFonts w:hint="eastAsia" w:ascii="宋体" w:hAnsi="宋体"/>
                <w:color w:val="auto"/>
                <w:szCs w:val="21"/>
                <w:highlight w:val="none"/>
              </w:rPr>
              <w:t>26</w:t>
            </w:r>
          </w:p>
        </w:tc>
        <w:tc>
          <w:tcPr>
            <w:tcW w:w="8907" w:type="dxa"/>
            <w:vAlign w:val="center"/>
          </w:tcPr>
          <w:p w14:paraId="229BE967">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响应文件的解密：</w:t>
            </w:r>
          </w:p>
          <w:p w14:paraId="18217169">
            <w:pPr>
              <w:spacing w:line="360" w:lineRule="exact"/>
              <w:ind w:firstLine="420" w:firstLineChars="200"/>
              <w:rPr>
                <w:rFonts w:hAnsi="宋体" w:cs="Courier New"/>
                <w:color w:val="auto"/>
                <w:szCs w:val="21"/>
                <w:highlight w:val="none"/>
              </w:rPr>
            </w:pPr>
            <w:r>
              <w:rPr>
                <w:rFonts w:hint="eastAsia" w:ascii="宋体" w:hAnsi="宋体" w:cs="宋体"/>
                <w:color w:val="auto"/>
                <w:szCs w:val="21"/>
                <w:highlight w:val="none"/>
              </w:rPr>
              <w:t>采购代理机构将在“竞争性谈判公告”规定的时间通过电子交易平台组织响应文件开启，采购机构依托电子交易平台发起开始解密指令，供应商的法定代表人或其委托代理人须携带加密时所用的CA锁按平台提示和竞争性谈判文件的规定登录到“广西政府采购云平台”平台电子开标大厅签到并在发起解密指令之时起30分钟内完成对电子响应文件在线解密。发起解密指令之时起5分钟内供应商还未进行解密的，代理机构通知供应商，供应商没预留联系方式或预留联系方式无效，非代理机构原因导致代理机构无法联系到供应商进行解密的，视为响应文件无效。(解密异常情况处理：详见本章30.电子交易活动的中止。)</w:t>
            </w:r>
          </w:p>
        </w:tc>
      </w:tr>
    </w:tbl>
    <w:p w14:paraId="6188D880">
      <w:pPr>
        <w:spacing w:line="360" w:lineRule="exact"/>
        <w:rPr>
          <w:rFonts w:ascii="宋体" w:hAnsi="宋体"/>
          <w:b/>
          <w:color w:val="auto"/>
          <w:szCs w:val="21"/>
          <w:highlight w:val="none"/>
        </w:rPr>
      </w:pPr>
    </w:p>
    <w:p w14:paraId="7A82CD77">
      <w:pPr>
        <w:pStyle w:val="20"/>
        <w:spacing w:line="360" w:lineRule="exact"/>
        <w:jc w:val="center"/>
        <w:rPr>
          <w:rFonts w:hAnsi="宋体"/>
          <w:b/>
          <w:color w:val="auto"/>
          <w:sz w:val="21"/>
          <w:szCs w:val="21"/>
          <w:highlight w:val="none"/>
        </w:rPr>
      </w:pPr>
      <w:r>
        <w:rPr>
          <w:rFonts w:hAnsi="宋体"/>
          <w:b/>
          <w:color w:val="auto"/>
          <w:sz w:val="32"/>
          <w:highlight w:val="none"/>
        </w:rPr>
        <w:br w:type="page"/>
      </w:r>
      <w:r>
        <w:rPr>
          <w:rFonts w:hint="eastAsia" w:hAnsi="宋体"/>
          <w:b/>
          <w:color w:val="auto"/>
          <w:sz w:val="30"/>
          <w:szCs w:val="30"/>
          <w:highlight w:val="none"/>
        </w:rPr>
        <w:t>供应商须知正文</w:t>
      </w:r>
    </w:p>
    <w:p w14:paraId="339B607F">
      <w:pPr>
        <w:pStyle w:val="20"/>
        <w:spacing w:line="360" w:lineRule="exact"/>
        <w:ind w:firstLine="422" w:firstLineChars="200"/>
        <w:rPr>
          <w:rFonts w:hAnsi="宋体" w:cs="Adobe 宋体 Std L"/>
          <w:b/>
          <w:color w:val="auto"/>
          <w:sz w:val="21"/>
          <w:szCs w:val="21"/>
          <w:highlight w:val="none"/>
        </w:rPr>
      </w:pPr>
      <w:r>
        <w:rPr>
          <w:rFonts w:hint="eastAsia" w:hAnsi="宋体" w:cs="Adobe 宋体 Std L"/>
          <w:b/>
          <w:color w:val="auto"/>
          <w:sz w:val="21"/>
          <w:szCs w:val="21"/>
          <w:highlight w:val="none"/>
        </w:rPr>
        <w:t>一、总　则</w:t>
      </w:r>
    </w:p>
    <w:p w14:paraId="234FE6A3">
      <w:pPr>
        <w:spacing w:line="360" w:lineRule="exact"/>
        <w:ind w:firstLine="422" w:firstLineChars="200"/>
        <w:rPr>
          <w:rFonts w:ascii="宋体" w:hAnsi="宋体" w:cs="Adobe 宋体 Std L"/>
          <w:bCs/>
          <w:color w:val="auto"/>
          <w:szCs w:val="21"/>
          <w:highlight w:val="none"/>
        </w:rPr>
      </w:pPr>
      <w:r>
        <w:rPr>
          <w:rFonts w:hint="eastAsia" w:hAnsi="宋体" w:cs="Adobe 宋体 Std L"/>
          <w:b/>
          <w:bCs/>
          <w:color w:val="auto"/>
          <w:szCs w:val="21"/>
          <w:highlight w:val="none"/>
        </w:rPr>
        <w:t>1. 适用范</w:t>
      </w:r>
      <w:r>
        <w:rPr>
          <w:rFonts w:hint="eastAsia" w:ascii="宋体" w:hAnsi="宋体" w:cs="Adobe 宋体 Std L"/>
          <w:b/>
          <w:bCs/>
          <w:color w:val="auto"/>
          <w:szCs w:val="21"/>
          <w:highlight w:val="none"/>
        </w:rPr>
        <w:t>围</w:t>
      </w:r>
      <w:r>
        <w:rPr>
          <w:rFonts w:hint="eastAsia" w:ascii="宋体" w:hAnsi="宋体" w:cs="Adobe 宋体 Std L"/>
          <w:bCs/>
          <w:color w:val="auto"/>
          <w:szCs w:val="21"/>
          <w:highlight w:val="none"/>
        </w:rPr>
        <w:t>：本竞争性谈判文件（以下简称谈判文件）适用于本项目的所有采购程序和环节（法律、法规另有规定的，从其规定）。</w:t>
      </w:r>
    </w:p>
    <w:p w14:paraId="4F99C5C4">
      <w:pPr>
        <w:spacing w:line="360" w:lineRule="exact"/>
        <w:ind w:firstLine="422" w:firstLineChars="200"/>
        <w:rPr>
          <w:rFonts w:ascii="宋体" w:hAnsi="宋体" w:cs="Adobe 宋体 Std L"/>
          <w:b/>
          <w:bCs/>
          <w:color w:val="auto"/>
          <w:szCs w:val="21"/>
          <w:highlight w:val="none"/>
        </w:rPr>
      </w:pPr>
      <w:r>
        <w:rPr>
          <w:rFonts w:hint="eastAsia" w:ascii="宋体" w:hAnsi="宋体" w:cs="Adobe 宋体 Std L"/>
          <w:b/>
          <w:bCs/>
          <w:color w:val="auto"/>
          <w:szCs w:val="21"/>
          <w:highlight w:val="none"/>
        </w:rPr>
        <w:t>2. 定义</w:t>
      </w:r>
    </w:p>
    <w:p w14:paraId="7428A094">
      <w:pPr>
        <w:spacing w:line="360" w:lineRule="exact"/>
        <w:ind w:firstLine="420" w:firstLineChars="200"/>
        <w:rPr>
          <w:rFonts w:ascii="宋体" w:hAnsi="宋体" w:cs="Adobe 宋体 Std L"/>
          <w:bCs/>
          <w:color w:val="auto"/>
          <w:szCs w:val="21"/>
          <w:highlight w:val="none"/>
        </w:rPr>
      </w:pPr>
      <w:r>
        <w:rPr>
          <w:rFonts w:hint="eastAsia" w:ascii="宋体" w:hAnsi="宋体" w:cs="Adobe 宋体 Std L"/>
          <w:bCs/>
          <w:color w:val="auto"/>
          <w:szCs w:val="21"/>
          <w:highlight w:val="none"/>
        </w:rPr>
        <w:t>2.1“采购人”：</w:t>
      </w:r>
      <w:r>
        <w:rPr>
          <w:rFonts w:hint="eastAsia" w:ascii="宋体" w:hAnsi="宋体" w:cs="Adobe 宋体 Std L"/>
          <w:color w:val="auto"/>
          <w:szCs w:val="21"/>
          <w:highlight w:val="none"/>
        </w:rPr>
        <w:t>详见竞争性谈判公告</w:t>
      </w:r>
      <w:r>
        <w:rPr>
          <w:rFonts w:hint="eastAsia" w:ascii="宋体" w:hAnsi="宋体" w:cs="Adobe 宋体 Std L"/>
          <w:bCs/>
          <w:color w:val="auto"/>
          <w:szCs w:val="21"/>
          <w:highlight w:val="none"/>
        </w:rPr>
        <w:t>。</w:t>
      </w:r>
    </w:p>
    <w:p w14:paraId="39BFE43F">
      <w:pPr>
        <w:spacing w:line="360" w:lineRule="exact"/>
        <w:ind w:firstLine="420" w:firstLineChars="200"/>
        <w:rPr>
          <w:rFonts w:ascii="宋体" w:hAnsi="宋体" w:cs="Adobe 宋体 Std L"/>
          <w:bCs/>
          <w:color w:val="auto"/>
          <w:szCs w:val="21"/>
          <w:highlight w:val="none"/>
        </w:rPr>
      </w:pPr>
      <w:r>
        <w:rPr>
          <w:rFonts w:hint="eastAsia" w:ascii="宋体" w:hAnsi="宋体" w:cs="Adobe 宋体 Std L"/>
          <w:bCs/>
          <w:color w:val="auto"/>
          <w:szCs w:val="21"/>
          <w:highlight w:val="none"/>
        </w:rPr>
        <w:t>2.2“采购代理机构”是指：广西德元工程项目管理有限责任公司。</w:t>
      </w:r>
    </w:p>
    <w:p w14:paraId="7DFC86CC">
      <w:pPr>
        <w:spacing w:line="360" w:lineRule="exact"/>
        <w:ind w:firstLine="420" w:firstLineChars="200"/>
        <w:rPr>
          <w:rFonts w:ascii="宋体" w:hAnsi="宋体" w:cs="Adobe 宋体 Std L"/>
          <w:bCs/>
          <w:color w:val="auto"/>
          <w:szCs w:val="21"/>
          <w:highlight w:val="none"/>
        </w:rPr>
      </w:pPr>
      <w:r>
        <w:rPr>
          <w:rFonts w:hint="eastAsia" w:ascii="宋体" w:hAnsi="宋体" w:cs="Adobe 宋体 Std L"/>
          <w:bCs/>
          <w:color w:val="auto"/>
          <w:szCs w:val="21"/>
          <w:highlight w:val="none"/>
        </w:rPr>
        <w:t>2.3“供应商”是指响应本谈判文件要求，参加谈判的法人、其他组织或者自然人。如果该供应商在本次谈判中成交，即为“成交供应商”。</w:t>
      </w:r>
      <w:r>
        <w:rPr>
          <w:rFonts w:hint="eastAsia" w:ascii="宋体" w:hAnsi="宋体"/>
          <w:color w:val="auto"/>
          <w:szCs w:val="21"/>
          <w:highlight w:val="none"/>
        </w:rPr>
        <w:t>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分支机构的，是指分支机构营业执照上的负责人；当供应商是个体工商户的，是指个体工商户营业执照上的经营者；当供应商是自然人的，是指参与本项目响应的自然人本人。</w:t>
      </w:r>
    </w:p>
    <w:p w14:paraId="74709399">
      <w:pPr>
        <w:spacing w:line="360" w:lineRule="exact"/>
        <w:ind w:firstLine="420" w:firstLineChars="200"/>
        <w:rPr>
          <w:rFonts w:ascii="宋体" w:hAnsi="宋体" w:cs="Adobe 宋体 Std L"/>
          <w:bCs/>
          <w:color w:val="auto"/>
          <w:szCs w:val="21"/>
          <w:highlight w:val="none"/>
        </w:rPr>
      </w:pPr>
      <w:r>
        <w:rPr>
          <w:rFonts w:hint="eastAsia" w:ascii="宋体" w:hAnsi="宋体" w:cs="Adobe 宋体 Std L"/>
          <w:bCs/>
          <w:color w:val="auto"/>
          <w:szCs w:val="21"/>
          <w:highlight w:val="none"/>
        </w:rPr>
        <w:t>2.4“货物”是指各种形态和种类的物品，包括原材料、燃料、设备、产品等。</w:t>
      </w:r>
    </w:p>
    <w:p w14:paraId="0CE60643">
      <w:pPr>
        <w:spacing w:line="360" w:lineRule="exact"/>
        <w:ind w:firstLine="420" w:firstLineChars="200"/>
        <w:rPr>
          <w:rFonts w:ascii="宋体" w:hAnsi="宋体" w:cs="Adobe 宋体 Std L"/>
          <w:bCs/>
          <w:color w:val="auto"/>
          <w:szCs w:val="21"/>
          <w:highlight w:val="none"/>
        </w:rPr>
      </w:pPr>
      <w:r>
        <w:rPr>
          <w:rFonts w:hint="eastAsia" w:ascii="宋体" w:hAnsi="宋体" w:cs="Adobe 宋体 Std L"/>
          <w:bCs/>
          <w:color w:val="auto"/>
          <w:szCs w:val="21"/>
          <w:highlight w:val="none"/>
        </w:rPr>
        <w:t>2.5“服务”是指除货物和工程以外的其他政府采购对象。</w:t>
      </w:r>
    </w:p>
    <w:p w14:paraId="7532BA63">
      <w:pPr>
        <w:spacing w:line="360" w:lineRule="exact"/>
        <w:ind w:firstLine="420" w:firstLineChars="200"/>
        <w:rPr>
          <w:rFonts w:ascii="宋体" w:hAnsi="宋体"/>
          <w:color w:val="auto"/>
          <w:szCs w:val="21"/>
          <w:highlight w:val="none"/>
        </w:rPr>
      </w:pPr>
      <w:r>
        <w:rPr>
          <w:rFonts w:hint="eastAsia" w:ascii="宋体" w:hAnsi="宋体" w:cs="宋体"/>
          <w:color w:val="auto"/>
          <w:szCs w:val="21"/>
          <w:highlight w:val="none"/>
        </w:rPr>
        <w:t>2.6</w:t>
      </w:r>
      <w:r>
        <w:rPr>
          <w:rFonts w:hint="eastAsia" w:ascii="宋体" w:hAnsi="宋体"/>
          <w:color w:val="auto"/>
          <w:szCs w:val="21"/>
          <w:highlight w:val="none"/>
        </w:rPr>
        <w:t>“书面形式”包括是指合同书、信件和数据电文（包括电报、电传、传真、电子数据交换和电子邮件）等可以有形地表现所载内容的形式。</w:t>
      </w:r>
    </w:p>
    <w:p w14:paraId="480073E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2.7“响应文件”是指：供应商根据本谈判文件要求，编制包含报价、技术和服务等所有内容的文件。</w:t>
      </w:r>
    </w:p>
    <w:p w14:paraId="72DF3A7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2.8“▲”系指实质性要求条款。</w:t>
      </w:r>
    </w:p>
    <w:p w14:paraId="2D82FCB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2.9“签字/签名”是指：指应商通过指定电子化政府采购平台办理数字证书（</w:t>
      </w:r>
      <w:r>
        <w:rPr>
          <w:rFonts w:ascii="宋体" w:hAnsi="宋体"/>
          <w:color w:val="auto"/>
          <w:szCs w:val="21"/>
          <w:highlight w:val="none"/>
        </w:rPr>
        <w:t>CA</w:t>
      </w:r>
      <w:r>
        <w:rPr>
          <w:rFonts w:hint="eastAsia" w:ascii="宋体" w:hAnsi="宋体"/>
          <w:color w:val="auto"/>
          <w:szCs w:val="21"/>
          <w:highlight w:val="none"/>
        </w:rPr>
        <w:t>认证证书）获得的以供应商法定代表人（负责人、自然人）或者委托代理人姓名制作的个人电子印章或手写签字。没有办理个人</w:t>
      </w:r>
      <w:r>
        <w:rPr>
          <w:rFonts w:ascii="宋体" w:hAnsi="宋体"/>
          <w:color w:val="auto"/>
          <w:szCs w:val="21"/>
          <w:highlight w:val="none"/>
        </w:rPr>
        <w:t>CA</w:t>
      </w:r>
      <w:r>
        <w:rPr>
          <w:rFonts w:hint="eastAsia" w:ascii="宋体" w:hAnsi="宋体"/>
          <w:color w:val="auto"/>
          <w:szCs w:val="21"/>
          <w:highlight w:val="none"/>
        </w:rPr>
        <w:t>证书的，可以为手写签字的形式。</w:t>
      </w:r>
    </w:p>
    <w:p w14:paraId="6B4543D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2.10“公章”是指供应商通过指定电子化政府采购平台办理数字证书（CA认证证书）获得的以法定主体行为名称制作的电子印章。本谈判文件中要求供应商对其电子响应文件的相关内容加盖公章的，均指采用CA证书签章。</w:t>
      </w:r>
    </w:p>
    <w:p w14:paraId="4023CEF5">
      <w:pPr>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2.11本谈判文件所称的“以上”“以下”“以内”“届满”，包括本数；所称的“不满”“超过”“以外”，不包括本数；如谈判文件另有特殊规定的从其规定。 </w:t>
      </w:r>
    </w:p>
    <w:p w14:paraId="76163160">
      <w:pPr>
        <w:spacing w:line="360" w:lineRule="exact"/>
        <w:ind w:firstLine="422" w:firstLineChars="200"/>
        <w:rPr>
          <w:rFonts w:ascii="宋体" w:hAnsi="宋体" w:cs="Adobe 宋体 Std L"/>
          <w:b/>
          <w:bCs/>
          <w:color w:val="auto"/>
          <w:szCs w:val="21"/>
          <w:highlight w:val="none"/>
        </w:rPr>
      </w:pPr>
      <w:r>
        <w:rPr>
          <w:rFonts w:hint="eastAsia" w:ascii="宋体" w:hAnsi="宋体" w:cs="Adobe 宋体 Std L"/>
          <w:b/>
          <w:bCs/>
          <w:color w:val="auto"/>
          <w:szCs w:val="21"/>
          <w:highlight w:val="none"/>
        </w:rPr>
        <w:t>3. 供应商资格</w:t>
      </w:r>
    </w:p>
    <w:p w14:paraId="4AAEE7D6">
      <w:pPr>
        <w:spacing w:line="360" w:lineRule="exact"/>
        <w:ind w:firstLine="420" w:firstLineChars="200"/>
        <w:rPr>
          <w:rFonts w:ascii="宋体" w:hAnsi="宋体" w:cs="Adobe 宋体 Std L"/>
          <w:bCs/>
          <w:color w:val="auto"/>
          <w:szCs w:val="21"/>
          <w:highlight w:val="none"/>
        </w:rPr>
      </w:pPr>
      <w:r>
        <w:rPr>
          <w:rFonts w:hint="eastAsia" w:ascii="宋体" w:hAnsi="宋体"/>
          <w:color w:val="auto"/>
          <w:szCs w:val="21"/>
          <w:highlight w:val="none"/>
        </w:rPr>
        <w:t>3.1供应商资格：详见</w:t>
      </w:r>
      <w:r>
        <w:rPr>
          <w:rFonts w:hint="eastAsia" w:ascii="宋体" w:hAnsi="宋体" w:cs="宋体"/>
          <w:color w:val="auto"/>
          <w:szCs w:val="21"/>
          <w:highlight w:val="none"/>
        </w:rPr>
        <w:t>供应商须知前附表。</w:t>
      </w:r>
    </w:p>
    <w:p w14:paraId="55C7AABA">
      <w:pPr>
        <w:spacing w:line="360" w:lineRule="exact"/>
        <w:ind w:firstLine="420" w:firstLineChars="200"/>
        <w:rPr>
          <w:rFonts w:ascii="宋体" w:hAnsi="宋体" w:cs="Adobe 宋体 Std L"/>
          <w:b/>
          <w:bCs/>
          <w:color w:val="auto"/>
          <w:szCs w:val="21"/>
          <w:highlight w:val="none"/>
        </w:rPr>
      </w:pPr>
      <w:r>
        <w:rPr>
          <w:rFonts w:hint="eastAsia" w:ascii="宋体" w:hAnsi="宋体" w:cs="Adobe 宋体 Std L"/>
          <w:bCs/>
          <w:color w:val="auto"/>
          <w:szCs w:val="21"/>
          <w:highlight w:val="none"/>
        </w:rPr>
        <w:t>4.</w:t>
      </w:r>
      <w:r>
        <w:rPr>
          <w:rFonts w:hint="eastAsia" w:ascii="宋体" w:hAnsi="宋体" w:cs="Adobe 宋体 Std L"/>
          <w:b/>
          <w:bCs/>
          <w:color w:val="auto"/>
          <w:szCs w:val="21"/>
          <w:highlight w:val="none"/>
        </w:rPr>
        <w:t>谈判费用</w:t>
      </w:r>
    </w:p>
    <w:p w14:paraId="5DECEFCA">
      <w:pPr>
        <w:spacing w:line="360" w:lineRule="exact"/>
        <w:ind w:firstLine="420" w:firstLineChars="200"/>
        <w:rPr>
          <w:rFonts w:ascii="宋体" w:hAnsi="宋体" w:cs="Adobe 宋体 Std L"/>
          <w:bCs/>
          <w:color w:val="auto"/>
          <w:szCs w:val="21"/>
          <w:highlight w:val="none"/>
        </w:rPr>
      </w:pPr>
      <w:r>
        <w:rPr>
          <w:rFonts w:hint="eastAsia" w:ascii="宋体" w:hAnsi="宋体" w:cs="Adobe 宋体 Std L"/>
          <w:bCs/>
          <w:color w:val="auto"/>
          <w:szCs w:val="21"/>
          <w:highlight w:val="none"/>
        </w:rPr>
        <w:t>4.1供应商应自行承担所有与编写和提交响应文件有关的费用，不论谈判结果如何，采购人和采购代理机构在任何情况下无义务和责任承担此类费用。</w:t>
      </w:r>
    </w:p>
    <w:p w14:paraId="5C7E937B">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5. 联合体竞标</w:t>
      </w:r>
    </w:p>
    <w:p w14:paraId="534E8FA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5.1本项目是否接受联合体竞标，详见“供应商须知前附表”。</w:t>
      </w:r>
    </w:p>
    <w:p w14:paraId="269B785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5.2联合体要求（联合体竞标时应满足下列要求）：</w:t>
      </w:r>
    </w:p>
    <w:p w14:paraId="44292E9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（1）两个以上供应商可以组成一个竞标联合体，以一个供应商的身份共同参加投标，联合体供应商的名称应统一按“XXX公司与XXX公司的联合体”的规则填写。</w:t>
      </w:r>
    </w:p>
    <w:p w14:paraId="5B79582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（2）以联合体形式参加投标的，联合体各方均应当符合“具有独立承担民事责任的能力”的条件。 本项目有特殊要求规定供应商特定条件的，联合体各方中至少应当有一方符合谈判文件规定的特定条件。</w:t>
      </w:r>
    </w:p>
    <w:p w14:paraId="143C583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联合体竞标的，须提供《联合体投标协议书》（格式后附），协议书必须明确主体方（或者牵头方）并明确约定联合体各方承担的工作和相应的责任（各方承担责任与义务的分工必须符合采购需求，否则，联合体投标无效），并将联合投标协议放入响应文件。联合体各方必须共同与采购人签订采购合同，就采购合同约定的事项对采购人承担连带责任。</w:t>
      </w:r>
    </w:p>
    <w:p w14:paraId="60F6E5A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（4）以联合体形式参加政府采购活动的，联合体各方不得再单独参加或者与其他供应商另外组成联合体参加同一合同项下的政府采购活动，否则与之相关的响应文件作废。</w:t>
      </w:r>
    </w:p>
    <w:p w14:paraId="3399D3C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（5）联合体中有同类资质的供应商按照联合体分工承担相同工作的，应当按照资质等级较低的供应商确定资质等级。</w:t>
      </w:r>
    </w:p>
    <w:p w14:paraId="479D0F1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（6）联合体投标业绩、履约能力按照联合体各方其中较高的一方认定并计算（谈判文件另有规定的除外）。</w:t>
      </w:r>
    </w:p>
    <w:p w14:paraId="0784BE3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（7）联合体各方均应按照谈判文件的规定提交资格证明文件。</w:t>
      </w:r>
    </w:p>
    <w:p w14:paraId="2883E2F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5.3根据《政府采购促进中小企业发展管理办法》（财库[2020]46号）第九条规定，接受大中型企业与小微企业组成联合体的采购项目，对于联合协议约定小微企业的合同份额占到合同总金额 30%以上的，采购人、采购代理机构应当对联合体的报价给予 4</w:t>
      </w:r>
      <w:r>
        <w:rPr>
          <w:rFonts w:ascii="宋体" w:hAnsi="宋体"/>
          <w:color w:val="auto"/>
          <w:szCs w:val="21"/>
          <w:highlight w:val="none"/>
        </w:rPr>
        <w:t>%-</w:t>
      </w:r>
      <w:r>
        <w:rPr>
          <w:rFonts w:hint="eastAsia" w:ascii="宋体" w:hAnsi="宋体"/>
          <w:color w:val="auto"/>
          <w:szCs w:val="21"/>
          <w:highlight w:val="none"/>
        </w:rPr>
        <w:t>6</w:t>
      </w:r>
      <w:r>
        <w:rPr>
          <w:rFonts w:ascii="宋体" w:hAnsi="宋体"/>
          <w:color w:val="auto"/>
          <w:szCs w:val="21"/>
          <w:highlight w:val="none"/>
        </w:rPr>
        <w:t>%</w:t>
      </w:r>
      <w:r>
        <w:rPr>
          <w:rFonts w:hint="eastAsia" w:ascii="宋体" w:hAnsi="宋体"/>
          <w:color w:val="auto"/>
          <w:szCs w:val="21"/>
          <w:highlight w:val="none"/>
        </w:rPr>
        <w:t>（工程项目为 1%—2%）的扣除，用扣除后的价格参加评审。组成联合体的小微企业与联合体内其他企业、分包企业之间存在直接控股、管理关系的，不享受价格扣除优惠政策。</w:t>
      </w:r>
    </w:p>
    <w:p w14:paraId="334460E7">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 xml:space="preserve">6. 分包与转包 </w:t>
      </w:r>
    </w:p>
    <w:p w14:paraId="4D84BA1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6.1本项目是否允许分包详见“供应商须知前附表”，本项目不允许违法分包。供应商根据谈判文件的规定和采购项目的实际情况，拟在中标后将中标项目的非主体、非关键性工作分包的，应当在响应文件中载明分包承担主体，分包承担主体应当具备相应资质条件且不得再次分包。</w:t>
      </w:r>
    </w:p>
    <w:p w14:paraId="695A537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6.2根据《政府采购促进中小企业发展管理办法》（财库[2020]46号）第九条规定，允许大中型企业向一家或者多家小微企业分包的采购项目，对于分包意向协议约定小微企业的合同份额占到合同总金额30%以上的，采购人、采购代理机构应当对大中型企业的报价给予 4%-6%的扣除，用扣除后的价格参加评审。接受分包的小微企业与分包企业之间存在直接控股、管理关系的，不享受价格扣除优惠政策。</w:t>
      </w:r>
    </w:p>
    <w:p w14:paraId="492BBF8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6.3本项目不允许转包。</w:t>
      </w:r>
    </w:p>
    <w:p w14:paraId="40264A27">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7. 特别说明</w:t>
      </w:r>
    </w:p>
    <w:p w14:paraId="43B40C9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7.1出现下列情形之一的，在评审过程中，按一家供应商计算，评审后得分最高的同品牌供应商获得中标人推荐资格；评审得分相同的，以报价最低的供应商获得中标人推荐资格；评审得分及投标报价相同的，以技术得分最高的供应商获得中标人推荐资格；其他同品牌供应商不作为中标候选人：</w:t>
      </w:r>
    </w:p>
    <w:p w14:paraId="4A68B2E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（1）提供相同品牌产品且通过资格审查、符合性审查的不同供应商参加单一产品的同一合同项下的政府采购活动的。</w:t>
      </w:r>
    </w:p>
    <w:p w14:paraId="35145FA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（2）非单一产品采购项目中，多家供应商提供的核心产品品牌相同的，视为提供相同品牌产品。核心产品的名称应当在谈判文件中载明。</w:t>
      </w:r>
    </w:p>
    <w:p w14:paraId="0DC2BD9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7.2供应商投标所使用的资格、信誉、荣誉、业绩与企业认证必须为本供应商所拥有。</w:t>
      </w:r>
    </w:p>
    <w:p w14:paraId="66B929D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7.3供应商应仔细阅读谈判文件的所有内容，按照谈判文件的要求提交响应文件，并对所提供的全部资料的真实性承担法律责任。</w:t>
      </w:r>
    </w:p>
    <w:p w14:paraId="490A994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7.4供应商在投标活动中提供任何虚假材料，其投标无效，并报监管部门查处；中标后发现的，中标供应商须依照《中华人民共和国消费者权益保护法》规定赔偿采购人，且民事赔偿并不免除违法供应商的行政与刑事责任。</w:t>
      </w:r>
    </w:p>
    <w:p w14:paraId="1026726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7.5在政府采购活动中，采购人员及相关人员与供应商有下列利害关系之一的，应当回避：</w:t>
      </w:r>
    </w:p>
    <w:p w14:paraId="1F261C1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（1）参加采购活动前3年内与供应商存在劳动关系；</w:t>
      </w:r>
    </w:p>
    <w:p w14:paraId="5BB29DEB">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（2）参加采购活动前3年内担任供应商的董事、监事；</w:t>
      </w:r>
    </w:p>
    <w:p w14:paraId="73A0057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（3）参加采购活动前3年内是供应商的控股股东或者实际控制人；</w:t>
      </w:r>
    </w:p>
    <w:p w14:paraId="2BE0D96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（4）与供应商的法定代表人或者负责人有夫妻、直系血亲、三代以内旁系血亲或者近姻亲关系；</w:t>
      </w:r>
    </w:p>
    <w:p w14:paraId="43435D2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（5）与供应商有其他可能影响政府采购活动公平、公正进行的关系。</w:t>
      </w:r>
    </w:p>
    <w:p w14:paraId="0675375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481FF03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7.6有下列情形之一的视为供应商相互串通投标，其投标无效：</w:t>
      </w:r>
    </w:p>
    <w:p w14:paraId="60D96EF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（1）不同供应商的响应文件由同一单位或者个人编制； </w:t>
      </w:r>
    </w:p>
    <w:p w14:paraId="56474E5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（2）不同供应商委托同一单位或者个人办理投标事宜；</w:t>
      </w:r>
    </w:p>
    <w:p w14:paraId="1BE2679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（3）不同供应商的响应文件载明的项目管理成员或者联系人员为同一人；</w:t>
      </w:r>
    </w:p>
    <w:p w14:paraId="2880865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（4）不同供应商的响应文件异常一致或投标报价呈规律性差异；</w:t>
      </w:r>
    </w:p>
    <w:p w14:paraId="3F0FFEA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（5）不同供应商的响应文件相互混装；</w:t>
      </w:r>
    </w:p>
    <w:p w14:paraId="5E2DC38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（6）不同供应商的投标保证金从同一单位或者个人账户转出。</w:t>
      </w:r>
    </w:p>
    <w:p w14:paraId="7FFDBEA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7.7供应商有下列情形之一的，属于恶意串通行为：</w:t>
      </w:r>
    </w:p>
    <w:p w14:paraId="3D0B135B">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（1）供应商直接或者间接从采购人或者采购代理机构处获得其他供应商的相关信息并修改其响应文件或者响应文件：</w:t>
      </w:r>
    </w:p>
    <w:p w14:paraId="4BA4CB3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（2）供应商按照采购人或者采购代理机构的授意撤换、修改响应文件或者响应文件；</w:t>
      </w:r>
    </w:p>
    <w:p w14:paraId="18F4A38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（3）供应商之间协商报价、技术方案等响应文件或者响应文件的实质性内容；</w:t>
      </w:r>
    </w:p>
    <w:p w14:paraId="1D6F842B">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（4）属于同一集团、协会、商会等组织成员的供应商按照该组织要求协同参加政府采购活动；</w:t>
      </w:r>
    </w:p>
    <w:p w14:paraId="20B0DE3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0F12893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（6）供应商之间商定部分供应商放弃参加政府采购活动或者放弃中标；</w:t>
      </w:r>
    </w:p>
    <w:p w14:paraId="4AEF69B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（7）供应商与采购人或者采购代理机构之间、供应商相互之间，为谋求特定供应商中标或者排斥其他供应商的其他串通行为。</w:t>
      </w:r>
    </w:p>
    <w:p w14:paraId="4EAE6CF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7.8关联供应商不得参加同一合同项下政府采购活动，否则响应文件将被视为无效：</w:t>
      </w:r>
    </w:p>
    <w:p w14:paraId="408DA3D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（1）单位负责人为同一人或者存在直接控股、管理关系的不同的供应商，不得参加同一合同项下的政府采购活动；</w:t>
      </w:r>
    </w:p>
    <w:p w14:paraId="77BD33B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（2）生产厂商授权给供应商后自己不得参加同一合同项下的政府采购活动；生产厂商对同一品牌同一型号的货物，仅能委托一个代理商参加投标。</w:t>
      </w:r>
    </w:p>
    <w:p w14:paraId="24C3E4D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8017FE8">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8.质疑和投诉</w:t>
      </w:r>
    </w:p>
    <w:p w14:paraId="2550A02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8.1供应商认为竞争性谈判文件、招标过程或中标结果使自己的合法权益受到损害的，应当在知道或者应知其权益受到损害之日起七个工作日内，以书面形式向采购人、采购代理机构提出质疑。供应商对招标采购单位的质疑答复不满意或者招标采购单位未在规定时间内作出答复的，可以在答复期满后十五个工作日内向同级采购监管部门投诉。</w:t>
      </w:r>
    </w:p>
    <w:p w14:paraId="0C46EEF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8.2质疑、投诉应当采用书面形式，质疑书、投诉书均应明确阐述竞争性谈判文件、招标过程或中标结果中使自己合法权益受到损害的实质性内容，提供相关事实、依据和证据及其来源或线索，便于有关单位调查、答复和处理。</w:t>
      </w:r>
    </w:p>
    <w:p w14:paraId="0F7EB1C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8.3质疑和投诉书面要求</w:t>
      </w:r>
    </w:p>
    <w:p w14:paraId="0333051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质疑人或投诉人提供的书面材料（如材料中有外文资料须同时附上中文译本）至少包括以下内容：</w:t>
      </w:r>
    </w:p>
    <w:p w14:paraId="368E5C2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（1）质疑人或投诉人的姓名或者名称、地址、邮编、联系人及联系电话；</w:t>
      </w:r>
    </w:p>
    <w:p w14:paraId="2352BC9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（2）质疑项目的名称、编号；</w:t>
      </w:r>
    </w:p>
    <w:p w14:paraId="44DF575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（3）具体、明确的质疑事项和与质疑事项相关的请求；</w:t>
      </w:r>
    </w:p>
    <w:p w14:paraId="603ADA1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（4）事实依据；</w:t>
      </w:r>
    </w:p>
    <w:p w14:paraId="4D0AF0F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（5）必要的法律依据；</w:t>
      </w:r>
    </w:p>
    <w:p w14:paraId="1D3FFEE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（6）质疑人或投诉人的签章及质疑或投诉时间；</w:t>
      </w:r>
    </w:p>
    <w:p w14:paraId="6870B02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（7）质疑或投诉的书面材料须提供法定代表人签名和加盖单位公章的原件。</w:t>
      </w:r>
    </w:p>
    <w:p w14:paraId="6748000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（8）质疑人须一次性提出针对同一采购程序环节的质疑。</w:t>
      </w:r>
    </w:p>
    <w:p w14:paraId="5C47F1C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9）如质疑或投诉委托代理人办理时，须提供质疑人的授权委托书，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4DD429B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未持有有效授权委托书的代理人提交的质疑函或不在法定质疑期内提交的质疑函，将不予受理。</w:t>
      </w:r>
    </w:p>
    <w:p w14:paraId="61FFCD70">
      <w:pPr>
        <w:spacing w:line="360" w:lineRule="exact"/>
        <w:ind w:firstLine="420" w:firstLineChars="200"/>
        <w:rPr>
          <w:rFonts w:ascii="宋体" w:hAnsi="宋体" w:cs="Adobe 宋体 Std L"/>
          <w:bCs/>
          <w:color w:val="auto"/>
          <w:szCs w:val="21"/>
          <w:highlight w:val="none"/>
        </w:rPr>
      </w:pPr>
      <w:r>
        <w:rPr>
          <w:rFonts w:hint="eastAsia" w:ascii="宋体" w:hAnsi="宋体"/>
          <w:color w:val="auto"/>
          <w:szCs w:val="21"/>
          <w:highlight w:val="none"/>
        </w:rPr>
        <w:t>8.4接受质疑函的联系方式等详见谈判公告中采购人、采购代理机构的联系方式。</w:t>
      </w:r>
    </w:p>
    <w:p w14:paraId="005D8C07">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二、谈判文件</w:t>
      </w:r>
    </w:p>
    <w:p w14:paraId="29AA80A2">
      <w:pPr>
        <w:spacing w:line="360" w:lineRule="exact"/>
        <w:ind w:left="420" w:leftChars="200"/>
        <w:rPr>
          <w:rFonts w:ascii="宋体" w:hAnsi="宋体"/>
          <w:b/>
          <w:color w:val="auto"/>
          <w:szCs w:val="21"/>
          <w:highlight w:val="none"/>
        </w:rPr>
      </w:pPr>
      <w:r>
        <w:rPr>
          <w:rFonts w:hint="eastAsia" w:ascii="宋体" w:hAnsi="宋体"/>
          <w:b/>
          <w:color w:val="auto"/>
          <w:szCs w:val="21"/>
          <w:highlight w:val="none"/>
        </w:rPr>
        <w:t>9.竞争性谈判文件的组成</w:t>
      </w:r>
    </w:p>
    <w:p w14:paraId="09D74A9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（1）谈判公告；</w:t>
      </w:r>
    </w:p>
    <w:p w14:paraId="204AE75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（2）供应商须知；</w:t>
      </w:r>
    </w:p>
    <w:p w14:paraId="2C9129F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（3）采购需求；</w:t>
      </w:r>
    </w:p>
    <w:p w14:paraId="2B86320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（4）评审办法和定标标准；</w:t>
      </w:r>
    </w:p>
    <w:p w14:paraId="05E2E4A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（5）响应文件格式；</w:t>
      </w:r>
    </w:p>
    <w:p w14:paraId="13D6210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（6）合同主要条款；</w:t>
      </w:r>
    </w:p>
    <w:p w14:paraId="7973B18B">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（7）其他资料。</w:t>
      </w:r>
    </w:p>
    <w:p w14:paraId="0123E602">
      <w:pPr>
        <w:spacing w:line="360" w:lineRule="exact"/>
        <w:ind w:left="420" w:leftChars="200"/>
        <w:rPr>
          <w:rFonts w:ascii="宋体" w:hAnsi="宋体"/>
          <w:b/>
          <w:color w:val="auto"/>
          <w:szCs w:val="21"/>
          <w:highlight w:val="none"/>
        </w:rPr>
      </w:pPr>
      <w:r>
        <w:rPr>
          <w:rFonts w:hint="eastAsia" w:ascii="宋体" w:hAnsi="宋体"/>
          <w:b/>
          <w:color w:val="auto"/>
          <w:szCs w:val="21"/>
          <w:highlight w:val="none"/>
        </w:rPr>
        <w:t>10. 供应商的风险</w:t>
      </w:r>
    </w:p>
    <w:p w14:paraId="1ACD91E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10.1供应商没有按照谈判文件要求提供全部资料，或者供应商没有对谈判文件在各方面作出实质性响应是供应商的风险，并可能导致其投标被拒绝。</w:t>
      </w:r>
    </w:p>
    <w:p w14:paraId="677E5EFB">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11.谈判文件的澄清或修改</w:t>
      </w:r>
    </w:p>
    <w:p w14:paraId="73FD587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11.1供应商应认真</w:t>
      </w:r>
      <w:r>
        <w:rPr>
          <w:rFonts w:hint="eastAsia" w:hAnsi="宋体"/>
          <w:bCs/>
          <w:color w:val="auto"/>
          <w:szCs w:val="21"/>
          <w:highlight w:val="none"/>
        </w:rPr>
        <w:t>阅读本谈判文件，发现</w:t>
      </w:r>
      <w:r>
        <w:rPr>
          <w:rFonts w:hint="eastAsia" w:hAnsi="宋体"/>
          <w:color w:val="auto"/>
          <w:szCs w:val="21"/>
          <w:highlight w:val="none"/>
        </w:rPr>
        <w:t>谈判文件表述不清晰、存在歧视性、排他性或者其他违法内容的，应以书面形式要求招标采购单位作出书面解释、澄清</w:t>
      </w:r>
      <w:r>
        <w:rPr>
          <w:rFonts w:hint="eastAsia" w:ascii="宋体" w:hAnsi="宋体"/>
          <w:color w:val="auto"/>
          <w:szCs w:val="21"/>
          <w:highlight w:val="none"/>
        </w:rPr>
        <w:t>，否则，由此产生的后果由供应商负责。</w:t>
      </w:r>
    </w:p>
    <w:p w14:paraId="17E5BB8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11.2任何要求澄清谈判文件的供应商，均应在首次响应文件递交截止日期前的正常工作时间以书面形式通知采购人或采购代理机构，采购人或采购代理机构将以书面形式予以答复。</w:t>
      </w:r>
    </w:p>
    <w:p w14:paraId="54145C4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11.3采购人或采购代理机构对已发出的谈判文件进行必要澄清或者修改的，澄清和修改对供应商编制响应文件造成实质影响的，在谈判文件要求提交竞争性谈判响应文件截止时间三个工作日前（不足三个工作日顺延），并将以书面形式通知（在“供应商须知前附表”规定的发布媒体上发布更正公告）所有谈判文件收受人。该澄清或者修改的内容为性谈判文件的组成部分。</w:t>
      </w:r>
    </w:p>
    <w:p w14:paraId="6B5583C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11.4采购人可视具体情况，延长响应文件递交截止时间和开标时间，并在“供应商须知前附表”规定的发布媒体上发布变更公告。</w:t>
      </w:r>
    </w:p>
    <w:p w14:paraId="08300DF1">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12.现场考察或答疑会</w:t>
      </w:r>
    </w:p>
    <w:p w14:paraId="2573D21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12.1采购人可以视采购项目的具体情况，按须知前附表的规定组织供应商进行现场考察或召开谈判前答疑会，但不得单独或分别组织只有一个供应商参加的现场考察和答疑会。</w:t>
      </w:r>
    </w:p>
    <w:p w14:paraId="61BA92C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12.2供应商考察现场或参加答疑会发生的费用自理。</w:t>
      </w:r>
    </w:p>
    <w:p w14:paraId="300609E5">
      <w:pPr>
        <w:spacing w:line="360" w:lineRule="exact"/>
        <w:ind w:firstLine="420" w:firstLineChars="200"/>
        <w:rPr>
          <w:rFonts w:ascii="宋体" w:hAnsi="宋体" w:cs="Adobe 宋体 Std L"/>
          <w:b/>
          <w:bCs/>
          <w:color w:val="auto"/>
          <w:szCs w:val="21"/>
          <w:highlight w:val="none"/>
        </w:rPr>
      </w:pPr>
      <w:r>
        <w:rPr>
          <w:rFonts w:hint="eastAsia" w:ascii="宋体" w:hAnsi="宋体"/>
          <w:color w:val="auto"/>
          <w:szCs w:val="21"/>
          <w:highlight w:val="none"/>
        </w:rPr>
        <w:t>12.3供应商自行负责在考察现场或参加答疑会中所发生的人员伤亡和财产损失。</w:t>
      </w:r>
    </w:p>
    <w:p w14:paraId="3C181570">
      <w:pPr>
        <w:spacing w:line="360" w:lineRule="exact"/>
        <w:ind w:firstLine="422" w:firstLineChars="200"/>
        <w:rPr>
          <w:rFonts w:ascii="宋体" w:hAnsi="宋体" w:cs="Adobe 宋体 Std L"/>
          <w:b/>
          <w:color w:val="auto"/>
          <w:szCs w:val="21"/>
          <w:highlight w:val="none"/>
        </w:rPr>
      </w:pPr>
      <w:r>
        <w:rPr>
          <w:rFonts w:hint="eastAsia" w:ascii="宋体" w:hAnsi="宋体" w:cs="Adobe 宋体 Std L"/>
          <w:b/>
          <w:color w:val="auto"/>
          <w:szCs w:val="21"/>
          <w:highlight w:val="none"/>
        </w:rPr>
        <w:t>三、响应文件的编制</w:t>
      </w:r>
    </w:p>
    <w:p w14:paraId="261A560A">
      <w:pPr>
        <w:spacing w:line="360" w:lineRule="exact"/>
        <w:ind w:firstLine="422" w:firstLineChars="200"/>
        <w:rPr>
          <w:rFonts w:ascii="宋体" w:hAnsi="宋体" w:cs="Adobe 宋体 Std L"/>
          <w:b/>
          <w:bCs/>
          <w:color w:val="auto"/>
          <w:szCs w:val="21"/>
          <w:highlight w:val="none"/>
        </w:rPr>
      </w:pPr>
      <w:r>
        <w:rPr>
          <w:rFonts w:hint="eastAsia" w:ascii="宋体" w:hAnsi="宋体" w:cs="Adobe 宋体 Std L"/>
          <w:b/>
          <w:bCs/>
          <w:color w:val="auto"/>
          <w:szCs w:val="21"/>
          <w:highlight w:val="none"/>
        </w:rPr>
        <w:t xml:space="preserve">13. </w:t>
      </w:r>
      <w:r>
        <w:rPr>
          <w:rFonts w:hint="eastAsia" w:ascii="宋体" w:hAnsi="宋体" w:cs="宋体"/>
          <w:b/>
          <w:color w:val="auto"/>
          <w:szCs w:val="21"/>
          <w:highlight w:val="none"/>
        </w:rPr>
        <w:t>响应文件的组成</w:t>
      </w:r>
    </w:p>
    <w:p w14:paraId="3F73A7D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响应文件由资格证明文件、商务和技术文件、报价文件组成。</w:t>
      </w:r>
    </w:p>
    <w:p w14:paraId="0B288049">
      <w:pPr>
        <w:spacing w:line="360" w:lineRule="exact"/>
        <w:ind w:firstLine="422" w:firstLineChars="200"/>
        <w:rPr>
          <w:rFonts w:ascii="宋体" w:hAnsi="宋体" w:cs="Adobe 宋体 Std L"/>
          <w:b/>
          <w:bCs/>
          <w:color w:val="auto"/>
          <w:szCs w:val="21"/>
          <w:highlight w:val="none"/>
        </w:rPr>
      </w:pPr>
      <w:r>
        <w:rPr>
          <w:rFonts w:hint="eastAsia" w:ascii="宋体" w:hAnsi="宋体" w:cs="Adobe 宋体 Std L"/>
          <w:b/>
          <w:bCs/>
          <w:color w:val="auto"/>
          <w:szCs w:val="21"/>
          <w:highlight w:val="none"/>
        </w:rPr>
        <w:t>13.1资格证明文件（以下文件标注“▲”的必须提供，否则投标无效，其他可根据实际情况提供）</w:t>
      </w:r>
    </w:p>
    <w:p w14:paraId="4493EE35">
      <w:pPr>
        <w:pStyle w:val="20"/>
        <w:spacing w:line="360" w:lineRule="exact"/>
        <w:ind w:firstLine="405"/>
        <w:rPr>
          <w:rFonts w:hAnsi="宋体"/>
          <w:b/>
          <w:color w:val="auto"/>
          <w:sz w:val="21"/>
          <w:szCs w:val="21"/>
          <w:highlight w:val="none"/>
        </w:rPr>
      </w:pPr>
      <w:r>
        <w:rPr>
          <w:rFonts w:hint="eastAsia" w:hAnsi="宋体"/>
          <w:b/>
          <w:color w:val="auto"/>
          <w:sz w:val="21"/>
          <w:szCs w:val="21"/>
          <w:highlight w:val="none"/>
        </w:rPr>
        <w:t>▲注：以下各项属于均要加盖供应商电子公章。联合体投标时，第2-6项资格证明文件联合体各方均必须分别提供，联合体各方分别盖章和签字，否则响应文件按无效响应处理。</w:t>
      </w:r>
    </w:p>
    <w:p w14:paraId="2EDDF85B">
      <w:pPr>
        <w:spacing w:line="360" w:lineRule="exact"/>
        <w:ind w:firstLine="413" w:firstLineChars="196"/>
        <w:jc w:val="left"/>
        <w:rPr>
          <w:rFonts w:ascii="宋体" w:hAnsi="宋体"/>
          <w:color w:val="auto"/>
          <w:szCs w:val="21"/>
          <w:highlight w:val="none"/>
        </w:rPr>
      </w:pPr>
      <w:r>
        <w:rPr>
          <w:rFonts w:hint="eastAsia" w:ascii="宋体" w:hAnsi="宋体"/>
          <w:b/>
          <w:color w:val="auto"/>
          <w:szCs w:val="21"/>
          <w:highlight w:val="none"/>
        </w:rPr>
        <w:t>▲</w:t>
      </w:r>
      <w:r>
        <w:rPr>
          <w:rFonts w:hint="eastAsia" w:ascii="宋体" w:hAnsi="宋体"/>
          <w:color w:val="auto"/>
          <w:szCs w:val="21"/>
          <w:highlight w:val="none"/>
        </w:rPr>
        <w:t>（1）谈判声明书(按第四章要求格式填写)；</w:t>
      </w:r>
    </w:p>
    <w:p w14:paraId="32B673DA">
      <w:pPr>
        <w:spacing w:line="360" w:lineRule="exact"/>
        <w:ind w:firstLine="411" w:firstLineChars="196"/>
        <w:jc w:val="left"/>
        <w:rPr>
          <w:rFonts w:hAnsi="宋体"/>
          <w:color w:val="auto"/>
          <w:szCs w:val="21"/>
          <w:highlight w:val="none"/>
        </w:rPr>
      </w:pPr>
      <w:r>
        <w:rPr>
          <w:rFonts w:hint="eastAsia" w:ascii="宋体" w:hAnsi="宋体"/>
          <w:color w:val="auto"/>
          <w:szCs w:val="21"/>
          <w:highlight w:val="none"/>
        </w:rPr>
        <w:t>▲（2）投标供应商</w:t>
      </w:r>
      <w:r>
        <w:rPr>
          <w:rFonts w:hint="eastAsia" w:hAnsi="宋体"/>
          <w:color w:val="auto"/>
          <w:szCs w:val="21"/>
          <w:highlight w:val="none"/>
        </w:rPr>
        <w:t>合法的主体资格证明（如营业执照、事业单位法人证书、执业许可证、个体工商户营业执照、自然人身份证等）复印件</w:t>
      </w:r>
      <w:r>
        <w:rPr>
          <w:rFonts w:hint="eastAsia" w:ascii="宋体" w:hAnsi="宋体"/>
          <w:bCs/>
          <w:color w:val="auto"/>
          <w:szCs w:val="21"/>
          <w:highlight w:val="none"/>
        </w:rPr>
        <w:t>；</w:t>
      </w:r>
    </w:p>
    <w:p w14:paraId="735DF7DB">
      <w:pPr>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▲（3）</w:t>
      </w:r>
      <w:r>
        <w:rPr>
          <w:rFonts w:hint="eastAsia" w:ascii="宋体" w:hAnsi="宋体" w:cs="宋体"/>
          <w:color w:val="auto"/>
          <w:szCs w:val="21"/>
          <w:highlight w:val="none"/>
        </w:rPr>
        <w:t>政府采购供应商资格信用承诺函(按第四章要求格式填写)；</w:t>
      </w:r>
    </w:p>
    <w:p w14:paraId="494C1A6A">
      <w:pPr>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 xml:space="preserve">▲（4）参加政府采购活动前三年内在经营活动中没有重大违法记录和不良信用记录的书面声明书（格式自拟）； </w:t>
      </w:r>
    </w:p>
    <w:p w14:paraId="520D6368">
      <w:pPr>
        <w:spacing w:line="360" w:lineRule="exact"/>
        <w:ind w:firstLine="411" w:firstLineChars="196"/>
        <w:jc w:val="left"/>
        <w:rPr>
          <w:color w:val="auto"/>
          <w:szCs w:val="21"/>
          <w:highlight w:val="none"/>
        </w:rPr>
      </w:pPr>
      <w:r>
        <w:rPr>
          <w:rFonts w:hint="eastAsia" w:ascii="宋体" w:hAnsi="宋体"/>
          <w:color w:val="auto"/>
          <w:szCs w:val="21"/>
          <w:highlight w:val="none"/>
        </w:rPr>
        <w:t>▲（5）</w:t>
      </w:r>
      <w:r>
        <w:rPr>
          <w:rFonts w:hint="eastAsia"/>
          <w:color w:val="auto"/>
          <w:szCs w:val="21"/>
          <w:highlight w:val="none"/>
        </w:rPr>
        <w:t>供应商如为分支机构投标的，须提供其总公司</w:t>
      </w:r>
      <w:r>
        <w:rPr>
          <w:color w:val="auto"/>
          <w:szCs w:val="21"/>
          <w:highlight w:val="none"/>
        </w:rPr>
        <w:t>“</w:t>
      </w:r>
      <w:r>
        <w:rPr>
          <w:rFonts w:hint="eastAsia"/>
          <w:color w:val="auto"/>
          <w:szCs w:val="21"/>
          <w:highlight w:val="none"/>
        </w:rPr>
        <w:t>营业执照</w:t>
      </w:r>
      <w:r>
        <w:rPr>
          <w:color w:val="auto"/>
          <w:szCs w:val="21"/>
          <w:highlight w:val="none"/>
        </w:rPr>
        <w:t>”</w:t>
      </w:r>
      <w:r>
        <w:rPr>
          <w:rFonts w:hint="eastAsia"/>
          <w:color w:val="auto"/>
          <w:szCs w:val="21"/>
          <w:highlight w:val="none"/>
        </w:rPr>
        <w:t>副本复印件和总公司对供应商参与本项目投标的授权书原件；</w:t>
      </w:r>
    </w:p>
    <w:p w14:paraId="2333DCC2">
      <w:pPr>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▲（6）供应商直接控股、管理关系信息表(按第四章要求格式填写)；</w:t>
      </w:r>
    </w:p>
    <w:p w14:paraId="6D57F738">
      <w:pPr>
        <w:snapToGrid w:val="0"/>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▲（7）中小企业声明函（按第四章要求的格式提供）；</w:t>
      </w:r>
    </w:p>
    <w:p w14:paraId="08421C53">
      <w:pPr>
        <w:snapToGrid w:val="0"/>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▲（8）监狱企业由省级以上监狱管理局、戒毒管理局（含新疆生产建设兵团）出具的属于监狱企业的证明文件；</w:t>
      </w:r>
    </w:p>
    <w:p w14:paraId="550476C0">
      <w:pPr>
        <w:snapToGrid w:val="0"/>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▲（9）残疾人福利性单位声明函（投标人如为残疾人福利性单位的请按第四章要求的格式提供）；</w:t>
      </w:r>
    </w:p>
    <w:p w14:paraId="6E6FDEC8">
      <w:pPr>
        <w:snapToGrid w:val="0"/>
        <w:spacing w:line="360" w:lineRule="exact"/>
        <w:ind w:firstLine="413" w:firstLineChars="196"/>
        <w:jc w:val="left"/>
        <w:rPr>
          <w:rFonts w:ascii="宋体" w:hAnsi="宋体"/>
          <w:b/>
          <w:bCs/>
          <w:color w:val="auto"/>
          <w:szCs w:val="21"/>
          <w:highlight w:val="none"/>
        </w:rPr>
      </w:pPr>
      <w:r>
        <w:rPr>
          <w:rFonts w:hint="eastAsia" w:ascii="宋体" w:hAnsi="宋体"/>
          <w:b/>
          <w:bCs/>
          <w:color w:val="auto"/>
          <w:szCs w:val="21"/>
          <w:highlight w:val="none"/>
        </w:rPr>
        <w:t>注：因为本项目专门面向</w:t>
      </w:r>
      <w:r>
        <w:rPr>
          <w:rFonts w:hint="eastAsia" w:ascii="宋体" w:hAnsi="宋体"/>
          <w:b/>
          <w:bCs/>
          <w:color w:val="auto"/>
          <w:szCs w:val="21"/>
          <w:highlight w:val="none"/>
          <w:lang w:val="en-US" w:eastAsia="zh-CN"/>
        </w:rPr>
        <w:t>中</w:t>
      </w:r>
      <w:r>
        <w:rPr>
          <w:rFonts w:hint="eastAsia" w:ascii="宋体" w:hAnsi="宋体"/>
          <w:b/>
          <w:bCs/>
          <w:color w:val="auto"/>
          <w:szCs w:val="21"/>
          <w:highlight w:val="none"/>
        </w:rPr>
        <w:t>小企业，（7）、（8）、（9）须提供其中任意一项，如未提供按无效投标处理。</w:t>
      </w:r>
    </w:p>
    <w:p w14:paraId="69176FE0">
      <w:pPr>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（10）联合体协议书；（联合体投标时必须提供，否则投标无效）</w:t>
      </w:r>
    </w:p>
    <w:p w14:paraId="7150C784">
      <w:pPr>
        <w:spacing w:line="360" w:lineRule="exact"/>
        <w:ind w:firstLine="411" w:firstLineChars="196"/>
        <w:jc w:val="left"/>
        <w:rPr>
          <w:rFonts w:hAnsi="宋体"/>
          <w:bCs/>
          <w:color w:val="auto"/>
          <w:szCs w:val="21"/>
          <w:highlight w:val="none"/>
        </w:rPr>
      </w:pPr>
      <w:r>
        <w:rPr>
          <w:rFonts w:hint="eastAsia" w:ascii="宋体" w:hAnsi="宋体"/>
          <w:color w:val="auto"/>
          <w:szCs w:val="21"/>
          <w:highlight w:val="none"/>
        </w:rPr>
        <w:t>（11）特定资格</w:t>
      </w:r>
      <w:r>
        <w:rPr>
          <w:rFonts w:hint="eastAsia" w:hAnsi="宋体"/>
          <w:color w:val="auto"/>
          <w:szCs w:val="21"/>
          <w:highlight w:val="none"/>
        </w:rPr>
        <w:t>条件</w:t>
      </w:r>
      <w:r>
        <w:rPr>
          <w:rFonts w:hint="eastAsia" w:ascii="宋体" w:hAnsi="宋体"/>
          <w:bCs/>
          <w:color w:val="auto"/>
          <w:szCs w:val="21"/>
          <w:highlight w:val="none"/>
        </w:rPr>
        <w:t>：无</w:t>
      </w:r>
    </w:p>
    <w:p w14:paraId="2E5AE63B">
      <w:pPr>
        <w:spacing w:line="360" w:lineRule="exact"/>
        <w:ind w:firstLine="422" w:firstLineChars="200"/>
        <w:rPr>
          <w:rFonts w:ascii="宋体" w:hAnsi="宋体" w:cs="Adobe 宋体 Std L"/>
          <w:b/>
          <w:bCs/>
          <w:color w:val="auto"/>
          <w:szCs w:val="21"/>
          <w:highlight w:val="none"/>
        </w:rPr>
      </w:pPr>
      <w:r>
        <w:rPr>
          <w:rFonts w:hint="eastAsia" w:ascii="宋体" w:hAnsi="宋体" w:cs="Adobe 宋体 Std L"/>
          <w:b/>
          <w:bCs/>
          <w:color w:val="auto"/>
          <w:szCs w:val="21"/>
          <w:highlight w:val="none"/>
        </w:rPr>
        <w:t>13.2商务和技术文件（以下文件标注“▲”的必须提供，“第三章《采购需求》”要求“必须提供”的必须提供，其他可根据实际情况提供，第（1）、（2）项由法定代表人签名，否则其投标无效）</w:t>
      </w:r>
    </w:p>
    <w:p w14:paraId="6B418790">
      <w:pPr>
        <w:spacing w:line="36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▲注：以下标注“▲”均要加盖供应商单位电子公章，否则其投标无效。</w:t>
      </w:r>
    </w:p>
    <w:p w14:paraId="5A3663D8">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▲（1）法定代表人身份证明书(按第四章要求格式填写)； </w:t>
      </w:r>
    </w:p>
    <w:p w14:paraId="4F849A93">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▲（2）法定代表人授权委托书及被授权委托人身份证复印件(委托代理时，按第四章要求格式填写)；</w:t>
      </w:r>
    </w:p>
    <w:p w14:paraId="2A043B1C">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（3）供应商情况介绍（格式自拟）；</w:t>
      </w:r>
    </w:p>
    <w:p w14:paraId="4E05EE57">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▲（4）商务响应表(按第四章要求格式填写)；</w:t>
      </w:r>
    </w:p>
    <w:p w14:paraId="100164E6">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▲（5）技术响应表(按第四章要求格式填写，附“第三章采购需求”中要求提供的相关材料)；</w:t>
      </w:r>
    </w:p>
    <w:p w14:paraId="5B068FB4">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）售后服务方案及承诺书(按第四章要求格式填写)；</w:t>
      </w:r>
    </w:p>
    <w:p w14:paraId="38B462A0">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7</w:t>
      </w:r>
      <w:r>
        <w:rPr>
          <w:rFonts w:hint="eastAsia" w:ascii="宋体" w:hAnsi="宋体"/>
          <w:color w:val="auto"/>
          <w:szCs w:val="21"/>
          <w:highlight w:val="none"/>
        </w:rPr>
        <w:t>）代理服务费承诺书(按第四章要求格式填写)；</w:t>
      </w:r>
    </w:p>
    <w:p w14:paraId="17B76FAC">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8</w:t>
      </w:r>
      <w:r>
        <w:rPr>
          <w:rFonts w:hint="eastAsia" w:ascii="宋体" w:hAnsi="宋体"/>
          <w:color w:val="auto"/>
          <w:szCs w:val="21"/>
          <w:highlight w:val="none"/>
        </w:rPr>
        <w:t>）供应商同类项目业绩一览表(按第四章要求格式填写)；</w:t>
      </w:r>
    </w:p>
    <w:p w14:paraId="71C47DA6">
      <w:pPr>
        <w:snapToGrid w:val="0"/>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9</w:t>
      </w:r>
      <w:r>
        <w:rPr>
          <w:rFonts w:hint="eastAsia" w:ascii="宋体" w:hAnsi="宋体"/>
          <w:color w:val="auto"/>
          <w:szCs w:val="21"/>
          <w:highlight w:val="none"/>
        </w:rPr>
        <w:t>）供应商认为需要提供的其他证明材料。（供应商根据“第三章 采购需求”及“第六章 评标方法及评标标准”提供有关证明材料）。</w:t>
      </w:r>
    </w:p>
    <w:p w14:paraId="4B5D5458">
      <w:pPr>
        <w:spacing w:line="360" w:lineRule="exact"/>
        <w:ind w:firstLine="422" w:firstLineChars="200"/>
        <w:rPr>
          <w:rFonts w:ascii="宋体" w:hAnsi="宋体" w:cs="Adobe 宋体 Std L"/>
          <w:b/>
          <w:bCs/>
          <w:color w:val="auto"/>
          <w:szCs w:val="21"/>
          <w:highlight w:val="none"/>
        </w:rPr>
      </w:pPr>
      <w:r>
        <w:rPr>
          <w:rFonts w:hint="eastAsia" w:ascii="宋体" w:hAnsi="宋体" w:cs="Adobe 宋体 Std L"/>
          <w:b/>
          <w:bCs/>
          <w:color w:val="auto"/>
          <w:szCs w:val="21"/>
          <w:highlight w:val="none"/>
        </w:rPr>
        <w:t>13.3报价文件（以下文件标注“▲”的必须提供，要求“必须提供”的必须提供，其他可根据实际情况提供）</w:t>
      </w:r>
    </w:p>
    <w:p w14:paraId="3E3F3908">
      <w:pPr>
        <w:spacing w:line="36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▲注：以下标注“▲”均要加盖供应商单位电子公章</w:t>
      </w:r>
      <w:r>
        <w:rPr>
          <w:rFonts w:hint="eastAsia" w:ascii="宋体" w:hAnsi="宋体"/>
          <w:b/>
          <w:bCs/>
          <w:color w:val="auto"/>
          <w:szCs w:val="21"/>
          <w:highlight w:val="none"/>
        </w:rPr>
        <w:t>或</w:t>
      </w:r>
      <w:r>
        <w:rPr>
          <w:rFonts w:hint="eastAsia" w:hAnsi="宋体" w:cs="Courier New"/>
          <w:b/>
          <w:color w:val="auto"/>
          <w:szCs w:val="21"/>
          <w:highlight w:val="none"/>
        </w:rPr>
        <w:t>自然人加盖手指指印</w:t>
      </w:r>
      <w:r>
        <w:rPr>
          <w:rFonts w:hint="eastAsia" w:ascii="宋体" w:hAnsi="宋体"/>
          <w:b/>
          <w:color w:val="auto"/>
          <w:szCs w:val="21"/>
          <w:highlight w:val="none"/>
        </w:rPr>
        <w:t>，否则其投标无效。</w:t>
      </w:r>
    </w:p>
    <w:p w14:paraId="68E4625D">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▲（1）竞标函（按第四章要求格式填写）；</w:t>
      </w:r>
    </w:p>
    <w:p w14:paraId="162AA741">
      <w:pPr>
        <w:snapToGrid w:val="0"/>
        <w:spacing w:line="36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▲（2）报价表 (按第四章要求格式填写) ； </w:t>
      </w:r>
    </w:p>
    <w:p w14:paraId="7CFC3C96">
      <w:pPr>
        <w:snapToGrid w:val="0"/>
        <w:spacing w:line="360" w:lineRule="exact"/>
        <w:ind w:firstLine="420" w:firstLineChars="200"/>
        <w:jc w:val="left"/>
        <w:rPr>
          <w:rFonts w:hint="eastAsia" w:ascii="宋体" w:hAnsi="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）关于符合本国产品标准的声明函（如投标产品为本国产品的请按第四章要求的格式提供，否则不予享受优惠政策）；</w:t>
      </w:r>
    </w:p>
    <w:p w14:paraId="16E08A38">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 xml:space="preserve">）供应商针对报价需要说明的其他文件和说明（如有，格式自拟） </w:t>
      </w:r>
    </w:p>
    <w:p w14:paraId="359F44CE">
      <w:pPr>
        <w:spacing w:line="360" w:lineRule="exact"/>
        <w:ind w:firstLine="422" w:firstLineChars="200"/>
        <w:jc w:val="left"/>
        <w:rPr>
          <w:rFonts w:ascii="宋体" w:hAnsi="宋体"/>
          <w:color w:val="auto"/>
          <w:szCs w:val="21"/>
          <w:highlight w:val="none"/>
        </w:rPr>
      </w:pPr>
      <w:r>
        <w:rPr>
          <w:rFonts w:hint="eastAsia" w:ascii="宋体" w:hAnsi="宋体" w:cs="Courier New"/>
          <w:b/>
          <w:bCs/>
          <w:color w:val="auto"/>
          <w:szCs w:val="21"/>
          <w:highlight w:val="none"/>
        </w:rPr>
        <w:t>注：若</w:t>
      </w:r>
      <w:r>
        <w:rPr>
          <w:rFonts w:hint="eastAsia" w:hAnsi="宋体"/>
          <w:b/>
          <w:bCs/>
          <w:color w:val="auto"/>
          <w:szCs w:val="21"/>
          <w:highlight w:val="none"/>
        </w:rPr>
        <w:t>谈判</w:t>
      </w:r>
      <w:r>
        <w:rPr>
          <w:rFonts w:hint="eastAsia" w:ascii="宋体" w:hAnsi="宋体" w:cs="Courier New"/>
          <w:b/>
          <w:bCs/>
          <w:color w:val="auto"/>
          <w:szCs w:val="21"/>
          <w:highlight w:val="none"/>
        </w:rPr>
        <w:t>文件中有专门标注的某关联点，并要求供应商在电子投标系统中作出响应的，如供应商未对关联点进行响应或者在响应文件其它内容进行描述，造成电子评审不能查询的责任由供应商自行承担。</w:t>
      </w:r>
    </w:p>
    <w:p w14:paraId="3EABE12E">
      <w:pPr>
        <w:pStyle w:val="20"/>
        <w:spacing w:line="360" w:lineRule="exact"/>
        <w:ind w:firstLine="422" w:firstLineChars="200"/>
        <w:rPr>
          <w:rFonts w:hAnsi="宋体" w:cs="Adobe 宋体 Std L"/>
          <w:b/>
          <w:bCs/>
          <w:color w:val="auto"/>
          <w:sz w:val="21"/>
          <w:szCs w:val="21"/>
          <w:highlight w:val="none"/>
        </w:rPr>
      </w:pPr>
      <w:r>
        <w:rPr>
          <w:rFonts w:hint="eastAsia" w:hAnsi="宋体" w:cs="Adobe 宋体 Std L"/>
          <w:b/>
          <w:bCs/>
          <w:color w:val="auto"/>
          <w:sz w:val="21"/>
          <w:szCs w:val="21"/>
          <w:highlight w:val="none"/>
        </w:rPr>
        <w:t>14. 响应文件的语言及计量</w:t>
      </w:r>
    </w:p>
    <w:p w14:paraId="76B3D10E">
      <w:pPr>
        <w:pStyle w:val="20"/>
        <w:spacing w:line="360" w:lineRule="exact"/>
        <w:ind w:firstLine="420" w:firstLineChars="200"/>
        <w:rPr>
          <w:rFonts w:hAnsi="宋体" w:cs="Adobe 宋体 Std L"/>
          <w:bCs/>
          <w:color w:val="auto"/>
          <w:sz w:val="21"/>
          <w:szCs w:val="21"/>
          <w:highlight w:val="none"/>
        </w:rPr>
      </w:pPr>
      <w:r>
        <w:rPr>
          <w:rFonts w:hint="eastAsia" w:hAnsi="宋体" w:cs="Adobe 宋体 Std L"/>
          <w:bCs/>
          <w:color w:val="auto"/>
          <w:sz w:val="21"/>
          <w:szCs w:val="21"/>
          <w:highlight w:val="none"/>
        </w:rPr>
        <w:t>14.1响应文件以及竞标方与招标方就有关竞标事宜的所有来往函电，均应以中文汉语书写。除签名、盖章、专用名称等特殊情形外，以中文汉语以外的文字表述的响应文件视同未提供。</w:t>
      </w:r>
    </w:p>
    <w:p w14:paraId="66607838">
      <w:pPr>
        <w:pStyle w:val="20"/>
        <w:spacing w:line="360" w:lineRule="exact"/>
        <w:ind w:firstLine="420" w:firstLineChars="200"/>
        <w:rPr>
          <w:rFonts w:hAnsi="宋体" w:cs="Adobe 宋体 Std L"/>
          <w:bCs/>
          <w:color w:val="auto"/>
          <w:sz w:val="21"/>
          <w:szCs w:val="21"/>
          <w:highlight w:val="none"/>
        </w:rPr>
      </w:pPr>
      <w:r>
        <w:rPr>
          <w:rFonts w:hint="eastAsia" w:hAnsi="宋体" w:cs="Adobe 宋体 Std L"/>
          <w:bCs/>
          <w:color w:val="auto"/>
          <w:sz w:val="21"/>
          <w:szCs w:val="21"/>
          <w:highlight w:val="none"/>
        </w:rPr>
        <w:t>14.2竞标计量单位，谈判文件已有明确规定的，使用谈判文件规定的计量单位；谈判文件没有规定的，应采用中华人民共和国法定计量单位（货币单位：人民币元），否则视同未响应。</w:t>
      </w:r>
    </w:p>
    <w:p w14:paraId="68E75CAB">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15、响应文件报价要求</w:t>
      </w:r>
    </w:p>
    <w:p w14:paraId="3EE70FA9">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15.1本项目最高限价详见须知前附表。响应文件</w:t>
      </w:r>
      <w:r>
        <w:rPr>
          <w:rFonts w:hint="eastAsia" w:hAnsi="宋体" w:cs="Arial"/>
          <w:color w:val="auto"/>
          <w:szCs w:val="21"/>
          <w:highlight w:val="none"/>
        </w:rPr>
        <w:t>报价须小于等于最高限价，否则响应无效。</w:t>
      </w:r>
    </w:p>
    <w:p w14:paraId="4833231F">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15.2对于本谈判文件中未列明，而供应商认为必需的费用也需列入总报价。在合同实施时，采购人将不予支付成交供应商没有列入的项目费用，并认为此项目的费用已包括在总报价中。</w:t>
      </w:r>
    </w:p>
    <w:p w14:paraId="6B36FE73">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15.3成交供应商负责本项目所需服务的全部工作，包括货款、标准附件、备品备件、专用工具、包装、运输、装卸、保险、税金、货到就位以及安装、安装所需辅材、调试、检验、验收等所需的一切使本项目完成验收的费用及供货商对采购人承诺培训、售前、售后质量保证等相关费用等在内的一切可能发生的费用。对于本谈判采购文件中未列明，而供应商认为必需的费用也需列入报价。</w:t>
      </w:r>
    </w:p>
    <w:p w14:paraId="28294502">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15.4供应商应就第三章《采购需求》中的全部服务内容作完整唯一报价。</w:t>
      </w:r>
    </w:p>
    <w:p w14:paraId="1712E5FE">
      <w:pPr>
        <w:spacing w:line="360" w:lineRule="exact"/>
        <w:ind w:left="420"/>
        <w:rPr>
          <w:rFonts w:ascii="宋体" w:hAnsi="宋体" w:cs="宋体"/>
          <w:color w:val="auto"/>
          <w:szCs w:val="21"/>
          <w:highlight w:val="none"/>
        </w:rPr>
      </w:pPr>
      <w:r>
        <w:rPr>
          <w:rFonts w:hint="eastAsia" w:ascii="宋体" w:hAnsi="宋体" w:cs="宋体"/>
          <w:color w:val="auto"/>
          <w:szCs w:val="21"/>
          <w:highlight w:val="none"/>
        </w:rPr>
        <w:t>15.5</w:t>
      </w:r>
      <w:r>
        <w:rPr>
          <w:rFonts w:hint="eastAsia" w:ascii="宋体" w:hAnsi="宋体"/>
          <w:color w:val="auto"/>
          <w:szCs w:val="21"/>
          <w:highlight w:val="none"/>
        </w:rPr>
        <w:t>响应文件只允许有一个报价，有选择的或有条件的报价将不予接受（谈判文件另有规定的除外）。</w:t>
      </w:r>
    </w:p>
    <w:p w14:paraId="738B23B4">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15.6供应商应在响应文件报价表上标明单价和总价。响应文件的大写金额和小写金额不一致的，以大写金额为准；总价金额与按单价汇总金额不一致的，以单价金额计算结果为准；单价金额小数点有明显错位的，应以总价为准，并修改单价。</w:t>
      </w:r>
      <w:r>
        <w:rPr>
          <w:rFonts w:hint="eastAsia" w:hAnsi="宋体"/>
          <w:color w:val="auto"/>
          <w:szCs w:val="21"/>
          <w:highlight w:val="none"/>
        </w:rPr>
        <w:t>对不同文字文本竞争性谈判响应文件的解释发生异议的，以中文文本为准。除上述原因以外，如果因供应商原因引起的报价失误，并在谈判时被接受，其后果由供应商自负。</w:t>
      </w:r>
    </w:p>
    <w:p w14:paraId="5B589E03">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16、响应文件有效期</w:t>
      </w:r>
    </w:p>
    <w:p w14:paraId="07C098AE">
      <w:pPr>
        <w:spacing w:line="360" w:lineRule="exact"/>
        <w:ind w:firstLine="420" w:firstLineChars="200"/>
        <w:rPr>
          <w:rFonts w:ascii="宋体" w:hAnsi="宋体" w:cs="宋体"/>
          <w:b/>
          <w:color w:val="auto"/>
          <w:szCs w:val="21"/>
          <w:highlight w:val="none"/>
        </w:rPr>
      </w:pPr>
      <w:r>
        <w:rPr>
          <w:rFonts w:hint="eastAsia" w:ascii="宋体" w:hAnsi="宋体" w:cs="宋体"/>
          <w:color w:val="auto"/>
          <w:szCs w:val="21"/>
          <w:highlight w:val="none"/>
        </w:rPr>
        <w:t>16.1响应文件有效期：详见供应商须知前附表。有效期不足的响应文件将被拒绝。</w:t>
      </w:r>
    </w:p>
    <w:p w14:paraId="759479E9">
      <w:pPr>
        <w:pStyle w:val="20"/>
        <w:spacing w:line="360" w:lineRule="exact"/>
        <w:ind w:firstLine="420" w:firstLineChars="200"/>
        <w:jc w:val="left"/>
        <w:rPr>
          <w:rFonts w:hAnsi="宋体" w:cs="宋体"/>
          <w:color w:val="auto"/>
          <w:kern w:val="2"/>
          <w:sz w:val="21"/>
          <w:szCs w:val="21"/>
          <w:highlight w:val="none"/>
        </w:rPr>
      </w:pPr>
      <w:r>
        <w:rPr>
          <w:rFonts w:hint="eastAsia" w:hAnsi="宋体" w:cs="宋体"/>
          <w:color w:val="auto"/>
          <w:kern w:val="2"/>
          <w:sz w:val="21"/>
          <w:szCs w:val="21"/>
          <w:highlight w:val="none"/>
        </w:rPr>
        <w:t>16.2在特殊情况下，采购人可与供应商协商延长响应文件的有效期，这种要求和答复均以书面形式进行。</w:t>
      </w:r>
    </w:p>
    <w:p w14:paraId="6E9517C9">
      <w:pPr>
        <w:pStyle w:val="20"/>
        <w:spacing w:line="360" w:lineRule="exact"/>
        <w:ind w:firstLine="420" w:firstLineChars="200"/>
        <w:jc w:val="left"/>
        <w:rPr>
          <w:rFonts w:hAnsi="宋体" w:cs="宋体"/>
          <w:color w:val="auto"/>
          <w:kern w:val="2"/>
          <w:sz w:val="21"/>
          <w:szCs w:val="21"/>
          <w:highlight w:val="none"/>
        </w:rPr>
      </w:pPr>
      <w:r>
        <w:rPr>
          <w:rFonts w:hint="eastAsia" w:hAnsi="宋体" w:cs="宋体"/>
          <w:color w:val="auto"/>
          <w:kern w:val="2"/>
          <w:sz w:val="21"/>
          <w:szCs w:val="21"/>
          <w:highlight w:val="none"/>
        </w:rPr>
        <w:t xml:space="preserve">16.3供应商可拒绝接受延长有效期要求而不会导致竞标保证金被没收。同意延长有效期的供应商需要相应延长竞标保证金的有效期，但不能修改响应文件其它内容。 </w:t>
      </w:r>
    </w:p>
    <w:p w14:paraId="0FFBC243">
      <w:pPr>
        <w:pStyle w:val="20"/>
        <w:spacing w:line="360" w:lineRule="exact"/>
        <w:ind w:firstLine="420" w:firstLineChars="200"/>
        <w:jc w:val="left"/>
        <w:rPr>
          <w:rFonts w:hAnsi="宋体" w:cs="宋体"/>
          <w:color w:val="auto"/>
          <w:kern w:val="2"/>
          <w:sz w:val="21"/>
          <w:szCs w:val="21"/>
          <w:highlight w:val="none"/>
        </w:rPr>
      </w:pPr>
      <w:r>
        <w:rPr>
          <w:rFonts w:hint="eastAsia" w:hAnsi="宋体" w:cs="宋体"/>
          <w:color w:val="auto"/>
          <w:kern w:val="2"/>
          <w:sz w:val="21"/>
          <w:szCs w:val="21"/>
          <w:highlight w:val="none"/>
        </w:rPr>
        <w:t>16.4供应商的响应文件自开标之日起至合同履行完毕止均应保持有效。</w:t>
      </w:r>
    </w:p>
    <w:p w14:paraId="6FACB6BB">
      <w:pPr>
        <w:pStyle w:val="20"/>
        <w:spacing w:line="360" w:lineRule="exact"/>
        <w:ind w:firstLine="422" w:firstLineChars="200"/>
        <w:jc w:val="left"/>
        <w:rPr>
          <w:rFonts w:hAnsi="宋体" w:cs="宋体"/>
          <w:color w:val="auto"/>
          <w:kern w:val="2"/>
          <w:sz w:val="21"/>
          <w:szCs w:val="21"/>
          <w:highlight w:val="none"/>
        </w:rPr>
      </w:pPr>
      <w:r>
        <w:rPr>
          <w:rFonts w:hint="eastAsia" w:hAnsi="宋体" w:cs="宋体"/>
          <w:b/>
          <w:color w:val="auto"/>
          <w:sz w:val="21"/>
          <w:szCs w:val="21"/>
          <w:highlight w:val="none"/>
        </w:rPr>
        <w:t>17、竞标保证金</w:t>
      </w:r>
    </w:p>
    <w:p w14:paraId="1D5F6B19">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17.1竞标保证金金额：详见供应商须知前附表。竞标保证金应在响应文件有效期内保持有效。</w:t>
      </w:r>
    </w:p>
    <w:p w14:paraId="054AD8BF">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17.2供应商须按规定于竞标截止前足额提交竞标保证金，</w:t>
      </w:r>
      <w:r>
        <w:rPr>
          <w:rFonts w:hint="eastAsia" w:ascii="宋体" w:hAnsi="宋体"/>
          <w:b/>
          <w:color w:val="auto"/>
          <w:kern w:val="0"/>
          <w:szCs w:val="21"/>
          <w:highlight w:val="none"/>
        </w:rPr>
        <w:t>否则，其响应无效。</w:t>
      </w:r>
    </w:p>
    <w:p w14:paraId="2E791108">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rPr>
        <w:t>17.3竞标保证金交纳形式：</w:t>
      </w:r>
      <w:r>
        <w:rPr>
          <w:rFonts w:hint="eastAsia" w:hAnsi="宋体"/>
          <w:color w:val="auto"/>
          <w:szCs w:val="21"/>
          <w:highlight w:val="none"/>
        </w:rPr>
        <w:t>转账、电汇、网上银行、支票、汇票、本票或者银行、保险机构出具的保函，禁止采用现钞方式。</w:t>
      </w:r>
    </w:p>
    <w:p w14:paraId="660260F3">
      <w:pPr>
        <w:spacing w:line="360" w:lineRule="exact"/>
        <w:ind w:firstLine="420" w:firstLineChars="200"/>
        <w:jc w:val="left"/>
        <w:rPr>
          <w:rFonts w:ascii="宋体" w:hAnsi="宋体"/>
          <w:color w:val="auto"/>
          <w:kern w:val="0"/>
          <w:szCs w:val="21"/>
          <w:highlight w:val="none"/>
        </w:rPr>
      </w:pPr>
      <w:r>
        <w:rPr>
          <w:rFonts w:hint="eastAsia" w:hAnsi="宋体"/>
          <w:color w:val="auto"/>
          <w:szCs w:val="21"/>
          <w:highlight w:val="none"/>
        </w:rPr>
        <w:t>采用转账、电汇、网上银行方式的，在首次提交响应文件截止时间前交至</w:t>
      </w:r>
      <w:r>
        <w:rPr>
          <w:rFonts w:hint="eastAsia" w:hAnsi="宋体" w:cs="Arial"/>
          <w:color w:val="auto"/>
          <w:szCs w:val="21"/>
          <w:highlight w:val="none"/>
        </w:rPr>
        <w:t>广西德元工程项目管理有限责任公司（收款单位名称），开户银行：柳州银行北站支行营业部，银行账号：</w:t>
      </w:r>
      <w:r>
        <w:rPr>
          <w:rFonts w:hAnsi="宋体" w:cs="Arial"/>
          <w:color w:val="auto"/>
          <w:szCs w:val="21"/>
          <w:highlight w:val="none"/>
        </w:rPr>
        <w:t>707002011010900000108</w:t>
      </w:r>
      <w:r>
        <w:rPr>
          <w:rFonts w:hint="eastAsia" w:ascii="宋体" w:hAnsi="宋体"/>
          <w:color w:val="auto"/>
          <w:kern w:val="0"/>
          <w:szCs w:val="21"/>
          <w:highlight w:val="none"/>
        </w:rPr>
        <w:t>。</w:t>
      </w:r>
    </w:p>
    <w:p w14:paraId="74955588">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采用转账、电汇、网上银行方式的，由供应商按上条中明确的全称、帐号、开户行，在保证金规定递交时间内转入（汇入）广西德元工程项目管理有限责任公司保证金专户上，并将银行转账底单的复印件作为竞标保证金提交凭证，放置于响应文件中，</w:t>
      </w:r>
      <w:r>
        <w:rPr>
          <w:rFonts w:hint="eastAsia" w:hAnsi="宋体"/>
          <w:b/>
          <w:color w:val="auto"/>
          <w:sz w:val="21"/>
          <w:szCs w:val="21"/>
          <w:highlight w:val="none"/>
        </w:rPr>
        <w:t>否则其响应无效</w:t>
      </w:r>
      <w:r>
        <w:rPr>
          <w:rFonts w:hint="eastAsia" w:hAnsi="宋体"/>
          <w:color w:val="auto"/>
          <w:sz w:val="21"/>
          <w:szCs w:val="21"/>
          <w:highlight w:val="none"/>
        </w:rPr>
        <w:t>。若广西德元工程项目管理有限责任公司保证金专户在保证金规定递交时间内没有收到供应商足额交纳的竞标保证金，</w:t>
      </w:r>
      <w:r>
        <w:rPr>
          <w:rFonts w:hint="eastAsia" w:hAnsi="宋体"/>
          <w:b/>
          <w:color w:val="auto"/>
          <w:sz w:val="21"/>
          <w:szCs w:val="21"/>
          <w:highlight w:val="none"/>
        </w:rPr>
        <w:t>其响应无效</w:t>
      </w:r>
      <w:r>
        <w:rPr>
          <w:rFonts w:hint="eastAsia" w:hAnsi="宋体"/>
          <w:color w:val="auto"/>
          <w:sz w:val="21"/>
          <w:szCs w:val="21"/>
          <w:highlight w:val="none"/>
        </w:rPr>
        <w:t>；因此供应商在缴纳竞标保证金时应充分考虑保证金到达本公司保证金专户上的时间，以免影响竞标。办理竞标保证金手续时，请务必在银行进帐单的用途或空白栏上注明招标项目名称或采购编号</w:t>
      </w:r>
      <w:r>
        <w:rPr>
          <w:rFonts w:hint="eastAsia" w:hAnsi="宋体"/>
          <w:b/>
          <w:color w:val="auto"/>
          <w:sz w:val="21"/>
          <w:szCs w:val="21"/>
          <w:highlight w:val="none"/>
        </w:rPr>
        <w:t>，如遇受字符限制的情况，项目名称可简写。</w:t>
      </w:r>
    </w:p>
    <w:p w14:paraId="78FF3EA8">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采用支票、汇票、本票或银行、保险机构出具的保函交纳方式的，供应商应将支票、汇票、本票或银行、保险机构出具的保函的复印件作为竞标保证金提交凭证，放置于响应文件中</w:t>
      </w:r>
      <w:r>
        <w:rPr>
          <w:rFonts w:hint="eastAsia" w:hAnsi="宋体"/>
          <w:b/>
          <w:color w:val="auto"/>
          <w:sz w:val="21"/>
          <w:szCs w:val="21"/>
          <w:highlight w:val="none"/>
        </w:rPr>
        <w:t>，否则其响应无效</w:t>
      </w:r>
      <w:r>
        <w:rPr>
          <w:rFonts w:hint="eastAsia" w:hAnsi="宋体"/>
          <w:color w:val="auto"/>
          <w:sz w:val="21"/>
          <w:szCs w:val="21"/>
          <w:highlight w:val="none"/>
        </w:rPr>
        <w:t>。并于首次提交响应文件截止时间前，递交支票、汇票、本票或银行、保险机构出具的保函原件；原件递交的形式可以是在线下开标现场递交密封好的原件（原件放入一个密封袋中，并在封口处加盖供应商公章或委托代理人签字，以示密封，在封套上标记“项目名称（项目编号）竞标保证金”字样），也可以以邮寄方式递交原件（邮寄地址及收件人详见谈判公告采购代理机构信息）；若广西德元工程项目管理有限责任公司在保证金规定递交时间内没有收到上述原件的，</w:t>
      </w:r>
      <w:r>
        <w:rPr>
          <w:rFonts w:hint="eastAsia" w:hAnsi="宋体"/>
          <w:b/>
          <w:color w:val="auto"/>
          <w:sz w:val="21"/>
          <w:szCs w:val="21"/>
          <w:highlight w:val="none"/>
        </w:rPr>
        <w:t>其响应无效</w:t>
      </w:r>
      <w:r>
        <w:rPr>
          <w:rFonts w:hint="eastAsia" w:hAnsi="宋体"/>
          <w:color w:val="auto"/>
          <w:sz w:val="21"/>
          <w:szCs w:val="21"/>
          <w:highlight w:val="none"/>
        </w:rPr>
        <w:t>；因此供应商无论采用现场或者是邮寄递交上述原件时应充分考虑到达时间，以免影响竞标。</w:t>
      </w:r>
    </w:p>
    <w:p w14:paraId="2EF24EF2">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17.4</w:t>
      </w:r>
      <w:r>
        <w:rPr>
          <w:rFonts w:hint="eastAsia" w:hAnsi="宋体"/>
          <w:b/>
          <w:color w:val="auto"/>
          <w:spacing w:val="-2"/>
          <w:sz w:val="21"/>
          <w:szCs w:val="21"/>
          <w:highlight w:val="none"/>
        </w:rPr>
        <w:t>首次提交响应文件截止时间后提交的，或未足额交纳的，或保函额度不足的，视为无效竞标保证金</w:t>
      </w:r>
      <w:r>
        <w:rPr>
          <w:rFonts w:hint="eastAsia" w:hAnsi="宋体"/>
          <w:b/>
          <w:color w:val="auto"/>
          <w:sz w:val="21"/>
          <w:szCs w:val="21"/>
          <w:highlight w:val="none"/>
        </w:rPr>
        <w:t>。</w:t>
      </w:r>
    </w:p>
    <w:p w14:paraId="1B67F1F7">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17.5</w:t>
      </w:r>
      <w:r>
        <w:rPr>
          <w:rFonts w:hint="eastAsia" w:hAnsi="宋体"/>
          <w:b/>
          <w:color w:val="auto"/>
          <w:sz w:val="21"/>
          <w:szCs w:val="21"/>
          <w:highlight w:val="none"/>
        </w:rPr>
        <w:t>供应商采用现钞方式或从个人账户（个体工商户及自然人竞标除外）转出的竞标保证金，视为无效竞标保证金。</w:t>
      </w:r>
    </w:p>
    <w:p w14:paraId="62940FF1">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17.6</w:t>
      </w:r>
      <w:r>
        <w:rPr>
          <w:rFonts w:hint="eastAsia" w:hAnsi="宋体"/>
          <w:b/>
          <w:color w:val="auto"/>
          <w:sz w:val="21"/>
          <w:szCs w:val="21"/>
          <w:highlight w:val="none"/>
        </w:rPr>
        <w:t>支票、汇票、本票出现背书情形，或者有条件支付的，或者支票、汇票、本票无效的，视为无效竞标保证金。</w:t>
      </w:r>
    </w:p>
    <w:p w14:paraId="2BE1E158">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17.7</w:t>
      </w:r>
      <w:r>
        <w:rPr>
          <w:rFonts w:hint="eastAsia" w:hAnsi="宋体"/>
          <w:b/>
          <w:color w:val="auto"/>
          <w:sz w:val="21"/>
          <w:szCs w:val="21"/>
          <w:highlight w:val="none"/>
        </w:rPr>
        <w:t>保函有效期低于响应文件有效期的，视为无效竞标保证金。</w:t>
      </w:r>
    </w:p>
    <w:p w14:paraId="0238F21A">
      <w:pPr>
        <w:pStyle w:val="20"/>
        <w:spacing w:line="360" w:lineRule="exact"/>
        <w:ind w:firstLine="420" w:firstLineChars="200"/>
        <w:rPr>
          <w:rFonts w:hAnsi="宋体"/>
          <w:b/>
          <w:color w:val="auto"/>
          <w:kern w:val="2"/>
          <w:sz w:val="21"/>
          <w:szCs w:val="21"/>
          <w:highlight w:val="none"/>
        </w:rPr>
      </w:pPr>
      <w:r>
        <w:rPr>
          <w:rFonts w:hint="eastAsia" w:hAnsi="宋体"/>
          <w:color w:val="auto"/>
          <w:sz w:val="21"/>
          <w:szCs w:val="21"/>
          <w:highlight w:val="none"/>
        </w:rPr>
        <w:t>17.8</w:t>
      </w:r>
      <w:r>
        <w:rPr>
          <w:rFonts w:hint="eastAsia" w:hAnsi="宋体"/>
          <w:b/>
          <w:color w:val="auto"/>
          <w:sz w:val="21"/>
          <w:szCs w:val="21"/>
          <w:highlight w:val="none"/>
        </w:rPr>
        <w:t>竞标保证金采用金融机构、担保机构出具的保函为有条件保函的，视为无效竞标保证金。</w:t>
      </w:r>
    </w:p>
    <w:p w14:paraId="2820FD00">
      <w:pPr>
        <w:pStyle w:val="20"/>
        <w:spacing w:line="360" w:lineRule="exact"/>
        <w:ind w:firstLine="420" w:firstLineChars="200"/>
        <w:rPr>
          <w:rFonts w:hAnsi="宋体"/>
          <w:color w:val="auto"/>
          <w:sz w:val="21"/>
          <w:szCs w:val="21"/>
          <w:highlight w:val="none"/>
        </w:rPr>
      </w:pPr>
      <w:r>
        <w:rPr>
          <w:rFonts w:hint="eastAsia" w:hAnsi="宋体"/>
          <w:color w:val="auto"/>
          <w:sz w:val="21"/>
          <w:szCs w:val="21"/>
          <w:highlight w:val="none"/>
        </w:rPr>
        <w:t>17.9竞标保证金的退还</w:t>
      </w:r>
    </w:p>
    <w:p w14:paraId="73FDF92E">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1</w:t>
      </w:r>
      <w:r>
        <w:rPr>
          <w:rFonts w:hint="eastAsia" w:hAnsi="宋体"/>
          <w:color w:val="auto"/>
          <w:szCs w:val="21"/>
          <w:highlight w:val="none"/>
        </w:rPr>
        <w:t>）未成交人的竞标保证金自成交通知书发出之日起4个工作日内退还，退还方式如下：</w:t>
      </w:r>
    </w:p>
    <w:p w14:paraId="4EF58BFB">
      <w:pPr>
        <w:spacing w:line="360" w:lineRule="exact"/>
        <w:ind w:firstLine="630" w:firstLineChars="300"/>
        <w:jc w:val="left"/>
        <w:rPr>
          <w:rFonts w:hAnsi="宋体"/>
          <w:color w:val="auto"/>
          <w:szCs w:val="21"/>
          <w:highlight w:val="none"/>
        </w:rPr>
      </w:pPr>
      <w:r>
        <w:rPr>
          <w:rFonts w:hint="eastAsia" w:hAnsi="宋体"/>
          <w:color w:val="auto"/>
          <w:szCs w:val="21"/>
          <w:highlight w:val="none"/>
        </w:rPr>
        <w:t>①采用银行转账方式的，以转账方式退回到供应商银行账户。</w:t>
      </w:r>
    </w:p>
    <w:p w14:paraId="078DCB56">
      <w:pPr>
        <w:spacing w:line="360" w:lineRule="exact"/>
        <w:ind w:firstLine="630" w:firstLineChars="300"/>
        <w:jc w:val="left"/>
        <w:rPr>
          <w:rFonts w:hAnsi="宋体"/>
          <w:color w:val="auto"/>
          <w:szCs w:val="21"/>
          <w:highlight w:val="none"/>
        </w:rPr>
      </w:pPr>
      <w:r>
        <w:rPr>
          <w:rFonts w:hint="eastAsia" w:hAnsi="宋体"/>
          <w:color w:val="auto"/>
          <w:szCs w:val="21"/>
          <w:highlight w:val="none"/>
        </w:rPr>
        <w:t>②采用支票、汇票或本票方式的，以转账方式退回到供应商银行账户或由供应商代表持相关授权证明材料至采购人或采购代理机构办理支票、汇票或本票原件退还手续。</w:t>
      </w:r>
      <w:r>
        <w:rPr>
          <w:rFonts w:hAnsi="宋体"/>
          <w:color w:val="auto"/>
          <w:szCs w:val="21"/>
          <w:highlight w:val="none"/>
        </w:rPr>
        <w:t xml:space="preserve"> </w:t>
      </w:r>
    </w:p>
    <w:p w14:paraId="2019ADAE">
      <w:pPr>
        <w:spacing w:line="360" w:lineRule="exact"/>
        <w:ind w:firstLine="630" w:firstLineChars="300"/>
        <w:jc w:val="left"/>
        <w:rPr>
          <w:rFonts w:hAnsi="宋体"/>
          <w:color w:val="auto"/>
          <w:szCs w:val="21"/>
          <w:highlight w:val="none"/>
        </w:rPr>
      </w:pPr>
      <w:r>
        <w:rPr>
          <w:rFonts w:hint="eastAsia" w:hAnsi="宋体"/>
          <w:color w:val="auto"/>
          <w:szCs w:val="21"/>
          <w:highlight w:val="none"/>
        </w:rPr>
        <w:t>③采用银行、保险机构出具的保函方式的，由供应商代表持相关授权证明材料在采购结果公告公布之日起五个工作日内至采购人或采购代理机构办理保函原件退还手续，供应商逾期领取所造成的后果由供应商自行承担。</w:t>
      </w:r>
      <w:r>
        <w:rPr>
          <w:rFonts w:hAnsi="宋体"/>
          <w:color w:val="auto"/>
          <w:szCs w:val="21"/>
          <w:highlight w:val="none"/>
        </w:rPr>
        <w:t xml:space="preserve"> </w:t>
      </w:r>
    </w:p>
    <w:p w14:paraId="6E256A13">
      <w:pPr>
        <w:spacing w:line="360" w:lineRule="exact"/>
        <w:ind w:firstLine="420" w:firstLineChars="200"/>
        <w:jc w:val="left"/>
        <w:rPr>
          <w:rFonts w:hAnsi="宋体"/>
          <w:color w:val="auto"/>
          <w:szCs w:val="21"/>
          <w:highlight w:val="none"/>
        </w:rPr>
      </w:pPr>
      <w:r>
        <w:rPr>
          <w:rFonts w:hint="eastAsia" w:hAnsi="宋体"/>
          <w:color w:val="auto"/>
          <w:szCs w:val="21"/>
          <w:highlight w:val="none"/>
        </w:rPr>
        <w:t>（2）成交人应在合同签订之日起2个工作日内向采购代理机构提供</w:t>
      </w:r>
      <w:r>
        <w:rPr>
          <w:rFonts w:hint="eastAsia" w:hAnsi="宋体"/>
          <w:color w:val="auto"/>
          <w:szCs w:val="21"/>
          <w:highlight w:val="none"/>
          <w:u w:val="single"/>
        </w:rPr>
        <w:t xml:space="preserve"> 壹 </w:t>
      </w:r>
      <w:r>
        <w:rPr>
          <w:rFonts w:hint="eastAsia" w:hAnsi="宋体"/>
          <w:color w:val="auto"/>
          <w:szCs w:val="21"/>
          <w:highlight w:val="none"/>
        </w:rPr>
        <w:t>份合同副本备案。以配合采购代理机构按《关于进一步做好政府采购信息公开有关工作的通知》（桂财采【2016】7号文件第八条）的要求，在财政部门指定媒体上公告合同的主要内容。采购代理机构在合同签订之日起4个工作日退还成交人的投标保证金。对无法在上述要求期限内将合同送达采购代理机构的成交人，采购代理机构须凭成交人出具加盖公章的情况说明才能退还其投标保证金。投标保证金退还方式同未成交人的投标保证金的退还方式。</w:t>
      </w:r>
    </w:p>
    <w:p w14:paraId="43D07E9E">
      <w:pPr>
        <w:spacing w:line="360" w:lineRule="exact"/>
        <w:ind w:firstLine="420" w:firstLineChars="200"/>
        <w:jc w:val="left"/>
        <w:rPr>
          <w:rFonts w:hAnsi="宋体"/>
          <w:color w:val="auto"/>
          <w:szCs w:val="21"/>
          <w:highlight w:val="none"/>
        </w:rPr>
      </w:pPr>
      <w:r>
        <w:rPr>
          <w:rFonts w:hint="eastAsia" w:hAnsi="宋体"/>
          <w:color w:val="auto"/>
          <w:szCs w:val="21"/>
          <w:highlight w:val="none"/>
        </w:rPr>
        <w:t>（3）竞标保证金不计息。</w:t>
      </w:r>
    </w:p>
    <w:p w14:paraId="6381A8C0">
      <w:pPr>
        <w:spacing w:line="360" w:lineRule="exact"/>
        <w:ind w:firstLine="420" w:firstLineChars="200"/>
        <w:jc w:val="left"/>
        <w:rPr>
          <w:rFonts w:hAnsi="宋体"/>
          <w:color w:val="auto"/>
          <w:szCs w:val="21"/>
          <w:highlight w:val="none"/>
        </w:rPr>
      </w:pPr>
      <w:r>
        <w:rPr>
          <w:rFonts w:hAnsi="宋体"/>
          <w:color w:val="auto"/>
          <w:szCs w:val="21"/>
          <w:highlight w:val="none"/>
        </w:rPr>
        <w:t>17.10</w:t>
      </w:r>
      <w:r>
        <w:rPr>
          <w:rFonts w:hint="eastAsia" w:hAnsi="宋体"/>
          <w:color w:val="auto"/>
          <w:szCs w:val="21"/>
          <w:highlight w:val="none"/>
        </w:rPr>
        <w:t>供应商有下列情形之一的，竞标保证金将不予退还：</w:t>
      </w:r>
    </w:p>
    <w:p w14:paraId="20E05BB6">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1</w:t>
      </w:r>
      <w:r>
        <w:rPr>
          <w:rFonts w:hint="eastAsia" w:hAnsi="宋体"/>
          <w:color w:val="auto"/>
          <w:szCs w:val="21"/>
          <w:highlight w:val="none"/>
        </w:rPr>
        <w:t>）供应商在响应文件有效期内撤回响应文件的；</w:t>
      </w:r>
    </w:p>
    <w:p w14:paraId="44E9792B">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2</w:t>
      </w:r>
      <w:r>
        <w:rPr>
          <w:rFonts w:hint="eastAsia" w:hAnsi="宋体"/>
          <w:color w:val="auto"/>
          <w:szCs w:val="21"/>
          <w:highlight w:val="none"/>
        </w:rPr>
        <w:t>）未按规定提交履约保证金的；</w:t>
      </w:r>
    </w:p>
    <w:p w14:paraId="5032EC18">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3</w:t>
      </w:r>
      <w:r>
        <w:rPr>
          <w:rFonts w:hint="eastAsia" w:hAnsi="宋体"/>
          <w:color w:val="auto"/>
          <w:szCs w:val="21"/>
          <w:highlight w:val="none"/>
        </w:rPr>
        <w:t>）供应商在竞标过程中弄虚作假，提供虚假材料的；</w:t>
      </w:r>
    </w:p>
    <w:p w14:paraId="48D5EFB2">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4</w:t>
      </w:r>
      <w:r>
        <w:rPr>
          <w:rFonts w:hint="eastAsia" w:hAnsi="宋体"/>
          <w:color w:val="auto"/>
          <w:szCs w:val="21"/>
          <w:highlight w:val="none"/>
        </w:rPr>
        <w:t>）成交人无正当理由不与采购人签订合同的；</w:t>
      </w:r>
    </w:p>
    <w:p w14:paraId="2B000847">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5</w:t>
      </w:r>
      <w:r>
        <w:rPr>
          <w:rFonts w:hint="eastAsia" w:hAnsi="宋体"/>
          <w:color w:val="auto"/>
          <w:szCs w:val="21"/>
          <w:highlight w:val="none"/>
        </w:rPr>
        <w:t>）将成交项目转让给他人或者在响应文件中未说明且未经招标采购单位同意，将成交项目分包给他人的；</w:t>
      </w:r>
    </w:p>
    <w:p w14:paraId="34B9BAB9">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6</w:t>
      </w:r>
      <w:r>
        <w:rPr>
          <w:rFonts w:hint="eastAsia" w:hAnsi="宋体"/>
          <w:color w:val="auto"/>
          <w:szCs w:val="21"/>
          <w:highlight w:val="none"/>
        </w:rPr>
        <w:t>）拒绝履行合同义务的；</w:t>
      </w:r>
    </w:p>
    <w:p w14:paraId="7FD29F9A">
      <w:pPr>
        <w:spacing w:line="360" w:lineRule="exact"/>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7</w:t>
      </w:r>
      <w:r>
        <w:rPr>
          <w:rFonts w:hint="eastAsia" w:hAnsi="宋体"/>
          <w:color w:val="auto"/>
          <w:szCs w:val="21"/>
          <w:highlight w:val="none"/>
        </w:rPr>
        <w:t>）其他严重扰乱招竞标程序的；</w:t>
      </w:r>
    </w:p>
    <w:p w14:paraId="533AC54A">
      <w:pPr>
        <w:spacing w:line="360" w:lineRule="exact"/>
        <w:ind w:firstLine="422" w:firstLineChars="200"/>
        <w:jc w:val="left"/>
        <w:rPr>
          <w:rFonts w:hAnsi="宋体"/>
          <w:color w:val="auto"/>
          <w:szCs w:val="21"/>
          <w:highlight w:val="none"/>
        </w:rPr>
      </w:pPr>
      <w:r>
        <w:rPr>
          <w:rFonts w:hint="eastAsia" w:ascii="宋体" w:hAnsi="宋体" w:cs="宋体"/>
          <w:b/>
          <w:color w:val="auto"/>
          <w:szCs w:val="21"/>
          <w:highlight w:val="none"/>
        </w:rPr>
        <w:t>18、</w:t>
      </w:r>
      <w:bookmarkStart w:id="12" w:name="_Toc254970542"/>
      <w:bookmarkStart w:id="13" w:name="_Toc254970683"/>
      <w:r>
        <w:rPr>
          <w:rFonts w:hint="eastAsia" w:ascii="宋体" w:hAnsi="宋体" w:cs="宋体"/>
          <w:b/>
          <w:color w:val="auto"/>
          <w:szCs w:val="21"/>
          <w:highlight w:val="none"/>
        </w:rPr>
        <w:t>响应文件的</w:t>
      </w:r>
      <w:bookmarkEnd w:id="12"/>
      <w:bookmarkEnd w:id="13"/>
      <w:r>
        <w:rPr>
          <w:rFonts w:hint="eastAsia" w:ascii="宋体" w:hAnsi="宋体" w:cs="宋体"/>
          <w:b/>
          <w:color w:val="auto"/>
          <w:szCs w:val="21"/>
          <w:highlight w:val="none"/>
        </w:rPr>
        <w:t>编制</w:t>
      </w:r>
    </w:p>
    <w:p w14:paraId="5AF18FB9">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18.1供应商应按本性谈判文件规定的格式和顺序编制、装订响应文件并标注页码，响应文件内容不完整、编排混乱导致响应文件被误读、漏读或者查找不到相关内容的，所引起的后果由供应商负责。</w:t>
      </w:r>
    </w:p>
    <w:p w14:paraId="4BF0F492">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18.2响应文件应按资格证明、报价分别编制，商务技术文件合并编制，本谈判只接受电子版响应文件。</w:t>
      </w:r>
    </w:p>
    <w:p w14:paraId="32EF3AF3">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18.3 响应文件电子版要求：按照本谈判文件“第四章 响应文件格式”编写（第四章未附格式的，由供应商自行拟定），并在规定加盖公章处加盖电子公章，否则响应文件按无效响应处理。</w:t>
      </w:r>
      <w:r>
        <w:rPr>
          <w:rFonts w:hint="eastAsia" w:ascii="宋体" w:hAnsi="Calibri" w:cs="宋体"/>
          <w:color w:val="auto"/>
          <w:kern w:val="0"/>
          <w:szCs w:val="21"/>
          <w:highlight w:val="none"/>
        </w:rPr>
        <w:t>骑缝盖</w:t>
      </w:r>
      <w:r>
        <w:rPr>
          <w:rFonts w:hint="eastAsia" w:ascii="宋体" w:hAnsi="宋体" w:cs="宋体"/>
          <w:color w:val="auto"/>
          <w:szCs w:val="21"/>
          <w:highlight w:val="none"/>
        </w:rPr>
        <w:t>公章不视为在规定位置盖章。</w:t>
      </w:r>
    </w:p>
    <w:p w14:paraId="339C372C">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18.4响应文件中标注的供应商名称应与营业执照（事业单位法人证书、执业许可证、自然人身份证）及电子公章一致，否则其响应文件按无效响应处理。</w:t>
      </w:r>
    </w:p>
    <w:p w14:paraId="1FED6E5A">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18.5</w:t>
      </w:r>
      <w:r>
        <w:rPr>
          <w:rFonts w:hint="eastAsia" w:ascii="宋体" w:hAnsi="Calibri" w:cs="宋体"/>
          <w:color w:val="auto"/>
          <w:kern w:val="0"/>
          <w:szCs w:val="21"/>
          <w:highlight w:val="none"/>
        </w:rPr>
        <w:t>响应文件应避免涂改、行间插字或者删除，否则其响应文件按无效响应处理。</w:t>
      </w:r>
    </w:p>
    <w:p w14:paraId="017CE509">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18.6供应商进行电子交易应安装客户端软件—“广西政府采购云平台客户端”，并按照谈判文件和电子交易平台的要求编制并加密响应文件。供应商未按规定加密的响应文件，电子交易平台将拒收并提示。</w:t>
      </w:r>
    </w:p>
    <w:p w14:paraId="7A3F20F2">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18.7使用“广西政府采购云平台客户端”需要提前申领CA数字证书，申领流程见该项目采购公告附件。</w:t>
      </w:r>
    </w:p>
    <w:p w14:paraId="4AEA282D">
      <w:pPr>
        <w:spacing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18.8为确保网上操作合法、有效和安全，供应商应当在响应文件提交截止时间前完成在“政府采购云平台”的身份认证，确保在电子交易过程中能够对相关数据电文进行加密和使用电子签名。</w:t>
      </w:r>
    </w:p>
    <w:p w14:paraId="7DB5BBC4">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19.响应文件的递交</w:t>
      </w:r>
    </w:p>
    <w:p w14:paraId="15DC446C">
      <w:pPr>
        <w:spacing w:line="360" w:lineRule="exact"/>
        <w:ind w:firstLine="420" w:firstLineChars="200"/>
        <w:jc w:val="left"/>
        <w:rPr>
          <w:rFonts w:hAnsi="宋体"/>
          <w:color w:val="auto"/>
          <w:szCs w:val="21"/>
          <w:highlight w:val="none"/>
        </w:rPr>
      </w:pPr>
      <w:r>
        <w:rPr>
          <w:rFonts w:hAnsi="宋体"/>
          <w:color w:val="auto"/>
          <w:szCs w:val="21"/>
          <w:highlight w:val="none"/>
        </w:rPr>
        <w:t>19.1</w:t>
      </w:r>
      <w:r>
        <w:rPr>
          <w:rFonts w:hint="eastAsia" w:hAnsi="宋体"/>
          <w:color w:val="auto"/>
          <w:szCs w:val="21"/>
          <w:highlight w:val="none"/>
        </w:rPr>
        <w:t>供应商必须在“供应商须知前附表”规定的响应文件接收时间和地点提交电子版响应文件。电子响应文件应在制作完成后，在提交截止时间前通过有效数字证书（</w:t>
      </w:r>
      <w:r>
        <w:rPr>
          <w:rFonts w:hAnsi="宋体"/>
          <w:color w:val="auto"/>
          <w:szCs w:val="21"/>
          <w:highlight w:val="none"/>
        </w:rPr>
        <w:t>CA</w:t>
      </w:r>
      <w:r>
        <w:rPr>
          <w:rFonts w:hint="eastAsia" w:hAnsi="宋体"/>
          <w:color w:val="auto"/>
          <w:szCs w:val="21"/>
          <w:highlight w:val="none"/>
        </w:rPr>
        <w:t>认证锁）进行电子签章、加密，然后通过网络将加密的电子响应文件递交至“广西政府采购云平台”。</w:t>
      </w:r>
    </w:p>
    <w:p w14:paraId="6418660B">
      <w:pPr>
        <w:spacing w:line="360" w:lineRule="exact"/>
        <w:ind w:firstLine="420" w:firstLineChars="200"/>
        <w:jc w:val="left"/>
        <w:rPr>
          <w:rFonts w:hAnsi="宋体"/>
          <w:color w:val="auto"/>
          <w:szCs w:val="21"/>
          <w:highlight w:val="none"/>
        </w:rPr>
      </w:pPr>
      <w:r>
        <w:rPr>
          <w:rFonts w:hAnsi="宋体"/>
          <w:color w:val="auto"/>
          <w:szCs w:val="21"/>
          <w:highlight w:val="none"/>
        </w:rPr>
        <w:t>19.2</w:t>
      </w:r>
      <w:r>
        <w:rPr>
          <w:rFonts w:hint="eastAsia" w:hAnsi="宋体"/>
          <w:color w:val="auto"/>
          <w:szCs w:val="21"/>
          <w:highlight w:val="none"/>
        </w:rPr>
        <w:t>未在规定时间内提交或者未按照谈判文件要求密封或者标记的电子响应文件，“广西政府采购云平台”将拒收。</w:t>
      </w:r>
    </w:p>
    <w:p w14:paraId="302A0DA2">
      <w:pPr>
        <w:spacing w:line="360" w:lineRule="exact"/>
        <w:ind w:firstLine="420" w:firstLineChars="200"/>
        <w:jc w:val="left"/>
        <w:rPr>
          <w:rFonts w:hAnsi="宋体"/>
          <w:color w:val="auto"/>
          <w:szCs w:val="21"/>
          <w:highlight w:val="none"/>
        </w:rPr>
      </w:pPr>
      <w:r>
        <w:rPr>
          <w:rFonts w:hAnsi="宋体"/>
          <w:color w:val="auto"/>
          <w:szCs w:val="21"/>
          <w:highlight w:val="none"/>
        </w:rPr>
        <w:t>19.3</w:t>
      </w:r>
      <w:r>
        <w:rPr>
          <w:rFonts w:hint="eastAsia" w:hAnsi="宋体"/>
          <w:color w:val="auto"/>
          <w:szCs w:val="21"/>
          <w:highlight w:val="none"/>
        </w:rPr>
        <w:t>电子版响应文件提交方式见“谈判公告”中“四、提交响应文件截止时间、开标时间和地点”。</w:t>
      </w:r>
    </w:p>
    <w:p w14:paraId="1218D80A">
      <w:pPr>
        <w:spacing w:line="360" w:lineRule="exact"/>
        <w:ind w:firstLine="422" w:firstLineChars="200"/>
        <w:jc w:val="left"/>
        <w:rPr>
          <w:rFonts w:ascii="宋体" w:hAnsi="宋体" w:cs="宋体"/>
          <w:b/>
          <w:color w:val="auto"/>
          <w:szCs w:val="21"/>
          <w:highlight w:val="none"/>
        </w:rPr>
      </w:pPr>
      <w:r>
        <w:rPr>
          <w:rFonts w:hint="eastAsia" w:ascii="宋体" w:hAnsi="宋体" w:cs="宋体"/>
          <w:b/>
          <w:color w:val="auto"/>
          <w:szCs w:val="21"/>
          <w:highlight w:val="none"/>
        </w:rPr>
        <w:t>20.响应文件的补充、修改、撤回与退回</w:t>
      </w:r>
    </w:p>
    <w:p w14:paraId="504CB7AE">
      <w:pPr>
        <w:spacing w:line="360" w:lineRule="exact"/>
        <w:ind w:firstLine="420" w:firstLineChars="200"/>
        <w:jc w:val="left"/>
        <w:rPr>
          <w:rFonts w:hAnsi="宋体"/>
          <w:color w:val="auto"/>
          <w:szCs w:val="21"/>
          <w:highlight w:val="none"/>
        </w:rPr>
      </w:pPr>
      <w:r>
        <w:rPr>
          <w:rFonts w:hAnsi="宋体"/>
          <w:color w:val="auto"/>
          <w:szCs w:val="21"/>
          <w:highlight w:val="none"/>
        </w:rPr>
        <w:t>20.1</w:t>
      </w:r>
      <w:r>
        <w:rPr>
          <w:rFonts w:hint="eastAsia" w:hAnsi="宋体"/>
          <w:color w:val="auto"/>
          <w:szCs w:val="21"/>
          <w:highlight w:val="none"/>
        </w:rPr>
        <w:t>供应商应当在首次提交响应文件截止时间前完成响应文件的传输递交，并可以补充、修改或者撤回响应文件。补充或者修改响应文件的，应当先行撤回原文件，补充、修改后重新传输递交。提交响应文件截止时间前未完成传输的，视为撤回响应文件。提交响应文件截止时间后递交的响应文件，“广西政府采购云平台”平台将拒收。</w:t>
      </w:r>
    </w:p>
    <w:p w14:paraId="012B634F">
      <w:pPr>
        <w:spacing w:line="360" w:lineRule="exact"/>
        <w:ind w:firstLine="420" w:firstLineChars="200"/>
        <w:jc w:val="left"/>
        <w:rPr>
          <w:rFonts w:hAnsi="宋体"/>
          <w:color w:val="auto"/>
          <w:szCs w:val="21"/>
          <w:highlight w:val="none"/>
        </w:rPr>
      </w:pPr>
      <w:r>
        <w:rPr>
          <w:rFonts w:hAnsi="宋体"/>
          <w:color w:val="auto"/>
          <w:szCs w:val="21"/>
          <w:highlight w:val="none"/>
        </w:rPr>
        <w:t xml:space="preserve">20.2 </w:t>
      </w:r>
      <w:r>
        <w:rPr>
          <w:rFonts w:hint="eastAsia" w:hAnsi="宋体"/>
          <w:color w:val="auto"/>
          <w:szCs w:val="21"/>
          <w:highlight w:val="none"/>
        </w:rPr>
        <w:t>“广西政府采购云平台”平台收到响应文件，将妥善保存并即时向供应商发出确认回执通知。在提交响应文件截止时间前，除供应商补充、修改或者撤回响应文件外，任何单位和个人不得解密或提取响应文件。</w:t>
      </w:r>
    </w:p>
    <w:p w14:paraId="2C9D28F2">
      <w:pPr>
        <w:spacing w:line="360" w:lineRule="exact"/>
        <w:ind w:firstLine="420" w:firstLineChars="200"/>
        <w:jc w:val="left"/>
        <w:rPr>
          <w:rFonts w:hAnsi="宋体"/>
          <w:color w:val="auto"/>
          <w:szCs w:val="21"/>
          <w:highlight w:val="none"/>
        </w:rPr>
      </w:pPr>
      <w:r>
        <w:rPr>
          <w:rFonts w:hAnsi="宋体"/>
          <w:color w:val="auto"/>
          <w:szCs w:val="21"/>
          <w:highlight w:val="none"/>
        </w:rPr>
        <w:t>20.3</w:t>
      </w:r>
      <w:r>
        <w:rPr>
          <w:rFonts w:hint="eastAsia" w:hAnsi="宋体"/>
          <w:color w:val="auto"/>
          <w:szCs w:val="21"/>
          <w:highlight w:val="none"/>
        </w:rPr>
        <w:t>在提交响应文件截止时间止提交电子版响应文件的供应商不足</w:t>
      </w:r>
      <w:r>
        <w:rPr>
          <w:rFonts w:hAnsi="宋体"/>
          <w:color w:val="auto"/>
          <w:szCs w:val="21"/>
          <w:highlight w:val="none"/>
        </w:rPr>
        <w:t>3</w:t>
      </w:r>
      <w:r>
        <w:rPr>
          <w:rFonts w:hint="eastAsia" w:hAnsi="宋体"/>
          <w:color w:val="auto"/>
          <w:szCs w:val="21"/>
          <w:highlight w:val="none"/>
        </w:rPr>
        <w:t>家时，电子版响应文件由代理机构在“广西政府采购云平台”平台操作退回，除此之外采购人和采购代理机构对已提交的响应文件概不退回。</w:t>
      </w:r>
    </w:p>
    <w:p w14:paraId="3A99D3CD">
      <w:pPr>
        <w:spacing w:line="360" w:lineRule="exact"/>
        <w:ind w:firstLine="422" w:firstLineChars="200"/>
        <w:jc w:val="left"/>
        <w:rPr>
          <w:rFonts w:ascii="宋体" w:hAnsi="宋体" w:cs="Adobe 宋体 Std L"/>
          <w:b/>
          <w:bCs/>
          <w:color w:val="auto"/>
          <w:szCs w:val="21"/>
          <w:highlight w:val="none"/>
        </w:rPr>
      </w:pPr>
      <w:r>
        <w:rPr>
          <w:rFonts w:hint="eastAsia" w:ascii="宋体" w:hAnsi="宋体" w:cs="Adobe 宋体 Std L"/>
          <w:b/>
          <w:bCs/>
          <w:color w:val="auto"/>
          <w:szCs w:val="21"/>
          <w:highlight w:val="none"/>
        </w:rPr>
        <w:t>四、评审及谈判</w:t>
      </w:r>
    </w:p>
    <w:p w14:paraId="131E89F0">
      <w:pPr>
        <w:pStyle w:val="20"/>
        <w:spacing w:line="360" w:lineRule="exact"/>
        <w:ind w:firstLine="422" w:firstLineChars="200"/>
        <w:rPr>
          <w:rFonts w:hAnsi="宋体" w:cs="Adobe 宋体 Std L"/>
          <w:b/>
          <w:bCs/>
          <w:color w:val="auto"/>
          <w:kern w:val="2"/>
          <w:sz w:val="21"/>
          <w:szCs w:val="21"/>
          <w:highlight w:val="none"/>
        </w:rPr>
      </w:pPr>
      <w:r>
        <w:rPr>
          <w:rFonts w:hint="eastAsia" w:hAnsi="宋体" w:cs="Adobe 宋体 Std L"/>
          <w:b/>
          <w:bCs/>
          <w:color w:val="auto"/>
          <w:kern w:val="2"/>
          <w:sz w:val="21"/>
          <w:szCs w:val="21"/>
          <w:highlight w:val="none"/>
        </w:rPr>
        <w:t>21.谈判小组</w:t>
      </w:r>
    </w:p>
    <w:p w14:paraId="4A2FDC53">
      <w:pPr>
        <w:spacing w:line="360" w:lineRule="exact"/>
        <w:ind w:firstLine="420" w:firstLineChars="200"/>
        <w:rPr>
          <w:rFonts w:ascii="宋体" w:hAnsi="宋体" w:cs="宋体"/>
          <w:color w:val="auto"/>
          <w:szCs w:val="21"/>
          <w:highlight w:val="none"/>
        </w:rPr>
      </w:pPr>
      <w:r>
        <w:rPr>
          <w:rFonts w:hint="eastAsia" w:ascii="宋体" w:hAnsi="宋体" w:cs="Adobe 宋体 Std L"/>
          <w:bCs/>
          <w:color w:val="auto"/>
          <w:szCs w:val="21"/>
          <w:highlight w:val="none"/>
        </w:rPr>
        <w:t>21.1竞争性谈判小组由采购人代表和评审专家共三人以上的单数组成。其中评审专家人数不少于谈判小组成员总数的2/3。</w:t>
      </w:r>
      <w:r>
        <w:rPr>
          <w:rFonts w:hint="eastAsia" w:ascii="宋体" w:hAnsi="宋体" w:cs="宋体"/>
          <w:color w:val="auto"/>
          <w:szCs w:val="21"/>
          <w:highlight w:val="none"/>
        </w:rPr>
        <w:t>采购人不得以评审专家身份参加本部门或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4D625C2A">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21.2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27853294">
      <w:pPr>
        <w:spacing w:line="360" w:lineRule="exact"/>
        <w:ind w:firstLine="422" w:firstLineChars="200"/>
        <w:jc w:val="left"/>
        <w:rPr>
          <w:rFonts w:hAnsi="宋体"/>
          <w:b/>
          <w:color w:val="auto"/>
          <w:szCs w:val="21"/>
          <w:highlight w:val="none"/>
        </w:rPr>
      </w:pPr>
      <w:r>
        <w:rPr>
          <w:rFonts w:hAnsi="宋体"/>
          <w:b/>
          <w:color w:val="auto"/>
          <w:szCs w:val="21"/>
          <w:highlight w:val="none"/>
        </w:rPr>
        <w:t>22.</w:t>
      </w:r>
      <w:r>
        <w:rPr>
          <w:rFonts w:hint="eastAsia" w:hAnsi="宋体"/>
          <w:b/>
          <w:color w:val="auto"/>
          <w:szCs w:val="21"/>
          <w:highlight w:val="none"/>
        </w:rPr>
        <w:t>首次响应文件的开启</w:t>
      </w:r>
    </w:p>
    <w:p w14:paraId="2B86A58B">
      <w:pPr>
        <w:spacing w:line="360" w:lineRule="exact"/>
        <w:ind w:firstLine="420" w:firstLineChars="200"/>
        <w:jc w:val="left"/>
        <w:rPr>
          <w:rFonts w:hAnsi="宋体"/>
          <w:color w:val="auto"/>
          <w:szCs w:val="21"/>
          <w:highlight w:val="none"/>
        </w:rPr>
      </w:pPr>
      <w:r>
        <w:rPr>
          <w:rFonts w:hAnsi="宋体"/>
          <w:color w:val="auto"/>
          <w:szCs w:val="21"/>
          <w:highlight w:val="none"/>
        </w:rPr>
        <w:t>22.1</w:t>
      </w:r>
      <w:r>
        <w:rPr>
          <w:rFonts w:hint="eastAsia" w:hAnsi="宋体"/>
          <w:color w:val="auto"/>
          <w:szCs w:val="21"/>
          <w:highlight w:val="none"/>
        </w:rPr>
        <w:t>首次响应文件由谈判小组或者采购代理机构在“供应商须知前附表”规定的时间开启。</w:t>
      </w:r>
    </w:p>
    <w:p w14:paraId="4A6ED63D">
      <w:pPr>
        <w:spacing w:line="360" w:lineRule="exact"/>
        <w:ind w:firstLine="422" w:firstLineChars="200"/>
        <w:jc w:val="left"/>
        <w:rPr>
          <w:rFonts w:hAnsi="宋体"/>
          <w:b/>
          <w:color w:val="auto"/>
          <w:szCs w:val="21"/>
          <w:highlight w:val="none"/>
        </w:rPr>
      </w:pPr>
      <w:r>
        <w:rPr>
          <w:rFonts w:hAnsi="宋体"/>
          <w:b/>
          <w:color w:val="auto"/>
          <w:szCs w:val="21"/>
          <w:highlight w:val="none"/>
        </w:rPr>
        <w:t xml:space="preserve">23. </w:t>
      </w:r>
      <w:r>
        <w:rPr>
          <w:rFonts w:hint="eastAsia" w:hAnsi="宋体"/>
          <w:b/>
          <w:color w:val="auto"/>
          <w:szCs w:val="21"/>
          <w:highlight w:val="none"/>
        </w:rPr>
        <w:t>响应文件解密</w:t>
      </w:r>
    </w:p>
    <w:p w14:paraId="09492799">
      <w:pPr>
        <w:spacing w:line="360" w:lineRule="exact"/>
        <w:ind w:firstLine="420" w:firstLineChars="200"/>
        <w:jc w:val="left"/>
        <w:rPr>
          <w:rFonts w:hAnsi="宋体"/>
          <w:bCs/>
          <w:color w:val="auto"/>
          <w:szCs w:val="21"/>
          <w:highlight w:val="none"/>
        </w:rPr>
      </w:pPr>
      <w:r>
        <w:rPr>
          <w:rFonts w:hAnsi="宋体"/>
          <w:color w:val="auto"/>
          <w:szCs w:val="21"/>
          <w:highlight w:val="none"/>
        </w:rPr>
        <w:t>23.1</w:t>
      </w:r>
      <w:r>
        <w:rPr>
          <w:rFonts w:hint="eastAsia" w:hAnsi="宋体"/>
          <w:color w:val="auto"/>
          <w:szCs w:val="21"/>
          <w:highlight w:val="none"/>
        </w:rPr>
        <w:t>采购代理机构将在“供应商须知前附表”规定的时间通过电子交易平台组织响应文件开启采购机构依托电子交易平台发起开始解密指令，供应商的法定代表人或其委托代理人须携带加密时所用的</w:t>
      </w:r>
      <w:r>
        <w:rPr>
          <w:rFonts w:hAnsi="宋体"/>
          <w:color w:val="auto"/>
          <w:szCs w:val="21"/>
          <w:highlight w:val="none"/>
        </w:rPr>
        <w:t>CA</w:t>
      </w:r>
      <w:r>
        <w:rPr>
          <w:rFonts w:hint="eastAsia" w:hAnsi="宋体"/>
          <w:color w:val="auto"/>
          <w:szCs w:val="21"/>
          <w:highlight w:val="none"/>
        </w:rPr>
        <w:t>锁按平台提示和谈判文件的规定登录到“广西政府采购云平台”平台电子开标大厅签到并在发起解密指令之时起</w:t>
      </w:r>
      <w:r>
        <w:rPr>
          <w:rFonts w:hAnsi="宋体"/>
          <w:color w:val="auto"/>
          <w:szCs w:val="21"/>
          <w:highlight w:val="none"/>
        </w:rPr>
        <w:t>30</w:t>
      </w:r>
      <w:r>
        <w:rPr>
          <w:rFonts w:hint="eastAsia" w:hAnsi="宋体"/>
          <w:color w:val="auto"/>
          <w:szCs w:val="21"/>
          <w:highlight w:val="none"/>
        </w:rPr>
        <w:t>分钟内完成对电子响应文件在线解密。发起解密指令之时起</w:t>
      </w:r>
      <w:r>
        <w:rPr>
          <w:rFonts w:hAnsi="宋体"/>
          <w:color w:val="auto"/>
          <w:szCs w:val="21"/>
          <w:highlight w:val="none"/>
        </w:rPr>
        <w:t>5</w:t>
      </w:r>
      <w:r>
        <w:rPr>
          <w:rFonts w:hint="eastAsia" w:hAnsi="宋体"/>
          <w:color w:val="auto"/>
          <w:szCs w:val="21"/>
          <w:highlight w:val="none"/>
        </w:rPr>
        <w:t>分钟内供应商还未进行解密的，代理机构通知供应商，</w:t>
      </w:r>
      <w:r>
        <w:rPr>
          <w:rFonts w:hint="eastAsia" w:hAnsi="宋体"/>
          <w:bCs/>
          <w:color w:val="auto"/>
          <w:szCs w:val="21"/>
          <w:highlight w:val="none"/>
        </w:rPr>
        <w:t>通知后，</w:t>
      </w:r>
      <w:r>
        <w:rPr>
          <w:rFonts w:hint="eastAsia" w:hAnsi="宋体"/>
          <w:color w:val="auto"/>
          <w:szCs w:val="21"/>
          <w:highlight w:val="none"/>
        </w:rPr>
        <w:t>响应</w:t>
      </w:r>
      <w:r>
        <w:rPr>
          <w:rFonts w:hint="eastAsia" w:hAnsi="宋体"/>
          <w:bCs/>
          <w:color w:val="auto"/>
          <w:szCs w:val="21"/>
          <w:highlight w:val="none"/>
        </w:rPr>
        <w:t>文件仍未按时解密，或者</w:t>
      </w:r>
      <w:r>
        <w:rPr>
          <w:rFonts w:hint="eastAsia" w:hAnsi="宋体"/>
          <w:color w:val="auto"/>
          <w:szCs w:val="21"/>
          <w:highlight w:val="none"/>
        </w:rPr>
        <w:t>供应商</w:t>
      </w:r>
      <w:r>
        <w:rPr>
          <w:rFonts w:hint="eastAsia" w:hAnsi="宋体"/>
          <w:bCs/>
          <w:color w:val="auto"/>
          <w:szCs w:val="21"/>
          <w:highlight w:val="none"/>
        </w:rPr>
        <w:t>没预留联系方式或预留联系方式无效，</w:t>
      </w:r>
      <w:r>
        <w:rPr>
          <w:rFonts w:hint="eastAsia" w:hAnsi="宋体"/>
          <w:color w:val="auto"/>
          <w:szCs w:val="21"/>
          <w:highlight w:val="none"/>
        </w:rPr>
        <w:t>非代理机构原因导致代理机构无法联系到供应商进行解密的</w:t>
      </w:r>
      <w:r>
        <w:rPr>
          <w:rFonts w:hint="eastAsia" w:hAnsi="宋体"/>
          <w:bCs/>
          <w:color w:val="auto"/>
          <w:szCs w:val="21"/>
          <w:highlight w:val="none"/>
        </w:rPr>
        <w:t>，</w:t>
      </w:r>
      <w:r>
        <w:rPr>
          <w:rFonts w:hint="eastAsia" w:hAnsi="宋体"/>
          <w:color w:val="auto"/>
          <w:szCs w:val="21"/>
          <w:highlight w:val="none"/>
        </w:rPr>
        <w:t>视为响应文件无效</w:t>
      </w:r>
      <w:r>
        <w:rPr>
          <w:rFonts w:hint="eastAsia" w:hAnsi="宋体"/>
          <w:bCs/>
          <w:color w:val="auto"/>
          <w:szCs w:val="21"/>
          <w:highlight w:val="none"/>
        </w:rPr>
        <w:t>。</w:t>
      </w:r>
      <w:r>
        <w:rPr>
          <w:rFonts w:hint="eastAsia" w:hAnsi="宋体"/>
          <w:color w:val="auto"/>
          <w:szCs w:val="21"/>
          <w:highlight w:val="none"/>
        </w:rPr>
        <w:t>（解密异常情况处理：详见本章</w:t>
      </w:r>
      <w:r>
        <w:rPr>
          <w:rFonts w:hAnsi="宋体"/>
          <w:color w:val="auto"/>
          <w:szCs w:val="21"/>
          <w:highlight w:val="none"/>
        </w:rPr>
        <w:t>30.</w:t>
      </w:r>
      <w:r>
        <w:rPr>
          <w:rFonts w:hint="eastAsia" w:hAnsi="宋体"/>
          <w:color w:val="auto"/>
          <w:szCs w:val="21"/>
          <w:highlight w:val="none"/>
        </w:rPr>
        <w:t>电子交易活动的中止。）</w:t>
      </w:r>
    </w:p>
    <w:p w14:paraId="259BE0C0">
      <w:pPr>
        <w:spacing w:line="360" w:lineRule="exact"/>
        <w:ind w:firstLine="420" w:firstLineChars="200"/>
        <w:jc w:val="left"/>
        <w:rPr>
          <w:rFonts w:hAnsi="宋体"/>
          <w:color w:val="auto"/>
          <w:szCs w:val="21"/>
          <w:highlight w:val="none"/>
        </w:rPr>
      </w:pPr>
      <w:r>
        <w:rPr>
          <w:rFonts w:hAnsi="宋体"/>
          <w:color w:val="auto"/>
          <w:szCs w:val="21"/>
          <w:highlight w:val="none"/>
        </w:rPr>
        <w:t>23.2</w:t>
      </w:r>
      <w:r>
        <w:rPr>
          <w:rFonts w:hint="eastAsia" w:hAnsi="宋体"/>
          <w:color w:val="auto"/>
          <w:szCs w:val="21"/>
          <w:highlight w:val="none"/>
        </w:rPr>
        <w:t>如供应商成功解密响应文件，但未在“广西政府采购云平台”电子开标大厅参加谈判的，视同认可谈判过程和结果，由此产生的后果由供应商自行负责。参与谈判的供应商不足</w:t>
      </w:r>
      <w:r>
        <w:rPr>
          <w:rFonts w:hAnsi="宋体"/>
          <w:color w:val="auto"/>
          <w:szCs w:val="21"/>
          <w:highlight w:val="none"/>
        </w:rPr>
        <w:t>3</w:t>
      </w:r>
      <w:r>
        <w:rPr>
          <w:rFonts w:hint="eastAsia" w:hAnsi="宋体"/>
          <w:color w:val="auto"/>
          <w:szCs w:val="21"/>
          <w:highlight w:val="none"/>
        </w:rPr>
        <w:t>家的，不得谈判。</w:t>
      </w:r>
    </w:p>
    <w:p w14:paraId="26AB2C4D">
      <w:pPr>
        <w:spacing w:line="360" w:lineRule="exact"/>
        <w:ind w:firstLine="422" w:firstLineChars="200"/>
        <w:jc w:val="left"/>
        <w:rPr>
          <w:rFonts w:hAnsi="宋体"/>
          <w:b/>
          <w:color w:val="auto"/>
          <w:szCs w:val="21"/>
          <w:highlight w:val="none"/>
        </w:rPr>
      </w:pPr>
      <w:r>
        <w:rPr>
          <w:rFonts w:hAnsi="宋体"/>
          <w:b/>
          <w:color w:val="auto"/>
          <w:szCs w:val="21"/>
          <w:highlight w:val="none"/>
        </w:rPr>
        <w:t>24.</w:t>
      </w:r>
      <w:r>
        <w:rPr>
          <w:rFonts w:hint="eastAsia" w:hAnsi="宋体"/>
          <w:b/>
          <w:color w:val="auto"/>
          <w:szCs w:val="21"/>
          <w:highlight w:val="none"/>
        </w:rPr>
        <w:t>评审程序</w:t>
      </w:r>
    </w:p>
    <w:p w14:paraId="6FF204C2">
      <w:pPr>
        <w:spacing w:line="360" w:lineRule="exact"/>
        <w:ind w:firstLine="420" w:firstLineChars="200"/>
        <w:jc w:val="left"/>
        <w:rPr>
          <w:rFonts w:hAnsi="宋体"/>
          <w:color w:val="auto"/>
          <w:szCs w:val="21"/>
          <w:highlight w:val="none"/>
        </w:rPr>
      </w:pPr>
      <w:r>
        <w:rPr>
          <w:rFonts w:ascii="宋体" w:hAnsi="宋体" w:cs="宋体"/>
          <w:color w:val="auto"/>
          <w:szCs w:val="21"/>
          <w:highlight w:val="none"/>
        </w:rPr>
        <w:t>24.1</w:t>
      </w:r>
      <w:r>
        <w:rPr>
          <w:rFonts w:hint="eastAsia" w:hAnsi="宋体"/>
          <w:color w:val="auto"/>
          <w:szCs w:val="21"/>
          <w:highlight w:val="none"/>
        </w:rPr>
        <w:t>谈判小组按照“第六章</w:t>
      </w:r>
      <w:r>
        <w:rPr>
          <w:rFonts w:hAnsi="宋体"/>
          <w:color w:val="auto"/>
          <w:szCs w:val="21"/>
          <w:highlight w:val="none"/>
        </w:rPr>
        <w:t xml:space="preserve"> </w:t>
      </w:r>
      <w:r>
        <w:rPr>
          <w:rFonts w:hint="eastAsia" w:hAnsi="宋体"/>
          <w:color w:val="auto"/>
          <w:szCs w:val="21"/>
          <w:highlight w:val="none"/>
        </w:rPr>
        <w:t>评审方法和评审标准”规定的方法、评审因素、标准和程序对响应文件进行评审。</w:t>
      </w:r>
    </w:p>
    <w:p w14:paraId="4DE0DA4A">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24.2</w:t>
      </w:r>
      <w:r>
        <w:rPr>
          <w:rFonts w:hint="eastAsia" w:ascii="宋体" w:hAnsi="宋体" w:cs="宋体"/>
          <w:bCs/>
          <w:color w:val="auto"/>
          <w:szCs w:val="21"/>
          <w:highlight w:val="none"/>
        </w:rPr>
        <w:t>资格审查</w:t>
      </w:r>
    </w:p>
    <w:p w14:paraId="16A0E24E">
      <w:pPr>
        <w:spacing w:line="360" w:lineRule="exact"/>
        <w:ind w:firstLine="420" w:firstLineChars="200"/>
        <w:rPr>
          <w:rFonts w:ascii="宋体" w:hAnsi="宋体"/>
          <w:bCs/>
          <w:color w:val="auto"/>
          <w:szCs w:val="21"/>
          <w:highlight w:val="none"/>
        </w:rPr>
      </w:pPr>
      <w:r>
        <w:rPr>
          <w:rFonts w:hint="eastAsia" w:ascii="宋体" w:hAnsi="宋体" w:cs="宋体"/>
          <w:color w:val="auto"/>
          <w:szCs w:val="21"/>
          <w:highlight w:val="none"/>
        </w:rPr>
        <w:t>响应文件开启后，谈判小组依法对供应商的资格文件进行审查</w:t>
      </w:r>
      <w:r>
        <w:rPr>
          <w:rFonts w:hint="eastAsia" w:ascii="宋体" w:hAnsi="宋体" w:cs="宋体"/>
          <w:color w:val="auto"/>
          <w:spacing w:val="-2"/>
          <w:szCs w:val="21"/>
          <w:highlight w:val="none"/>
        </w:rPr>
        <w:t>。</w:t>
      </w:r>
      <w:r>
        <w:rPr>
          <w:rFonts w:hint="eastAsia" w:ascii="宋体" w:hAnsi="宋体"/>
          <w:b/>
          <w:bCs/>
          <w:color w:val="auto"/>
          <w:szCs w:val="21"/>
          <w:highlight w:val="none"/>
        </w:rPr>
        <w:t>在资格审查时，如发现下列情形之一的，响应文件将被视为无效：</w:t>
      </w:r>
    </w:p>
    <w:p w14:paraId="405CBE56">
      <w:pPr>
        <w:spacing w:line="360" w:lineRule="exact"/>
        <w:ind w:firstLine="420" w:firstLineChars="200"/>
        <w:rPr>
          <w:rFonts w:ascii="宋体" w:hAnsi="宋体"/>
          <w:bCs/>
          <w:color w:val="auto"/>
          <w:szCs w:val="21"/>
          <w:highlight w:val="none"/>
        </w:rPr>
      </w:pPr>
      <w:r>
        <w:rPr>
          <w:rFonts w:hint="eastAsia" w:ascii="宋体" w:hAnsi="宋体"/>
          <w:bCs/>
          <w:color w:val="auto"/>
          <w:szCs w:val="21"/>
          <w:highlight w:val="none"/>
        </w:rPr>
        <w:t>（1）不具备谈判文件中规定的资格要求的；（注：其中信用查询由谈判小组于资格审查时</w:t>
      </w:r>
      <w:r>
        <w:rPr>
          <w:rFonts w:hint="eastAsia" w:ascii="宋体" w:hAnsi="宋体" w:cs="宋体"/>
          <w:color w:val="auto"/>
          <w:szCs w:val="21"/>
          <w:highlight w:val="none"/>
        </w:rPr>
        <w:t>在“信用中国”网站和“中国政府采购网”</w:t>
      </w:r>
      <w:r>
        <w:rPr>
          <w:rFonts w:hint="eastAsia" w:ascii="宋体" w:hAnsi="宋体"/>
          <w:bCs/>
          <w:color w:val="auto"/>
          <w:szCs w:val="21"/>
          <w:highlight w:val="none"/>
        </w:rPr>
        <w:t>对供应商进行信用查询，联合体成员存在不良信用记录的视同联合体存在不良信用记录。）</w:t>
      </w:r>
    </w:p>
    <w:p w14:paraId="63BA1242">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（2）未提供谈判文件中“13.响应文件的组成13.1资格证明文件”要求必须提供的资料的；</w:t>
      </w:r>
    </w:p>
    <w:p w14:paraId="57D15E80">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（3）法律、法规和谈判文件规定的其他无效情形。</w:t>
      </w:r>
    </w:p>
    <w:p w14:paraId="3B9B4627">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通过资格审查的合格供应商不足3家的，不得进入符合性审查环节，采购人或者采购代理机构应当重新开展采购活动。</w:t>
      </w:r>
    </w:p>
    <w:p w14:paraId="32CF898E">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24.3符合性审查</w:t>
      </w:r>
    </w:p>
    <w:p w14:paraId="168B4D89">
      <w:pPr>
        <w:widowControl/>
        <w:spacing w:line="360" w:lineRule="exact"/>
        <w:ind w:firstLine="420" w:firstLineChars="200"/>
        <w:jc w:val="left"/>
        <w:rPr>
          <w:rFonts w:ascii="宋体" w:hAnsi="宋体"/>
          <w:b/>
          <w:bCs/>
          <w:color w:val="auto"/>
          <w:szCs w:val="21"/>
          <w:highlight w:val="none"/>
        </w:rPr>
      </w:pPr>
      <w:r>
        <w:rPr>
          <w:rFonts w:hint="eastAsia" w:ascii="宋体" w:hAnsi="宋体" w:cs="宋体"/>
          <w:color w:val="auto"/>
          <w:szCs w:val="21"/>
          <w:highlight w:val="none"/>
        </w:rPr>
        <w:t>谈判小组依法对供应商的符合性进行审查</w:t>
      </w:r>
      <w:r>
        <w:rPr>
          <w:rFonts w:hint="eastAsia" w:ascii="宋体" w:hAnsi="宋体" w:cs="宋体"/>
          <w:color w:val="auto"/>
          <w:spacing w:val="-2"/>
          <w:szCs w:val="21"/>
          <w:highlight w:val="none"/>
        </w:rPr>
        <w:t>。</w:t>
      </w:r>
      <w:r>
        <w:rPr>
          <w:rFonts w:hint="eastAsia" w:ascii="宋体" w:hAnsi="宋体"/>
          <w:b/>
          <w:bCs/>
          <w:color w:val="auto"/>
          <w:szCs w:val="21"/>
          <w:highlight w:val="none"/>
        </w:rPr>
        <w:t>在符合性审查时，如发现下列情形之一的，响应文件将被视为无效：</w:t>
      </w:r>
    </w:p>
    <w:p w14:paraId="52125044">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w:t>
      </w:r>
      <w:r>
        <w:rPr>
          <w:rFonts w:hint="eastAsia" w:hAnsi="宋体"/>
          <w:color w:val="auto"/>
          <w:szCs w:val="21"/>
          <w:highlight w:val="none"/>
        </w:rPr>
        <w:t>未按照竞争性谈判文件的规定足额交纳投标保证金的</w:t>
      </w:r>
      <w:r>
        <w:rPr>
          <w:rFonts w:hint="eastAsia" w:ascii="宋体" w:hAnsi="宋体"/>
          <w:bCs/>
          <w:color w:val="auto"/>
          <w:szCs w:val="21"/>
          <w:highlight w:val="none"/>
        </w:rPr>
        <w:t>；</w:t>
      </w:r>
    </w:p>
    <w:p w14:paraId="4CD34349">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（2）响应文件未按谈判文件要求签署、盖章的；</w:t>
      </w:r>
    </w:p>
    <w:p w14:paraId="6BA8AC8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（3）投标代表人未能出具身份证明或与法定代表人授权委托人身份不符的；</w:t>
      </w:r>
    </w:p>
    <w:p w14:paraId="0AE5732B">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（4）响应文件的实质性内容未使用中文表述、意思表述不明确、前后矛盾或者使用计量单位不符合谈判文件要求的（经评标委员会认定并允许其当场更正的笔误除外）</w:t>
      </w:r>
    </w:p>
    <w:p w14:paraId="489CA310">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（5）响应文件有效期、服务期或交货期、质保期等商务条款不能满足招标文件要求的；</w:t>
      </w:r>
    </w:p>
    <w:p w14:paraId="18B70775">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（6）未实质性响应谈判文件要求或者响应文件有采购人不能接受的附加条件的。</w:t>
      </w:r>
    </w:p>
    <w:p w14:paraId="274397C6">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（7）未提供谈判文件中“13.响应文件的组成13.2商务和技术文件”要求必须提供的资料的；</w:t>
      </w:r>
    </w:p>
    <w:p w14:paraId="0317C340">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（8）未提供或未如实提供投标货物的技术参数，或者响应文件标明的响应或偏离与事实不符或虚假投标的；</w:t>
      </w:r>
    </w:p>
    <w:p w14:paraId="768E4A07">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（9）明显不符合招标文件要求的规格型号、质量标准和采购需求的，或者与招标文件中标“▲”的技术指标、主要功能项目发生实质性偏离的；</w:t>
      </w:r>
    </w:p>
    <w:p w14:paraId="275E933C">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 xml:space="preserve">（10）允许偏离的技术、性能指标或者辅助功能项目发生负偏离达 </w:t>
      </w:r>
      <w:r>
        <w:rPr>
          <w:rFonts w:hint="eastAsia" w:ascii="宋体" w:hAnsi="宋体"/>
          <w:bCs/>
          <w:color w:val="auto"/>
          <w:szCs w:val="21"/>
          <w:highlight w:val="none"/>
          <w:lang w:val="en-US" w:eastAsia="zh-CN"/>
        </w:rPr>
        <w:t>2</w:t>
      </w:r>
      <w:r>
        <w:rPr>
          <w:rFonts w:hint="eastAsia" w:ascii="宋体" w:hAnsi="宋体"/>
          <w:bCs/>
          <w:color w:val="auto"/>
          <w:szCs w:val="21"/>
          <w:highlight w:val="none"/>
        </w:rPr>
        <w:t xml:space="preserve"> 项（含</w:t>
      </w:r>
      <w:r>
        <w:rPr>
          <w:rFonts w:hint="eastAsia" w:ascii="宋体" w:hAnsi="宋体"/>
          <w:bCs/>
          <w:color w:val="auto"/>
          <w:szCs w:val="21"/>
          <w:highlight w:val="none"/>
          <w:lang w:val="en-US" w:eastAsia="zh-CN"/>
        </w:rPr>
        <w:t>2</w:t>
      </w:r>
      <w:r>
        <w:rPr>
          <w:rFonts w:hint="eastAsia" w:ascii="宋体" w:hAnsi="宋体"/>
          <w:bCs/>
          <w:color w:val="auto"/>
          <w:szCs w:val="21"/>
          <w:highlight w:val="none"/>
        </w:rPr>
        <w:t>项）以上的；</w:t>
      </w:r>
    </w:p>
    <w:p w14:paraId="0A1EDB04">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（11）技术方案不明确，存在一个或一个以上备选（替代）竞标方案的。</w:t>
      </w:r>
    </w:p>
    <w:p w14:paraId="4B514668">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（12）未提供谈判文件中“13.响应文件的组成13.3报价文件”要求必须提供的资料的；</w:t>
      </w:r>
    </w:p>
    <w:p w14:paraId="385B2692">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（13）报价超过招标文件中规定的预算金额或者最高限价</w:t>
      </w:r>
      <w:r>
        <w:rPr>
          <w:rFonts w:hint="eastAsia" w:ascii="宋体" w:hAnsi="宋体"/>
          <w:bCs/>
          <w:color w:val="auto"/>
          <w:szCs w:val="21"/>
          <w:highlight w:val="none"/>
          <w:lang w:eastAsia="zh-CN"/>
        </w:rPr>
        <w:t>或</w:t>
      </w:r>
      <w:r>
        <w:rPr>
          <w:rFonts w:hint="eastAsia" w:ascii="宋体" w:hAnsi="宋体"/>
          <w:bCs/>
          <w:color w:val="auto"/>
          <w:szCs w:val="21"/>
          <w:highlight w:val="none"/>
        </w:rPr>
        <w:t>预算控制单价的；</w:t>
      </w:r>
    </w:p>
    <w:p w14:paraId="2671F011">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（14）未采用人民币报价或者未按照招标文件标明的币种报价的；</w:t>
      </w:r>
    </w:p>
    <w:p w14:paraId="4FFA9266">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（15）竞标报价具有选择性，或者云平台中开标记录表的报价与响应文件承诺的优惠（折扣）价格不一致的；</w:t>
      </w:r>
    </w:p>
    <w:p w14:paraId="4D5345DE">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（16）法律、法规和招标文件规定的其他无效情形。</w:t>
      </w:r>
    </w:p>
    <w:p w14:paraId="3F6FE80D">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（17）出现恶意竞争低于成本价的情形</w:t>
      </w:r>
    </w:p>
    <w:p w14:paraId="28A44C8D">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082CECA4">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通过符合性审查的合格供应商不足3家的，不得进入谈判环节，应当重新开展采购活动。</w:t>
      </w:r>
    </w:p>
    <w:p w14:paraId="762ECBF6">
      <w:pPr>
        <w:spacing w:line="360" w:lineRule="exact"/>
        <w:ind w:firstLine="422" w:firstLineChars="200"/>
        <w:jc w:val="left"/>
        <w:rPr>
          <w:rFonts w:hAnsi="宋体"/>
          <w:b/>
          <w:color w:val="auto"/>
          <w:szCs w:val="21"/>
          <w:highlight w:val="none"/>
        </w:rPr>
      </w:pPr>
      <w:r>
        <w:rPr>
          <w:rFonts w:hAnsi="宋体"/>
          <w:b/>
          <w:color w:val="auto"/>
          <w:szCs w:val="21"/>
          <w:highlight w:val="none"/>
        </w:rPr>
        <w:t>25.</w:t>
      </w:r>
      <w:r>
        <w:rPr>
          <w:rFonts w:hint="eastAsia" w:hAnsi="宋体"/>
          <w:b/>
          <w:color w:val="auto"/>
          <w:szCs w:val="21"/>
          <w:highlight w:val="none"/>
        </w:rPr>
        <w:t>谈判程序</w:t>
      </w:r>
    </w:p>
    <w:p w14:paraId="65C264D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25.1谈判小组按照“供应商须知前附表” 确定的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hint="eastAsia" w:ascii="宋体" w:hAnsi="宋体"/>
          <w:b/>
          <w:color w:val="auto"/>
          <w:szCs w:val="21"/>
          <w:highlight w:val="none"/>
        </w:rPr>
        <w:t>其响应文件按无效响应处理。</w:t>
      </w:r>
    </w:p>
    <w:p w14:paraId="558D3AB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25.2在谈判过程中，谈判小组可以根据谈判文件和谈判情况实质性变动采购需求中的技术、服务要求以及合同草案条款，但不得变动谈判文件中的其他内容。实质性变动的内容，须经采购人代表确认。可能实质性变动的内容为采购需求中的技术、服务要求以及合同草案条款。</w:t>
      </w:r>
    </w:p>
    <w:p w14:paraId="177A516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25.3对谈判文件作出的实质性变动是谈判文件的有效组成部分，由谈判小组及时以电子澄清函形式同时通知所有参加谈判的供应商。</w:t>
      </w:r>
    </w:p>
    <w:p w14:paraId="0624468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25.4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14:paraId="66DFA4F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25.5谈判中，谈判的任何一方不得透露与谈判有关的其他供应商的技术资料、价格和其他信息。</w:t>
      </w:r>
    </w:p>
    <w:p w14:paraId="1605934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25.6谈判小组应对谈判过程和重要谈判内容进行记录，作为评标报告一部分，谈判小组在记录上签字确认。</w:t>
      </w:r>
    </w:p>
    <w:p w14:paraId="4FCAF96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25.7谈判过程中重新提交的响应文件，供应商可以在开启前补充、修改。</w:t>
      </w:r>
    </w:p>
    <w:p w14:paraId="73A8C92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25.8对谈判过程提交的响应文件进行有效性、完整性和响应程度审查，通过审查的合格供应商不足3家的，采购人或者采购代理机构应当重新开展采购活动。</w:t>
      </w:r>
    </w:p>
    <w:p w14:paraId="39A8FBCC">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26.最后报价</w:t>
      </w:r>
    </w:p>
    <w:p w14:paraId="702B79B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26.1谈判文件能够详细列明采购标的的技术、服务要求的，谈判结束后，由谈判小组要求所有继续参加谈判的供应商在规定时间内密封提交最后报价，提交最后报价的供应商不得少于3家，否则必须重新采购。</w:t>
      </w:r>
      <w:r>
        <w:rPr>
          <w:rFonts w:hint="eastAsia" w:ascii="宋体" w:hAnsi="宋体" w:cs="宋体"/>
          <w:color w:val="auto"/>
          <w:kern w:val="0"/>
          <w:szCs w:val="21"/>
          <w:highlight w:val="none"/>
        </w:rPr>
        <w:t>继续参加谈判的供应商</w:t>
      </w:r>
      <w:r>
        <w:rPr>
          <w:rFonts w:hint="eastAsia" w:ascii="宋体" w:hAnsi="宋体"/>
          <w:color w:val="auto"/>
          <w:szCs w:val="21"/>
          <w:highlight w:val="none"/>
        </w:rPr>
        <w:t>作最后报价</w:t>
      </w:r>
      <w:r>
        <w:rPr>
          <w:rFonts w:hint="eastAsia" w:ascii="宋体" w:hAnsi="宋体"/>
          <w:b/>
          <w:color w:val="auto"/>
          <w:szCs w:val="21"/>
          <w:highlight w:val="none"/>
        </w:rPr>
        <w:t>并附相应的最后报价明细表（报价明细表按第四章要求格式填写），最后报价和相应的最后报价明细表须由其法定代表人或授权代表签字或者加盖电子公章</w:t>
      </w:r>
      <w:r>
        <w:rPr>
          <w:rFonts w:hint="eastAsia" w:ascii="宋体" w:hAnsi="宋体" w:cs="宋体"/>
          <w:b/>
          <w:color w:val="auto"/>
          <w:kern w:val="0"/>
          <w:szCs w:val="21"/>
          <w:highlight w:val="none"/>
        </w:rPr>
        <w:t>后递交</w:t>
      </w:r>
      <w:r>
        <w:rPr>
          <w:rFonts w:hint="eastAsia" w:ascii="宋体" w:hAnsi="宋体"/>
          <w:b/>
          <w:color w:val="auto"/>
          <w:szCs w:val="21"/>
          <w:highlight w:val="none"/>
        </w:rPr>
        <w:t>。</w:t>
      </w:r>
    </w:p>
    <w:p w14:paraId="5D99F90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26.2谈判文件不能详细列明采购标的的技术、服务要求，需经谈判由供应商提供最后设计方案或者解决方案的，谈判结束后，由谈判小组按照少数服从多数的原则投票推荐3家以上供应商的设计方案或者解决方案，并要求其在规定时间内密封提交最后报价。</w:t>
      </w:r>
    </w:p>
    <w:p w14:paraId="20F03CD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26.3 最后报价是供应商响应文件的有效组成部分。</w:t>
      </w:r>
    </w:p>
    <w:p w14:paraId="327FA9D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26.4已经提交响应文件的供应商，在提交最后报价之前，可以根据谈判情况退出谈判，退出谈判的供应商的响应文件按无效响应处理。</w:t>
      </w:r>
    </w:p>
    <w:p w14:paraId="4AFC4F6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26.5供应商未在规定时间内提交最后报价的，视同</w:t>
      </w:r>
      <w:r>
        <w:rPr>
          <w:rFonts w:hint="eastAsia" w:ascii="宋体" w:cs="宋体"/>
          <w:b/>
          <w:color w:val="auto"/>
          <w:kern w:val="0"/>
          <w:szCs w:val="21"/>
          <w:highlight w:val="none"/>
        </w:rPr>
        <w:t>放弃报价权利退出谈判</w:t>
      </w:r>
      <w:r>
        <w:rPr>
          <w:rFonts w:hint="eastAsia" w:ascii="宋体" w:hAnsi="宋体"/>
          <w:color w:val="auto"/>
          <w:szCs w:val="21"/>
          <w:highlight w:val="none"/>
        </w:rPr>
        <w:t>。</w:t>
      </w:r>
    </w:p>
    <w:p w14:paraId="04A951E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26.6谈判小组收齐项目或某一分标最后报价后统一开启，谈判小组对最后报价进行有效性、完整性和响应程度的审查。</w:t>
      </w:r>
    </w:p>
    <w:p w14:paraId="7C0BA46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26.7最终响应文件的报价出现前后不一致的，按照本章第29.1条的规定修正。</w:t>
      </w:r>
    </w:p>
    <w:p w14:paraId="455E07D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26.8修正后的最终报价出现下列情形的，按无效响应处理：</w:t>
      </w:r>
    </w:p>
    <w:p w14:paraId="06D18E67">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（1）供应商不确认的（全流程电子化评标采取在线确认）；</w:t>
      </w:r>
    </w:p>
    <w:p w14:paraId="4408D0C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（2）经供应商确认修正后的响应报价（包含首次报价、最后报价）超过所竞标分标规定的采购预算金额或者最高限价的（如本项目公布了最高限价）；</w:t>
      </w:r>
    </w:p>
    <w:p w14:paraId="63AE80E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（3）经供应商确认修正后的响应报价（包含首次报价、最后报价）超过分项采购预算金额或者最高限价的（如本项目公布了最高限价）。</w:t>
      </w:r>
    </w:p>
    <w:p w14:paraId="2AF0174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26.9经供应商确认修正后的最后报价作为评审及签订合同的依据。</w:t>
      </w:r>
    </w:p>
    <w:p w14:paraId="5CA00C1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26.10供应商出现最后报价按无效响应处理或者响应文件按无效处理时，谈判小组应当告知有关供应商。</w:t>
      </w:r>
    </w:p>
    <w:p w14:paraId="4C1B07F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26.11最后报价结束后，谈判小组不得再与供应商进行任何形式的商谈。</w:t>
      </w:r>
    </w:p>
    <w:p w14:paraId="00E167B4">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27. 最后报价政府采购政策性扣除</w:t>
      </w:r>
    </w:p>
    <w:p w14:paraId="1B25820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27.1评审价为供应商的最后报价进行政策性扣除后的价格，评审价只是作为评审时使用。最终成交供应商的成交金额等于最后报价（如有修正，以确认修正后的最后报价为准）。如价格未进行政策性扣除，则评审价=最后报价。</w:t>
      </w:r>
    </w:p>
    <w:p w14:paraId="0E62F79B">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27.2谈判小组从质量和服务均能满足竞争性谈判文件实质性响应要求的供应商中，按照最后评审价由低到高的顺序提出3名以上成交候选人；</w:t>
      </w:r>
      <w:r>
        <w:rPr>
          <w:rFonts w:hint="eastAsia" w:ascii="宋体" w:hAnsi="宋体"/>
          <w:color w:val="auto"/>
          <w:highlight w:val="none"/>
        </w:rPr>
        <w:t>最后评审报价相同时，依次最后竞标报价低优先、</w:t>
      </w:r>
      <w:r>
        <w:rPr>
          <w:rFonts w:hint="eastAsia" w:ascii="宋体" w:hAnsi="宋体" w:cs="宋体"/>
          <w:color w:val="auto"/>
          <w:szCs w:val="21"/>
          <w:highlight w:val="none"/>
        </w:rPr>
        <w:t>依次按节能环保产品累计金额高的优先、</w:t>
      </w:r>
      <w:r>
        <w:rPr>
          <w:rFonts w:hint="eastAsia" w:ascii="宋体" w:hAnsi="宋体" w:cs="宋体"/>
          <w:color w:val="auto"/>
          <w:highlight w:val="none"/>
        </w:rPr>
        <w:t>环境标志产品优先、</w:t>
      </w:r>
      <w:r>
        <w:rPr>
          <w:rFonts w:hint="eastAsia" w:ascii="宋体" w:hAnsi="宋体"/>
          <w:color w:val="auto"/>
          <w:highlight w:val="none"/>
        </w:rPr>
        <w:t>关键技术指标高优先、质量保证期长优先、</w:t>
      </w:r>
      <w:r>
        <w:rPr>
          <w:rFonts w:hint="eastAsia" w:ascii="宋体" w:hAnsi="宋体"/>
          <w:bCs/>
          <w:color w:val="auto"/>
          <w:highlight w:val="none"/>
        </w:rPr>
        <w:t>交货期</w:t>
      </w:r>
      <w:r>
        <w:rPr>
          <w:rFonts w:hint="eastAsia" w:ascii="宋体" w:hAnsi="宋体"/>
          <w:color w:val="auto"/>
          <w:highlight w:val="none"/>
        </w:rPr>
        <w:t>短优先、故障处理时间短优先的顺序排列</w:t>
      </w:r>
      <w:r>
        <w:rPr>
          <w:rFonts w:hint="eastAsia" w:ascii="宋体" w:hAnsi="宋体"/>
          <w:color w:val="auto"/>
          <w:szCs w:val="21"/>
          <w:highlight w:val="none"/>
        </w:rPr>
        <w:t>成交候选人，并编写评审报告。最后报价是供应商竞争性谈判响应文件的有效组成部分。</w:t>
      </w:r>
    </w:p>
    <w:p w14:paraId="116A70A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27.3评审报告应当由谈判小组全体人员签字认可。谈判小组成员对评审报告有异议的，谈判小组按照少数服从多数的原则推荐成交候选供应商，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70626532">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28.澄清问题的形式</w:t>
      </w:r>
    </w:p>
    <w:p w14:paraId="17470A8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28.1对于响应文件中含义不明确、同类问题表述不一致或者有明显文字和计算错误的内容，评标委员会应在“广西政府采购云平台”平台发布电子澄清函，要求供应商在规定时间内作出必要的澄清、说明或者补正。供应商在“广西政府采购云平台”平台接收到电子澄清函后根据澄清函内容上传PDF格式回函，电子澄清答复函使用CA证书加盖单位公章后在线上传至评标委员会。供应商的澄清、说明或者补正不得超出响应文件的范围或者改变响应文件的实质性内容。供应商未在规定时间内进行澄清、说明或者补正的，按无效竞标处理。</w:t>
      </w:r>
    </w:p>
    <w:p w14:paraId="66ACDCB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28.2异常情况处理：如遇无法正常使用线上发送澄清函的情况，将启动书面形式办理。启动书面形式办理的情况下，评标委员会以书面形式要求供应商在规定时间内作出必要的澄清、说明或者补正。供应商的澄清、说明或者补正必须采用书面形式，并加盖公章，或者由法定代表人或者其授权的代表签字。</w:t>
      </w:r>
    </w:p>
    <w:p w14:paraId="6ABFDE35">
      <w:pPr>
        <w:widowControl/>
        <w:tabs>
          <w:tab w:val="left" w:pos="540"/>
        </w:tabs>
        <w:spacing w:line="36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29.错误修正</w:t>
      </w:r>
    </w:p>
    <w:p w14:paraId="07C7BCE2">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29.1竞争性谈判响应文件如果出现计算或表达上的错误，修正错误的原则如下：</w:t>
      </w:r>
    </w:p>
    <w:p w14:paraId="6204A9E6">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（1）响应文件中开标一览表（报价表）内容与响应文件中相应内容不一致的，以开标一览表（报价表）为准；</w:t>
      </w:r>
    </w:p>
    <w:p w14:paraId="68C0E3C7">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（2）大写金额和小写金额不一致的，以大写金额为准；</w:t>
      </w:r>
    </w:p>
    <w:p w14:paraId="5C73CECE">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（3）单价金额小数点或者百分比有明显错位的，以开标一览表的总价为准，并修改单价；</w:t>
      </w:r>
    </w:p>
    <w:p w14:paraId="4D2DA72E">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（4）总价金额与按单价汇总金额不一致的，以单价金额计算结果为准。</w:t>
      </w:r>
    </w:p>
    <w:p w14:paraId="059E669D">
      <w:pPr>
        <w:widowControl/>
        <w:tabs>
          <w:tab w:val="left" w:pos="540"/>
        </w:tabs>
        <w:spacing w:line="360" w:lineRule="exact"/>
        <w:ind w:firstLine="422" w:firstLineChars="200"/>
        <w:jc w:val="left"/>
        <w:rPr>
          <w:rFonts w:ascii="宋体" w:hAnsi="宋体"/>
          <w:b/>
          <w:color w:val="auto"/>
          <w:szCs w:val="21"/>
          <w:highlight w:val="none"/>
        </w:rPr>
      </w:pPr>
      <w:r>
        <w:rPr>
          <w:rFonts w:hint="eastAsia" w:hAnsi="宋体"/>
          <w:b/>
          <w:color w:val="auto"/>
          <w:szCs w:val="21"/>
          <w:highlight w:val="none"/>
        </w:rPr>
        <w:t>同时出现两种以上不一致的，按照前款规定的顺序修正。修正后的报价经供应商确认并加盖公章或者由法定代表人或其授权的代表签字后产生约束力，供应商不确认的，其竞标无效。</w:t>
      </w:r>
    </w:p>
    <w:p w14:paraId="0472F770">
      <w:pPr>
        <w:widowControl/>
        <w:tabs>
          <w:tab w:val="left" w:pos="540"/>
        </w:tabs>
        <w:spacing w:line="36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29.2经供应商确认修正后的首次及最后报价若超过采购预算金额，供应商的响应文件作无效处理。</w:t>
      </w:r>
    </w:p>
    <w:p w14:paraId="1133EB06">
      <w:pPr>
        <w:widowControl/>
        <w:tabs>
          <w:tab w:val="left" w:pos="540"/>
        </w:tabs>
        <w:spacing w:line="36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29.3经供应商确认修正后的最后报价作为评审及签订合同的依据。</w:t>
      </w:r>
    </w:p>
    <w:p w14:paraId="70ACE3E4">
      <w:pPr>
        <w:widowControl/>
        <w:spacing w:line="360" w:lineRule="exact"/>
        <w:ind w:firstLine="422" w:firstLineChars="200"/>
        <w:jc w:val="left"/>
        <w:rPr>
          <w:rFonts w:ascii="宋体" w:hAnsi="宋体" w:cs="Courier New"/>
          <w:b/>
          <w:color w:val="auto"/>
          <w:szCs w:val="21"/>
          <w:highlight w:val="none"/>
        </w:rPr>
      </w:pPr>
      <w:r>
        <w:rPr>
          <w:rFonts w:hint="eastAsia" w:ascii="宋体" w:hAnsi="宋体" w:cs="Courier New"/>
          <w:b/>
          <w:color w:val="auto"/>
          <w:szCs w:val="21"/>
          <w:highlight w:val="none"/>
        </w:rPr>
        <w:t>30.电子交易活动的中止</w:t>
      </w:r>
    </w:p>
    <w:p w14:paraId="4DD61778">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30.1采购过程中出现以下情形，导致电子交易平台无法正常运行，或者无法保证电子交易的公平、公正和安全时，采购机构可中止电子交易活动：</w:t>
      </w:r>
    </w:p>
    <w:p w14:paraId="273380E2">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（1）电子交易平台发生故障而无法登录访问的；</w:t>
      </w:r>
    </w:p>
    <w:p w14:paraId="2652A2C9">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（2）电子交易平台应用或数据库出现错误，不能进行正常操作的；</w:t>
      </w:r>
    </w:p>
    <w:p w14:paraId="21DF74CB">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（3）电子交易平台发现严重安全漏洞，有潜在泄密危险的；</w:t>
      </w:r>
    </w:p>
    <w:p w14:paraId="77D24A2E">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（4）病毒发作导致不能进行正常操作的；</w:t>
      </w:r>
    </w:p>
    <w:p w14:paraId="0D4249A2">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（5）其他无法保证电子交易的公平、公正和安全的情况。</w:t>
      </w:r>
    </w:p>
    <w:p w14:paraId="50763FD0">
      <w:pPr>
        <w:widowControl/>
        <w:spacing w:line="360" w:lineRule="exact"/>
        <w:ind w:firstLine="420" w:firstLineChars="200"/>
        <w:jc w:val="left"/>
        <w:rPr>
          <w:rFonts w:ascii="宋体" w:hAnsi="宋体" w:cs="Courier New"/>
          <w:color w:val="auto"/>
          <w:szCs w:val="21"/>
          <w:highlight w:val="none"/>
        </w:rPr>
      </w:pPr>
      <w:r>
        <w:rPr>
          <w:rFonts w:hint="eastAsia" w:ascii="宋体" w:hAnsi="宋体" w:cs="Courier New"/>
          <w:color w:val="auto"/>
          <w:szCs w:val="21"/>
          <w:highlight w:val="none"/>
        </w:rPr>
        <w:t>30.2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1C9B7170">
      <w:pPr>
        <w:widowControl/>
        <w:tabs>
          <w:tab w:val="left" w:pos="540"/>
        </w:tabs>
        <w:spacing w:line="36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31.评委表决</w:t>
      </w:r>
    </w:p>
    <w:p w14:paraId="6CB5A9DB">
      <w:pPr>
        <w:widowControl/>
        <w:tabs>
          <w:tab w:val="left" w:pos="540"/>
        </w:tabs>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31.1在评标过程中出现法律法规和谈判文件均没有明确规定的情形时，由谈判小组现场协商解决，协商不一致的，由全体评委投票表决，以得票率二分之一以上专家的意见为准。</w:t>
      </w:r>
    </w:p>
    <w:p w14:paraId="1BF85425">
      <w:pPr>
        <w:widowControl/>
        <w:tabs>
          <w:tab w:val="left" w:pos="540"/>
        </w:tabs>
        <w:spacing w:line="36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32.评审过程的监控</w:t>
      </w:r>
    </w:p>
    <w:p w14:paraId="00A5B63D">
      <w:pPr>
        <w:widowControl/>
        <w:tabs>
          <w:tab w:val="left" w:pos="540"/>
        </w:tabs>
        <w:spacing w:line="360" w:lineRule="exact"/>
        <w:ind w:firstLine="420" w:firstLineChars="200"/>
        <w:jc w:val="left"/>
        <w:rPr>
          <w:rFonts w:ascii="宋体" w:hAnsi="宋体"/>
          <w:color w:val="auto"/>
          <w:szCs w:val="21"/>
          <w:highlight w:val="none"/>
        </w:rPr>
      </w:pPr>
      <w:r>
        <w:rPr>
          <w:rFonts w:hAnsi="宋体"/>
          <w:color w:val="auto"/>
          <w:szCs w:val="21"/>
          <w:highlight w:val="none"/>
        </w:rPr>
        <w:t>32.1</w:t>
      </w:r>
      <w:r>
        <w:rPr>
          <w:rFonts w:hint="eastAsia" w:hAnsi="宋体"/>
          <w:color w:val="auto"/>
          <w:szCs w:val="21"/>
          <w:highlight w:val="none"/>
        </w:rPr>
        <w:t>本项目电子评标过程实行网上留痕、全程录音、录像监控，</w:t>
      </w:r>
      <w:r>
        <w:rPr>
          <w:rFonts w:hint="eastAsia" w:hAnsi="宋体" w:cs="宋体"/>
          <w:color w:val="auto"/>
          <w:szCs w:val="21"/>
          <w:highlight w:val="none"/>
        </w:rPr>
        <w:t>供应商在评审过程中所进行的试图影响评审结果的不公正活动，可能导致其竞争性谈判被拒绝。</w:t>
      </w:r>
    </w:p>
    <w:p w14:paraId="31C708EF">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五、成交及合同</w:t>
      </w:r>
    </w:p>
    <w:p w14:paraId="6F64DFBA">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33.确定成交供应商</w:t>
      </w:r>
    </w:p>
    <w:p w14:paraId="65FD8824">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33.1 </w:t>
      </w:r>
      <w:r>
        <w:rPr>
          <w:rFonts w:hint="eastAsia" w:ascii="宋体" w:hAnsi="宋体" w:cs="宋体"/>
          <w:color w:val="auto"/>
          <w:kern w:val="0"/>
          <w:szCs w:val="21"/>
          <w:highlight w:val="none"/>
        </w:rPr>
        <w:t>根据以下原则确定成交供应商：</w:t>
      </w:r>
      <w:r>
        <w:rPr>
          <w:rFonts w:hint="eastAsia" w:hAnsi="宋体" w:cs="宋体"/>
          <w:color w:val="auto"/>
          <w:kern w:val="0"/>
          <w:szCs w:val="21"/>
          <w:highlight w:val="none"/>
        </w:rPr>
        <w:t>响应文件满足谈判文件全部实质性要求，且评审报价最低的供应商为成交供应商。</w:t>
      </w:r>
    </w:p>
    <w:p w14:paraId="29707FAF">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33.2采购代理机构将在评标结束后两个工作日内将评标报告送采购人，采购人在五个工作日内按照评标报告中推荐的成交候选人顺序确定成交人。采购人也可以事先授权谈判小组直接确定成交人。</w:t>
      </w:r>
    </w:p>
    <w:p w14:paraId="7C96A78C">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33.3成交供应商确定后二个工作日内，</w:t>
      </w:r>
      <w:r>
        <w:rPr>
          <w:rFonts w:hint="eastAsia" w:hAnsi="宋体"/>
          <w:color w:val="auto"/>
          <w:szCs w:val="21"/>
          <w:highlight w:val="none"/>
        </w:rPr>
        <w:t>采购代理机构或采购人</w:t>
      </w:r>
      <w:r>
        <w:rPr>
          <w:rFonts w:hint="eastAsia" w:cs="宋体"/>
          <w:color w:val="auto"/>
          <w:kern w:val="0"/>
          <w:szCs w:val="21"/>
          <w:highlight w:val="none"/>
        </w:rPr>
        <w:t>应当对成交人信用进行核实</w:t>
      </w:r>
      <w:r>
        <w:rPr>
          <w:rFonts w:hint="eastAsia" w:hAnsi="宋体"/>
          <w:color w:val="auto"/>
          <w:szCs w:val="21"/>
          <w:highlight w:val="none"/>
        </w:rPr>
        <w:t>，如其未被列入失信被执行人、重大税收违法案件当事人名单、政府采购严重违法失信行为记录名单，则采购代理机构在公告发布媒体中标公告；如其被列入失信被执行人、重大税收违法案件当事人名单、政府采购严重违法失信行为记录名单，则取消其中标资格，</w:t>
      </w:r>
      <w:r>
        <w:rPr>
          <w:rFonts w:hint="eastAsia"/>
          <w:color w:val="auto"/>
          <w:spacing w:val="-3"/>
          <w:szCs w:val="21"/>
          <w:highlight w:val="none"/>
        </w:rPr>
        <w:t>并确定排名第二的中标候选人为中标人。排名第二的中标候选人因前款规定的同样原因被取消中标资格的，采购人可以确定排名第三的中标候选人为中标人。以上信息查询记录</w:t>
      </w:r>
      <w:r>
        <w:rPr>
          <w:rFonts w:hint="eastAsia"/>
          <w:color w:val="auto"/>
          <w:szCs w:val="21"/>
          <w:highlight w:val="none"/>
        </w:rPr>
        <w:t>及相关证据与谈判文件一并保存。</w:t>
      </w:r>
    </w:p>
    <w:p w14:paraId="109891FF">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33.4</w:t>
      </w:r>
      <w:r>
        <w:rPr>
          <w:rFonts w:hint="eastAsia" w:hAnsi="宋体"/>
          <w:color w:val="auto"/>
          <w:szCs w:val="21"/>
          <w:highlight w:val="none"/>
        </w:rPr>
        <w:t>在发布成交公告的同时，采购代理机构向成交供应商</w:t>
      </w:r>
      <w:r>
        <w:rPr>
          <w:rFonts w:hint="eastAsia" w:cs="宋体"/>
          <w:color w:val="auto"/>
          <w:kern w:val="0"/>
          <w:szCs w:val="21"/>
          <w:highlight w:val="none"/>
        </w:rPr>
        <w:t>通过“广西政府采购云平台”平台发出电子</w:t>
      </w:r>
      <w:r>
        <w:rPr>
          <w:rFonts w:hint="eastAsia" w:hAnsi="宋体"/>
          <w:color w:val="auto"/>
          <w:szCs w:val="21"/>
          <w:highlight w:val="none"/>
        </w:rPr>
        <w:t>成交通知书。</w:t>
      </w:r>
    </w:p>
    <w:p w14:paraId="7C24766D">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33.5供应商认为竞争性谈判文件、招标过程和成交结果使自己的权益受到损害的，可以在知道或者应知其权益受到损害之日起七个工作日内，以书面形式向招标采购单位提出质疑，并及时索要书面回执。</w:t>
      </w:r>
    </w:p>
    <w:p w14:paraId="20EFE773">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33.6采购代理机构应当按照有关规定就采购人委托授权范围内的事项在收到供应商的书面质疑后七个工作日内做出答复，但答复的内容不得涉及商业秘密。</w:t>
      </w:r>
    </w:p>
    <w:p w14:paraId="6407E353">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34.签订合同</w:t>
      </w:r>
    </w:p>
    <w:p w14:paraId="1D79B8BB">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34.1成交供应商应在成交通知书发出之日起二十五日内，按谈判文件确定的合同文本及采购标的、规格型号、采购金额、采购数量、技术和服务要求等事项与采购人签订政府采购合同。如成交供应商为联合体的，由联合体成员各方法定代表人或其授权代表与采购人代表签订合同。</w:t>
      </w:r>
      <w:r>
        <w:rPr>
          <w:rFonts w:hint="eastAsia" w:cs="宋体"/>
          <w:color w:val="auto"/>
          <w:kern w:val="0"/>
          <w:szCs w:val="21"/>
          <w:highlight w:val="none"/>
        </w:rPr>
        <w:t>电子采购合同需要供应商通过有效</w:t>
      </w:r>
      <w:r>
        <w:rPr>
          <w:rFonts w:cs="宋体"/>
          <w:color w:val="auto"/>
          <w:kern w:val="0"/>
          <w:szCs w:val="21"/>
          <w:highlight w:val="none"/>
        </w:rPr>
        <w:t>CA</w:t>
      </w:r>
      <w:r>
        <w:rPr>
          <w:rFonts w:hint="eastAsia" w:cs="宋体"/>
          <w:color w:val="auto"/>
          <w:kern w:val="0"/>
          <w:szCs w:val="21"/>
          <w:highlight w:val="none"/>
        </w:rPr>
        <w:t>证书进行电子签名与签章。</w:t>
      </w:r>
    </w:p>
    <w:p w14:paraId="2F22FF87">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34.2采购人不得向成交供应商提出超出谈判文件以外的任何要求作为签订合同的条件，不得与成交供应商订立背离谈判文件确定的合同文本以及采购标的、规格型号、采购金额、采购数量、技术和服务要求等实质性内容的协议。</w:t>
      </w:r>
    </w:p>
    <w:p w14:paraId="6282900E">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34.3如成交人不按成交通知书的规定签订合同，则按成交人违约处理，采购代理机构将没收成交人投标的全部竞标保证金并上缴同级财政国库。</w:t>
      </w:r>
    </w:p>
    <w:p w14:paraId="347EAB5D">
      <w:pPr>
        <w:spacing w:line="3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34.4成交人拒绝签订政府采购合同或者因不可抗力或自身原因不能履行采购合同的，采购人可以按照评审报告推荐的成交候选人名单排序，确定下一候选人为成交供应商，也可以重新开展采购活动。拒绝签订政府采购合同的成交供应商不得参加对该项目重新开展的采购活动。</w:t>
      </w:r>
    </w:p>
    <w:p w14:paraId="4981C170">
      <w:pPr>
        <w:spacing w:line="360" w:lineRule="exact"/>
        <w:ind w:firstLine="420" w:firstLineChars="200"/>
        <w:rPr>
          <w:rFonts w:hAnsi="宋体"/>
          <w:color w:val="auto"/>
          <w:szCs w:val="21"/>
          <w:highlight w:val="none"/>
        </w:rPr>
      </w:pPr>
      <w:r>
        <w:rPr>
          <w:rFonts w:hint="eastAsia" w:ascii="宋体" w:hAnsi="宋体" w:cs="宋体"/>
          <w:color w:val="auto"/>
          <w:szCs w:val="21"/>
          <w:highlight w:val="none"/>
        </w:rPr>
        <w:t>34.5政府采</w:t>
      </w:r>
      <w:r>
        <w:rPr>
          <w:rFonts w:hint="eastAsia" w:hAnsi="宋体"/>
          <w:color w:val="auto"/>
          <w:szCs w:val="21"/>
          <w:highlight w:val="none"/>
        </w:rPr>
        <w:t>购合同公告：采购人或者受托采购代理机构应当自政府采购合同签订之日起</w:t>
      </w:r>
      <w:r>
        <w:rPr>
          <w:rFonts w:hAnsi="宋体"/>
          <w:color w:val="auto"/>
          <w:szCs w:val="21"/>
          <w:highlight w:val="none"/>
        </w:rPr>
        <w:t>2</w:t>
      </w:r>
      <w:r>
        <w:rPr>
          <w:rFonts w:hint="eastAsia" w:hAnsi="宋体"/>
          <w:color w:val="auto"/>
          <w:szCs w:val="21"/>
          <w:highlight w:val="none"/>
        </w:rPr>
        <w:t>个工作日内，将政府采购合同在“广西政府采购网”（</w:t>
      </w:r>
      <w:r>
        <w:rPr>
          <w:rFonts w:hAnsi="宋体"/>
          <w:color w:val="auto"/>
          <w:szCs w:val="21"/>
          <w:highlight w:val="none"/>
        </w:rPr>
        <w:t>http://zfcg.gxzf.gov.cn</w:t>
      </w:r>
      <w:r>
        <w:rPr>
          <w:rFonts w:hint="eastAsia" w:hAnsi="宋体"/>
          <w:color w:val="auto"/>
          <w:szCs w:val="21"/>
          <w:highlight w:val="none"/>
        </w:rPr>
        <w:t>）上发布公告，但政府采购合同中涉及国家秘密、商业秘密的内容除外。因此请各供应商应在响应文件中注明投标内容中涉及商业秘密的部分，未注明的视为响应文件中不涉及商业秘密。</w:t>
      </w:r>
    </w:p>
    <w:p w14:paraId="08EF5EF4">
      <w:pPr>
        <w:pStyle w:val="20"/>
        <w:spacing w:line="360" w:lineRule="exact"/>
        <w:ind w:firstLine="310" w:firstLineChars="147"/>
        <w:rPr>
          <w:rFonts w:hAnsi="宋体"/>
          <w:b/>
          <w:color w:val="auto"/>
          <w:sz w:val="21"/>
          <w:szCs w:val="21"/>
          <w:highlight w:val="none"/>
        </w:rPr>
      </w:pPr>
      <w:r>
        <w:rPr>
          <w:rFonts w:hint="eastAsia" w:hAnsi="宋体"/>
          <w:b/>
          <w:color w:val="auto"/>
          <w:sz w:val="21"/>
          <w:szCs w:val="21"/>
          <w:highlight w:val="none"/>
        </w:rPr>
        <w:t>34.6履约保证金</w:t>
      </w:r>
    </w:p>
    <w:p w14:paraId="234CE842">
      <w:pPr>
        <w:spacing w:line="360" w:lineRule="exact"/>
        <w:ind w:firstLine="283" w:firstLineChars="135"/>
        <w:jc w:val="left"/>
        <w:rPr>
          <w:rFonts w:ascii="宋体" w:hAnsi="宋体"/>
          <w:color w:val="auto"/>
          <w:kern w:val="0"/>
          <w:szCs w:val="21"/>
          <w:highlight w:val="none"/>
        </w:rPr>
      </w:pPr>
      <w:r>
        <w:rPr>
          <w:rFonts w:hint="eastAsia" w:ascii="宋体" w:hAnsi="宋体"/>
          <w:color w:val="auto"/>
          <w:kern w:val="0"/>
          <w:szCs w:val="21"/>
          <w:highlight w:val="none"/>
        </w:rPr>
        <w:t>34.6.1履约保证金金额：详见供应商须知前附</w:t>
      </w:r>
      <w:r>
        <w:rPr>
          <w:rFonts w:hint="eastAsia" w:ascii="宋体" w:hAnsi="宋体"/>
          <w:color w:val="auto"/>
          <w:szCs w:val="21"/>
          <w:highlight w:val="none"/>
        </w:rPr>
        <w:t>表</w:t>
      </w:r>
      <w:r>
        <w:rPr>
          <w:rFonts w:ascii="宋体" w:hAnsi="宋体"/>
          <w:color w:val="auto"/>
          <w:kern w:val="0"/>
          <w:szCs w:val="21"/>
          <w:highlight w:val="none"/>
        </w:rPr>
        <w:t>。</w:t>
      </w:r>
    </w:p>
    <w:p w14:paraId="6C973ACF">
      <w:pPr>
        <w:spacing w:line="360" w:lineRule="exact"/>
        <w:ind w:firstLine="283" w:firstLineChars="135"/>
        <w:jc w:val="left"/>
        <w:rPr>
          <w:rFonts w:ascii="宋体" w:hAnsi="宋体"/>
          <w:color w:val="auto"/>
          <w:kern w:val="0"/>
          <w:szCs w:val="21"/>
          <w:highlight w:val="none"/>
        </w:rPr>
      </w:pPr>
      <w:r>
        <w:rPr>
          <w:rFonts w:hint="eastAsia" w:ascii="宋体" w:hAnsi="宋体"/>
          <w:color w:val="auto"/>
          <w:kern w:val="0"/>
          <w:szCs w:val="21"/>
          <w:highlight w:val="none"/>
        </w:rPr>
        <w:t>34.6.2履约保证金递交时间：详见供应商须知前附</w:t>
      </w:r>
      <w:r>
        <w:rPr>
          <w:rFonts w:hint="eastAsia" w:ascii="宋体" w:hAnsi="宋体"/>
          <w:color w:val="auto"/>
          <w:szCs w:val="21"/>
          <w:highlight w:val="none"/>
        </w:rPr>
        <w:t>表，未在规定时间内足额缴纳履约保证金的，不予签订合同</w:t>
      </w:r>
      <w:r>
        <w:rPr>
          <w:rFonts w:ascii="宋体" w:hAnsi="宋体"/>
          <w:color w:val="auto"/>
          <w:kern w:val="0"/>
          <w:szCs w:val="21"/>
          <w:highlight w:val="none"/>
        </w:rPr>
        <w:t>。</w:t>
      </w:r>
    </w:p>
    <w:p w14:paraId="7FC99D49">
      <w:pPr>
        <w:pStyle w:val="20"/>
        <w:spacing w:line="360" w:lineRule="exact"/>
        <w:ind w:firstLine="283" w:firstLineChars="135"/>
        <w:rPr>
          <w:rFonts w:hAnsi="宋体"/>
          <w:color w:val="auto"/>
          <w:sz w:val="21"/>
          <w:szCs w:val="21"/>
          <w:highlight w:val="none"/>
        </w:rPr>
      </w:pPr>
      <w:r>
        <w:rPr>
          <w:rFonts w:hint="eastAsia" w:hAnsi="宋体"/>
          <w:color w:val="auto"/>
          <w:sz w:val="21"/>
          <w:szCs w:val="21"/>
          <w:highlight w:val="none"/>
        </w:rPr>
        <w:t>34.6.3在履约保证金退还日期前，若中标供应商的开户名称、开户银行、帐号有变动的，请以书面形式通知保证金收取单位，否则由此产生的后果由中标供应商自负。</w:t>
      </w:r>
    </w:p>
    <w:p w14:paraId="3B7D198E">
      <w:pPr>
        <w:spacing w:line="360" w:lineRule="exact"/>
        <w:ind w:firstLine="422" w:firstLineChars="200"/>
        <w:rPr>
          <w:rFonts w:hAnsi="宋体"/>
          <w:b/>
          <w:bCs/>
          <w:color w:val="auto"/>
          <w:szCs w:val="21"/>
          <w:highlight w:val="none"/>
        </w:rPr>
      </w:pPr>
      <w:r>
        <w:rPr>
          <w:rFonts w:hint="eastAsia" w:hAnsi="宋体"/>
          <w:b/>
          <w:bCs/>
          <w:color w:val="auto"/>
          <w:szCs w:val="21"/>
          <w:highlight w:val="none"/>
        </w:rPr>
        <w:t>六、验收</w:t>
      </w:r>
    </w:p>
    <w:p w14:paraId="25DC613E">
      <w:pPr>
        <w:spacing w:line="360" w:lineRule="exact"/>
        <w:ind w:firstLine="422" w:firstLineChars="200"/>
        <w:rPr>
          <w:rFonts w:hAnsi="宋体"/>
          <w:b/>
          <w:bCs/>
          <w:color w:val="auto"/>
          <w:szCs w:val="21"/>
          <w:highlight w:val="none"/>
        </w:rPr>
      </w:pPr>
      <w:r>
        <w:rPr>
          <w:rFonts w:hAnsi="宋体"/>
          <w:b/>
          <w:bCs/>
          <w:color w:val="auto"/>
          <w:szCs w:val="21"/>
          <w:highlight w:val="none"/>
        </w:rPr>
        <w:t>35.</w:t>
      </w:r>
      <w:r>
        <w:rPr>
          <w:rFonts w:hint="eastAsia" w:hAnsi="宋体"/>
          <w:b/>
          <w:bCs/>
          <w:color w:val="auto"/>
          <w:szCs w:val="21"/>
          <w:highlight w:val="none"/>
        </w:rPr>
        <w:t>验收</w:t>
      </w:r>
    </w:p>
    <w:p w14:paraId="4DC766B9">
      <w:pPr>
        <w:spacing w:line="360" w:lineRule="exact"/>
        <w:ind w:firstLine="420" w:firstLineChars="200"/>
        <w:rPr>
          <w:rFonts w:hAnsi="宋体"/>
          <w:bCs/>
          <w:color w:val="auto"/>
          <w:szCs w:val="21"/>
          <w:highlight w:val="none"/>
        </w:rPr>
      </w:pPr>
      <w:r>
        <w:rPr>
          <w:rFonts w:hAnsi="宋体"/>
          <w:bCs/>
          <w:color w:val="auto"/>
          <w:szCs w:val="21"/>
          <w:highlight w:val="none"/>
        </w:rPr>
        <w:t>35.1</w:t>
      </w:r>
      <w:r>
        <w:rPr>
          <w:rFonts w:hint="eastAsia" w:hAnsi="宋体"/>
          <w:bCs/>
          <w:color w:val="auto"/>
          <w:szCs w:val="21"/>
          <w:highlight w:val="none"/>
        </w:rPr>
        <w:t>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1E34421D">
      <w:pPr>
        <w:spacing w:line="360" w:lineRule="exact"/>
        <w:ind w:firstLine="420" w:firstLineChars="200"/>
        <w:rPr>
          <w:rFonts w:hAnsi="宋体"/>
          <w:bCs/>
          <w:color w:val="auto"/>
          <w:szCs w:val="21"/>
          <w:highlight w:val="none"/>
        </w:rPr>
      </w:pPr>
      <w:r>
        <w:rPr>
          <w:rFonts w:hAnsi="宋体"/>
          <w:bCs/>
          <w:color w:val="auto"/>
          <w:szCs w:val="21"/>
          <w:highlight w:val="none"/>
        </w:rPr>
        <w:t>35.2</w:t>
      </w:r>
      <w:r>
        <w:rPr>
          <w:rFonts w:hint="eastAsia" w:hAnsi="宋体"/>
          <w:bCs/>
          <w:color w:val="auto"/>
          <w:szCs w:val="21"/>
          <w:highlight w:val="none"/>
        </w:rPr>
        <w:t>采购人可以邀请参加本项目的其他供应商或者第三方机构参与验收。参与验收的供应商或者第三方机构的意见作为验收书的参考资料一并存档。</w:t>
      </w:r>
    </w:p>
    <w:p w14:paraId="1FB72FEE">
      <w:pPr>
        <w:spacing w:line="360" w:lineRule="exact"/>
        <w:ind w:firstLine="420" w:firstLineChars="200"/>
        <w:rPr>
          <w:rFonts w:hAnsi="宋体"/>
          <w:bCs/>
          <w:color w:val="auto"/>
          <w:szCs w:val="21"/>
          <w:highlight w:val="none"/>
        </w:rPr>
      </w:pPr>
      <w:r>
        <w:rPr>
          <w:rFonts w:hAnsi="宋体"/>
          <w:bCs/>
          <w:color w:val="auto"/>
          <w:szCs w:val="21"/>
          <w:highlight w:val="none"/>
        </w:rPr>
        <w:t>35.3</w:t>
      </w:r>
      <w:r>
        <w:rPr>
          <w:rFonts w:hint="eastAsia" w:hAnsi="宋体"/>
          <w:bCs/>
          <w:color w:val="auto"/>
          <w:szCs w:val="21"/>
          <w:highlight w:val="none"/>
        </w:rPr>
        <w:t>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2A7BB288">
      <w:pPr>
        <w:spacing w:line="360" w:lineRule="exact"/>
        <w:ind w:firstLine="420" w:firstLineChars="200"/>
        <w:rPr>
          <w:rFonts w:hAnsi="宋体"/>
          <w:bCs/>
          <w:color w:val="auto"/>
          <w:szCs w:val="21"/>
          <w:highlight w:val="none"/>
        </w:rPr>
      </w:pPr>
      <w:r>
        <w:rPr>
          <w:rFonts w:hAnsi="宋体"/>
          <w:bCs/>
          <w:color w:val="auto"/>
          <w:szCs w:val="21"/>
          <w:highlight w:val="none"/>
        </w:rPr>
        <w:t>35.4</w:t>
      </w:r>
      <w:r>
        <w:rPr>
          <w:rFonts w:hint="eastAsia" w:hAnsi="宋体"/>
          <w:bCs/>
          <w:color w:val="auto"/>
          <w:szCs w:val="21"/>
          <w:highlight w:val="none"/>
        </w:rPr>
        <w:t>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2BB89E89">
      <w:pPr>
        <w:spacing w:line="360" w:lineRule="exact"/>
        <w:ind w:firstLine="420" w:firstLineChars="200"/>
        <w:rPr>
          <w:rFonts w:hAnsi="宋体"/>
          <w:bCs/>
          <w:color w:val="auto"/>
          <w:szCs w:val="21"/>
          <w:highlight w:val="none"/>
        </w:rPr>
      </w:pPr>
      <w:r>
        <w:rPr>
          <w:rFonts w:hAnsi="宋体"/>
          <w:bCs/>
          <w:color w:val="auto"/>
          <w:szCs w:val="21"/>
          <w:highlight w:val="none"/>
        </w:rPr>
        <w:t>35.5</w:t>
      </w:r>
      <w:r>
        <w:rPr>
          <w:rFonts w:hint="eastAsia" w:hAnsi="宋体"/>
          <w:bCs/>
          <w:color w:val="auto"/>
          <w:szCs w:val="21"/>
          <w:highlight w:val="none"/>
        </w:rPr>
        <w:t>项目验收完毕，成交供应商将壹份《广西壮族自治区政府采购项目合同验收书》（格式详见附件）送采购代理机构存档。</w:t>
      </w:r>
    </w:p>
    <w:p w14:paraId="7BBA62C4">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七、其他事项</w:t>
      </w:r>
    </w:p>
    <w:p w14:paraId="39BB1B87">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36. 需要补充的其他内容</w:t>
      </w:r>
    </w:p>
    <w:p w14:paraId="00D2014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36.1本谈判文件解释规则详见“供应商须知前附表”。</w:t>
      </w:r>
    </w:p>
    <w:p w14:paraId="515D0C8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37.2其他事项详见“供应商须知前附表”。</w:t>
      </w:r>
    </w:p>
    <w:p w14:paraId="1592F3AE">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37.</w:t>
      </w:r>
      <w:r>
        <w:rPr>
          <w:rFonts w:hint="eastAsia" w:ascii="宋体" w:hAnsi="宋体"/>
          <w:b/>
          <w:color w:val="auto"/>
          <w:szCs w:val="21"/>
          <w:highlight w:val="none"/>
        </w:rPr>
        <w:t xml:space="preserve"> 成交服务费</w:t>
      </w:r>
    </w:p>
    <w:p w14:paraId="2FEE05D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37.1成交服务费：代理服务费以成交价为计费依据，参照国家发展计划委员会《招标代理服务收费管理暂行办法》(计价格[2002]1980号)收费标准及《国家发展改革委关于降低部分建设项目收费标准规范收费行为等有关问题的通知》(发改价格[2011]534号)标准费率的规定下浮</w:t>
      </w:r>
      <w:r>
        <w:rPr>
          <w:rFonts w:hint="eastAsia" w:ascii="宋体" w:hAnsi="宋体"/>
          <w:color w:val="auto"/>
          <w:szCs w:val="21"/>
          <w:highlight w:val="none"/>
          <w:lang w:val="en-US" w:eastAsia="zh-CN"/>
        </w:rPr>
        <w:t>10</w:t>
      </w:r>
      <w:r>
        <w:rPr>
          <w:rFonts w:hint="eastAsia" w:ascii="宋体" w:hAnsi="宋体"/>
          <w:color w:val="auto"/>
          <w:szCs w:val="21"/>
          <w:highlight w:val="none"/>
        </w:rPr>
        <w:t>%向成交供应商收取。</w:t>
      </w:r>
      <w:r>
        <w:rPr>
          <w:rFonts w:hint="eastAsia" w:ascii="宋体" w:hAnsi="宋体" w:cs="宋体"/>
          <w:color w:val="auto"/>
          <w:szCs w:val="21"/>
          <w:highlight w:val="none"/>
        </w:rPr>
        <w:t>成交</w:t>
      </w:r>
      <w:r>
        <w:rPr>
          <w:rFonts w:hint="eastAsia" w:ascii="宋体" w:hAnsi="宋体"/>
          <w:color w:val="auto"/>
          <w:szCs w:val="21"/>
          <w:highlight w:val="none"/>
        </w:rPr>
        <w:t>供应商</w:t>
      </w:r>
      <w:r>
        <w:rPr>
          <w:rFonts w:hint="eastAsia" w:ascii="宋体" w:hAnsi="宋体" w:cs="宋体"/>
          <w:color w:val="auto"/>
          <w:szCs w:val="21"/>
          <w:highlight w:val="none"/>
        </w:rPr>
        <w:t>在领取成交通知书时，一次性向采购代理机构支付</w:t>
      </w:r>
      <w:r>
        <w:rPr>
          <w:rFonts w:hint="eastAsia" w:hAnsi="宋体"/>
          <w:color w:val="auto"/>
          <w:szCs w:val="21"/>
          <w:highlight w:val="none"/>
        </w:rPr>
        <w:t>。</w:t>
      </w:r>
    </w:p>
    <w:p w14:paraId="7018A57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37.2成交服务费收费标准：</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1980"/>
        <w:gridCol w:w="1980"/>
        <w:gridCol w:w="2700"/>
      </w:tblGrid>
      <w:tr w14:paraId="247F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448" w:type="dxa"/>
            <w:tcBorders>
              <w:top w:val="single" w:color="auto" w:sz="4" w:space="0"/>
              <w:left w:val="single" w:color="auto" w:sz="4" w:space="0"/>
              <w:bottom w:val="single" w:color="auto" w:sz="4" w:space="0"/>
              <w:right w:val="single" w:color="auto" w:sz="4" w:space="0"/>
            </w:tcBorders>
            <w:vAlign w:val="center"/>
          </w:tcPr>
          <w:p w14:paraId="630F29D5">
            <w:pPr>
              <w:spacing w:line="360" w:lineRule="exact"/>
              <w:ind w:firstLine="420" w:firstLineChars="200"/>
              <w:jc w:val="center"/>
              <w:rPr>
                <w:rFonts w:ascii="宋体" w:hAnsi="宋体" w:cs="宋体"/>
                <w:b/>
                <w:color w:val="auto"/>
                <w:szCs w:val="21"/>
                <w:highlight w:val="none"/>
              </w:rPr>
            </w:pPr>
            <w:r>
              <w:rPr>
                <w:color w:val="auto"/>
                <w:szCs w:val="21"/>
                <w:highlight w:val="none"/>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-6350</wp:posOffset>
                      </wp:positionV>
                      <wp:extent cx="1016000" cy="895985"/>
                      <wp:effectExtent l="3175" t="3810" r="17145" b="14605"/>
                      <wp:wrapNone/>
                      <wp:docPr id="3" name="直线 20"/>
                      <wp:cNvGraphicFramePr/>
                      <a:graphic xmlns:a="http://schemas.openxmlformats.org/drawingml/2006/main">
                        <a:graphicData uri="http://schemas.microsoft.com/office/word/2010/wordprocessingShape">
                          <wps:wsp>
                            <wps:cNvCnPr/>
                            <wps:spPr>
                              <a:xfrm flipH="1" flipV="1">
                                <a:off x="0" y="0"/>
                                <a:ext cx="1016000" cy="89598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20" o:spid="_x0000_s1026" o:spt="20" style="position:absolute;left:0pt;flip:x y;margin-left:36pt;margin-top:-0.5pt;height:70.55pt;width:80pt;z-index:251661312;mso-width-relative:page;mso-height-relative:page;" filled="f" stroked="t" coordsize="21600,21600" o:gfxdata="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cSTPA0gAAAAkBAAAPAAAAAAAAAAEAIAAAACIAAABkcnMvZG93bnJldi54bWxQSwECFAAUAAAA&#10;CACHTuJAKfCL1fQBAAD3AwAADgAAAAAAAAABACAAAAAhAQAAZHJzL2Uyb0RvYy54bWxQSwUGAAAA&#10;AAYABgBZAQAAhwUAAAAA&#10;">
                      <v:fill on="f" focussize="0,0"/>
                      <v:stroke color="#000000" joinstyle="round"/>
                      <v:imagedata o:title=""/>
                      <o:lock v:ext="edit" aspectratio="f"/>
                    </v:line>
                  </w:pict>
                </mc:Fallback>
              </mc:AlternateContent>
            </w:r>
            <w:r>
              <w:rPr>
                <w:rFonts w:hint="eastAsia" w:ascii="宋体" w:hAnsi="宋体" w:cs="宋体"/>
                <w:b/>
                <w:color w:val="auto"/>
                <w:szCs w:val="21"/>
                <w:highlight w:val="none"/>
              </w:rPr>
              <w:t>费率</w:t>
            </w:r>
            <w:r>
              <w:rPr>
                <w:color w:val="auto"/>
                <w:szCs w:val="21"/>
                <w:highlight w:val="none"/>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-6350</wp:posOffset>
                      </wp:positionV>
                      <wp:extent cx="635" cy="0"/>
                      <wp:effectExtent l="0" t="4445" r="0" b="5080"/>
                      <wp:wrapNone/>
                      <wp:docPr id="1" name="直线 18"/>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18" o:spid="_x0000_s1026" o:spt="20" style="position:absolute;left:0pt;margin-left:-9pt;margin-top:-0.5pt;height:0pt;width:0.05pt;z-index:251659264;mso-width-relative:page;mso-height-relative:page;" filled="f" stroked="t" coordsize="21600,21600" o:allowincell="f" o:gfxdata="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uR037VAAAACQEAAA8A&#10;AAAAAAAAAQAgAAAAIgAAAGRycy9kb3ducmV2LnhtbFBLAQIUABQAAAAIAIdO4kCpcURx4QEAANoD&#10;AAAOAAAAAAAAAAEAIAAAACQBAABkcnMvZTJvRG9jLnhtbFBLBQYAAAAABgAGAFkBAAB3BQAAAAA=&#10;">
                      <v:fill on="f" focussize="0,0"/>
                      <v:stroke color="#000000" joinstyle="round"/>
                      <v:imagedata o:title=""/>
                      <o:lock v:ext="edit" aspectratio="f"/>
                    </v:line>
                  </w:pict>
                </mc:Fallback>
              </mc:AlternateContent>
            </w:r>
            <w:r>
              <w:rPr>
                <w:rFonts w:hint="eastAsia" w:ascii="宋体" w:hAnsi="宋体" w:cs="宋体"/>
                <w:b/>
                <w:color w:val="auto"/>
                <w:szCs w:val="21"/>
                <w:highlight w:val="none"/>
              </w:rPr>
              <w:t xml:space="preserve">    服务类型</w:t>
            </w:r>
          </w:p>
          <w:p w14:paraId="50CB8574">
            <w:pPr>
              <w:spacing w:line="360" w:lineRule="exact"/>
              <w:ind w:firstLine="420" w:firstLineChars="200"/>
              <w:jc w:val="center"/>
              <w:rPr>
                <w:rFonts w:ascii="宋体" w:hAnsi="宋体" w:cs="宋体"/>
                <w:b/>
                <w:color w:val="auto"/>
                <w:szCs w:val="21"/>
                <w:highlight w:val="none"/>
              </w:rPr>
            </w:pPr>
            <w:r>
              <w:rPr>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74930</wp:posOffset>
                      </wp:positionV>
                      <wp:extent cx="1555115" cy="553720"/>
                      <wp:effectExtent l="1905" t="4445" r="12700" b="5715"/>
                      <wp:wrapNone/>
                      <wp:docPr id="2" name="直线 19"/>
                      <wp:cNvGraphicFramePr/>
                      <a:graphic xmlns:a="http://schemas.openxmlformats.org/drawingml/2006/main">
                        <a:graphicData uri="http://schemas.microsoft.com/office/word/2010/wordprocessingShape">
                          <wps:wsp>
                            <wps:cNvCnPr/>
                            <wps:spPr>
                              <a:xfrm flipH="1" flipV="1">
                                <a:off x="0" y="0"/>
                                <a:ext cx="1555115" cy="55372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19" o:spid="_x0000_s1026" o:spt="20" style="position:absolute;left:0pt;flip:x y;margin-left:-9pt;margin-top:5.9pt;height:43.6pt;width:122.45pt;z-index:251660288;mso-width-relative:page;mso-height-relative:page;" filled="f" stroked="t" coordsize="21600,21600" o:gfxdata="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TXcOLUAAAACQEAAA8AAAAAAAAAAQAgAAAAIgAAAGRycy9kb3ducmV2LnhtbFBLAQIU&#10;ABQAAAAIAIdO4kBi39fc9wEAAPcDAAAOAAAAAAAAAAEAIAAAACMBAABkcnMvZTJvRG9jLnhtbFBL&#10;BQYAAAAABgAGAFkBAACMBQAAAAA=&#10;">
                      <v:fill on="f" focussize="0,0"/>
                      <v:stroke color="#000000" joinstyle="round"/>
                      <v:imagedata o:title=""/>
                      <o:lock v:ext="edit" aspectratio="f"/>
                    </v:line>
                  </w:pict>
                </mc:Fallback>
              </mc:AlternateContent>
            </w:r>
          </w:p>
          <w:p w14:paraId="498384FA">
            <w:pPr>
              <w:spacing w:line="360" w:lineRule="exact"/>
              <w:ind w:firstLine="422" w:firstLineChars="200"/>
              <w:rPr>
                <w:rFonts w:ascii="宋体" w:hAnsi="宋体" w:cs="宋体"/>
                <w:b/>
                <w:color w:val="auto"/>
                <w:szCs w:val="21"/>
                <w:highlight w:val="none"/>
              </w:rPr>
            </w:pPr>
          </w:p>
          <w:p w14:paraId="2286F659">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成交金额（万元）</w:t>
            </w:r>
          </w:p>
        </w:tc>
        <w:tc>
          <w:tcPr>
            <w:tcW w:w="1980" w:type="dxa"/>
            <w:tcBorders>
              <w:top w:val="single" w:color="auto" w:sz="4" w:space="0"/>
              <w:left w:val="single" w:color="auto" w:sz="4" w:space="0"/>
              <w:bottom w:val="single" w:color="auto" w:sz="4" w:space="0"/>
              <w:right w:val="single" w:color="auto" w:sz="4" w:space="0"/>
            </w:tcBorders>
            <w:vAlign w:val="center"/>
          </w:tcPr>
          <w:p w14:paraId="0493F10E">
            <w:pPr>
              <w:spacing w:line="360" w:lineRule="exact"/>
              <w:ind w:firstLine="422" w:firstLineChars="200"/>
              <w:jc w:val="center"/>
              <w:rPr>
                <w:rFonts w:ascii="宋体" w:hAnsi="宋体" w:cs="宋体"/>
                <w:b/>
                <w:color w:val="auto"/>
                <w:szCs w:val="21"/>
                <w:highlight w:val="none"/>
              </w:rPr>
            </w:pPr>
            <w:r>
              <w:rPr>
                <w:rFonts w:hint="eastAsia" w:ascii="宋体" w:hAnsi="宋体" w:cs="宋体"/>
                <w:b/>
                <w:color w:val="auto"/>
                <w:szCs w:val="21"/>
                <w:highlight w:val="none"/>
              </w:rPr>
              <w:t>货物招标</w:t>
            </w:r>
          </w:p>
        </w:tc>
        <w:tc>
          <w:tcPr>
            <w:tcW w:w="1980" w:type="dxa"/>
            <w:tcBorders>
              <w:top w:val="single" w:color="auto" w:sz="4" w:space="0"/>
              <w:left w:val="single" w:color="auto" w:sz="4" w:space="0"/>
              <w:bottom w:val="single" w:color="auto" w:sz="4" w:space="0"/>
              <w:right w:val="single" w:color="auto" w:sz="4" w:space="0"/>
            </w:tcBorders>
            <w:vAlign w:val="center"/>
          </w:tcPr>
          <w:p w14:paraId="6D6D69FF">
            <w:pPr>
              <w:spacing w:line="360" w:lineRule="exact"/>
              <w:ind w:firstLine="422" w:firstLineChars="200"/>
              <w:jc w:val="center"/>
              <w:rPr>
                <w:rFonts w:ascii="宋体" w:hAnsi="宋体" w:cs="宋体"/>
                <w:b/>
                <w:color w:val="auto"/>
                <w:szCs w:val="21"/>
                <w:highlight w:val="none"/>
              </w:rPr>
            </w:pPr>
            <w:r>
              <w:rPr>
                <w:rFonts w:hint="eastAsia" w:ascii="宋体" w:hAnsi="宋体" w:cs="宋体"/>
                <w:b/>
                <w:color w:val="auto"/>
                <w:szCs w:val="21"/>
                <w:highlight w:val="none"/>
              </w:rPr>
              <w:t>服务招标</w:t>
            </w:r>
          </w:p>
        </w:tc>
        <w:tc>
          <w:tcPr>
            <w:tcW w:w="2700" w:type="dxa"/>
            <w:tcBorders>
              <w:top w:val="single" w:color="auto" w:sz="4" w:space="0"/>
              <w:left w:val="single" w:color="auto" w:sz="4" w:space="0"/>
              <w:bottom w:val="single" w:color="auto" w:sz="4" w:space="0"/>
              <w:right w:val="single" w:color="auto" w:sz="4" w:space="0"/>
            </w:tcBorders>
            <w:vAlign w:val="center"/>
          </w:tcPr>
          <w:p w14:paraId="181CADA8">
            <w:pPr>
              <w:spacing w:line="360" w:lineRule="exact"/>
              <w:ind w:firstLine="422" w:firstLineChars="200"/>
              <w:jc w:val="center"/>
              <w:rPr>
                <w:rFonts w:ascii="宋体" w:hAnsi="宋体" w:cs="宋体"/>
                <w:b/>
                <w:color w:val="auto"/>
                <w:szCs w:val="21"/>
                <w:highlight w:val="none"/>
              </w:rPr>
            </w:pPr>
            <w:r>
              <w:rPr>
                <w:rFonts w:hint="eastAsia" w:ascii="宋体" w:hAnsi="宋体" w:cs="宋体"/>
                <w:b/>
                <w:color w:val="auto"/>
                <w:szCs w:val="21"/>
                <w:highlight w:val="none"/>
              </w:rPr>
              <w:t>工程招标</w:t>
            </w:r>
          </w:p>
        </w:tc>
      </w:tr>
      <w:tr w14:paraId="046EB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7AE07495">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100以下</w:t>
            </w:r>
          </w:p>
        </w:tc>
        <w:tc>
          <w:tcPr>
            <w:tcW w:w="1980" w:type="dxa"/>
            <w:tcBorders>
              <w:top w:val="single" w:color="auto" w:sz="4" w:space="0"/>
              <w:left w:val="single" w:color="auto" w:sz="4" w:space="0"/>
              <w:bottom w:val="single" w:color="auto" w:sz="4" w:space="0"/>
              <w:right w:val="single" w:color="auto" w:sz="4" w:space="0"/>
            </w:tcBorders>
            <w:vAlign w:val="center"/>
          </w:tcPr>
          <w:p w14:paraId="5D125C93">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1.5%</w:t>
            </w:r>
          </w:p>
        </w:tc>
        <w:tc>
          <w:tcPr>
            <w:tcW w:w="1980" w:type="dxa"/>
            <w:tcBorders>
              <w:top w:val="single" w:color="auto" w:sz="4" w:space="0"/>
              <w:left w:val="single" w:color="auto" w:sz="4" w:space="0"/>
              <w:bottom w:val="single" w:color="auto" w:sz="4" w:space="0"/>
              <w:right w:val="single" w:color="auto" w:sz="4" w:space="0"/>
            </w:tcBorders>
            <w:vAlign w:val="center"/>
          </w:tcPr>
          <w:p w14:paraId="38B475CA">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1.5%</w:t>
            </w:r>
          </w:p>
        </w:tc>
        <w:tc>
          <w:tcPr>
            <w:tcW w:w="2700" w:type="dxa"/>
            <w:tcBorders>
              <w:top w:val="single" w:color="auto" w:sz="4" w:space="0"/>
              <w:left w:val="single" w:color="auto" w:sz="4" w:space="0"/>
              <w:bottom w:val="single" w:color="auto" w:sz="4" w:space="0"/>
              <w:right w:val="single" w:color="auto" w:sz="4" w:space="0"/>
            </w:tcBorders>
            <w:vAlign w:val="center"/>
          </w:tcPr>
          <w:p w14:paraId="2085A92C">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1.0%</w:t>
            </w:r>
          </w:p>
        </w:tc>
      </w:tr>
      <w:tr w14:paraId="306F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4DD863E1">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100-500</w:t>
            </w:r>
          </w:p>
        </w:tc>
        <w:tc>
          <w:tcPr>
            <w:tcW w:w="1980" w:type="dxa"/>
            <w:tcBorders>
              <w:top w:val="single" w:color="auto" w:sz="4" w:space="0"/>
              <w:left w:val="single" w:color="auto" w:sz="4" w:space="0"/>
              <w:bottom w:val="single" w:color="auto" w:sz="4" w:space="0"/>
              <w:right w:val="single" w:color="auto" w:sz="4" w:space="0"/>
            </w:tcBorders>
            <w:vAlign w:val="center"/>
          </w:tcPr>
          <w:p w14:paraId="029ADC3D">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1.1%</w:t>
            </w:r>
          </w:p>
        </w:tc>
        <w:tc>
          <w:tcPr>
            <w:tcW w:w="1980" w:type="dxa"/>
            <w:tcBorders>
              <w:top w:val="single" w:color="auto" w:sz="4" w:space="0"/>
              <w:left w:val="single" w:color="auto" w:sz="4" w:space="0"/>
              <w:bottom w:val="single" w:color="auto" w:sz="4" w:space="0"/>
              <w:right w:val="single" w:color="auto" w:sz="4" w:space="0"/>
            </w:tcBorders>
            <w:vAlign w:val="center"/>
          </w:tcPr>
          <w:p w14:paraId="00CA5CD1">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0.8%</w:t>
            </w:r>
          </w:p>
        </w:tc>
        <w:tc>
          <w:tcPr>
            <w:tcW w:w="2700" w:type="dxa"/>
            <w:tcBorders>
              <w:top w:val="single" w:color="auto" w:sz="4" w:space="0"/>
              <w:left w:val="single" w:color="auto" w:sz="4" w:space="0"/>
              <w:bottom w:val="single" w:color="auto" w:sz="4" w:space="0"/>
              <w:right w:val="single" w:color="auto" w:sz="4" w:space="0"/>
            </w:tcBorders>
            <w:vAlign w:val="center"/>
          </w:tcPr>
          <w:p w14:paraId="5701E0D0">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0.7%</w:t>
            </w:r>
          </w:p>
        </w:tc>
      </w:tr>
      <w:tr w14:paraId="65218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7C596C38">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500-1000</w:t>
            </w:r>
          </w:p>
        </w:tc>
        <w:tc>
          <w:tcPr>
            <w:tcW w:w="1980" w:type="dxa"/>
            <w:tcBorders>
              <w:top w:val="single" w:color="auto" w:sz="4" w:space="0"/>
              <w:left w:val="single" w:color="auto" w:sz="4" w:space="0"/>
              <w:bottom w:val="single" w:color="auto" w:sz="4" w:space="0"/>
              <w:right w:val="single" w:color="auto" w:sz="4" w:space="0"/>
            </w:tcBorders>
            <w:vAlign w:val="center"/>
          </w:tcPr>
          <w:p w14:paraId="7A474BDB">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0.8%</w:t>
            </w:r>
          </w:p>
        </w:tc>
        <w:tc>
          <w:tcPr>
            <w:tcW w:w="1980" w:type="dxa"/>
            <w:tcBorders>
              <w:top w:val="single" w:color="auto" w:sz="4" w:space="0"/>
              <w:left w:val="single" w:color="auto" w:sz="4" w:space="0"/>
              <w:bottom w:val="single" w:color="auto" w:sz="4" w:space="0"/>
              <w:right w:val="single" w:color="auto" w:sz="4" w:space="0"/>
            </w:tcBorders>
            <w:vAlign w:val="center"/>
          </w:tcPr>
          <w:p w14:paraId="3C72C283">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0.45%</w:t>
            </w:r>
          </w:p>
        </w:tc>
        <w:tc>
          <w:tcPr>
            <w:tcW w:w="2700" w:type="dxa"/>
            <w:tcBorders>
              <w:top w:val="single" w:color="auto" w:sz="4" w:space="0"/>
              <w:left w:val="single" w:color="auto" w:sz="4" w:space="0"/>
              <w:bottom w:val="single" w:color="auto" w:sz="4" w:space="0"/>
              <w:right w:val="single" w:color="auto" w:sz="4" w:space="0"/>
            </w:tcBorders>
            <w:vAlign w:val="center"/>
          </w:tcPr>
          <w:p w14:paraId="72B094C0">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0.55%</w:t>
            </w:r>
          </w:p>
        </w:tc>
      </w:tr>
      <w:tr w14:paraId="3859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77679615">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1000-5000</w:t>
            </w:r>
          </w:p>
        </w:tc>
        <w:tc>
          <w:tcPr>
            <w:tcW w:w="1980" w:type="dxa"/>
            <w:tcBorders>
              <w:top w:val="single" w:color="auto" w:sz="4" w:space="0"/>
              <w:left w:val="single" w:color="auto" w:sz="4" w:space="0"/>
              <w:bottom w:val="single" w:color="auto" w:sz="4" w:space="0"/>
              <w:right w:val="single" w:color="auto" w:sz="4" w:space="0"/>
            </w:tcBorders>
            <w:vAlign w:val="center"/>
          </w:tcPr>
          <w:p w14:paraId="136CBE1F">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0.5%</w:t>
            </w:r>
          </w:p>
        </w:tc>
        <w:tc>
          <w:tcPr>
            <w:tcW w:w="1980" w:type="dxa"/>
            <w:tcBorders>
              <w:top w:val="single" w:color="auto" w:sz="4" w:space="0"/>
              <w:left w:val="single" w:color="auto" w:sz="4" w:space="0"/>
              <w:bottom w:val="single" w:color="auto" w:sz="4" w:space="0"/>
              <w:right w:val="single" w:color="auto" w:sz="4" w:space="0"/>
            </w:tcBorders>
            <w:vAlign w:val="center"/>
          </w:tcPr>
          <w:p w14:paraId="07726504">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0.25%</w:t>
            </w:r>
          </w:p>
        </w:tc>
        <w:tc>
          <w:tcPr>
            <w:tcW w:w="2700" w:type="dxa"/>
            <w:tcBorders>
              <w:top w:val="single" w:color="auto" w:sz="4" w:space="0"/>
              <w:left w:val="single" w:color="auto" w:sz="4" w:space="0"/>
              <w:bottom w:val="single" w:color="auto" w:sz="4" w:space="0"/>
              <w:right w:val="single" w:color="auto" w:sz="4" w:space="0"/>
            </w:tcBorders>
            <w:vAlign w:val="center"/>
          </w:tcPr>
          <w:p w14:paraId="3933A137">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0.35%</w:t>
            </w:r>
          </w:p>
        </w:tc>
      </w:tr>
      <w:tr w14:paraId="2C0FD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0B05E372">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5000-10000</w:t>
            </w:r>
          </w:p>
        </w:tc>
        <w:tc>
          <w:tcPr>
            <w:tcW w:w="1980" w:type="dxa"/>
            <w:tcBorders>
              <w:top w:val="single" w:color="auto" w:sz="4" w:space="0"/>
              <w:left w:val="single" w:color="auto" w:sz="4" w:space="0"/>
              <w:bottom w:val="single" w:color="auto" w:sz="4" w:space="0"/>
              <w:right w:val="single" w:color="auto" w:sz="4" w:space="0"/>
            </w:tcBorders>
            <w:vAlign w:val="center"/>
          </w:tcPr>
          <w:p w14:paraId="4E0A24EA">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0.25%</w:t>
            </w:r>
          </w:p>
        </w:tc>
        <w:tc>
          <w:tcPr>
            <w:tcW w:w="1980" w:type="dxa"/>
            <w:tcBorders>
              <w:top w:val="single" w:color="auto" w:sz="4" w:space="0"/>
              <w:left w:val="single" w:color="auto" w:sz="4" w:space="0"/>
              <w:bottom w:val="single" w:color="auto" w:sz="4" w:space="0"/>
              <w:right w:val="single" w:color="auto" w:sz="4" w:space="0"/>
            </w:tcBorders>
            <w:vAlign w:val="center"/>
          </w:tcPr>
          <w:p w14:paraId="7E0F7E92">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0.1%</w:t>
            </w:r>
          </w:p>
        </w:tc>
        <w:tc>
          <w:tcPr>
            <w:tcW w:w="2700" w:type="dxa"/>
            <w:tcBorders>
              <w:top w:val="single" w:color="auto" w:sz="4" w:space="0"/>
              <w:left w:val="single" w:color="auto" w:sz="4" w:space="0"/>
              <w:bottom w:val="single" w:color="auto" w:sz="4" w:space="0"/>
              <w:right w:val="single" w:color="auto" w:sz="4" w:space="0"/>
            </w:tcBorders>
            <w:vAlign w:val="center"/>
          </w:tcPr>
          <w:p w14:paraId="40CE11EE">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0.2%</w:t>
            </w:r>
          </w:p>
        </w:tc>
      </w:tr>
      <w:tr w14:paraId="6B00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744CBEBE">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10000-100000</w:t>
            </w:r>
          </w:p>
        </w:tc>
        <w:tc>
          <w:tcPr>
            <w:tcW w:w="1980" w:type="dxa"/>
            <w:tcBorders>
              <w:top w:val="single" w:color="auto" w:sz="4" w:space="0"/>
              <w:left w:val="single" w:color="auto" w:sz="4" w:space="0"/>
              <w:bottom w:val="single" w:color="auto" w:sz="4" w:space="0"/>
              <w:right w:val="single" w:color="auto" w:sz="4" w:space="0"/>
            </w:tcBorders>
            <w:vAlign w:val="center"/>
          </w:tcPr>
          <w:p w14:paraId="319D572E">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0.05%</w:t>
            </w:r>
          </w:p>
        </w:tc>
        <w:tc>
          <w:tcPr>
            <w:tcW w:w="1980" w:type="dxa"/>
            <w:tcBorders>
              <w:top w:val="single" w:color="auto" w:sz="4" w:space="0"/>
              <w:left w:val="single" w:color="auto" w:sz="4" w:space="0"/>
              <w:bottom w:val="single" w:color="auto" w:sz="4" w:space="0"/>
              <w:right w:val="single" w:color="auto" w:sz="4" w:space="0"/>
            </w:tcBorders>
            <w:vAlign w:val="center"/>
          </w:tcPr>
          <w:p w14:paraId="3089BC1A">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0.05%</w:t>
            </w:r>
          </w:p>
        </w:tc>
        <w:tc>
          <w:tcPr>
            <w:tcW w:w="2700" w:type="dxa"/>
            <w:tcBorders>
              <w:top w:val="single" w:color="auto" w:sz="4" w:space="0"/>
              <w:left w:val="single" w:color="auto" w:sz="4" w:space="0"/>
              <w:bottom w:val="single" w:color="auto" w:sz="4" w:space="0"/>
              <w:right w:val="single" w:color="auto" w:sz="4" w:space="0"/>
            </w:tcBorders>
            <w:vAlign w:val="center"/>
          </w:tcPr>
          <w:p w14:paraId="1020D40D">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0.05%</w:t>
            </w:r>
          </w:p>
        </w:tc>
      </w:tr>
      <w:tr w14:paraId="28B55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8" w:type="dxa"/>
            <w:tcBorders>
              <w:top w:val="single" w:color="auto" w:sz="4" w:space="0"/>
              <w:left w:val="single" w:color="auto" w:sz="4" w:space="0"/>
              <w:bottom w:val="single" w:color="auto" w:sz="4" w:space="0"/>
              <w:right w:val="single" w:color="auto" w:sz="4" w:space="0"/>
            </w:tcBorders>
            <w:vAlign w:val="center"/>
          </w:tcPr>
          <w:p w14:paraId="2F9F912F">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1000000以上</w:t>
            </w:r>
          </w:p>
        </w:tc>
        <w:tc>
          <w:tcPr>
            <w:tcW w:w="1980" w:type="dxa"/>
            <w:tcBorders>
              <w:top w:val="single" w:color="auto" w:sz="4" w:space="0"/>
              <w:left w:val="single" w:color="auto" w:sz="4" w:space="0"/>
              <w:bottom w:val="single" w:color="auto" w:sz="4" w:space="0"/>
              <w:right w:val="single" w:color="auto" w:sz="4" w:space="0"/>
            </w:tcBorders>
            <w:vAlign w:val="center"/>
          </w:tcPr>
          <w:p w14:paraId="7D7572A1">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0.01%</w:t>
            </w:r>
          </w:p>
        </w:tc>
        <w:tc>
          <w:tcPr>
            <w:tcW w:w="1980" w:type="dxa"/>
            <w:tcBorders>
              <w:top w:val="single" w:color="auto" w:sz="4" w:space="0"/>
              <w:left w:val="single" w:color="auto" w:sz="4" w:space="0"/>
              <w:bottom w:val="single" w:color="auto" w:sz="4" w:space="0"/>
              <w:right w:val="single" w:color="auto" w:sz="4" w:space="0"/>
            </w:tcBorders>
            <w:vAlign w:val="center"/>
          </w:tcPr>
          <w:p w14:paraId="7A60E4F0">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0.01%</w:t>
            </w:r>
          </w:p>
        </w:tc>
        <w:tc>
          <w:tcPr>
            <w:tcW w:w="2700" w:type="dxa"/>
            <w:tcBorders>
              <w:top w:val="single" w:color="auto" w:sz="4" w:space="0"/>
              <w:left w:val="single" w:color="auto" w:sz="4" w:space="0"/>
              <w:bottom w:val="single" w:color="auto" w:sz="4" w:space="0"/>
              <w:right w:val="single" w:color="auto" w:sz="4" w:space="0"/>
            </w:tcBorders>
            <w:vAlign w:val="center"/>
          </w:tcPr>
          <w:p w14:paraId="3D95B3BA">
            <w:pPr>
              <w:pStyle w:val="20"/>
              <w:spacing w:line="360" w:lineRule="exact"/>
              <w:ind w:firstLine="420" w:firstLineChars="200"/>
              <w:jc w:val="center"/>
              <w:rPr>
                <w:rFonts w:hAnsi="宋体" w:cs="宋体"/>
                <w:color w:val="auto"/>
                <w:kern w:val="2"/>
                <w:sz w:val="21"/>
                <w:szCs w:val="21"/>
                <w:highlight w:val="none"/>
              </w:rPr>
            </w:pPr>
            <w:r>
              <w:rPr>
                <w:rFonts w:hint="eastAsia" w:hAnsi="宋体" w:cs="宋体"/>
                <w:color w:val="auto"/>
                <w:kern w:val="2"/>
                <w:sz w:val="21"/>
                <w:szCs w:val="21"/>
                <w:highlight w:val="none"/>
              </w:rPr>
              <w:t>0.01%</w:t>
            </w:r>
          </w:p>
        </w:tc>
      </w:tr>
    </w:tbl>
    <w:p w14:paraId="35E83B32">
      <w:pPr>
        <w:pStyle w:val="20"/>
        <w:spacing w:line="360" w:lineRule="exact"/>
        <w:ind w:firstLine="420" w:firstLineChars="200"/>
        <w:rPr>
          <w:rFonts w:hAnsi="宋体" w:cs="宋体"/>
          <w:color w:val="auto"/>
          <w:kern w:val="2"/>
          <w:sz w:val="21"/>
          <w:szCs w:val="21"/>
          <w:highlight w:val="none"/>
        </w:rPr>
      </w:pPr>
      <w:r>
        <w:rPr>
          <w:rFonts w:hint="eastAsia" w:hAnsi="宋体" w:cs="宋体"/>
          <w:color w:val="auto"/>
          <w:kern w:val="2"/>
          <w:sz w:val="21"/>
          <w:szCs w:val="21"/>
          <w:highlight w:val="none"/>
        </w:rPr>
        <w:t>注：招标代理服务费收费按差额定率累进法计算。</w:t>
      </w:r>
    </w:p>
    <w:p w14:paraId="754FD905">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38.供应商信用查询相关规定</w:t>
      </w:r>
    </w:p>
    <w:p w14:paraId="52454F1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38.1信用查询渠道：“信用中国”网站（www.creditchina.gov.cn）、中国政府采购网（www.ccgp.gov.cn）；</w:t>
      </w:r>
    </w:p>
    <w:p w14:paraId="053DCC2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38.2信用查询截止时点：资格审查时。</w:t>
      </w:r>
    </w:p>
    <w:p w14:paraId="09D67ED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38.3信用信息查询记录：“列入失信被执行人”、“ 重大税收违法案件当事人名单”、“政府采购严重违法失信行为记录名单”。</w:t>
      </w:r>
    </w:p>
    <w:p w14:paraId="4758432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38.4信用信息的使用规则：如供应商被列入“列入失信被执行人”、 “ 重大税收违法案件当事人名单”、“政府采购严重违法失信行为记录名单”等名单内的，将按照信用信息使用规则处理。</w:t>
      </w:r>
    </w:p>
    <w:p w14:paraId="17254911">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39.关于中小企业的相关规定</w:t>
      </w:r>
    </w:p>
    <w:p w14:paraId="4E02047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39.1根据《政府采购促进中小企业发展管理办法》（财库[2020]46号），本谈判文件中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5F1AF3A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39.2供应商提供的货物、工程或者服务符合下列情形的，享受中小企业扶持政策：①在货物采购项目中，货物由中小企业制造，即货物由中小企业生产且使用该中小企业商号或者注册商标；②在工程采购项目中，工程由中小企业承建，即工程施工单位为中小企业；③在服务采购项目中，服务由中小企业承接，即提供服务的人员为中小企业依照《中华人民共和国劳动合同法》订立劳动合同的从业人员。</w:t>
      </w:r>
    </w:p>
    <w:p w14:paraId="6BB3E2F4">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39.3在货物采购项目中，供应商提供的货物既有中小企业制造货物，也有大型企业制造货物的，不享受中小企业扶持政策。</w:t>
      </w:r>
    </w:p>
    <w:p w14:paraId="445994E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39.4以联合体形式参加政府采购活动，联合体各方均为中小企业的，联合体视同中小企业。其中，联合体各方均为小微企业的，联合体视同小微企业。</w:t>
      </w:r>
    </w:p>
    <w:p w14:paraId="04810E6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联合体参与政府采购项目的，联合体各方所提供货物、工程、服务均为中小企业制造、承建、承接的，联合体视同中小企业，享受对中小企业的预留份额政策；联合体各方提供货物、工程、服务均为小微企业制造、承建、承接的，联合体视同小微企业，享受对小微企业的预留份额政策。</w:t>
      </w:r>
    </w:p>
    <w:p w14:paraId="554C45E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39.5享受中小企业扶持政策获得政府采购合同的，小微企业不得将合同分包给大中型企业，中型企业不得将合同分包给大型企业。</w:t>
      </w:r>
    </w:p>
    <w:p w14:paraId="4EE8E95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39.6供应商（货物项目时为投标产品提供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14:paraId="369DA91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39.7供应商（货物项目时为投标产品提供企业）按《三部门联合发布关于促进残疾人就业政府采购政策的通知》（财库[2017]141号）认定为残疾人福利性单位的，视同小型、微型企业；残疾人福利性单位参加政府采购活动时，应当提供《残疾人福利性单位声明函》。残疾人福利性单位属于小型、微型企业的，不重复享受政策。</w:t>
      </w:r>
    </w:p>
    <w:p w14:paraId="21770951">
      <w:pPr>
        <w:widowControl/>
        <w:spacing w:line="360" w:lineRule="exact"/>
        <w:ind w:firstLine="420" w:firstLineChars="200"/>
        <w:jc w:val="left"/>
        <w:rPr>
          <w:rFonts w:ascii="宋体" w:hAnsi="宋体" w:cs="宋体"/>
          <w:color w:val="auto"/>
          <w:kern w:val="0"/>
          <w:szCs w:val="21"/>
          <w:highlight w:val="none"/>
        </w:rPr>
      </w:pPr>
      <w:r>
        <w:rPr>
          <w:rFonts w:hint="eastAsia" w:ascii="宋体" w:hAnsi="宋体"/>
          <w:color w:val="auto"/>
          <w:szCs w:val="21"/>
          <w:highlight w:val="none"/>
        </w:rPr>
        <w:t>39.8对于专门面向中小企业采购的采购项目或者采购包，通过发布公告方式邀请供应商后，符合资格条件的中小企业数量不足 3 家的，应当中止采购活动，视同非专门面向中小企业采购的采购项目或者采购包，按照《政府采购促进中小企业发展管理办法》（财库[2020]46号）第九条有关规定重新组织采购活动。</w:t>
      </w:r>
      <w:r>
        <w:rPr>
          <w:rFonts w:hint="eastAsia" w:ascii="宋体" w:hAnsi="宋体" w:cs="宋体"/>
          <w:color w:val="auto"/>
          <w:kern w:val="0"/>
          <w:szCs w:val="21"/>
          <w:highlight w:val="none"/>
        </w:rPr>
        <w:t xml:space="preserve"> </w:t>
      </w:r>
    </w:p>
    <w:p w14:paraId="3D3A716E">
      <w:pPr>
        <w:spacing w:line="360" w:lineRule="exact"/>
        <w:ind w:firstLine="420" w:firstLineChars="200"/>
        <w:rPr>
          <w:rFonts w:ascii="宋体" w:hAnsi="宋体" w:cs="Adobe 宋体 Std L"/>
          <w:color w:val="auto"/>
          <w:szCs w:val="21"/>
          <w:highlight w:val="none"/>
        </w:rPr>
      </w:pPr>
    </w:p>
    <w:p w14:paraId="1FF5F656">
      <w:pPr>
        <w:spacing w:line="360" w:lineRule="exact"/>
        <w:ind w:firstLine="420" w:firstLineChars="200"/>
        <w:rPr>
          <w:rFonts w:hint="eastAsia" w:ascii="宋体" w:hAnsi="宋体"/>
          <w:color w:val="auto"/>
          <w:szCs w:val="21"/>
          <w:highlight w:val="none"/>
        </w:rPr>
      </w:pPr>
    </w:p>
    <w:p w14:paraId="7F79B47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附件1：</w:t>
      </w:r>
    </w:p>
    <w:p w14:paraId="31919399">
      <w:pPr>
        <w:widowControl/>
        <w:shd w:val="clear" w:color="auto" w:fill="FFFFFF"/>
        <w:spacing w:line="360" w:lineRule="exact"/>
        <w:jc w:val="center"/>
        <w:rPr>
          <w:rFonts w:ascii="宋体" w:hAnsi="宋体" w:cs="宋体"/>
          <w:color w:val="auto"/>
          <w:kern w:val="0"/>
          <w:szCs w:val="21"/>
          <w:highlight w:val="none"/>
        </w:rPr>
      </w:pPr>
      <w:r>
        <w:rPr>
          <w:rFonts w:hint="eastAsia" w:ascii="宋体" w:hAnsi="宋体" w:cs="宋体"/>
          <w:b/>
          <w:bCs/>
          <w:color w:val="auto"/>
          <w:kern w:val="0"/>
          <w:szCs w:val="21"/>
          <w:highlight w:val="none"/>
        </w:rPr>
        <w:t>广西壮族自治区政府采购项目</w:t>
      </w:r>
      <w:r>
        <w:rPr>
          <w:rFonts w:hint="eastAsia" w:ascii="宋体" w:hAnsi="宋体" w:cs="宋体"/>
          <w:b/>
          <w:color w:val="auto"/>
          <w:kern w:val="0"/>
          <w:szCs w:val="21"/>
          <w:highlight w:val="none"/>
        </w:rPr>
        <w:t>合同验收书（格式）</w:t>
      </w:r>
    </w:p>
    <w:p w14:paraId="1EBF4F04">
      <w:pPr>
        <w:widowControl/>
        <w:shd w:val="clear" w:color="auto" w:fill="FFFFFF"/>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根据政府采购项目（</w:t>
      </w:r>
      <w:r>
        <w:rPr>
          <w:rFonts w:hint="eastAsia" w:ascii="宋体" w:hAnsi="宋体" w:cs="宋体"/>
          <w:color w:val="auto"/>
          <w:kern w:val="0"/>
          <w:szCs w:val="21"/>
          <w:highlight w:val="none"/>
          <w:u w:val="single"/>
        </w:rPr>
        <w:t>采购合同编号：</w:t>
      </w:r>
      <w:r>
        <w:rPr>
          <w:rFonts w:hint="eastAsia" w:ascii="宋体" w:hAnsi="宋体" w:cs="宋体"/>
          <w:color w:val="auto"/>
          <w:kern w:val="0"/>
          <w:szCs w:val="21"/>
          <w:highlight w:val="none"/>
          <w:u w:val="single"/>
        </w:rPr>
        <w:softHyphen/>
      </w:r>
      <w:r>
        <w:rPr>
          <w:rFonts w:hint="eastAsia" w:ascii="宋体" w:hAnsi="宋体" w:cs="宋体"/>
          <w:color w:val="auto"/>
          <w:kern w:val="0"/>
          <w:szCs w:val="21"/>
          <w:highlight w:val="none"/>
          <w:u w:val="single"/>
        </w:rPr>
        <w:t>   </w:t>
      </w:r>
      <w:r>
        <w:rPr>
          <w:rFonts w:hint="eastAsia" w:ascii="宋体" w:hAnsi="宋体" w:cs="宋体"/>
          <w:color w:val="auto"/>
          <w:kern w:val="0"/>
          <w:szCs w:val="21"/>
          <w:highlight w:val="none"/>
        </w:rPr>
        <w:t>）的约定，我单位对（</w:t>
      </w:r>
      <w:r>
        <w:rPr>
          <w:rFonts w:hint="eastAsia" w:ascii="宋体" w:hAnsi="宋体" w:cs="宋体"/>
          <w:color w:val="auto"/>
          <w:kern w:val="0"/>
          <w:szCs w:val="21"/>
          <w:highlight w:val="none"/>
          <w:u w:val="single"/>
        </w:rPr>
        <w:t> 项目名称  </w:t>
      </w:r>
      <w:r>
        <w:rPr>
          <w:rFonts w:hint="eastAsia" w:ascii="宋体" w:hAnsi="宋体" w:cs="仿宋"/>
          <w:color w:val="auto"/>
          <w:kern w:val="0"/>
          <w:szCs w:val="21"/>
          <w:highlight w:val="none"/>
          <w:u w:val="single"/>
        </w:rPr>
        <w:t xml:space="preserve"> </w:t>
      </w:r>
      <w:r>
        <w:rPr>
          <w:rFonts w:hint="eastAsia" w:ascii="宋体" w:hAnsi="宋体" w:cs="宋体"/>
          <w:color w:val="auto"/>
          <w:kern w:val="0"/>
          <w:szCs w:val="21"/>
          <w:highlight w:val="none"/>
        </w:rPr>
        <w:t>）政府采购项目中标（或成交）供应商（</w:t>
      </w:r>
      <w:r>
        <w:rPr>
          <w:rFonts w:hint="eastAsia" w:ascii="宋体" w:hAnsi="宋体" w:cs="宋体"/>
          <w:color w:val="auto"/>
          <w:kern w:val="0"/>
          <w:szCs w:val="21"/>
          <w:highlight w:val="none"/>
          <w:u w:val="single"/>
        </w:rPr>
        <w:t>           </w:t>
      </w:r>
      <w:r>
        <w:rPr>
          <w:rFonts w:hint="eastAsia" w:ascii="宋体" w:hAnsi="宋体" w:cs="仿宋"/>
          <w:color w:val="auto"/>
          <w:kern w:val="0"/>
          <w:szCs w:val="21"/>
          <w:highlight w:val="none"/>
          <w:u w:val="single"/>
        </w:rPr>
        <w:t xml:space="preserve"> </w:t>
      </w:r>
      <w:r>
        <w:rPr>
          <w:rFonts w:hint="eastAsia" w:ascii="宋体" w:hAnsi="宋体" w:cs="宋体"/>
          <w:color w:val="auto"/>
          <w:kern w:val="0"/>
          <w:szCs w:val="21"/>
          <w:highlight w:val="none"/>
          <w:u w:val="single"/>
        </w:rPr>
        <w:t>公司名称             </w:t>
      </w:r>
      <w:r>
        <w:rPr>
          <w:rFonts w:hint="eastAsia" w:ascii="宋体" w:hAnsi="宋体" w:cs="仿宋"/>
          <w:color w:val="auto"/>
          <w:kern w:val="0"/>
          <w:szCs w:val="21"/>
          <w:highlight w:val="none"/>
          <w:u w:val="single"/>
        </w:rPr>
        <w:t xml:space="preserve"> </w:t>
      </w:r>
      <w:r>
        <w:rPr>
          <w:rFonts w:hint="eastAsia" w:ascii="宋体" w:hAnsi="宋体" w:cs="宋体"/>
          <w:color w:val="auto"/>
          <w:kern w:val="0"/>
          <w:szCs w:val="21"/>
          <w:highlight w:val="none"/>
        </w:rPr>
        <w:t>）提供的货物（或工程、服务）进行了验收，验收情况如下：</w:t>
      </w:r>
    </w:p>
    <w:tbl>
      <w:tblPr>
        <w:tblStyle w:val="36"/>
        <w:tblW w:w="0" w:type="auto"/>
        <w:jc w:val="center"/>
        <w:tblLayout w:type="fixed"/>
        <w:tblCellMar>
          <w:top w:w="0" w:type="dxa"/>
          <w:left w:w="0" w:type="dxa"/>
          <w:bottom w:w="0" w:type="dxa"/>
          <w:right w:w="0" w:type="dxa"/>
        </w:tblCellMar>
      </w:tblPr>
      <w:tblGrid>
        <w:gridCol w:w="1037"/>
        <w:gridCol w:w="2163"/>
        <w:gridCol w:w="891"/>
        <w:gridCol w:w="2648"/>
        <w:gridCol w:w="219"/>
        <w:gridCol w:w="843"/>
        <w:gridCol w:w="1656"/>
      </w:tblGrid>
      <w:tr w14:paraId="3274D860">
        <w:tblPrEx>
          <w:tblCellMar>
            <w:top w:w="0" w:type="dxa"/>
            <w:left w:w="0" w:type="dxa"/>
            <w:bottom w:w="0" w:type="dxa"/>
            <w:right w:w="0" w:type="dxa"/>
          </w:tblCellMar>
        </w:tblPrEx>
        <w:trPr>
          <w:trHeight w:val="497" w:hRule="atLeast"/>
          <w:jc w:val="center"/>
        </w:trPr>
        <w:tc>
          <w:tcPr>
            <w:tcW w:w="3200" w:type="dxa"/>
            <w:gridSpan w:val="2"/>
            <w:tcBorders>
              <w:top w:val="single" w:color="auto" w:sz="8" w:space="0"/>
              <w:left w:val="single" w:color="auto" w:sz="8" w:space="0"/>
              <w:bottom w:val="single" w:color="auto" w:sz="8" w:space="0"/>
              <w:right w:val="single" w:color="auto" w:sz="8" w:space="0"/>
            </w:tcBorders>
            <w:vAlign w:val="center"/>
          </w:tcPr>
          <w:p w14:paraId="3EAAECDF">
            <w:pPr>
              <w:widowControl/>
              <w:spacing w:line="360" w:lineRule="exact"/>
              <w:ind w:firstLine="5"/>
              <w:jc w:val="center"/>
              <w:rPr>
                <w:rFonts w:ascii="宋体" w:hAnsi="宋体" w:cs="宋体"/>
                <w:color w:val="auto"/>
                <w:kern w:val="0"/>
                <w:szCs w:val="21"/>
                <w:highlight w:val="none"/>
              </w:rPr>
            </w:pPr>
            <w:r>
              <w:rPr>
                <w:rFonts w:hint="eastAsia" w:ascii="宋体" w:hAnsi="宋体" w:cs="宋体"/>
                <w:color w:val="auto"/>
                <w:kern w:val="0"/>
                <w:szCs w:val="21"/>
                <w:highlight w:val="none"/>
              </w:rPr>
              <w:t>验收方式：</w:t>
            </w:r>
          </w:p>
        </w:tc>
        <w:tc>
          <w:tcPr>
            <w:tcW w:w="6257" w:type="dxa"/>
            <w:gridSpan w:val="5"/>
            <w:tcBorders>
              <w:top w:val="single" w:color="auto" w:sz="8" w:space="0"/>
              <w:left w:val="nil"/>
              <w:bottom w:val="single" w:color="auto" w:sz="8" w:space="0"/>
              <w:right w:val="single" w:color="auto" w:sz="8" w:space="0"/>
            </w:tcBorders>
            <w:vAlign w:val="center"/>
          </w:tcPr>
          <w:p w14:paraId="2C5DA18C">
            <w:pPr>
              <w:widowControl/>
              <w:spacing w:line="360" w:lineRule="exact"/>
              <w:ind w:firstLine="480"/>
              <w:jc w:val="center"/>
              <w:rPr>
                <w:rFonts w:ascii="宋体" w:hAnsi="宋体" w:cs="宋体"/>
                <w:color w:val="auto"/>
                <w:kern w:val="0"/>
                <w:szCs w:val="21"/>
                <w:highlight w:val="none"/>
              </w:rPr>
            </w:pPr>
            <w:r>
              <w:rPr>
                <w:rFonts w:hint="eastAsia" w:ascii="宋体" w:hAnsi="宋体" w:cs="宋体"/>
                <w:color w:val="auto"/>
                <w:kern w:val="0"/>
                <w:szCs w:val="21"/>
                <w:highlight w:val="none"/>
              </w:rPr>
              <w:t>□自行验收        □委托验收</w:t>
            </w:r>
          </w:p>
        </w:tc>
      </w:tr>
      <w:tr w14:paraId="5020F6D1">
        <w:tblPrEx>
          <w:tblCellMar>
            <w:top w:w="0" w:type="dxa"/>
            <w:left w:w="0" w:type="dxa"/>
            <w:bottom w:w="0" w:type="dxa"/>
            <w:right w:w="0" w:type="dxa"/>
          </w:tblCellMar>
        </w:tblPrEx>
        <w:trPr>
          <w:trHeight w:val="622" w:hRule="atLeast"/>
          <w:jc w:val="center"/>
        </w:trPr>
        <w:tc>
          <w:tcPr>
            <w:tcW w:w="1037" w:type="dxa"/>
            <w:tcBorders>
              <w:top w:val="nil"/>
              <w:left w:val="single" w:color="auto" w:sz="8" w:space="0"/>
              <w:bottom w:val="single" w:color="auto" w:sz="8" w:space="0"/>
              <w:right w:val="single" w:color="auto" w:sz="8" w:space="0"/>
            </w:tcBorders>
            <w:vAlign w:val="center"/>
          </w:tcPr>
          <w:p w14:paraId="280782F4">
            <w:pPr>
              <w:widowControl/>
              <w:spacing w:line="360" w:lineRule="exact"/>
              <w:ind w:firstLine="2"/>
              <w:jc w:val="center"/>
              <w:rPr>
                <w:rFonts w:ascii="宋体" w:hAnsi="宋体" w:cs="宋体"/>
                <w:color w:val="auto"/>
                <w:kern w:val="0"/>
                <w:szCs w:val="21"/>
                <w:highlight w:val="none"/>
              </w:rPr>
            </w:pPr>
            <w:r>
              <w:rPr>
                <w:rFonts w:hint="eastAsia" w:ascii="宋体" w:hAnsi="宋体" w:cs="宋体"/>
                <w:color w:val="auto"/>
                <w:kern w:val="0"/>
                <w:szCs w:val="21"/>
                <w:highlight w:val="none"/>
              </w:rPr>
              <w:t>序号</w:t>
            </w:r>
          </w:p>
        </w:tc>
        <w:tc>
          <w:tcPr>
            <w:tcW w:w="2163" w:type="dxa"/>
            <w:tcBorders>
              <w:top w:val="nil"/>
              <w:left w:val="nil"/>
              <w:bottom w:val="single" w:color="auto" w:sz="8" w:space="0"/>
              <w:right w:val="single" w:color="auto" w:sz="8" w:space="0"/>
            </w:tcBorders>
            <w:vAlign w:val="center"/>
          </w:tcPr>
          <w:p w14:paraId="19403563">
            <w:pPr>
              <w:widowControl/>
              <w:spacing w:line="360" w:lineRule="exact"/>
              <w:ind w:firstLine="2"/>
              <w:jc w:val="center"/>
              <w:rPr>
                <w:rFonts w:ascii="宋体" w:hAnsi="宋体" w:cs="宋体"/>
                <w:color w:val="auto"/>
                <w:kern w:val="0"/>
                <w:szCs w:val="21"/>
                <w:highlight w:val="none"/>
              </w:rPr>
            </w:pPr>
            <w:r>
              <w:rPr>
                <w:rFonts w:hint="eastAsia" w:ascii="宋体" w:hAnsi="宋体" w:cs="宋体"/>
                <w:color w:val="auto"/>
                <w:kern w:val="0"/>
                <w:szCs w:val="21"/>
                <w:highlight w:val="none"/>
              </w:rPr>
              <w:t>名 称</w:t>
            </w:r>
          </w:p>
        </w:tc>
        <w:tc>
          <w:tcPr>
            <w:tcW w:w="3539" w:type="dxa"/>
            <w:gridSpan w:val="2"/>
            <w:tcBorders>
              <w:top w:val="nil"/>
              <w:left w:val="nil"/>
              <w:bottom w:val="single" w:color="auto" w:sz="8" w:space="0"/>
              <w:right w:val="single" w:color="auto" w:sz="8" w:space="0"/>
            </w:tcBorders>
            <w:vAlign w:val="center"/>
          </w:tcPr>
          <w:p w14:paraId="053147D1">
            <w:pPr>
              <w:widowControl/>
              <w:spacing w:line="360" w:lineRule="exact"/>
              <w:ind w:firstLine="2"/>
              <w:jc w:val="center"/>
              <w:rPr>
                <w:rFonts w:ascii="宋体" w:hAnsi="宋体" w:cs="宋体"/>
                <w:color w:val="auto"/>
                <w:kern w:val="0"/>
                <w:szCs w:val="21"/>
                <w:highlight w:val="none"/>
              </w:rPr>
            </w:pPr>
            <w:r>
              <w:rPr>
                <w:rFonts w:hint="eastAsia" w:ascii="宋体" w:hAnsi="宋体" w:cs="宋体"/>
                <w:color w:val="auto"/>
                <w:kern w:val="0"/>
                <w:szCs w:val="21"/>
                <w:highlight w:val="none"/>
              </w:rPr>
              <w:t>货物型号规格、标准及配置等（或服务内容、标准）</w:t>
            </w:r>
          </w:p>
        </w:tc>
        <w:tc>
          <w:tcPr>
            <w:tcW w:w="1062" w:type="dxa"/>
            <w:gridSpan w:val="2"/>
            <w:tcBorders>
              <w:top w:val="nil"/>
              <w:left w:val="nil"/>
              <w:bottom w:val="single" w:color="auto" w:sz="8" w:space="0"/>
              <w:right w:val="single" w:color="auto" w:sz="8" w:space="0"/>
            </w:tcBorders>
            <w:vAlign w:val="center"/>
          </w:tcPr>
          <w:p w14:paraId="21829612">
            <w:pPr>
              <w:widowControl/>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数量</w:t>
            </w:r>
          </w:p>
        </w:tc>
        <w:tc>
          <w:tcPr>
            <w:tcW w:w="1656" w:type="dxa"/>
            <w:tcBorders>
              <w:top w:val="nil"/>
              <w:left w:val="nil"/>
              <w:bottom w:val="single" w:color="auto" w:sz="8" w:space="0"/>
              <w:right w:val="single" w:color="auto" w:sz="8" w:space="0"/>
            </w:tcBorders>
            <w:vAlign w:val="center"/>
          </w:tcPr>
          <w:p w14:paraId="603F6AF0">
            <w:pPr>
              <w:widowControl/>
              <w:spacing w:line="360" w:lineRule="exact"/>
              <w:ind w:firstLine="2"/>
              <w:jc w:val="center"/>
              <w:rPr>
                <w:rFonts w:ascii="宋体" w:hAnsi="宋体" w:cs="宋体"/>
                <w:color w:val="auto"/>
                <w:kern w:val="0"/>
                <w:szCs w:val="21"/>
                <w:highlight w:val="none"/>
              </w:rPr>
            </w:pPr>
            <w:r>
              <w:rPr>
                <w:rFonts w:hint="eastAsia" w:ascii="宋体" w:hAnsi="宋体" w:cs="宋体"/>
                <w:color w:val="auto"/>
                <w:kern w:val="0"/>
                <w:szCs w:val="21"/>
                <w:highlight w:val="none"/>
              </w:rPr>
              <w:t>金 额</w:t>
            </w:r>
          </w:p>
        </w:tc>
      </w:tr>
      <w:tr w14:paraId="012D6FBD">
        <w:tblPrEx>
          <w:tblCellMar>
            <w:top w:w="0" w:type="dxa"/>
            <w:left w:w="0" w:type="dxa"/>
            <w:bottom w:w="0" w:type="dxa"/>
            <w:right w:w="0" w:type="dxa"/>
          </w:tblCellMar>
        </w:tblPrEx>
        <w:trPr>
          <w:trHeight w:val="487" w:hRule="atLeast"/>
          <w:jc w:val="center"/>
        </w:trPr>
        <w:tc>
          <w:tcPr>
            <w:tcW w:w="1037" w:type="dxa"/>
            <w:tcBorders>
              <w:top w:val="nil"/>
              <w:left w:val="single" w:color="auto" w:sz="8" w:space="0"/>
              <w:bottom w:val="single" w:color="auto" w:sz="8" w:space="0"/>
              <w:right w:val="single" w:color="auto" w:sz="8" w:space="0"/>
            </w:tcBorders>
            <w:vAlign w:val="center"/>
          </w:tcPr>
          <w:p w14:paraId="1D9B887A">
            <w:pPr>
              <w:widowControl/>
              <w:spacing w:line="360" w:lineRule="exact"/>
              <w:ind w:firstLine="5"/>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2163" w:type="dxa"/>
            <w:tcBorders>
              <w:top w:val="nil"/>
              <w:left w:val="nil"/>
              <w:bottom w:val="single" w:color="auto" w:sz="8" w:space="0"/>
              <w:right w:val="single" w:color="auto" w:sz="8" w:space="0"/>
            </w:tcBorders>
            <w:vAlign w:val="center"/>
          </w:tcPr>
          <w:p w14:paraId="4553A415">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3539" w:type="dxa"/>
            <w:gridSpan w:val="2"/>
            <w:tcBorders>
              <w:top w:val="nil"/>
              <w:left w:val="nil"/>
              <w:bottom w:val="single" w:color="auto" w:sz="8" w:space="0"/>
              <w:right w:val="single" w:color="auto" w:sz="8" w:space="0"/>
            </w:tcBorders>
            <w:vAlign w:val="center"/>
          </w:tcPr>
          <w:p w14:paraId="45B3B04F">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062" w:type="dxa"/>
            <w:gridSpan w:val="2"/>
            <w:tcBorders>
              <w:top w:val="nil"/>
              <w:left w:val="nil"/>
              <w:bottom w:val="single" w:color="auto" w:sz="8" w:space="0"/>
              <w:right w:val="single" w:color="auto" w:sz="8" w:space="0"/>
            </w:tcBorders>
            <w:vAlign w:val="center"/>
          </w:tcPr>
          <w:p w14:paraId="5619E352">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656" w:type="dxa"/>
            <w:tcBorders>
              <w:top w:val="nil"/>
              <w:left w:val="nil"/>
              <w:bottom w:val="single" w:color="auto" w:sz="8" w:space="0"/>
              <w:right w:val="single" w:color="auto" w:sz="8" w:space="0"/>
            </w:tcBorders>
            <w:vAlign w:val="center"/>
          </w:tcPr>
          <w:p w14:paraId="011ACA8D">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2A96F0A3">
        <w:tblPrEx>
          <w:tblCellMar>
            <w:top w:w="0" w:type="dxa"/>
            <w:left w:w="0" w:type="dxa"/>
            <w:bottom w:w="0" w:type="dxa"/>
            <w:right w:w="0" w:type="dxa"/>
          </w:tblCellMar>
        </w:tblPrEx>
        <w:trPr>
          <w:trHeight w:val="487" w:hRule="atLeast"/>
          <w:jc w:val="center"/>
        </w:trPr>
        <w:tc>
          <w:tcPr>
            <w:tcW w:w="1037" w:type="dxa"/>
            <w:tcBorders>
              <w:top w:val="nil"/>
              <w:left w:val="single" w:color="auto" w:sz="8" w:space="0"/>
              <w:bottom w:val="single" w:color="auto" w:sz="8" w:space="0"/>
              <w:right w:val="single" w:color="auto" w:sz="8" w:space="0"/>
            </w:tcBorders>
            <w:vAlign w:val="center"/>
          </w:tcPr>
          <w:p w14:paraId="16371FEA">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2163" w:type="dxa"/>
            <w:tcBorders>
              <w:top w:val="nil"/>
              <w:left w:val="nil"/>
              <w:bottom w:val="single" w:color="auto" w:sz="8" w:space="0"/>
              <w:right w:val="single" w:color="auto" w:sz="8" w:space="0"/>
            </w:tcBorders>
            <w:vAlign w:val="center"/>
          </w:tcPr>
          <w:p w14:paraId="20D5A498">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3539" w:type="dxa"/>
            <w:gridSpan w:val="2"/>
            <w:tcBorders>
              <w:top w:val="nil"/>
              <w:left w:val="nil"/>
              <w:bottom w:val="single" w:color="auto" w:sz="8" w:space="0"/>
              <w:right w:val="single" w:color="auto" w:sz="8" w:space="0"/>
            </w:tcBorders>
            <w:vAlign w:val="center"/>
          </w:tcPr>
          <w:p w14:paraId="7908380A">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062" w:type="dxa"/>
            <w:gridSpan w:val="2"/>
            <w:tcBorders>
              <w:top w:val="nil"/>
              <w:left w:val="nil"/>
              <w:bottom w:val="single" w:color="auto" w:sz="8" w:space="0"/>
              <w:right w:val="single" w:color="auto" w:sz="8" w:space="0"/>
            </w:tcBorders>
            <w:vAlign w:val="center"/>
          </w:tcPr>
          <w:p w14:paraId="1D31F844">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656" w:type="dxa"/>
            <w:tcBorders>
              <w:top w:val="nil"/>
              <w:left w:val="nil"/>
              <w:bottom w:val="single" w:color="auto" w:sz="8" w:space="0"/>
              <w:right w:val="single" w:color="auto" w:sz="8" w:space="0"/>
            </w:tcBorders>
            <w:vAlign w:val="center"/>
          </w:tcPr>
          <w:p w14:paraId="71B74F12">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1CB35878">
        <w:tblPrEx>
          <w:tblCellMar>
            <w:top w:w="0" w:type="dxa"/>
            <w:left w:w="0" w:type="dxa"/>
            <w:bottom w:w="0" w:type="dxa"/>
            <w:right w:w="0" w:type="dxa"/>
          </w:tblCellMar>
        </w:tblPrEx>
        <w:trPr>
          <w:trHeight w:val="487" w:hRule="atLeast"/>
          <w:jc w:val="center"/>
        </w:trPr>
        <w:tc>
          <w:tcPr>
            <w:tcW w:w="1037" w:type="dxa"/>
            <w:tcBorders>
              <w:top w:val="nil"/>
              <w:left w:val="single" w:color="auto" w:sz="8" w:space="0"/>
              <w:bottom w:val="single" w:color="auto" w:sz="8" w:space="0"/>
              <w:right w:val="single" w:color="auto" w:sz="8" w:space="0"/>
            </w:tcBorders>
            <w:vAlign w:val="center"/>
          </w:tcPr>
          <w:p w14:paraId="5159089E">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2163" w:type="dxa"/>
            <w:tcBorders>
              <w:top w:val="nil"/>
              <w:left w:val="nil"/>
              <w:bottom w:val="single" w:color="auto" w:sz="8" w:space="0"/>
              <w:right w:val="single" w:color="auto" w:sz="8" w:space="0"/>
            </w:tcBorders>
            <w:vAlign w:val="center"/>
          </w:tcPr>
          <w:p w14:paraId="5D7FF5A4">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3539" w:type="dxa"/>
            <w:gridSpan w:val="2"/>
            <w:tcBorders>
              <w:top w:val="nil"/>
              <w:left w:val="nil"/>
              <w:bottom w:val="single" w:color="auto" w:sz="8" w:space="0"/>
              <w:right w:val="single" w:color="auto" w:sz="8" w:space="0"/>
            </w:tcBorders>
            <w:vAlign w:val="center"/>
          </w:tcPr>
          <w:p w14:paraId="490EF480">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062" w:type="dxa"/>
            <w:gridSpan w:val="2"/>
            <w:tcBorders>
              <w:top w:val="nil"/>
              <w:left w:val="nil"/>
              <w:bottom w:val="single" w:color="auto" w:sz="8" w:space="0"/>
              <w:right w:val="single" w:color="auto" w:sz="8" w:space="0"/>
            </w:tcBorders>
            <w:vAlign w:val="center"/>
          </w:tcPr>
          <w:p w14:paraId="1AFE2CF3">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656" w:type="dxa"/>
            <w:tcBorders>
              <w:top w:val="nil"/>
              <w:left w:val="nil"/>
              <w:bottom w:val="single" w:color="auto" w:sz="8" w:space="0"/>
              <w:right w:val="single" w:color="auto" w:sz="8" w:space="0"/>
            </w:tcBorders>
            <w:vAlign w:val="center"/>
          </w:tcPr>
          <w:p w14:paraId="516C4D42">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3E01DFCF">
        <w:tblPrEx>
          <w:tblCellMar>
            <w:top w:w="0" w:type="dxa"/>
            <w:left w:w="0" w:type="dxa"/>
            <w:bottom w:w="0" w:type="dxa"/>
            <w:right w:w="0" w:type="dxa"/>
          </w:tblCellMar>
        </w:tblPrEx>
        <w:trPr>
          <w:trHeight w:val="487" w:hRule="atLeast"/>
          <w:jc w:val="center"/>
        </w:trPr>
        <w:tc>
          <w:tcPr>
            <w:tcW w:w="6739" w:type="dxa"/>
            <w:gridSpan w:val="4"/>
            <w:tcBorders>
              <w:top w:val="nil"/>
              <w:left w:val="single" w:color="auto" w:sz="8" w:space="0"/>
              <w:bottom w:val="single" w:color="auto" w:sz="8" w:space="0"/>
              <w:right w:val="single" w:color="auto" w:sz="8" w:space="0"/>
            </w:tcBorders>
            <w:vAlign w:val="center"/>
          </w:tcPr>
          <w:p w14:paraId="6DC477B7">
            <w:pPr>
              <w:widowControl/>
              <w:spacing w:line="360" w:lineRule="exact"/>
              <w:ind w:firstLine="5"/>
              <w:jc w:val="center"/>
              <w:rPr>
                <w:rFonts w:ascii="宋体" w:hAnsi="宋体" w:cs="宋体"/>
                <w:color w:val="auto"/>
                <w:kern w:val="0"/>
                <w:szCs w:val="21"/>
                <w:highlight w:val="none"/>
              </w:rPr>
            </w:pPr>
            <w:r>
              <w:rPr>
                <w:rFonts w:hint="eastAsia" w:ascii="宋体" w:hAnsi="宋体" w:cs="宋体"/>
                <w:color w:val="auto"/>
                <w:kern w:val="0"/>
                <w:szCs w:val="21"/>
                <w:highlight w:val="none"/>
              </w:rPr>
              <w:t>合       计</w:t>
            </w:r>
          </w:p>
        </w:tc>
        <w:tc>
          <w:tcPr>
            <w:tcW w:w="1062" w:type="dxa"/>
            <w:gridSpan w:val="2"/>
            <w:tcBorders>
              <w:top w:val="nil"/>
              <w:left w:val="nil"/>
              <w:bottom w:val="single" w:color="auto" w:sz="8" w:space="0"/>
              <w:right w:val="single" w:color="auto" w:sz="8" w:space="0"/>
            </w:tcBorders>
            <w:vAlign w:val="center"/>
          </w:tcPr>
          <w:p w14:paraId="19EE00D3">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1656" w:type="dxa"/>
            <w:tcBorders>
              <w:top w:val="nil"/>
              <w:left w:val="nil"/>
              <w:bottom w:val="single" w:color="auto" w:sz="8" w:space="0"/>
              <w:right w:val="single" w:color="auto" w:sz="8" w:space="0"/>
            </w:tcBorders>
            <w:vAlign w:val="center"/>
          </w:tcPr>
          <w:p w14:paraId="34CD80B8">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1E8A54A1">
        <w:tblPrEx>
          <w:tblCellMar>
            <w:top w:w="0" w:type="dxa"/>
            <w:left w:w="0" w:type="dxa"/>
            <w:bottom w:w="0" w:type="dxa"/>
            <w:right w:w="0" w:type="dxa"/>
          </w:tblCellMar>
        </w:tblPrEx>
        <w:trPr>
          <w:trHeight w:val="641" w:hRule="atLeast"/>
          <w:jc w:val="center"/>
        </w:trPr>
        <w:tc>
          <w:tcPr>
            <w:tcW w:w="9457" w:type="dxa"/>
            <w:gridSpan w:val="7"/>
            <w:tcBorders>
              <w:top w:val="nil"/>
              <w:left w:val="single" w:color="auto" w:sz="8" w:space="0"/>
              <w:bottom w:val="single" w:color="auto" w:sz="8" w:space="0"/>
              <w:right w:val="single" w:color="auto" w:sz="8" w:space="0"/>
            </w:tcBorders>
            <w:vAlign w:val="center"/>
          </w:tcPr>
          <w:p w14:paraId="15C46EE3">
            <w:pPr>
              <w:widowControl/>
              <w:spacing w:line="360" w:lineRule="exact"/>
              <w:ind w:firstLine="2"/>
              <w:jc w:val="left"/>
              <w:rPr>
                <w:rFonts w:ascii="宋体" w:hAnsi="宋体" w:cs="宋体"/>
                <w:color w:val="auto"/>
                <w:kern w:val="0"/>
                <w:szCs w:val="21"/>
                <w:highlight w:val="none"/>
              </w:rPr>
            </w:pPr>
            <w:r>
              <w:rPr>
                <w:rFonts w:hint="eastAsia" w:ascii="宋体" w:hAnsi="宋体" w:cs="宋体"/>
                <w:color w:val="auto"/>
                <w:kern w:val="0"/>
                <w:szCs w:val="21"/>
                <w:highlight w:val="none"/>
              </w:rPr>
              <w:t>合计大写金额：  仟   佰   拾   万   仟   佰   拾   元</w:t>
            </w:r>
          </w:p>
        </w:tc>
      </w:tr>
      <w:tr w14:paraId="52ABC94E">
        <w:tblPrEx>
          <w:tblCellMar>
            <w:top w:w="0" w:type="dxa"/>
            <w:left w:w="0" w:type="dxa"/>
            <w:bottom w:w="0" w:type="dxa"/>
            <w:right w:w="0" w:type="dxa"/>
          </w:tblCellMar>
        </w:tblPrEx>
        <w:trPr>
          <w:trHeight w:val="641" w:hRule="atLeast"/>
          <w:jc w:val="center"/>
        </w:trPr>
        <w:tc>
          <w:tcPr>
            <w:tcW w:w="1037" w:type="dxa"/>
            <w:tcBorders>
              <w:top w:val="nil"/>
              <w:left w:val="single" w:color="auto" w:sz="8" w:space="0"/>
              <w:bottom w:val="single" w:color="auto" w:sz="8" w:space="0"/>
              <w:right w:val="single" w:color="auto" w:sz="8" w:space="0"/>
            </w:tcBorders>
            <w:vAlign w:val="center"/>
          </w:tcPr>
          <w:p w14:paraId="38501C36">
            <w:pPr>
              <w:widowControl/>
              <w:spacing w:line="360" w:lineRule="exact"/>
              <w:ind w:firstLine="2"/>
              <w:jc w:val="left"/>
              <w:rPr>
                <w:rFonts w:ascii="宋体" w:hAnsi="宋体" w:cs="宋体"/>
                <w:color w:val="auto"/>
                <w:kern w:val="0"/>
                <w:szCs w:val="21"/>
                <w:highlight w:val="none"/>
              </w:rPr>
            </w:pPr>
            <w:r>
              <w:rPr>
                <w:rFonts w:hint="eastAsia" w:ascii="宋体" w:hAnsi="宋体" w:cs="宋体"/>
                <w:color w:val="auto"/>
                <w:kern w:val="0"/>
                <w:szCs w:val="21"/>
                <w:highlight w:val="none"/>
              </w:rPr>
              <w:t>实际供货日期</w:t>
            </w:r>
          </w:p>
        </w:tc>
        <w:tc>
          <w:tcPr>
            <w:tcW w:w="3054" w:type="dxa"/>
            <w:gridSpan w:val="2"/>
            <w:tcBorders>
              <w:top w:val="nil"/>
              <w:left w:val="nil"/>
              <w:bottom w:val="single" w:color="auto" w:sz="8" w:space="0"/>
              <w:right w:val="single" w:color="auto" w:sz="8" w:space="0"/>
            </w:tcBorders>
            <w:vAlign w:val="center"/>
          </w:tcPr>
          <w:p w14:paraId="45E12814">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2867" w:type="dxa"/>
            <w:gridSpan w:val="2"/>
            <w:tcBorders>
              <w:top w:val="nil"/>
              <w:left w:val="nil"/>
              <w:bottom w:val="single" w:color="auto" w:sz="8" w:space="0"/>
              <w:right w:val="single" w:color="auto" w:sz="8" w:space="0"/>
            </w:tcBorders>
            <w:vAlign w:val="center"/>
          </w:tcPr>
          <w:p w14:paraId="4BA91204">
            <w:pPr>
              <w:widowControl/>
              <w:spacing w:line="360" w:lineRule="exact"/>
              <w:ind w:firstLine="46"/>
              <w:jc w:val="center"/>
              <w:rPr>
                <w:rFonts w:ascii="宋体" w:hAnsi="宋体" w:cs="宋体"/>
                <w:color w:val="auto"/>
                <w:kern w:val="0"/>
                <w:szCs w:val="21"/>
                <w:highlight w:val="none"/>
              </w:rPr>
            </w:pPr>
            <w:r>
              <w:rPr>
                <w:rFonts w:hint="eastAsia" w:ascii="宋体" w:hAnsi="宋体" w:cs="宋体"/>
                <w:color w:val="auto"/>
                <w:kern w:val="0"/>
                <w:szCs w:val="21"/>
                <w:highlight w:val="none"/>
              </w:rPr>
              <w:t>合同交货验收日期</w:t>
            </w:r>
          </w:p>
        </w:tc>
        <w:tc>
          <w:tcPr>
            <w:tcW w:w="2499" w:type="dxa"/>
            <w:gridSpan w:val="2"/>
            <w:tcBorders>
              <w:top w:val="nil"/>
              <w:left w:val="nil"/>
              <w:bottom w:val="single" w:color="auto" w:sz="8" w:space="0"/>
              <w:right w:val="single" w:color="auto" w:sz="8" w:space="0"/>
            </w:tcBorders>
            <w:vAlign w:val="center"/>
          </w:tcPr>
          <w:p w14:paraId="2E1E3B65">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68021C2C">
        <w:tblPrEx>
          <w:tblCellMar>
            <w:top w:w="0" w:type="dxa"/>
            <w:left w:w="0" w:type="dxa"/>
            <w:bottom w:w="0" w:type="dxa"/>
            <w:right w:w="0" w:type="dxa"/>
          </w:tblCellMar>
        </w:tblPrEx>
        <w:trPr>
          <w:trHeight w:val="394" w:hRule="atLeast"/>
          <w:jc w:val="center"/>
        </w:trPr>
        <w:tc>
          <w:tcPr>
            <w:tcW w:w="1037" w:type="dxa"/>
            <w:tcBorders>
              <w:top w:val="nil"/>
              <w:left w:val="single" w:color="auto" w:sz="8" w:space="0"/>
              <w:bottom w:val="single" w:color="auto" w:sz="8" w:space="0"/>
              <w:right w:val="single" w:color="auto" w:sz="8" w:space="0"/>
            </w:tcBorders>
            <w:vAlign w:val="center"/>
          </w:tcPr>
          <w:p w14:paraId="21AEB893">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3054" w:type="dxa"/>
            <w:gridSpan w:val="2"/>
            <w:tcBorders>
              <w:top w:val="nil"/>
              <w:left w:val="nil"/>
              <w:bottom w:val="single" w:color="auto" w:sz="8" w:space="0"/>
              <w:right w:val="single" w:color="auto" w:sz="8" w:space="0"/>
            </w:tcBorders>
            <w:vAlign w:val="center"/>
          </w:tcPr>
          <w:p w14:paraId="4892E56B">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2867" w:type="dxa"/>
            <w:gridSpan w:val="2"/>
            <w:tcBorders>
              <w:top w:val="nil"/>
              <w:left w:val="nil"/>
              <w:bottom w:val="single" w:color="auto" w:sz="8" w:space="0"/>
              <w:right w:val="single" w:color="auto" w:sz="8" w:space="0"/>
            </w:tcBorders>
            <w:vAlign w:val="center"/>
          </w:tcPr>
          <w:p w14:paraId="4555DEC2">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c>
          <w:tcPr>
            <w:tcW w:w="2499" w:type="dxa"/>
            <w:gridSpan w:val="2"/>
            <w:tcBorders>
              <w:top w:val="nil"/>
              <w:left w:val="nil"/>
              <w:bottom w:val="single" w:color="auto" w:sz="8" w:space="0"/>
              <w:right w:val="single" w:color="auto" w:sz="8" w:space="0"/>
            </w:tcBorders>
            <w:vAlign w:val="center"/>
          </w:tcPr>
          <w:p w14:paraId="7870C5BF">
            <w:pPr>
              <w:widowControl/>
              <w:spacing w:line="360" w:lineRule="exact"/>
              <w:ind w:firstLine="480"/>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01DA7A53">
        <w:tblPrEx>
          <w:tblCellMar>
            <w:top w:w="0" w:type="dxa"/>
            <w:left w:w="0" w:type="dxa"/>
            <w:bottom w:w="0" w:type="dxa"/>
            <w:right w:w="0" w:type="dxa"/>
          </w:tblCellMar>
        </w:tblPrEx>
        <w:trPr>
          <w:trHeight w:val="693" w:hRule="atLeast"/>
          <w:jc w:val="center"/>
        </w:trPr>
        <w:tc>
          <w:tcPr>
            <w:tcW w:w="1037"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C892381">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验收具体内容</w:t>
            </w:r>
          </w:p>
        </w:tc>
        <w:tc>
          <w:tcPr>
            <w:tcW w:w="8420" w:type="dxa"/>
            <w:gridSpan w:val="6"/>
            <w:tcBorders>
              <w:top w:val="nil"/>
              <w:left w:val="nil"/>
              <w:bottom w:val="single" w:color="auto" w:sz="8" w:space="0"/>
              <w:right w:val="single" w:color="auto" w:sz="8" w:space="0"/>
            </w:tcBorders>
            <w:tcMar>
              <w:top w:w="0" w:type="dxa"/>
              <w:left w:w="108" w:type="dxa"/>
              <w:bottom w:w="0" w:type="dxa"/>
              <w:right w:w="108" w:type="dxa"/>
            </w:tcMar>
            <w:vAlign w:val="center"/>
          </w:tcPr>
          <w:p w14:paraId="26C6C1B5">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应按采购合同、竞争性谈判文件、投标响应文件及验收方案等进行验收；并核对中标或者成交供应商在安装调试等方面是否违反合同约定或服务规范要求、提供的质量保证证明材料是否齐全、应有的配件及附件是否达到合同约定等。可附件)</w:t>
            </w:r>
          </w:p>
        </w:tc>
      </w:tr>
      <w:tr w14:paraId="3E2E4B2D">
        <w:tblPrEx>
          <w:tblCellMar>
            <w:top w:w="0" w:type="dxa"/>
            <w:left w:w="0" w:type="dxa"/>
            <w:bottom w:w="0" w:type="dxa"/>
            <w:right w:w="0" w:type="dxa"/>
          </w:tblCellMar>
        </w:tblPrEx>
        <w:trPr>
          <w:trHeight w:val="1281" w:hRule="atLeast"/>
          <w:jc w:val="center"/>
        </w:trPr>
        <w:tc>
          <w:tcPr>
            <w:tcW w:w="1037"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C764D45">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验收小组意见</w:t>
            </w:r>
          </w:p>
        </w:tc>
        <w:tc>
          <w:tcPr>
            <w:tcW w:w="8420" w:type="dxa"/>
            <w:gridSpan w:val="6"/>
            <w:tcBorders>
              <w:top w:val="nil"/>
              <w:left w:val="nil"/>
              <w:bottom w:val="single" w:color="auto" w:sz="8" w:space="0"/>
              <w:right w:val="single" w:color="auto" w:sz="8" w:space="0"/>
            </w:tcBorders>
            <w:vAlign w:val="center"/>
          </w:tcPr>
          <w:p w14:paraId="409F76BE">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 验收结论性意见：</w:t>
            </w:r>
          </w:p>
          <w:p w14:paraId="5BDFDFD9">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 </w:t>
            </w:r>
          </w:p>
        </w:tc>
      </w:tr>
      <w:tr w14:paraId="236E34DF">
        <w:tblPrEx>
          <w:tblCellMar>
            <w:top w:w="0" w:type="dxa"/>
            <w:left w:w="0" w:type="dxa"/>
            <w:bottom w:w="0" w:type="dxa"/>
            <w:right w:w="0" w:type="dxa"/>
          </w:tblCellMar>
        </w:tblPrEx>
        <w:trPr>
          <w:trHeight w:val="607" w:hRule="atLeast"/>
          <w:jc w:val="center"/>
        </w:trPr>
        <w:tc>
          <w:tcPr>
            <w:tcW w:w="1037" w:type="dxa"/>
            <w:vMerge w:val="continue"/>
            <w:tcBorders>
              <w:top w:val="nil"/>
              <w:left w:val="single" w:color="auto" w:sz="8" w:space="0"/>
              <w:bottom w:val="single" w:color="auto" w:sz="8" w:space="0"/>
              <w:right w:val="single" w:color="auto" w:sz="8" w:space="0"/>
            </w:tcBorders>
            <w:vAlign w:val="center"/>
          </w:tcPr>
          <w:p w14:paraId="4447BDC0">
            <w:pPr>
              <w:widowControl/>
              <w:spacing w:line="360" w:lineRule="exact"/>
              <w:jc w:val="left"/>
              <w:rPr>
                <w:rFonts w:ascii="宋体" w:hAnsi="宋体" w:cs="宋体"/>
                <w:color w:val="auto"/>
                <w:kern w:val="0"/>
                <w:szCs w:val="21"/>
                <w:highlight w:val="none"/>
              </w:rPr>
            </w:pPr>
          </w:p>
        </w:tc>
        <w:tc>
          <w:tcPr>
            <w:tcW w:w="8420" w:type="dxa"/>
            <w:gridSpan w:val="6"/>
            <w:tcBorders>
              <w:top w:val="nil"/>
              <w:left w:val="nil"/>
              <w:bottom w:val="single" w:color="auto" w:sz="8" w:space="0"/>
              <w:right w:val="single" w:color="auto" w:sz="8" w:space="0"/>
            </w:tcBorders>
            <w:vAlign w:val="center"/>
          </w:tcPr>
          <w:p w14:paraId="484042C4">
            <w:pPr>
              <w:widowControl/>
              <w:spacing w:line="360" w:lineRule="exact"/>
              <w:ind w:firstLine="96"/>
              <w:jc w:val="left"/>
              <w:rPr>
                <w:rFonts w:ascii="宋体" w:hAnsi="宋体" w:cs="宋体"/>
                <w:color w:val="auto"/>
                <w:kern w:val="0"/>
                <w:szCs w:val="21"/>
                <w:highlight w:val="none"/>
              </w:rPr>
            </w:pPr>
            <w:r>
              <w:rPr>
                <w:rFonts w:hint="eastAsia" w:ascii="宋体" w:hAnsi="宋体" w:cs="宋体"/>
                <w:color w:val="auto"/>
                <w:kern w:val="0"/>
                <w:szCs w:val="21"/>
                <w:highlight w:val="none"/>
              </w:rPr>
              <w:t>有异议的意见和说明理由：</w:t>
            </w:r>
          </w:p>
          <w:p w14:paraId="1C7CED9D">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                                      签字：</w:t>
            </w:r>
          </w:p>
        </w:tc>
      </w:tr>
      <w:tr w14:paraId="30CDD5E1">
        <w:tblPrEx>
          <w:tblCellMar>
            <w:top w:w="0" w:type="dxa"/>
            <w:left w:w="0" w:type="dxa"/>
            <w:bottom w:w="0" w:type="dxa"/>
            <w:right w:w="0" w:type="dxa"/>
          </w:tblCellMar>
        </w:tblPrEx>
        <w:trPr>
          <w:trHeight w:val="507" w:hRule="atLeast"/>
          <w:jc w:val="center"/>
        </w:trPr>
        <w:tc>
          <w:tcPr>
            <w:tcW w:w="9457" w:type="dxa"/>
            <w:gridSpan w:val="7"/>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5017915">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验收小组成员签字：</w:t>
            </w:r>
          </w:p>
        </w:tc>
      </w:tr>
      <w:tr w14:paraId="2F9B8795">
        <w:tblPrEx>
          <w:tblCellMar>
            <w:top w:w="0" w:type="dxa"/>
            <w:left w:w="0" w:type="dxa"/>
            <w:bottom w:w="0" w:type="dxa"/>
            <w:right w:w="0" w:type="dxa"/>
          </w:tblCellMar>
        </w:tblPrEx>
        <w:trPr>
          <w:trHeight w:val="736" w:hRule="atLeast"/>
          <w:jc w:val="center"/>
        </w:trPr>
        <w:tc>
          <w:tcPr>
            <w:tcW w:w="9457" w:type="dxa"/>
            <w:gridSpan w:val="7"/>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14:paraId="38522C22">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监督人员或其他相关人员签字：</w:t>
            </w:r>
          </w:p>
          <w:p w14:paraId="5C25AD60">
            <w:pPr>
              <w:widowControl/>
              <w:spacing w:line="360" w:lineRule="exact"/>
              <w:ind w:firstLine="74"/>
              <w:jc w:val="left"/>
              <w:rPr>
                <w:rFonts w:ascii="宋体" w:hAnsi="宋体" w:cs="宋体"/>
                <w:color w:val="auto"/>
                <w:kern w:val="0"/>
                <w:szCs w:val="21"/>
                <w:highlight w:val="none"/>
              </w:rPr>
            </w:pPr>
            <w:r>
              <w:rPr>
                <w:rFonts w:hint="eastAsia" w:ascii="宋体" w:hAnsi="宋体" w:cs="宋体"/>
                <w:color w:val="auto"/>
                <w:kern w:val="0"/>
                <w:szCs w:val="21"/>
                <w:highlight w:val="none"/>
              </w:rPr>
              <w:t>或受邀机构的意见（盖章）：</w:t>
            </w:r>
          </w:p>
        </w:tc>
      </w:tr>
      <w:tr w14:paraId="7570DF9E">
        <w:tblPrEx>
          <w:tblCellMar>
            <w:top w:w="0" w:type="dxa"/>
            <w:left w:w="0" w:type="dxa"/>
            <w:bottom w:w="0" w:type="dxa"/>
            <w:right w:w="0" w:type="dxa"/>
          </w:tblCellMar>
        </w:tblPrEx>
        <w:trPr>
          <w:trHeight w:val="1485" w:hRule="atLeast"/>
          <w:jc w:val="center"/>
        </w:trPr>
        <w:tc>
          <w:tcPr>
            <w:tcW w:w="4091" w:type="dxa"/>
            <w:gridSpan w:val="3"/>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8B88967">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中标或者成交供应商负责人签字或盖章：</w:t>
            </w:r>
          </w:p>
          <w:p w14:paraId="6F24D5CA">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联系电话：        年 月 日</w:t>
            </w:r>
          </w:p>
        </w:tc>
        <w:tc>
          <w:tcPr>
            <w:tcW w:w="5366" w:type="dxa"/>
            <w:gridSpan w:val="4"/>
            <w:tcBorders>
              <w:top w:val="single" w:color="auto" w:sz="4" w:space="0"/>
              <w:left w:val="single" w:color="auto" w:sz="4" w:space="0"/>
              <w:bottom w:val="single" w:color="auto" w:sz="4" w:space="0"/>
              <w:right w:val="single" w:color="auto" w:sz="4" w:space="0"/>
            </w:tcBorders>
            <w:vAlign w:val="center"/>
          </w:tcPr>
          <w:p w14:paraId="022EE17C">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采购人或受托机构的意见（盖章）：</w:t>
            </w:r>
          </w:p>
          <w:p w14:paraId="0B6AB2BE">
            <w:pPr>
              <w:widowControl/>
              <w:spacing w:line="36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联系电话：             年   月   日</w:t>
            </w:r>
          </w:p>
        </w:tc>
      </w:tr>
    </w:tbl>
    <w:p w14:paraId="2DB20EA3">
      <w:pPr>
        <w:tabs>
          <w:tab w:val="left" w:pos="2835"/>
        </w:tabs>
        <w:spacing w:line="360" w:lineRule="exact"/>
        <w:rPr>
          <w:rFonts w:ascii="宋体" w:hAnsi="宋体"/>
          <w:color w:val="auto"/>
          <w:szCs w:val="21"/>
          <w:highlight w:val="none"/>
        </w:rPr>
      </w:pPr>
    </w:p>
    <w:p w14:paraId="2F7F4708">
      <w:pPr>
        <w:pStyle w:val="2"/>
        <w:rPr>
          <w:rFonts w:ascii="宋体" w:hAnsi="宋体"/>
          <w:color w:val="auto"/>
          <w:highlight w:val="none"/>
        </w:rPr>
      </w:pPr>
      <w:r>
        <w:rPr>
          <w:rFonts w:ascii="宋体" w:hAnsi="宋体"/>
          <w:color w:val="auto"/>
          <w:highlight w:val="none"/>
        </w:rPr>
        <w:br w:type="page"/>
      </w:r>
      <w:bookmarkStart w:id="14" w:name="_Toc9868"/>
      <w:r>
        <w:rPr>
          <w:rFonts w:hint="eastAsia" w:ascii="宋体" w:hAnsi="宋体"/>
          <w:color w:val="auto"/>
          <w:highlight w:val="none"/>
        </w:rPr>
        <w:t>第三章  采购需求</w:t>
      </w:r>
      <w:bookmarkEnd w:id="14"/>
      <w:bookmarkStart w:id="15" w:name="_Toc83636396"/>
      <w:bookmarkStart w:id="16" w:name="_Toc49329249"/>
      <w:bookmarkStart w:id="17" w:name="_Toc78604590"/>
      <w:bookmarkStart w:id="18" w:name="_Toc37670349"/>
    </w:p>
    <w:bookmarkEnd w:id="15"/>
    <w:bookmarkEnd w:id="16"/>
    <w:bookmarkEnd w:id="17"/>
    <w:bookmarkEnd w:id="18"/>
    <w:p w14:paraId="53C342DF">
      <w:pPr>
        <w:spacing w:line="360" w:lineRule="exact"/>
        <w:ind w:firstLine="422" w:firstLineChars="200"/>
        <w:rPr>
          <w:rFonts w:ascii="宋体" w:hAnsi="宋体" w:cs="Courier New"/>
          <w:b/>
          <w:color w:val="auto"/>
          <w:szCs w:val="21"/>
          <w:highlight w:val="none"/>
        </w:rPr>
      </w:pPr>
      <w:r>
        <w:rPr>
          <w:rFonts w:hint="eastAsia" w:ascii="宋体" w:hAnsi="宋体" w:cs="Courier New"/>
          <w:b/>
          <w:color w:val="auto"/>
          <w:szCs w:val="21"/>
          <w:highlight w:val="none"/>
        </w:rPr>
        <w:t>说明：</w:t>
      </w:r>
    </w:p>
    <w:p w14:paraId="32B5224C">
      <w:pPr>
        <w:spacing w:line="36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一、本一览表中的品牌、型号技术参数及其性能（配置）仅起参考作用，供应商可选用其他产品替代，但这些替代的产品要实质上相当于或优于参考品牌型号及其技术参数性能（配置）要求。</w:t>
      </w:r>
    </w:p>
    <w:p w14:paraId="66DAC613">
      <w:pPr>
        <w:spacing w:line="360" w:lineRule="exact"/>
        <w:ind w:firstLine="420" w:firstLineChars="200"/>
        <w:rPr>
          <w:rFonts w:ascii="宋体" w:hAnsi="宋体" w:cs="Courier New"/>
          <w:color w:val="auto"/>
          <w:szCs w:val="21"/>
          <w:highlight w:val="none"/>
        </w:rPr>
      </w:pPr>
      <w:r>
        <w:rPr>
          <w:rFonts w:hint="eastAsia" w:ascii="宋体" w:hAnsi="宋体" w:cs="Courier New"/>
          <w:color w:val="auto"/>
          <w:szCs w:val="21"/>
          <w:highlight w:val="none"/>
        </w:rPr>
        <w:t>二、本一览表中参考品牌、型号及技术参数性能（配置）不明确或有误的，或供应商选用其他产品替代的，须说明品牌型号和详细的技术参数性能（配置）同时填写投标明细表和技术响应表。</w:t>
      </w:r>
    </w:p>
    <w:p w14:paraId="3EB981B7">
      <w:pPr>
        <w:spacing w:line="360" w:lineRule="exact"/>
        <w:ind w:firstLine="420" w:firstLineChars="200"/>
        <w:rPr>
          <w:rFonts w:ascii="宋体" w:hAnsi="宋体" w:cs="宋体"/>
          <w:color w:val="auto"/>
          <w:highlight w:val="none"/>
        </w:rPr>
      </w:pPr>
      <w:bookmarkStart w:id="19" w:name="_Toc511133381"/>
      <w:bookmarkStart w:id="20" w:name="_Toc519523657"/>
      <w:r>
        <w:rPr>
          <w:rFonts w:hint="eastAsia" w:ascii="宋体" w:hAnsi="宋体" w:cs="宋体"/>
          <w:color w:val="auto"/>
          <w:highlight w:val="none"/>
        </w:rPr>
        <w:t>三、供应商必须自行为其投标产品侵权其他供应商或专利人的专利成果承担相应法律责任；同时，具有产品专利的供应商应在其响应文件中提供与其自有产品专利相关的有效证明材料，否则，不能就其产品的专利在本项目投标过程中被侵权问题提出异议。</w:t>
      </w:r>
      <w:bookmarkEnd w:id="19"/>
      <w:bookmarkEnd w:id="20"/>
    </w:p>
    <w:p w14:paraId="6C57AE58">
      <w:pPr>
        <w:spacing w:line="360" w:lineRule="exact"/>
        <w:ind w:firstLine="420" w:firstLineChars="200"/>
        <w:rPr>
          <w:rFonts w:ascii="宋体" w:hAnsi="宋体" w:cs="宋体"/>
          <w:color w:val="auto"/>
          <w:highlight w:val="none"/>
        </w:rPr>
      </w:pPr>
      <w:r>
        <w:rPr>
          <w:rFonts w:hint="eastAsia" w:ascii="宋体" w:hAnsi="宋体" w:cs="宋体"/>
          <w:color w:val="auto"/>
          <w:highlight w:val="none"/>
        </w:rPr>
        <w:t>▲四、根据财办库（2008）248号文件有关规定，本项目不允许进口产品（即通过中国海关报关验放进入中国境内且产自关境外的产品）参加投标，如有此类产品参与投标的做无效标处理。</w:t>
      </w:r>
    </w:p>
    <w:p w14:paraId="17144D7C">
      <w:pPr>
        <w:widowControl/>
        <w:spacing w:line="360" w:lineRule="exact"/>
        <w:ind w:firstLine="420" w:firstLineChars="200"/>
        <w:jc w:val="left"/>
        <w:rPr>
          <w:rFonts w:ascii="宋体" w:hAnsi="宋体" w:cs="宋体"/>
          <w:bCs/>
          <w:color w:val="auto"/>
          <w:kern w:val="0"/>
          <w:sz w:val="24"/>
          <w:highlight w:val="none"/>
        </w:rPr>
      </w:pPr>
      <w:r>
        <w:rPr>
          <w:rFonts w:hint="eastAsia" w:ascii="宋体" w:hAnsi="宋体" w:cs="宋体"/>
          <w:bCs/>
          <w:color w:val="auto"/>
          <w:highlight w:val="none"/>
        </w:rPr>
        <w:t>▲五、根据《财政部发展改革委生态环境部市场监管总局关于调整优化节能产品、环境标志产品政府采购执行机制的通知》（财库〔2019〕9号）和《关于印发节能产品政府采购品目清单的通知》（财库〔2019〕19号）的规定，采购需求中的货物属于节能产品政府采购品目清单内标注“★”的（详见本章后附的节能产品政府采购品目清单，专业定制除外），供应商的投标货物必须使用政府强制采购的节能产品，供应商必须在响应文件（商务及技术文件）中提供所投标产品的节能产品认证证书复印件（或扫描件）（加盖供应商电子签章），否则按无效投标处理。如本项目包含的货物属于品目清单内非标注“★”的产品时，应优先采购，具体详见“第四章 评标方法及评标标准”。</w:t>
      </w:r>
      <w:r>
        <w:rPr>
          <w:rFonts w:hint="eastAsia" w:ascii="宋体" w:hAnsi="宋体" w:cs="宋体"/>
          <w:bCs/>
          <w:color w:val="auto"/>
          <w:kern w:val="0"/>
          <w:sz w:val="24"/>
          <w:highlight w:val="none"/>
        </w:rPr>
        <w:t xml:space="preserve"> </w:t>
      </w:r>
    </w:p>
    <w:p w14:paraId="17F5D292">
      <w:pPr>
        <w:widowControl/>
        <w:spacing w:line="360" w:lineRule="exact"/>
        <w:ind w:firstLine="422" w:firstLineChars="200"/>
        <w:jc w:val="left"/>
        <w:rPr>
          <w:rFonts w:ascii="宋体" w:hAnsi="宋体" w:cs="宋体"/>
          <w:b/>
          <w:color w:val="auto"/>
          <w:highlight w:val="none"/>
        </w:rPr>
      </w:pPr>
      <w:r>
        <w:rPr>
          <w:rFonts w:hint="eastAsia" w:ascii="宋体" w:hAnsi="宋体" w:cs="宋体"/>
          <w:b/>
          <w:color w:val="auto"/>
          <w:highlight w:val="none"/>
        </w:rPr>
        <w:t>▲六、本一览表中带“▲”的技术参数及其性能（配置）为必须满足的项目，供应商必须提供相当于或优于这些技术参数性能（配置）要求。本一览表中不带“▲”的技术参数为可负偏离的项目，但偏离超过</w:t>
      </w:r>
      <w:r>
        <w:rPr>
          <w:rFonts w:hint="eastAsia" w:ascii="宋体" w:hAnsi="宋体" w:cs="宋体"/>
          <w:b/>
          <w:color w:val="auto"/>
          <w:highlight w:val="none"/>
          <w:u w:val="single"/>
          <w:lang w:val="en-US" w:eastAsia="zh-CN"/>
        </w:rPr>
        <w:t>2</w:t>
      </w:r>
      <w:r>
        <w:rPr>
          <w:rFonts w:hint="eastAsia" w:ascii="宋体" w:hAnsi="宋体" w:cs="宋体"/>
          <w:b/>
          <w:color w:val="auto"/>
          <w:highlight w:val="none"/>
        </w:rPr>
        <w:t>项（含</w:t>
      </w:r>
      <w:r>
        <w:rPr>
          <w:rFonts w:hint="eastAsia" w:ascii="宋体" w:hAnsi="宋体" w:cs="宋体"/>
          <w:b/>
          <w:color w:val="auto"/>
          <w:highlight w:val="none"/>
          <w:u w:val="single"/>
          <w:lang w:val="en-US" w:eastAsia="zh-CN"/>
        </w:rPr>
        <w:t>2</w:t>
      </w:r>
      <w:r>
        <w:rPr>
          <w:rFonts w:hint="eastAsia" w:ascii="宋体" w:hAnsi="宋体" w:cs="宋体"/>
          <w:b/>
          <w:color w:val="auto"/>
          <w:highlight w:val="none"/>
        </w:rPr>
        <w:t>项）以上的响应文件将被视为无效。</w:t>
      </w:r>
    </w:p>
    <w:p w14:paraId="42ECABFB">
      <w:pPr>
        <w:widowControl/>
        <w:spacing w:line="360" w:lineRule="exact"/>
        <w:ind w:firstLine="420" w:firstLineChars="200"/>
        <w:jc w:val="left"/>
        <w:rPr>
          <w:rFonts w:ascii="宋体" w:hAnsi="宋体" w:cs="宋体"/>
          <w:bCs/>
          <w:color w:val="auto"/>
          <w:highlight w:val="none"/>
        </w:rPr>
      </w:pPr>
      <w:r>
        <w:rPr>
          <w:rFonts w:hint="eastAsia" w:ascii="宋体" w:hAnsi="宋体" w:cs="宋体"/>
          <w:bCs/>
          <w:color w:val="auto"/>
          <w:highlight w:val="none"/>
        </w:rPr>
        <w:t>七、根据财政部令87号规定，提供相同品牌产品且通过资格审查、符合性审查的不同供应商参加同一合同项下投标的，按一家供应商计算，评审后得分最高的同品牌供应商获得中标人推荐资格；评审得分相同时，以总报价最低的同品牌供应商获得中标人推荐资格；当总报价相同时，则以技术标最优的同品牌供应商获得中标人推荐资格；均相同时，由评标委员会集体决定。</w:t>
      </w:r>
    </w:p>
    <w:p w14:paraId="21062432">
      <w:pPr>
        <w:widowControl/>
        <w:spacing w:line="360" w:lineRule="exact"/>
        <w:ind w:firstLine="420" w:firstLineChars="200"/>
        <w:jc w:val="left"/>
        <w:rPr>
          <w:rFonts w:ascii="宋体" w:hAnsi="宋体" w:cs="宋体"/>
          <w:bCs/>
          <w:color w:val="auto"/>
          <w:highlight w:val="none"/>
        </w:rPr>
      </w:pPr>
      <w:r>
        <w:rPr>
          <w:rFonts w:hint="eastAsia" w:ascii="宋体" w:hAnsi="宋体" w:cs="宋体"/>
          <w:bCs/>
          <w:color w:val="auto"/>
          <w:highlight w:val="none"/>
        </w:rPr>
        <w:t>非单一产品采购项目中，多家供应商提供的核心产品(具体核心产品以“◆”标注)品牌相同的，视为提供相同品牌产品。</w:t>
      </w:r>
    </w:p>
    <w:p w14:paraId="54A3C620">
      <w:pPr>
        <w:spacing w:line="360" w:lineRule="exact"/>
        <w:ind w:firstLine="211" w:firstLineChars="100"/>
        <w:rPr>
          <w:rFonts w:ascii="宋体" w:hAnsi="宋体" w:cs="宋体"/>
          <w:b/>
          <w:color w:val="auto"/>
          <w:highlight w:val="none"/>
        </w:rPr>
      </w:pPr>
      <w:r>
        <w:rPr>
          <w:rFonts w:hint="eastAsia" w:ascii="宋体" w:hAnsi="宋体" w:cs="宋体"/>
          <w:b/>
          <w:color w:val="auto"/>
          <w:highlight w:val="none"/>
        </w:rPr>
        <w:t>八、本项目所属行业：</w:t>
      </w:r>
      <w:r>
        <w:rPr>
          <w:rFonts w:hint="eastAsia" w:ascii="宋体" w:hAnsi="宋体" w:cs="宋体"/>
          <w:b/>
          <w:color w:val="auto"/>
          <w:highlight w:val="none"/>
          <w:u w:val="single"/>
        </w:rPr>
        <w:t xml:space="preserve">  工业  </w:t>
      </w:r>
      <w:r>
        <w:rPr>
          <w:rFonts w:hint="eastAsia" w:ascii="宋体" w:hAnsi="宋体" w:cs="宋体"/>
          <w:b/>
          <w:color w:val="auto"/>
          <w:highlight w:val="none"/>
        </w:rPr>
        <w:t>，划分依据：《关于印发中小企业划型标准规定的通知》（工信部联企业[2011]300号）。</w:t>
      </w:r>
    </w:p>
    <w:tbl>
      <w:tblPr>
        <w:tblStyle w:val="37"/>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26"/>
        <w:gridCol w:w="1194"/>
        <w:gridCol w:w="680"/>
        <w:gridCol w:w="890"/>
        <w:gridCol w:w="1071"/>
        <w:gridCol w:w="5593"/>
      </w:tblGrid>
      <w:tr w14:paraId="6DD568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854" w:type="dxa"/>
            <w:gridSpan w:val="6"/>
            <w:vAlign w:val="center"/>
          </w:tcPr>
          <w:p w14:paraId="19FB3863">
            <w:pPr>
              <w:pStyle w:val="47"/>
              <w:ind w:firstLine="0"/>
              <w:jc w:val="center"/>
              <w:rPr>
                <w:rFonts w:hint="eastAsia" w:eastAsia="宋体"/>
                <w:color w:val="auto"/>
                <w:highlight w:val="none"/>
                <w:lang w:eastAsia="zh-CN"/>
              </w:rPr>
            </w:pPr>
            <w:r>
              <w:rPr>
                <w:rFonts w:hint="eastAsia"/>
                <w:b/>
                <w:bCs/>
                <w:color w:val="auto"/>
                <w:sz w:val="28"/>
                <w:szCs w:val="28"/>
                <w:highlight w:val="none"/>
              </w:rPr>
              <w:t>分标</w:t>
            </w:r>
            <w:r>
              <w:rPr>
                <w:rFonts w:hint="eastAsia"/>
                <w:b/>
                <w:bCs/>
                <w:color w:val="auto"/>
                <w:sz w:val="28"/>
                <w:szCs w:val="28"/>
                <w:highlight w:val="none"/>
                <w:lang w:val="en-US" w:eastAsia="zh-CN"/>
              </w:rPr>
              <w:t>1</w:t>
            </w:r>
          </w:p>
        </w:tc>
      </w:tr>
      <w:tr w14:paraId="4EC9C3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4D52A5ED">
            <w:pPr>
              <w:pStyle w:val="47"/>
              <w:ind w:firstLine="0"/>
              <w:jc w:val="center"/>
              <w:rPr>
                <w:rFonts w:ascii="宋体" w:hAnsi="宋体" w:cs="宋体"/>
                <w:color w:val="auto"/>
                <w:highlight w:val="none"/>
              </w:rPr>
            </w:pPr>
            <w:r>
              <w:rPr>
                <w:rFonts w:hint="eastAsia" w:ascii="宋体" w:hAnsi="宋体" w:cs="宋体"/>
                <w:color w:val="auto"/>
                <w:highlight w:val="none"/>
              </w:rPr>
              <w:t>序号</w:t>
            </w:r>
          </w:p>
        </w:tc>
        <w:tc>
          <w:tcPr>
            <w:tcW w:w="1194" w:type="dxa"/>
            <w:vAlign w:val="center"/>
          </w:tcPr>
          <w:p w14:paraId="493BA928">
            <w:pPr>
              <w:pStyle w:val="47"/>
              <w:ind w:firstLine="0"/>
              <w:jc w:val="center"/>
              <w:rPr>
                <w:rFonts w:ascii="宋体" w:hAnsi="宋体" w:cs="宋体"/>
                <w:color w:val="auto"/>
                <w:highlight w:val="none"/>
              </w:rPr>
            </w:pPr>
            <w:r>
              <w:rPr>
                <w:rFonts w:hint="eastAsia" w:ascii="宋体" w:hAnsi="宋体" w:cs="宋体"/>
                <w:color w:val="auto"/>
                <w:highlight w:val="none"/>
              </w:rPr>
              <w:t>货物名称</w:t>
            </w:r>
          </w:p>
        </w:tc>
        <w:tc>
          <w:tcPr>
            <w:tcW w:w="680" w:type="dxa"/>
            <w:vAlign w:val="center"/>
          </w:tcPr>
          <w:p w14:paraId="1563751E">
            <w:pPr>
              <w:pStyle w:val="47"/>
              <w:ind w:firstLine="0"/>
              <w:jc w:val="center"/>
              <w:rPr>
                <w:rFonts w:ascii="宋体" w:hAnsi="宋体" w:cs="宋体"/>
                <w:color w:val="auto"/>
                <w:highlight w:val="none"/>
              </w:rPr>
            </w:pPr>
            <w:r>
              <w:rPr>
                <w:rFonts w:hint="eastAsia" w:ascii="宋体" w:hAnsi="宋体" w:cs="宋体"/>
                <w:color w:val="auto"/>
                <w:highlight w:val="none"/>
              </w:rPr>
              <w:t>单位</w:t>
            </w:r>
          </w:p>
        </w:tc>
        <w:tc>
          <w:tcPr>
            <w:tcW w:w="890" w:type="dxa"/>
            <w:vAlign w:val="center"/>
          </w:tcPr>
          <w:p w14:paraId="28C69804">
            <w:pPr>
              <w:pStyle w:val="47"/>
              <w:ind w:firstLine="0"/>
              <w:jc w:val="center"/>
              <w:rPr>
                <w:rFonts w:ascii="宋体" w:hAnsi="宋体" w:cs="宋体"/>
                <w:color w:val="auto"/>
                <w:highlight w:val="none"/>
              </w:rPr>
            </w:pPr>
            <w:r>
              <w:rPr>
                <w:rFonts w:hint="eastAsia" w:ascii="宋体" w:hAnsi="宋体" w:cs="宋体"/>
                <w:color w:val="auto"/>
                <w:highlight w:val="none"/>
              </w:rPr>
              <w:t>数量</w:t>
            </w:r>
          </w:p>
        </w:tc>
        <w:tc>
          <w:tcPr>
            <w:tcW w:w="1071" w:type="dxa"/>
            <w:vAlign w:val="center"/>
          </w:tcPr>
          <w:p w14:paraId="1C9B4EE7">
            <w:pPr>
              <w:pStyle w:val="47"/>
              <w:ind w:firstLine="0"/>
              <w:jc w:val="center"/>
              <w:rPr>
                <w:rFonts w:ascii="宋体" w:hAnsi="宋体" w:cs="宋体"/>
                <w:color w:val="auto"/>
                <w:highlight w:val="none"/>
              </w:rPr>
            </w:pPr>
            <w:r>
              <w:rPr>
                <w:rFonts w:hint="eastAsia" w:ascii="宋体" w:hAnsi="宋体" w:cs="宋体"/>
                <w:b/>
                <w:bCs/>
                <w:color w:val="auto"/>
                <w:highlight w:val="none"/>
              </w:rPr>
              <w:t>预算控制单价（元）</w:t>
            </w:r>
          </w:p>
        </w:tc>
        <w:tc>
          <w:tcPr>
            <w:tcW w:w="5593" w:type="dxa"/>
            <w:vAlign w:val="center"/>
          </w:tcPr>
          <w:p w14:paraId="4FF8B2C8">
            <w:pPr>
              <w:pStyle w:val="47"/>
              <w:ind w:firstLine="0"/>
              <w:jc w:val="center"/>
              <w:rPr>
                <w:rFonts w:ascii="宋体" w:hAnsi="宋体" w:cs="宋体"/>
                <w:color w:val="auto"/>
                <w:highlight w:val="none"/>
              </w:rPr>
            </w:pPr>
            <w:r>
              <w:rPr>
                <w:rFonts w:hint="eastAsia" w:ascii="宋体" w:hAnsi="宋体" w:cs="宋体"/>
                <w:color w:val="auto"/>
                <w:highlight w:val="none"/>
              </w:rPr>
              <w:t>技术指标要求</w:t>
            </w:r>
          </w:p>
        </w:tc>
      </w:tr>
      <w:tr w14:paraId="45A2BB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0A75BFC2">
            <w:pPr>
              <w:pStyle w:val="47"/>
              <w:ind w:firstLine="0"/>
              <w:jc w:val="center"/>
              <w:rPr>
                <w:rFonts w:ascii="宋体" w:hAnsi="宋体" w:cs="宋体"/>
                <w:color w:val="auto"/>
                <w:highlight w:val="none"/>
              </w:rPr>
            </w:pPr>
            <w:r>
              <w:rPr>
                <w:rFonts w:hint="eastAsia" w:ascii="宋体" w:hAnsi="宋体" w:cs="宋体"/>
                <w:color w:val="auto"/>
                <w:highlight w:val="none"/>
              </w:rPr>
              <w:t>1</w:t>
            </w:r>
          </w:p>
        </w:tc>
        <w:tc>
          <w:tcPr>
            <w:tcW w:w="1194" w:type="dxa"/>
            <w:vAlign w:val="center"/>
          </w:tcPr>
          <w:p w14:paraId="0A04DFF1">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LED灯具</w:t>
            </w:r>
            <w:r>
              <w:rPr>
                <w:rFonts w:hint="eastAsia" w:ascii="宋体" w:hAnsi="宋体" w:cs="宋体"/>
                <w:i w:val="0"/>
                <w:iCs w:val="0"/>
                <w:color w:val="auto"/>
                <w:kern w:val="0"/>
                <w:sz w:val="21"/>
                <w:szCs w:val="21"/>
                <w:highlight w:val="none"/>
                <w:u w:val="none"/>
                <w:lang w:val="en-US" w:eastAsia="zh-CN" w:bidi="ar"/>
              </w:rPr>
              <w:t>（核心产品）</w:t>
            </w:r>
          </w:p>
        </w:tc>
        <w:tc>
          <w:tcPr>
            <w:tcW w:w="680" w:type="dxa"/>
            <w:vAlign w:val="center"/>
          </w:tcPr>
          <w:p w14:paraId="34EA6617">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890" w:type="dxa"/>
            <w:vAlign w:val="center"/>
          </w:tcPr>
          <w:p w14:paraId="60F7B237">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1071" w:type="dxa"/>
            <w:vAlign w:val="center"/>
          </w:tcPr>
          <w:p w14:paraId="208B6238">
            <w:pPr>
              <w:keepNext w:val="0"/>
              <w:keepLines w:val="0"/>
              <w:widowControl/>
              <w:suppressLineNumbers w:val="0"/>
              <w:jc w:val="center"/>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710</w:t>
            </w:r>
          </w:p>
        </w:tc>
        <w:tc>
          <w:tcPr>
            <w:tcW w:w="5593" w:type="dxa"/>
            <w:vAlign w:val="center"/>
          </w:tcPr>
          <w:p w14:paraId="5CE799D3">
            <w:pPr>
              <w:keepNext w:val="0"/>
              <w:keepLines w:val="0"/>
              <w:widowControl/>
              <w:suppressLineNumbers w:val="0"/>
              <w:spacing w:after="200" w:afterAutospacing="0"/>
              <w:jc w:val="left"/>
              <w:textAlignment w:val="center"/>
              <w:rPr>
                <w:rFonts w:ascii="宋体" w:hAnsi="宋体" w:cs="宋体"/>
                <w:color w:val="auto"/>
                <w:spacing w:val="-1"/>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 灯具设计标准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需执行现行的国家相关标准、行业标准、地方标准或者其他标准、规范（包括但不限于）：</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1.1、GB/T34446 《固定式通用LED 灯具性能要求》；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1.2、GB/T 35269 《LED照明应用与接口要求 非集成式LED模块的道路灯具》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1.3、GB/T 34846 《LED道路/隧道照明专用模块规格和接口技术要求》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1.4、GB/T 24825 《LED模块用直流或交流电子控制装置 性能要求》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1.5、GB/T 31832 《LED城市道路照明应用技术要求》；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1.6、GB 24819 《普通用LED照明模块安全要求》；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1.7、GB 7000.5 《道路与街道照明灯具的安全要求》；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1.8、GB 7000.1 《灯具 第1部分：一般要求与试验》；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1.9、GB 7000.201 《灯具第2-1 部分：特殊要求 固定式通用灯具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1.10、GB 7000.203 《灯具第2-3 部分：特殊要求 道路与街路照明灯具》；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1.11、GB 17743《电气照明和类似设备的无线电骚扰特性的限值和测量方法》；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1.12、GB 17625.1《电磁兼容限值谐波电流发射限值（设备每相输入电流≤16A》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1.13、GB/T 4208 《外壳防护等级（IP 代码）》；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1.14、QB/T3741 《灯具电镀、化学覆盖层》。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二、质量要求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中标人应确保供货的所有灯具物资均符合技术标准，采购人可自行组织检测或委托具备相应资质的第三方检验机构进行抽检。检测内容包含但不限于：中标人在灯具到货后开箱检验及分批次抽检、灯具安装完成后对道路照明质量的现场检测，中标人应根据采购人要求无偿提供配合人员和其他必要条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购人自行组织检测或第三方检验机构抽检时，如抽检的合同货物不符合合同要求，采购人可按照合同约定或国家相关规定，扩大抽检范围，并根据检测结果及合同相关约定，要求中标人采取重新生产、修理、更换、向第三方采购可替代货物等补救措施或单方解除合同，同时所有检测、运输等相关费用由中标人承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三、LED灯具技术要求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3.1 LED模块化设计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3.1.1 为确保平替气体放电灯后节能有效果、照度不降低，模组化LED路灯基本要求具体如下：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光源功率（W）150、3模组、单个LED模块额定电流及功率1050mA，50W；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LED路灯整灯光效≥170lm/W；色温值（K）3500±100；显色指数≥70；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驱动电源类型及功率：恒流1050mA ≥150W，颗粒、封装要求：5050封装；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整灯净重(KG)（不允许有配重块）≥4.8。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注：</w:t>
            </w:r>
            <w:r>
              <w:rPr>
                <w:rFonts w:hint="eastAsia" w:ascii="宋体" w:hAnsi="宋体" w:eastAsia="宋体" w:cs="宋体"/>
                <w:b/>
                <w:bCs/>
                <w:i w:val="0"/>
                <w:iCs w:val="0"/>
                <w:color w:val="auto"/>
                <w:kern w:val="0"/>
                <w:sz w:val="21"/>
                <w:szCs w:val="21"/>
                <w:highlight w:val="none"/>
                <w:u w:val="none"/>
                <w:lang w:val="en-US" w:eastAsia="zh-CN" w:bidi="ar"/>
              </w:rPr>
              <w:t>▲为方便高空安全维修作业，LED灯具内部需配瓷插熔断器或者开盖断电功能。整灯重量允许5%内的负偏差，灯具整体要求质保5年。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3.1.2  LED灯具结构中，灯体为LED模块提供支撑与连接固定，LED模块通过安装檐与灯体进行安装固定，在满足照度及亮度要求的前提下，一个LED灯具可包括一个或多个LED模块，LED模块间连接方式为串联。LED模块必须包含光源、光学器件、散热器及接插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b/>
                <w:bCs/>
                <w:i w:val="0"/>
                <w:iCs w:val="0"/>
                <w:color w:val="auto"/>
                <w:kern w:val="0"/>
                <w:sz w:val="21"/>
                <w:szCs w:val="21"/>
                <w:highlight w:val="none"/>
                <w:u w:val="none"/>
                <w:lang w:val="en-US" w:eastAsia="zh-CN" w:bidi="ar"/>
              </w:rPr>
              <w:t>3.1.3 ▲ LED模块结构和机械互换：除了须满足整灯层面的常规安全与性能标准外，从终端应用的实际场景出发，采用模块化结构的LED模块，模组接口应符合GB/T35269或GB/T34846标准，能与符合该标准的其它模块互换。采用透镜进行二次配光，透镜出光率＞90%。LED模块尺寸需符合GB/T35269中A型LED模块尺寸要求（300mm×70mm），模块上散热片应由铝型材或压铸铝（或铝合金）制作，散热片凸起高度不超60mm，模块可简易工具拆换。LED灯体结构尺寸需符合GB/T35269中A型LED灯体结构尺寸要求，LED灯体给模块提供的空间高度应不小于60mm。</w:t>
            </w:r>
            <w:r>
              <w:rPr>
                <w:rFonts w:hint="eastAsia" w:ascii="宋体" w:hAnsi="宋体" w:eastAsia="宋体" w:cs="宋体"/>
                <w:b/>
                <w:bCs/>
                <w:i w:val="0"/>
                <w:iCs w:val="0"/>
                <w:color w:val="auto"/>
                <w:kern w:val="0"/>
                <w:sz w:val="21"/>
                <w:szCs w:val="21"/>
                <w:highlight w:val="none"/>
                <w:u w:val="none"/>
                <w:lang w:val="en-US" w:eastAsia="zh-CN" w:bidi="ar"/>
              </w:rPr>
              <w:br w:type="textWrapping"/>
            </w:r>
            <w:r>
              <w:rPr>
                <w:rFonts w:hint="eastAsia" w:ascii="宋体" w:hAnsi="宋体" w:eastAsia="宋体" w:cs="宋体"/>
                <w:b/>
                <w:bCs/>
                <w:i w:val="0"/>
                <w:iCs w:val="0"/>
                <w:color w:val="auto"/>
                <w:kern w:val="0"/>
                <w:sz w:val="21"/>
                <w:szCs w:val="21"/>
                <w:highlight w:val="none"/>
                <w:u w:val="none"/>
                <w:lang w:val="en-US" w:eastAsia="zh-CN" w:bidi="ar"/>
              </w:rPr>
              <w:t>3.1.4 ▲灯具在额定工作条件下的实测功率与标称功率的允许偏差为 10%，灯具光源整体封装后光衰每年应小于4%。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3.2 灯具外壳性能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3.2.1 灯具外壳采用优质高压铸铝（或铝合金）压铸一次成型制成（不允许采用拼接型或通过型材组装式的灯具式样），灯具外壳厚度≥2mm，表面粉末静电喷涂处理，具有良好的耐气候性能，表面应能承受机械压力和盐雾、汽车废气及清洗剂的腐蚀，涂层在灯具质保期内不褪色、不剥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3.2.2 灯具外壳采用掀盖模式，并设支架或钢丝绳，方便检修。灯具外壳设计有水槽、底部有渗水孔。</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3.2.3 灯具独立电源腔结构设计，电源腔和光源腔应防水隔离，互不影响便于维护，灯具必须配备防坠落装置。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3.2.4 LED 路灯系统各部件壳表面应光洁、平整，不应有划伤、裂纹、变形等缺陷。</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3.2.5 灯具接口尺寸在签订合同时根据具体安装道路灯臂情况确定（灯臂管径参考范围在Φ50～Φ70之间）。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 LED 路灯性能技术要求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3.3.1产品尺寸采用行业主流:5050封装的大功率灯珠，LED灯珠工作时,1W≤单颗功率≤3W。要求选用低热阻、散热良好、耐高温、抗高压的封装及高折射率、抗劣化封装材料（如 硅胶、硅酮树脂、高透光的玻璃等合成材料）,提高出光效率和降低热阻，保证功率型LED 工作的稳定性、可靠性及高效性。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3.3.2 频闪效应可视度应符合GB 55016-2021的有关规范，其数值小于1（SVM＜1）。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3.3.3 灯具配光设计应有防眩光技术措施，应用后满足《城市道路照明设计标准》 的相关要求。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b/>
                <w:bCs/>
                <w:i w:val="0"/>
                <w:iCs w:val="0"/>
                <w:color w:val="auto"/>
                <w:kern w:val="0"/>
                <w:sz w:val="21"/>
                <w:szCs w:val="21"/>
                <w:highlight w:val="none"/>
                <w:u w:val="none"/>
                <w:lang w:val="en-US" w:eastAsia="zh-CN" w:bidi="ar"/>
              </w:rPr>
              <w:t>3.3.4</w:t>
            </w:r>
            <w:r>
              <w:rPr>
                <w:rFonts w:hint="eastAsia" w:ascii="宋体" w:hAnsi="宋体" w:eastAsia="宋体" w:cs="宋体"/>
                <w:i w:val="0"/>
                <w:iCs w:val="0"/>
                <w:color w:val="auto"/>
                <w:kern w:val="0"/>
                <w:sz w:val="21"/>
                <w:szCs w:val="21"/>
                <w:highlight w:val="none"/>
                <w:u w:val="none"/>
                <w:lang w:val="en-US" w:eastAsia="zh-CN" w:bidi="ar"/>
              </w:rPr>
              <w:t xml:space="preserve"> </w:t>
            </w:r>
            <w:r>
              <w:rPr>
                <w:rFonts w:hint="eastAsia" w:ascii="宋体" w:hAnsi="宋体" w:eastAsia="宋体" w:cs="宋体"/>
                <w:b/>
                <w:bCs/>
                <w:i w:val="0"/>
                <w:iCs w:val="0"/>
                <w:color w:val="auto"/>
                <w:kern w:val="0"/>
                <w:sz w:val="21"/>
                <w:szCs w:val="21"/>
                <w:highlight w:val="none"/>
                <w:u w:val="none"/>
                <w:lang w:val="en-US" w:eastAsia="zh-CN" w:bidi="ar"/>
              </w:rPr>
              <w:t>▲灯具的驱动电源寿命应大于30000小时，光源及其他部分使用寿命应大于50000小时（竞标文件中须提供驱动电源及光源检测报告），质保期5年内均应履行以坏换新的无偿服务。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3.3.5 电源应集成具有抗雷击浪涌或电网浪涌保护功能，共模浪涌电压不应低于 10kV，差模抗浪涌电压不低于 6KV。</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3.3.6 产品在温度-30～45℃环境温度范围内能可靠的工作。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3.3.7 产品在湿度 10～90%范围内能可靠的工作。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3.3.8 电源驱动输入电压为：电压范围 AC180V～240V，额定电压220V/50Hz。</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3.3.9 模组化光源能够匹配驱动电源的电压、电流、和对应功率。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3.3.10 灯具抗冲击等级不低于 IK08。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3.3.11 防触电保护类别：I 类。</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3.3.12 接线方式：单相三线制。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3.3.13 灯具的功率因数应≥0.95。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3.3.14 灯具 IP 防护等级要求：模组化灯具综合考虑外观、防雨、散热等要求，灯具整体IP 等级不低于 IP66，电源与灯具的连接为防水接头连接方式，连接线防护等级：IP68。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3.3.15 LED 灯具驱动电源需采用成熟且具有高可靠性的产品，</w:t>
            </w:r>
            <w:r>
              <w:rPr>
                <w:rFonts w:hint="eastAsia" w:ascii="宋体" w:hAnsi="宋体" w:eastAsia="宋体" w:cs="宋体"/>
                <w:b/>
                <w:bCs/>
                <w:i w:val="0"/>
                <w:iCs w:val="0"/>
                <w:color w:val="auto"/>
                <w:kern w:val="0"/>
                <w:sz w:val="21"/>
                <w:szCs w:val="21"/>
                <w:highlight w:val="none"/>
                <w:u w:val="none"/>
                <w:lang w:val="en-US" w:eastAsia="zh-CN" w:bidi="ar"/>
              </w:rPr>
              <w:t>▲产品要求有 3C 认证。</w:t>
            </w:r>
            <w:r>
              <w:rPr>
                <w:rFonts w:hint="eastAsia" w:ascii="宋体" w:hAnsi="宋体" w:eastAsia="宋体" w:cs="宋体"/>
                <w:i w:val="0"/>
                <w:iCs w:val="0"/>
                <w:color w:val="auto"/>
                <w:kern w:val="0"/>
                <w:sz w:val="21"/>
                <w:szCs w:val="21"/>
                <w:highlight w:val="none"/>
                <w:u w:val="none"/>
                <w:lang w:val="en-US" w:eastAsia="zh-CN" w:bidi="ar"/>
              </w:rPr>
              <w:t>驱动电源必须满足输出稳定的要求，具有防止过电压、过电流、过热、反向电压等综合自保护措施，LED芯片须采用恒流模式驱动。驱动电源还应满足以下要求：输出电流(mA)1050；最大输出电压(V)≥183；电源效率≥90%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3.3.16 LED灯具的爬电距离应符合GB7000.1《灯具 第一部分：一般要求与试验》 中的有关要求。</w:t>
            </w:r>
          </w:p>
        </w:tc>
      </w:tr>
      <w:tr w14:paraId="1F5228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26" w:type="dxa"/>
            <w:vAlign w:val="center"/>
          </w:tcPr>
          <w:p w14:paraId="4183DCE9">
            <w:pPr>
              <w:pStyle w:val="47"/>
              <w:ind w:firstLine="0"/>
              <w:jc w:val="center"/>
              <w:rPr>
                <w:rFonts w:ascii="宋体" w:hAnsi="宋体" w:cs="宋体"/>
                <w:color w:val="auto"/>
                <w:highlight w:val="none"/>
              </w:rPr>
            </w:pPr>
            <w:r>
              <w:rPr>
                <w:rFonts w:hint="eastAsia" w:ascii="宋体" w:hAnsi="宋体" w:cs="宋体"/>
                <w:color w:val="auto"/>
                <w:highlight w:val="none"/>
              </w:rPr>
              <w:t>2</w:t>
            </w:r>
          </w:p>
        </w:tc>
        <w:tc>
          <w:tcPr>
            <w:tcW w:w="1194" w:type="dxa"/>
            <w:vAlign w:val="center"/>
          </w:tcPr>
          <w:p w14:paraId="5FE59C6B">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eastAsia="宋体" w:cs="宋体"/>
                <w:i w:val="0"/>
                <w:iCs w:val="0"/>
                <w:color w:val="auto"/>
                <w:kern w:val="0"/>
                <w:sz w:val="22"/>
                <w:szCs w:val="22"/>
                <w:highlight w:val="none"/>
                <w:u w:val="none"/>
                <w:lang w:val="en-US" w:eastAsia="zh-CN" w:bidi="ar"/>
              </w:rPr>
              <w:t>接触器</w:t>
            </w:r>
          </w:p>
        </w:tc>
        <w:tc>
          <w:tcPr>
            <w:tcW w:w="680" w:type="dxa"/>
            <w:vAlign w:val="center"/>
          </w:tcPr>
          <w:p w14:paraId="1931B859">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eastAsia="宋体" w:cs="宋体"/>
                <w:i w:val="0"/>
                <w:iCs w:val="0"/>
                <w:color w:val="auto"/>
                <w:kern w:val="0"/>
                <w:sz w:val="22"/>
                <w:szCs w:val="22"/>
                <w:highlight w:val="none"/>
                <w:u w:val="none"/>
                <w:lang w:val="en-US" w:eastAsia="zh-CN" w:bidi="ar"/>
              </w:rPr>
              <w:t>个</w:t>
            </w:r>
          </w:p>
        </w:tc>
        <w:tc>
          <w:tcPr>
            <w:tcW w:w="890" w:type="dxa"/>
            <w:vAlign w:val="center"/>
          </w:tcPr>
          <w:p w14:paraId="7FFF7157">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071" w:type="dxa"/>
            <w:vAlign w:val="center"/>
          </w:tcPr>
          <w:p w14:paraId="29A72638">
            <w:pPr>
              <w:keepNext w:val="0"/>
              <w:keepLines w:val="0"/>
              <w:widowControl/>
              <w:suppressLineNumbers w:val="0"/>
              <w:jc w:val="center"/>
              <w:textAlignment w:val="center"/>
              <w:rPr>
                <w:rFonts w:ascii="宋体" w:hAnsi="宋体" w:cs="宋体"/>
                <w:color w:val="auto"/>
                <w:szCs w:val="21"/>
                <w:highlight w:val="none"/>
              </w:rPr>
            </w:pPr>
            <w:r>
              <w:rPr>
                <w:rFonts w:hint="eastAsia" w:ascii="宋体" w:hAnsi="宋体" w:eastAsia="宋体" w:cs="宋体"/>
                <w:i w:val="0"/>
                <w:iCs w:val="0"/>
                <w:color w:val="auto"/>
                <w:kern w:val="0"/>
                <w:sz w:val="22"/>
                <w:szCs w:val="22"/>
                <w:highlight w:val="none"/>
                <w:u w:val="none"/>
                <w:lang w:val="en-US" w:eastAsia="zh-CN" w:bidi="ar"/>
              </w:rPr>
              <w:t>800</w:t>
            </w:r>
          </w:p>
        </w:tc>
        <w:tc>
          <w:tcPr>
            <w:tcW w:w="5593" w:type="dxa"/>
            <w:vAlign w:val="center"/>
          </w:tcPr>
          <w:p w14:paraId="59C2EBE9">
            <w:pPr>
              <w:keepNext w:val="0"/>
              <w:keepLines w:val="0"/>
              <w:widowControl/>
              <w:suppressLineNumbers w:val="0"/>
              <w:jc w:val="left"/>
              <w:textAlignment w:val="center"/>
              <w:rPr>
                <w:rFonts w:ascii="宋体" w:hAnsi="宋体" w:cs="宋体"/>
                <w:color w:val="auto"/>
                <w:spacing w:val="-1"/>
                <w:highlight w:val="none"/>
              </w:rPr>
            </w:pPr>
            <w:r>
              <w:rPr>
                <w:rFonts w:hint="eastAsia" w:ascii="宋体" w:hAnsi="宋体" w:cs="宋体"/>
                <w:i w:val="0"/>
                <w:iCs w:val="0"/>
                <w:color w:val="auto"/>
                <w:kern w:val="0"/>
                <w:sz w:val="22"/>
                <w:szCs w:val="22"/>
                <w:highlight w:val="none"/>
                <w:u w:val="none"/>
                <w:lang w:val="en-US" w:eastAsia="zh-CN" w:bidi="ar"/>
              </w:rPr>
              <w:t>B170,</w:t>
            </w:r>
            <w:r>
              <w:rPr>
                <w:rFonts w:hint="eastAsia" w:ascii="宋体" w:hAnsi="宋体" w:eastAsia="宋体" w:cs="宋体"/>
                <w:i w:val="0"/>
                <w:iCs w:val="0"/>
                <w:color w:val="auto"/>
                <w:kern w:val="0"/>
                <w:sz w:val="22"/>
                <w:szCs w:val="22"/>
                <w:highlight w:val="none"/>
                <w:u w:val="none"/>
                <w:lang w:val="en-US" w:eastAsia="zh-CN" w:bidi="ar"/>
              </w:rPr>
              <w:t>220V</w:t>
            </w:r>
          </w:p>
        </w:tc>
      </w:tr>
    </w:tbl>
    <w:tbl>
      <w:tblPr>
        <w:tblStyle w:val="36"/>
        <w:tblpPr w:leftFromText="180" w:rightFromText="180" w:vertAnchor="text" w:horzAnchor="margin" w:tblpXSpec="center" w:tblpY="1"/>
        <w:tblW w:w="9885" w:type="dxa"/>
        <w:jc w:val="center"/>
        <w:tblLayout w:type="fixed"/>
        <w:tblCellMar>
          <w:top w:w="0" w:type="dxa"/>
          <w:left w:w="108" w:type="dxa"/>
          <w:bottom w:w="0" w:type="dxa"/>
          <w:right w:w="108" w:type="dxa"/>
        </w:tblCellMar>
      </w:tblPr>
      <w:tblGrid>
        <w:gridCol w:w="1583"/>
        <w:gridCol w:w="8302"/>
      </w:tblGrid>
      <w:tr w14:paraId="2E76FDF6">
        <w:tblPrEx>
          <w:tblCellMar>
            <w:top w:w="0" w:type="dxa"/>
            <w:left w:w="108" w:type="dxa"/>
            <w:bottom w:w="0" w:type="dxa"/>
            <w:right w:w="108" w:type="dxa"/>
          </w:tblCellMar>
        </w:tblPrEx>
        <w:trPr>
          <w:trHeight w:val="551" w:hRule="atLeast"/>
          <w:jc w:val="center"/>
        </w:trPr>
        <w:tc>
          <w:tcPr>
            <w:tcW w:w="9885" w:type="dxa"/>
            <w:gridSpan w:val="2"/>
            <w:tcBorders>
              <w:top w:val="single" w:color="auto" w:sz="4" w:space="0"/>
              <w:left w:val="single" w:color="auto" w:sz="4" w:space="0"/>
              <w:bottom w:val="single" w:color="auto" w:sz="4" w:space="0"/>
              <w:right w:val="single" w:color="auto" w:sz="4" w:space="0"/>
            </w:tcBorders>
            <w:vAlign w:val="center"/>
          </w:tcPr>
          <w:p w14:paraId="11CEE4EA">
            <w:pPr>
              <w:widowControl/>
              <w:spacing w:line="380" w:lineRule="exact"/>
              <w:rPr>
                <w:rFonts w:ascii="宋体" w:hAnsi="宋体" w:cs="宋体"/>
                <w:b/>
                <w:bCs/>
                <w:color w:val="auto"/>
                <w:kern w:val="0"/>
                <w:szCs w:val="21"/>
                <w:highlight w:val="none"/>
              </w:rPr>
            </w:pPr>
            <w:r>
              <w:rPr>
                <w:rFonts w:hint="eastAsia" w:ascii="宋体" w:hAnsi="宋体" w:cs="宋体"/>
                <w:color w:val="auto"/>
                <w:kern w:val="0"/>
                <w:szCs w:val="21"/>
                <w:highlight w:val="none"/>
              </w:rPr>
              <w:t>二、商务要求表</w:t>
            </w:r>
          </w:p>
        </w:tc>
      </w:tr>
      <w:tr w14:paraId="7E252C34">
        <w:tblPrEx>
          <w:tblCellMar>
            <w:top w:w="0" w:type="dxa"/>
            <w:left w:w="108" w:type="dxa"/>
            <w:bottom w:w="0" w:type="dxa"/>
            <w:right w:w="108" w:type="dxa"/>
          </w:tblCellMar>
        </w:tblPrEx>
        <w:trPr>
          <w:trHeight w:val="1169"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759748AA">
            <w:pPr>
              <w:widowControl/>
              <w:spacing w:line="380" w:lineRule="exact"/>
              <w:jc w:val="center"/>
              <w:rPr>
                <w:rFonts w:ascii="宋体" w:hAnsi="宋体" w:cs="宋体"/>
                <w:color w:val="auto"/>
                <w:kern w:val="0"/>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基本要求</w:t>
            </w:r>
          </w:p>
        </w:tc>
        <w:tc>
          <w:tcPr>
            <w:tcW w:w="8302" w:type="dxa"/>
            <w:tcBorders>
              <w:top w:val="single" w:color="auto" w:sz="4" w:space="0"/>
              <w:left w:val="nil"/>
              <w:bottom w:val="single" w:color="auto" w:sz="4" w:space="0"/>
              <w:right w:val="single" w:color="000000" w:sz="4" w:space="0"/>
            </w:tcBorders>
            <w:vAlign w:val="center"/>
          </w:tcPr>
          <w:p w14:paraId="41E489AB">
            <w:pPr>
              <w:spacing w:line="276" w:lineRule="auto"/>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投标产品须是按厂家出厂标准配置提供的整套全新，具备正规合法经销渠道，符合国家及国际各项有关质量标准的合格产品，相关配套部件、材料及服务须满足本表中各项要求。所有设备除满足上表要求的技术参数和配置外，其余均按国家标准及生产厂家出厂标准配置，若产品在运输过程中损坏须无偿调换同样产品。</w:t>
            </w:r>
          </w:p>
          <w:p w14:paraId="42694BE1">
            <w:pPr>
              <w:spacing w:line="276" w:lineRule="auto"/>
              <w:rPr>
                <w:rFonts w:ascii="宋体" w:hAnsi="宋体" w:cs="宋体"/>
                <w:color w:val="auto"/>
                <w:kern w:val="0"/>
                <w:szCs w:val="21"/>
                <w:highlight w:val="none"/>
              </w:rPr>
            </w:pPr>
            <w:r>
              <w:rPr>
                <w:rFonts w:ascii="宋体" w:hAnsi="宋体"/>
                <w:color w:val="auto"/>
                <w:szCs w:val="21"/>
                <w:highlight w:val="none"/>
              </w:rPr>
              <w:t>2</w:t>
            </w:r>
            <w:r>
              <w:rPr>
                <w:rFonts w:hint="eastAsia" w:ascii="宋体" w:hAnsi="宋体"/>
                <w:color w:val="auto"/>
                <w:szCs w:val="21"/>
                <w:highlight w:val="none"/>
              </w:rPr>
              <w:t>、</w:t>
            </w:r>
            <w:r>
              <w:rPr>
                <w:rFonts w:hint="eastAsia" w:ascii="宋体" w:hAnsi="宋体" w:cs="宋体"/>
                <w:color w:val="auto"/>
                <w:kern w:val="0"/>
                <w:szCs w:val="21"/>
                <w:highlight w:val="none"/>
              </w:rPr>
              <w:t>投标总价为现场交付使用价，必须包括货款、标准附件、备品备件、专用工具、包装、运输、装卸、保险、税金、货到就位以及安装、安装所需辅材、调试、检验、验收等所需的一切使本项目完成验收的费用及供货商对采购人承诺培训、售前、售后质量保证等相关费用等在内的一切可能发生的费用。对于本谈判采购文件中未列明，而供应商认为必需的费用也需列入报价。在合同实施时，采购人将不予支付成交供应商没有列入的项目费用，并认为此项目的费用已包括在报价中。</w:t>
            </w:r>
          </w:p>
          <w:p w14:paraId="3C924FCF">
            <w:pPr>
              <w:spacing w:line="320" w:lineRule="exact"/>
              <w:rPr>
                <w:rFonts w:ascii="宋体" w:hAnsi="宋体" w:cs="宋体"/>
                <w:b/>
                <w:bCs/>
                <w:color w:val="auto"/>
                <w:kern w:val="0"/>
                <w:szCs w:val="21"/>
                <w:highlight w:val="none"/>
              </w:rPr>
            </w:pPr>
            <w:r>
              <w:rPr>
                <w:rFonts w:hint="eastAsia" w:ascii="宋体" w:hAnsi="宋体"/>
                <w:b/>
                <w:bCs/>
                <w:color w:val="auto"/>
                <w:szCs w:val="21"/>
                <w:highlight w:val="none"/>
              </w:rPr>
              <w:t>3、</w:t>
            </w:r>
            <w:r>
              <w:rPr>
                <w:rStyle w:val="140"/>
                <w:rFonts w:hint="eastAsia" w:ascii="宋体" w:hAnsi="宋体"/>
                <w:b/>
                <w:bCs/>
                <w:color w:val="auto"/>
                <w:highlight w:val="none"/>
              </w:rPr>
              <w:t>本项目非一次性供货，而是根据采购人实际需求分批供应。</w:t>
            </w:r>
            <w:r>
              <w:rPr>
                <w:rFonts w:hint="eastAsia" w:ascii="宋体" w:hAnsi="宋体"/>
                <w:b/>
                <w:bCs/>
                <w:color w:val="auto"/>
                <w:szCs w:val="21"/>
                <w:highlight w:val="none"/>
              </w:rPr>
              <w:t>合同期限内实际采购金额按采购人实际采购量据实结算，中标供应商不得因实际采购量与中标数量不一致提出异议。</w:t>
            </w:r>
            <w:r>
              <w:rPr>
                <w:rStyle w:val="140"/>
                <w:rFonts w:hint="eastAsia" w:ascii="宋体" w:hAnsi="宋体"/>
                <w:b/>
                <w:bCs/>
                <w:color w:val="auto"/>
                <w:highlight w:val="none"/>
              </w:rPr>
              <w:t>投标人须慎重考虑风险因素，谨慎报价。</w:t>
            </w:r>
          </w:p>
          <w:p w14:paraId="19AF06AB">
            <w:pPr>
              <w:spacing w:line="276" w:lineRule="auto"/>
              <w:rPr>
                <w:rFonts w:ascii="宋体" w:hAnsi="宋体"/>
                <w:color w:val="auto"/>
                <w:szCs w:val="21"/>
                <w:highlight w:val="none"/>
              </w:rPr>
            </w:pPr>
            <w:r>
              <w:rPr>
                <w:rFonts w:hint="eastAsia" w:ascii="宋体" w:hAnsi="宋体"/>
                <w:color w:val="auto"/>
                <w:szCs w:val="21"/>
                <w:highlight w:val="none"/>
              </w:rPr>
              <w:t>4、供应商应保证投标产品涉及到的知识产权和所提供的相关技术资料是合法取得，并享有完整的知识产权，不会因为需方的使用而被责令停止使用、追偿或要求赔偿损失，如出现此情况，一切经济和法律责任均由供应商承担。</w:t>
            </w:r>
          </w:p>
          <w:p w14:paraId="52FFA9AA">
            <w:pPr>
              <w:spacing w:line="276" w:lineRule="auto"/>
              <w:rPr>
                <w:rFonts w:ascii="宋体" w:hAnsi="宋体"/>
                <w:color w:val="auto"/>
                <w:szCs w:val="21"/>
                <w:highlight w:val="none"/>
              </w:rPr>
            </w:pPr>
            <w:r>
              <w:rPr>
                <w:rFonts w:hint="eastAsia" w:ascii="宋体" w:hAnsi="宋体"/>
                <w:color w:val="auto"/>
                <w:szCs w:val="21"/>
                <w:highlight w:val="none"/>
              </w:rPr>
              <w:t>5、供应商应列明详细的产品及相关产品及部件名称、品牌、材质、型号规格、产地和生产厂家及提供完整的技术文件。</w:t>
            </w:r>
          </w:p>
          <w:p w14:paraId="5481386D">
            <w:pPr>
              <w:spacing w:line="276" w:lineRule="auto"/>
              <w:rPr>
                <w:rFonts w:ascii="宋体" w:hAnsi="宋体"/>
                <w:color w:val="auto"/>
                <w:szCs w:val="21"/>
                <w:highlight w:val="none"/>
              </w:rPr>
            </w:pPr>
            <w:r>
              <w:rPr>
                <w:rFonts w:hint="eastAsia" w:ascii="宋体" w:hAnsi="宋体"/>
                <w:color w:val="auto"/>
                <w:szCs w:val="21"/>
                <w:highlight w:val="none"/>
              </w:rPr>
              <w:t>6、响应文件应正确反映投标产品的技术水平和科技含量，投标产品如包括必备的随机附件及零配件、易损易耗备品备件和专用工具，投标供应商应提供其清单。</w:t>
            </w:r>
          </w:p>
          <w:p w14:paraId="430BDBF7">
            <w:pPr>
              <w:spacing w:line="276" w:lineRule="auto"/>
              <w:rPr>
                <w:rFonts w:ascii="宋体" w:hAnsi="宋体"/>
                <w:color w:val="auto"/>
                <w:szCs w:val="21"/>
                <w:highlight w:val="none"/>
              </w:rPr>
            </w:pPr>
            <w:r>
              <w:rPr>
                <w:rFonts w:hint="eastAsia" w:ascii="宋体" w:hAnsi="宋体"/>
                <w:color w:val="auto"/>
                <w:szCs w:val="21"/>
                <w:highlight w:val="none"/>
              </w:rPr>
              <w:t>7、投标产品满足现场安装、开机调试的全部要求，包装要求便于产品的安装就位。</w:t>
            </w:r>
          </w:p>
          <w:p w14:paraId="03C0D822">
            <w:pPr>
              <w:spacing w:line="276" w:lineRule="auto"/>
              <w:rPr>
                <w:rFonts w:hAnsi="宋体"/>
                <w:color w:val="auto"/>
                <w:highlight w:val="none"/>
              </w:rPr>
            </w:pPr>
            <w:r>
              <w:rPr>
                <w:rFonts w:hint="eastAsia" w:ascii="宋体" w:hAnsi="宋体"/>
                <w:color w:val="auto"/>
                <w:szCs w:val="21"/>
                <w:highlight w:val="none"/>
              </w:rPr>
              <w:t>8、供应商在投标截止日前可对本项目的现场和其周围环境自行进行考察和检查，以获取有关编制响应文件和签署实施合同所需的各种资料；供应商自行承担现场考察的责任和风险、考察现场的所有费用。</w:t>
            </w:r>
          </w:p>
        </w:tc>
      </w:tr>
      <w:tr w14:paraId="53C6D106">
        <w:tblPrEx>
          <w:tblCellMar>
            <w:top w:w="0" w:type="dxa"/>
            <w:left w:w="108" w:type="dxa"/>
            <w:bottom w:w="0" w:type="dxa"/>
            <w:right w:w="108" w:type="dxa"/>
          </w:tblCellMar>
        </w:tblPrEx>
        <w:trPr>
          <w:trHeight w:val="1169"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5B564CA7">
            <w:pPr>
              <w:widowControl/>
              <w:spacing w:line="380" w:lineRule="exact"/>
              <w:jc w:val="center"/>
              <w:rPr>
                <w:rFonts w:ascii="宋体" w:hAnsi="宋体" w:cs="宋体"/>
                <w:color w:val="auto"/>
                <w:kern w:val="0"/>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合同期限</w:t>
            </w:r>
          </w:p>
        </w:tc>
        <w:tc>
          <w:tcPr>
            <w:tcW w:w="8302" w:type="dxa"/>
            <w:tcBorders>
              <w:top w:val="single" w:color="auto" w:sz="4" w:space="0"/>
              <w:left w:val="nil"/>
              <w:bottom w:val="single" w:color="auto" w:sz="4" w:space="0"/>
              <w:right w:val="single" w:color="000000" w:sz="4" w:space="0"/>
            </w:tcBorders>
            <w:vAlign w:val="center"/>
          </w:tcPr>
          <w:p w14:paraId="1DCED102">
            <w:pPr>
              <w:spacing w:line="276" w:lineRule="auto"/>
              <w:rPr>
                <w:rFonts w:hAnsi="宋体"/>
                <w:color w:val="auto"/>
                <w:highlight w:val="none"/>
              </w:rPr>
            </w:pPr>
            <w:r>
              <w:rPr>
                <w:rFonts w:hint="eastAsia" w:ascii="宋体" w:hAnsi="宋体" w:cs="宋体"/>
                <w:color w:val="auto"/>
                <w:szCs w:val="21"/>
                <w:highlight w:val="none"/>
              </w:rPr>
              <w:t>自签订合同之日起一年。</w:t>
            </w:r>
          </w:p>
        </w:tc>
      </w:tr>
      <w:tr w14:paraId="7AE59CE7">
        <w:tblPrEx>
          <w:tblCellMar>
            <w:top w:w="0" w:type="dxa"/>
            <w:left w:w="108" w:type="dxa"/>
            <w:bottom w:w="0" w:type="dxa"/>
            <w:right w:w="108" w:type="dxa"/>
          </w:tblCellMar>
        </w:tblPrEx>
        <w:trPr>
          <w:trHeight w:val="1169"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1386FEFA">
            <w:pPr>
              <w:widowControl/>
              <w:spacing w:line="360" w:lineRule="exact"/>
              <w:jc w:val="center"/>
              <w:textAlignment w:val="center"/>
              <w:rPr>
                <w:rFonts w:ascii="宋体" w:hAnsi="宋体" w:cs="宋体"/>
                <w:color w:val="auto"/>
                <w:kern w:val="0"/>
                <w:sz w:val="20"/>
                <w:szCs w:val="20"/>
                <w:highlight w:val="none"/>
              </w:rPr>
            </w:pPr>
            <w:r>
              <w:rPr>
                <w:rFonts w:hint="eastAsia" w:ascii="宋体" w:hAnsi="宋体" w:cs="宋体"/>
                <w:color w:val="auto"/>
                <w:szCs w:val="21"/>
                <w:highlight w:val="none"/>
              </w:rPr>
              <w:t>▲交货时间及地点</w:t>
            </w:r>
          </w:p>
        </w:tc>
        <w:tc>
          <w:tcPr>
            <w:tcW w:w="8302" w:type="dxa"/>
            <w:tcBorders>
              <w:top w:val="single" w:color="auto" w:sz="4" w:space="0"/>
              <w:left w:val="nil"/>
              <w:bottom w:val="single" w:color="auto" w:sz="4" w:space="0"/>
              <w:right w:val="single" w:color="000000" w:sz="4" w:space="0"/>
            </w:tcBorders>
            <w:vAlign w:val="center"/>
          </w:tcPr>
          <w:p w14:paraId="0471D732">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1、交货时间：自招标人向中标人发出交货书面通知之日起</w:t>
            </w:r>
            <w:r>
              <w:rPr>
                <w:rFonts w:hint="eastAsia" w:ascii="宋体" w:hAnsi="宋体" w:cs="宋体"/>
                <w:color w:val="auto"/>
                <w:szCs w:val="21"/>
                <w:highlight w:val="none"/>
                <w:u w:val="single"/>
                <w:lang w:val="en-US" w:eastAsia="zh-CN"/>
              </w:rPr>
              <w:t>20</w:t>
            </w:r>
            <w:r>
              <w:rPr>
                <w:rFonts w:hint="eastAsia" w:ascii="宋体" w:hAnsi="宋体" w:cs="宋体"/>
                <w:color w:val="auto"/>
                <w:szCs w:val="21"/>
                <w:highlight w:val="none"/>
                <w:lang w:val="en-US" w:eastAsia="zh-CN"/>
              </w:rPr>
              <w:t>天内交货</w:t>
            </w:r>
            <w:r>
              <w:rPr>
                <w:rFonts w:hint="eastAsia" w:ascii="宋体" w:hAnsi="宋体" w:cs="宋体"/>
                <w:color w:val="auto"/>
                <w:szCs w:val="21"/>
                <w:highlight w:val="none"/>
              </w:rPr>
              <w:t>（不定期供货，按照招标人订购明细表数量分批交货，每次发货的运费等所有费用投标人应充分考虑并报入本次投标报价中，招标人将不再另行支付）。</w:t>
            </w:r>
          </w:p>
          <w:p w14:paraId="41AB672D">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2、交付地点：</w:t>
            </w:r>
            <w:r>
              <w:rPr>
                <w:rFonts w:hint="eastAsia" w:ascii="宋体" w:hAnsi="宋体" w:cs="宋体"/>
                <w:color w:val="auto"/>
                <w:szCs w:val="21"/>
                <w:highlight w:val="none"/>
                <w:u w:val="single"/>
              </w:rPr>
              <w:t xml:space="preserve">   柳州市   </w:t>
            </w:r>
            <w:r>
              <w:rPr>
                <w:rFonts w:hint="eastAsia" w:ascii="宋体" w:hAnsi="宋体" w:cs="宋体"/>
                <w:color w:val="auto"/>
                <w:szCs w:val="21"/>
                <w:highlight w:val="none"/>
              </w:rPr>
              <w:t>（招标人指定地点）。</w:t>
            </w:r>
          </w:p>
          <w:p w14:paraId="0E487576">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3、中标人每次供货必须提供相关供货清单（包括货物名称、数量、单价、金额等信息），以便采购人结算货款。中标人供货不符合要求的，采购人有权立即退货。中标人应按采购人的要求及时补货，具体交货时间以约定为准。</w:t>
            </w:r>
          </w:p>
        </w:tc>
      </w:tr>
      <w:tr w14:paraId="0E9CC610">
        <w:tblPrEx>
          <w:tblCellMar>
            <w:top w:w="0" w:type="dxa"/>
            <w:left w:w="108" w:type="dxa"/>
            <w:bottom w:w="0" w:type="dxa"/>
            <w:right w:w="108" w:type="dxa"/>
          </w:tblCellMar>
        </w:tblPrEx>
        <w:trPr>
          <w:trHeight w:val="1085"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2B4C76B0">
            <w:pPr>
              <w:widowControl/>
              <w:spacing w:line="3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▲安装、调试、验收、培训等技术服务要求</w:t>
            </w:r>
          </w:p>
        </w:tc>
        <w:tc>
          <w:tcPr>
            <w:tcW w:w="8302" w:type="dxa"/>
            <w:tcBorders>
              <w:top w:val="single" w:color="auto" w:sz="4" w:space="0"/>
              <w:left w:val="nil"/>
              <w:bottom w:val="single" w:color="auto" w:sz="4" w:space="0"/>
              <w:right w:val="single" w:color="000000" w:sz="4" w:space="0"/>
            </w:tcBorders>
            <w:vAlign w:val="center"/>
          </w:tcPr>
          <w:p w14:paraId="4499A8C6">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1、中标人配合全部成套设备、配套部件及材料的现场安装、调试直至验收合格投入正常运转。</w:t>
            </w:r>
          </w:p>
          <w:p w14:paraId="17F1B336">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2、安装调试过程中，中标人应派专业技术人员对安装进行同步指导，向招标人提交相关试验数据和报告，设备主要部件、原材料、原始资料和检查纪录等材料，并负责全套设备的调试运行，直至达到验收要求。</w:t>
            </w:r>
          </w:p>
          <w:p w14:paraId="08A14D08">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3、安装调试必须严格按照国家有关安装工程技术标准规范及安全规程进行施工及安装。中标人自负安装人身、设备安全责任。</w:t>
            </w:r>
          </w:p>
          <w:p w14:paraId="00AD2B82">
            <w:pPr>
              <w:widowControl/>
              <w:spacing w:line="360" w:lineRule="exact"/>
              <w:jc w:val="left"/>
              <w:textAlignment w:val="center"/>
              <w:rPr>
                <w:rFonts w:ascii="宋体" w:hAnsi="宋体" w:cs="宋体"/>
                <w:b/>
                <w:bCs/>
                <w:color w:val="auto"/>
                <w:szCs w:val="21"/>
                <w:highlight w:val="none"/>
              </w:rPr>
            </w:pPr>
            <w:r>
              <w:rPr>
                <w:rFonts w:hint="eastAsia" w:ascii="宋体" w:hAnsi="宋体" w:cs="宋体"/>
                <w:color w:val="auto"/>
                <w:szCs w:val="21"/>
                <w:highlight w:val="none"/>
              </w:rPr>
              <w:t>4、</w:t>
            </w:r>
            <w:r>
              <w:rPr>
                <w:rFonts w:hint="eastAsia" w:ascii="宋体" w:hAnsi="宋体" w:cs="宋体"/>
                <w:b/>
                <w:bCs/>
                <w:color w:val="auto"/>
                <w:szCs w:val="21"/>
                <w:highlight w:val="none"/>
              </w:rPr>
              <w:t>中标人在交货验收时必须按招标</w:t>
            </w:r>
            <w:r>
              <w:rPr>
                <w:rFonts w:hint="eastAsia" w:ascii="宋体" w:hAnsi="宋体" w:cs="宋体"/>
                <w:b/>
                <w:bCs/>
                <w:color w:val="auto"/>
                <w:szCs w:val="21"/>
                <w:highlight w:val="none"/>
                <w:lang w:eastAsia="zh-CN"/>
              </w:rPr>
              <w:t>文件及响应文件</w:t>
            </w:r>
            <w:r>
              <w:rPr>
                <w:rFonts w:hint="eastAsia" w:ascii="宋体" w:hAnsi="宋体" w:cs="宋体"/>
                <w:b/>
                <w:bCs/>
                <w:color w:val="auto"/>
                <w:szCs w:val="21"/>
                <w:highlight w:val="none"/>
              </w:rPr>
              <w:t>提供相应的检测报告。</w:t>
            </w:r>
          </w:p>
          <w:p w14:paraId="1A231E4C">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5、所有产品均严格按签订的采购合同、投标人响应和承诺的技术参数及性能和国家有关标准进行验收，验收时，由招标人、投标人及招标人邀请的行业专家（业主如有需要邀请的）共同进行验收，招标人有权委托有资质的质检部门对货物进行抽检，检验的费用由投标人承担；对不符合要求的产品，招标人有权拒绝验收，由此产生的一切后果，均由投标人承担。由此造成的不能按时、按质、按量完成项目要求的，将按照招标投标法相关法规、招标文件规定及投标文件承诺的事项进行处罚。</w:t>
            </w:r>
          </w:p>
          <w:p w14:paraId="345C16C6">
            <w:pPr>
              <w:widowControl/>
              <w:spacing w:line="360" w:lineRule="exact"/>
              <w:jc w:val="left"/>
              <w:textAlignment w:val="center"/>
              <w:rPr>
                <w:rFonts w:ascii="宋体" w:hAnsi="宋体" w:cs="宋体"/>
                <w:color w:val="auto"/>
                <w:szCs w:val="21"/>
                <w:highlight w:val="none"/>
              </w:rPr>
            </w:pPr>
            <w:r>
              <w:rPr>
                <w:rFonts w:hint="eastAsia" w:ascii="宋体" w:hAnsi="宋体" w:cs="宋体"/>
                <w:color w:val="auto"/>
                <w:szCs w:val="21"/>
                <w:highlight w:val="none"/>
              </w:rPr>
              <w:t>6、现场培训：中标人应根据招标人的需求提供现场技术培训，对招标人技术人员进行操作、维修、保养等技术的培训指导，至能独立操作，简单故障排除。</w:t>
            </w:r>
          </w:p>
          <w:p w14:paraId="2BA1D8C7">
            <w:pPr>
              <w:spacing w:line="276" w:lineRule="auto"/>
              <w:rPr>
                <w:rFonts w:ascii="宋体" w:hAnsi="宋体"/>
                <w:color w:val="auto"/>
                <w:szCs w:val="21"/>
                <w:highlight w:val="none"/>
              </w:rPr>
            </w:pPr>
            <w:r>
              <w:rPr>
                <w:rFonts w:hint="eastAsia" w:ascii="宋体" w:hAnsi="宋体" w:cs="宋体"/>
                <w:color w:val="auto"/>
                <w:szCs w:val="21"/>
                <w:highlight w:val="none"/>
              </w:rPr>
              <w:t>7、提供招标人指定时间、地点的短期培训。</w:t>
            </w:r>
          </w:p>
        </w:tc>
      </w:tr>
      <w:tr w14:paraId="229AEABD">
        <w:tblPrEx>
          <w:tblCellMar>
            <w:top w:w="0" w:type="dxa"/>
            <w:left w:w="108" w:type="dxa"/>
            <w:bottom w:w="0" w:type="dxa"/>
            <w:right w:w="108" w:type="dxa"/>
          </w:tblCellMar>
        </w:tblPrEx>
        <w:trPr>
          <w:trHeight w:val="90"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21F6BA55">
            <w:pPr>
              <w:widowControl/>
              <w:spacing w:line="380" w:lineRule="exact"/>
              <w:jc w:val="center"/>
              <w:rPr>
                <w:rFonts w:ascii="宋体" w:hAnsi="宋体" w:cs="宋体"/>
                <w:color w:val="auto"/>
                <w:kern w:val="0"/>
                <w:szCs w:val="21"/>
                <w:highlight w:val="none"/>
              </w:rPr>
            </w:pPr>
            <w:r>
              <w:rPr>
                <w:rFonts w:hint="eastAsia" w:ascii="宋体" w:hAnsi="宋体"/>
                <w:color w:val="auto"/>
                <w:szCs w:val="21"/>
                <w:highlight w:val="none"/>
              </w:rPr>
              <w:t>▲免费质保期</w:t>
            </w:r>
          </w:p>
        </w:tc>
        <w:tc>
          <w:tcPr>
            <w:tcW w:w="8302" w:type="dxa"/>
            <w:tcBorders>
              <w:top w:val="single" w:color="auto" w:sz="4" w:space="0"/>
              <w:left w:val="nil"/>
              <w:bottom w:val="single" w:color="auto" w:sz="4" w:space="0"/>
              <w:right w:val="single" w:color="000000" w:sz="4" w:space="0"/>
            </w:tcBorders>
            <w:vAlign w:val="center"/>
          </w:tcPr>
          <w:p w14:paraId="23B0DE8B">
            <w:pPr>
              <w:pStyle w:val="20"/>
              <w:snapToGrid w:val="0"/>
              <w:spacing w:line="380" w:lineRule="exact"/>
              <w:rPr>
                <w:rFonts w:hAnsi="宋体"/>
                <w:color w:val="auto"/>
                <w:kern w:val="2"/>
                <w:sz w:val="21"/>
                <w:szCs w:val="21"/>
                <w:highlight w:val="none"/>
              </w:rPr>
            </w:pPr>
            <w:r>
              <w:rPr>
                <w:rFonts w:hint="eastAsia" w:hAnsi="宋体"/>
                <w:color w:val="auto"/>
                <w:kern w:val="2"/>
                <w:sz w:val="21"/>
                <w:szCs w:val="21"/>
                <w:highlight w:val="none"/>
                <w:lang w:val="en-US" w:eastAsia="zh-CN"/>
              </w:rPr>
              <w:t>质保期按“技术指标要求”中要求的最低质保期5年（或中标响应人承诺更高于该质保期的，承诺5年以下的投标无效）</w:t>
            </w:r>
            <w:r>
              <w:rPr>
                <w:rFonts w:hint="eastAsia" w:hAnsi="宋体"/>
                <w:color w:val="auto"/>
                <w:kern w:val="2"/>
                <w:sz w:val="21"/>
                <w:szCs w:val="21"/>
                <w:highlight w:val="none"/>
              </w:rPr>
              <w:t>。保修期内维修及更换（原厂）配件费包含在投标价格中。(各项货物另有要求的，依照其《采购需求》的要求执行)，质保期自交货并验收合格之日起计，保修期内上门维修免收维修费和元器件费，并提供终身维修服务。按照国家有关产品“三包”规定执行。</w:t>
            </w:r>
          </w:p>
        </w:tc>
      </w:tr>
      <w:tr w14:paraId="45B6DF52">
        <w:tblPrEx>
          <w:tblCellMar>
            <w:top w:w="0" w:type="dxa"/>
            <w:left w:w="108" w:type="dxa"/>
            <w:bottom w:w="0" w:type="dxa"/>
            <w:right w:w="108" w:type="dxa"/>
          </w:tblCellMar>
        </w:tblPrEx>
        <w:trPr>
          <w:trHeight w:val="444"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52CE1DF5">
            <w:pPr>
              <w:widowControl/>
              <w:spacing w:line="380" w:lineRule="exact"/>
              <w:jc w:val="center"/>
              <w:rPr>
                <w:rFonts w:ascii="宋体" w:hAnsi="宋体" w:cs="宋体"/>
                <w:color w:val="auto"/>
                <w:kern w:val="0"/>
                <w:szCs w:val="21"/>
                <w:highlight w:val="none"/>
              </w:rPr>
            </w:pPr>
            <w:r>
              <w:rPr>
                <w:rFonts w:hint="eastAsia" w:ascii="宋体" w:hAnsi="宋体" w:cs="宋体"/>
                <w:color w:val="auto"/>
                <w:kern w:val="0"/>
                <w:sz w:val="20"/>
                <w:szCs w:val="20"/>
                <w:highlight w:val="none"/>
              </w:rPr>
              <w:t>▲</w:t>
            </w:r>
            <w:r>
              <w:rPr>
                <w:rFonts w:hint="eastAsia" w:ascii="宋体" w:hAnsi="宋体"/>
                <w:color w:val="auto"/>
                <w:szCs w:val="21"/>
                <w:highlight w:val="none"/>
              </w:rPr>
              <w:t>售后服务保障或维修响应时间要求</w:t>
            </w:r>
          </w:p>
        </w:tc>
        <w:tc>
          <w:tcPr>
            <w:tcW w:w="8302" w:type="dxa"/>
            <w:tcBorders>
              <w:top w:val="single" w:color="auto" w:sz="4" w:space="0"/>
              <w:left w:val="nil"/>
              <w:bottom w:val="single" w:color="auto" w:sz="4" w:space="0"/>
              <w:right w:val="single" w:color="000000" w:sz="4" w:space="0"/>
            </w:tcBorders>
            <w:vAlign w:val="center"/>
          </w:tcPr>
          <w:p w14:paraId="53B1E998">
            <w:pPr>
              <w:pStyle w:val="20"/>
              <w:widowControl/>
              <w:spacing w:line="380" w:lineRule="exact"/>
              <w:rPr>
                <w:rFonts w:hAnsi="宋体"/>
                <w:color w:val="auto"/>
                <w:kern w:val="2"/>
                <w:sz w:val="21"/>
                <w:szCs w:val="21"/>
                <w:highlight w:val="none"/>
              </w:rPr>
            </w:pPr>
            <w:r>
              <w:rPr>
                <w:rFonts w:hint="eastAsia" w:hAnsi="宋体"/>
                <w:color w:val="auto"/>
                <w:kern w:val="2"/>
                <w:sz w:val="21"/>
                <w:szCs w:val="21"/>
                <w:highlight w:val="none"/>
              </w:rPr>
              <w:t>1、自采购人收到成交供应商提供的产品之日起7日内，采购人可以无理由退货，15日内可以无理由换货。更换后的货物质保期应重新计算。</w:t>
            </w:r>
          </w:p>
          <w:p w14:paraId="23288BEE">
            <w:pPr>
              <w:spacing w:line="276" w:lineRule="auto"/>
              <w:rPr>
                <w:rFonts w:ascii="宋体" w:hAnsi="宋体"/>
                <w:color w:val="auto"/>
                <w:szCs w:val="21"/>
                <w:highlight w:val="none"/>
              </w:rPr>
            </w:pPr>
            <w:r>
              <w:rPr>
                <w:rFonts w:hint="eastAsia" w:ascii="宋体" w:hAnsi="宋体"/>
                <w:color w:val="auto"/>
                <w:szCs w:val="21"/>
                <w:highlight w:val="none"/>
              </w:rPr>
              <w:t>2、接到售后服务呼叫后，响应时间要求24小时以内，上门时间要求在72小时以内派工程技术人员到达现场服务，及时排除故障，确保设备正常工作。如在12小时内不能完成维修，应提供相同品牌、型号、性能的设备替代或升级型设备替代，以保证用户正常使用。对于常见故障和需要更换小型零部件的，须在5个工作日内解决；对于需要更换大型零部件的，须在3周内解决设备问题。成交供应商负责处理解决货物出现的质量及安全问题并承担一切费用，所有非故意性损坏以及正常使用范围内造成的损坏均要免费维修，因人为因素出现的故障不在免费保修范围内，但成交供应商也要积极帮助采购人修理，并提供优惠价格的配件和服务。</w:t>
            </w:r>
          </w:p>
        </w:tc>
      </w:tr>
      <w:tr w14:paraId="293A9592">
        <w:tblPrEx>
          <w:tblCellMar>
            <w:top w:w="0" w:type="dxa"/>
            <w:left w:w="108" w:type="dxa"/>
            <w:bottom w:w="0" w:type="dxa"/>
            <w:right w:w="108" w:type="dxa"/>
          </w:tblCellMar>
        </w:tblPrEx>
        <w:trPr>
          <w:trHeight w:val="856"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2EE91701">
            <w:pPr>
              <w:widowControl/>
              <w:spacing w:line="380" w:lineRule="exact"/>
              <w:jc w:val="center"/>
              <w:rPr>
                <w:rFonts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付款条件</w:t>
            </w:r>
          </w:p>
        </w:tc>
        <w:tc>
          <w:tcPr>
            <w:tcW w:w="8302" w:type="dxa"/>
            <w:tcBorders>
              <w:top w:val="single" w:color="auto" w:sz="4" w:space="0"/>
              <w:left w:val="nil"/>
              <w:bottom w:val="single" w:color="auto" w:sz="4" w:space="0"/>
              <w:right w:val="single" w:color="000000" w:sz="4" w:space="0"/>
            </w:tcBorders>
            <w:vAlign w:val="center"/>
          </w:tcPr>
          <w:p w14:paraId="52896566">
            <w:pPr>
              <w:spacing w:line="276" w:lineRule="auto"/>
              <w:rPr>
                <w:rFonts w:ascii="宋体" w:hAnsi="宋体" w:cs="宋体"/>
                <w:b/>
                <w:bCs/>
                <w:color w:val="auto"/>
                <w:kern w:val="0"/>
                <w:szCs w:val="21"/>
                <w:highlight w:val="none"/>
              </w:rPr>
            </w:pPr>
            <w:bookmarkStart w:id="21" w:name="OLE_LINK2"/>
            <w:r>
              <w:rPr>
                <w:rFonts w:hint="eastAsia" w:ascii="宋体" w:hAnsi="宋体"/>
                <w:color w:val="auto"/>
                <w:szCs w:val="21"/>
                <w:highlight w:val="none"/>
              </w:rPr>
              <w:t>本项目无预付款</w:t>
            </w:r>
            <w:r>
              <w:rPr>
                <w:rFonts w:hint="eastAsia" w:ascii="宋体" w:hAnsi="宋体" w:eastAsia="宋体"/>
                <w:color w:val="auto"/>
                <w:szCs w:val="21"/>
                <w:highlight w:val="none"/>
              </w:rPr>
              <w:t>，按</w:t>
            </w:r>
            <w:r>
              <w:rPr>
                <w:rFonts w:hint="eastAsia" w:ascii="宋体" w:hAnsi="宋体" w:eastAsia="宋体"/>
                <w:color w:val="auto"/>
                <w:szCs w:val="21"/>
                <w:highlight w:val="none"/>
                <w:lang w:eastAsia="zh-CN"/>
              </w:rPr>
              <w:t>批次</w:t>
            </w:r>
            <w:r>
              <w:rPr>
                <w:rFonts w:hint="eastAsia" w:ascii="宋体" w:hAnsi="宋体" w:eastAsia="宋体"/>
                <w:color w:val="auto"/>
                <w:szCs w:val="21"/>
                <w:highlight w:val="none"/>
              </w:rPr>
              <w:t>结算，采购人在收到中标人上</w:t>
            </w:r>
            <w:r>
              <w:rPr>
                <w:rFonts w:hint="eastAsia" w:ascii="宋体" w:hAnsi="宋体" w:eastAsia="宋体"/>
                <w:color w:val="auto"/>
                <w:szCs w:val="21"/>
                <w:highlight w:val="none"/>
                <w:lang w:eastAsia="zh-CN"/>
              </w:rPr>
              <w:t>批次货物且验收合格正常使用十五个工作日并收到</w:t>
            </w:r>
            <w:r>
              <w:rPr>
                <w:rFonts w:hint="eastAsia" w:ascii="宋体" w:hAnsi="宋体" w:eastAsia="宋体"/>
                <w:color w:val="auto"/>
                <w:szCs w:val="21"/>
                <w:highlight w:val="none"/>
              </w:rPr>
              <w:t>全额发票</w:t>
            </w:r>
            <w:r>
              <w:rPr>
                <w:rFonts w:hint="eastAsia" w:ascii="宋体" w:hAnsi="宋体" w:eastAsia="宋体"/>
                <w:color w:val="auto"/>
                <w:szCs w:val="21"/>
                <w:highlight w:val="none"/>
                <w:lang w:eastAsia="zh-CN"/>
              </w:rPr>
              <w:t>后</w:t>
            </w:r>
            <w:r>
              <w:rPr>
                <w:rFonts w:hint="eastAsia" w:ascii="宋体" w:hAnsi="宋体" w:eastAsia="宋体"/>
                <w:color w:val="auto"/>
                <w:szCs w:val="21"/>
                <w:highlight w:val="none"/>
                <w:lang w:val="en-US" w:eastAsia="zh-CN"/>
              </w:rPr>
              <w:t>2</w:t>
            </w:r>
            <w:r>
              <w:rPr>
                <w:rFonts w:hint="eastAsia" w:ascii="宋体" w:hAnsi="宋体" w:eastAsia="宋体"/>
                <w:color w:val="auto"/>
                <w:szCs w:val="21"/>
                <w:highlight w:val="none"/>
              </w:rPr>
              <w:t>个月内向中标人一次付清</w:t>
            </w:r>
            <w:r>
              <w:rPr>
                <w:rFonts w:hint="eastAsia" w:ascii="宋体" w:hAnsi="宋体" w:eastAsia="宋体"/>
                <w:color w:val="auto"/>
                <w:szCs w:val="21"/>
                <w:highlight w:val="none"/>
                <w:lang w:eastAsia="zh-CN"/>
              </w:rPr>
              <w:t>该批次</w:t>
            </w:r>
            <w:r>
              <w:rPr>
                <w:rFonts w:hint="eastAsia" w:ascii="宋体" w:hAnsi="宋体" w:eastAsia="宋体"/>
                <w:color w:val="auto"/>
                <w:szCs w:val="21"/>
                <w:highlight w:val="none"/>
              </w:rPr>
              <w:t>货物的全部货款。</w:t>
            </w:r>
            <w:bookmarkEnd w:id="21"/>
          </w:p>
        </w:tc>
      </w:tr>
      <w:tr w14:paraId="50C959BD">
        <w:tblPrEx>
          <w:tblCellMar>
            <w:top w:w="0" w:type="dxa"/>
            <w:left w:w="108" w:type="dxa"/>
            <w:bottom w:w="0" w:type="dxa"/>
            <w:right w:w="108" w:type="dxa"/>
          </w:tblCellMar>
        </w:tblPrEx>
        <w:trPr>
          <w:trHeight w:val="856" w:hRule="atLeast"/>
          <w:jc w:val="center"/>
        </w:trPr>
        <w:tc>
          <w:tcPr>
            <w:tcW w:w="1583" w:type="dxa"/>
            <w:tcBorders>
              <w:top w:val="single" w:color="auto" w:sz="4" w:space="0"/>
              <w:left w:val="single" w:color="auto" w:sz="4" w:space="0"/>
              <w:bottom w:val="single" w:color="auto" w:sz="4" w:space="0"/>
              <w:right w:val="single" w:color="000000" w:sz="4" w:space="0"/>
            </w:tcBorders>
            <w:vAlign w:val="center"/>
          </w:tcPr>
          <w:p w14:paraId="2EA8A43A">
            <w:pPr>
              <w:widowControl/>
              <w:spacing w:line="380" w:lineRule="exact"/>
              <w:jc w:val="center"/>
              <w:rPr>
                <w:rFonts w:ascii="宋体" w:hAnsi="宋体" w:cs="宋体"/>
                <w:color w:val="auto"/>
                <w:kern w:val="0"/>
                <w:sz w:val="20"/>
                <w:szCs w:val="20"/>
                <w:highlight w:val="none"/>
              </w:rPr>
            </w:pPr>
            <w:r>
              <w:rPr>
                <w:rFonts w:hint="eastAsia"/>
                <w:color w:val="auto"/>
                <w:highlight w:val="none"/>
              </w:rPr>
              <w:t>中小企业说明</w:t>
            </w:r>
          </w:p>
        </w:tc>
        <w:tc>
          <w:tcPr>
            <w:tcW w:w="8302" w:type="dxa"/>
            <w:tcBorders>
              <w:top w:val="single" w:color="auto" w:sz="4" w:space="0"/>
              <w:left w:val="nil"/>
              <w:bottom w:val="single" w:color="auto" w:sz="4" w:space="0"/>
              <w:right w:val="single" w:color="000000" w:sz="4" w:space="0"/>
            </w:tcBorders>
            <w:vAlign w:val="center"/>
          </w:tcPr>
          <w:p w14:paraId="3A2B9FDA">
            <w:pPr>
              <w:spacing w:line="276" w:lineRule="auto"/>
              <w:rPr>
                <w:rFonts w:ascii="宋体" w:hAnsi="宋体" w:cs="宋体"/>
                <w:b/>
                <w:color w:val="auto"/>
                <w:highlight w:val="none"/>
              </w:rPr>
            </w:pPr>
            <w:r>
              <w:rPr>
                <w:rFonts w:hint="eastAsia" w:ascii="宋体" w:hAnsi="宋体" w:cs="宋体"/>
                <w:b/>
                <w:color w:val="auto"/>
                <w:highlight w:val="none"/>
              </w:rPr>
              <w:t>本项目所属行业：</w:t>
            </w:r>
            <w:r>
              <w:rPr>
                <w:rFonts w:hint="eastAsia" w:ascii="宋体" w:hAnsi="宋体" w:cs="宋体"/>
                <w:b/>
                <w:color w:val="auto"/>
                <w:highlight w:val="none"/>
                <w:u w:val="single"/>
              </w:rPr>
              <w:t xml:space="preserve">  工业  </w:t>
            </w:r>
            <w:r>
              <w:rPr>
                <w:rFonts w:hint="eastAsia" w:ascii="宋体" w:hAnsi="宋体" w:cs="宋体"/>
                <w:b/>
                <w:color w:val="auto"/>
                <w:highlight w:val="none"/>
              </w:rPr>
              <w:t>，划分依据：《关于印发中小企业划型标准规定的通知》（工信部联企业[2011]300号）。</w:t>
            </w:r>
          </w:p>
          <w:p w14:paraId="2F2ACB94">
            <w:pPr>
              <w:widowControl/>
              <w:spacing w:line="380" w:lineRule="exact"/>
              <w:rPr>
                <w:b/>
                <w:bCs/>
                <w:color w:val="auto"/>
                <w:highlight w:val="none"/>
              </w:rPr>
            </w:pPr>
            <w:r>
              <w:rPr>
                <w:rFonts w:hint="eastAsia"/>
                <w:b/>
                <w:bCs/>
                <w:color w:val="auto"/>
                <w:highlight w:val="none"/>
              </w:rPr>
              <w:t>本项目为货物采购项目，货物须由</w:t>
            </w:r>
            <w:r>
              <w:rPr>
                <w:rFonts w:hint="eastAsia"/>
                <w:b/>
                <w:bCs/>
                <w:color w:val="auto"/>
                <w:highlight w:val="none"/>
                <w:lang w:val="en-US" w:eastAsia="zh-CN"/>
              </w:rPr>
              <w:t>中小</w:t>
            </w:r>
            <w:r>
              <w:rPr>
                <w:rFonts w:hint="eastAsia"/>
                <w:b/>
                <w:bCs/>
                <w:color w:val="auto"/>
                <w:highlight w:val="none"/>
              </w:rPr>
              <w:t>企业制造，即货物由中小企业生产且使用该</w:t>
            </w:r>
            <w:r>
              <w:rPr>
                <w:rFonts w:hint="eastAsia"/>
                <w:b/>
                <w:bCs/>
                <w:color w:val="auto"/>
                <w:highlight w:val="none"/>
                <w:lang w:val="en-US" w:eastAsia="zh-CN"/>
              </w:rPr>
              <w:t>中小</w:t>
            </w:r>
            <w:r>
              <w:rPr>
                <w:rFonts w:hint="eastAsia"/>
                <w:b/>
                <w:bCs/>
                <w:color w:val="auto"/>
                <w:highlight w:val="none"/>
              </w:rPr>
              <w:t>企业商号或者注册商标。</w:t>
            </w:r>
          </w:p>
          <w:p w14:paraId="76CED2BB">
            <w:pPr>
              <w:spacing w:line="276" w:lineRule="auto"/>
              <w:rPr>
                <w:rFonts w:ascii="宋体" w:hAnsi="宋体" w:cs="宋体"/>
                <w:b/>
                <w:color w:val="auto"/>
                <w:highlight w:val="none"/>
              </w:rPr>
            </w:pPr>
            <w:r>
              <w:rPr>
                <w:rFonts w:hint="eastAsia"/>
                <w:b/>
                <w:bCs/>
                <w:color w:val="auto"/>
                <w:highlight w:val="none"/>
              </w:rPr>
              <w:t>在本项目的货物采购中，供应商提供的货物既有中小企业制造货物，也有大型企业制造货物的，不享受中小企业扶持政策。</w:t>
            </w:r>
          </w:p>
        </w:tc>
      </w:tr>
    </w:tbl>
    <w:p w14:paraId="674FBEE6">
      <w:pPr>
        <w:spacing w:line="360" w:lineRule="exact"/>
        <w:ind w:firstLine="420" w:firstLineChars="200"/>
        <w:rPr>
          <w:rFonts w:ascii="宋体" w:hAnsi="宋体" w:cs="宋体"/>
          <w:color w:val="auto"/>
          <w:szCs w:val="21"/>
          <w:highlight w:val="none"/>
        </w:rPr>
      </w:pPr>
    </w:p>
    <w:p w14:paraId="5FDC727E">
      <w:pPr>
        <w:pStyle w:val="35"/>
        <w:rPr>
          <w:rFonts w:ascii="宋体" w:hAnsi="宋体" w:cs="宋体"/>
          <w:color w:val="auto"/>
          <w:szCs w:val="21"/>
          <w:highlight w:val="none"/>
        </w:rPr>
      </w:pPr>
    </w:p>
    <w:p w14:paraId="60FEECFF">
      <w:pPr>
        <w:rPr>
          <w:rFonts w:ascii="宋体" w:hAnsi="宋体" w:cs="宋体"/>
          <w:color w:val="auto"/>
          <w:szCs w:val="21"/>
          <w:highlight w:val="none"/>
        </w:rPr>
      </w:pPr>
    </w:p>
    <w:p w14:paraId="673E3FA3">
      <w:pPr>
        <w:rPr>
          <w:rFonts w:ascii="宋体" w:hAnsi="宋体" w:cs="宋体"/>
          <w:color w:val="auto"/>
          <w:szCs w:val="21"/>
          <w:highlight w:val="none"/>
        </w:rPr>
      </w:pPr>
    </w:p>
    <w:p w14:paraId="16C4AD52">
      <w:pPr>
        <w:rPr>
          <w:rFonts w:ascii="宋体" w:hAnsi="宋体" w:cs="宋体"/>
          <w:color w:val="auto"/>
          <w:szCs w:val="21"/>
          <w:highlight w:val="none"/>
        </w:rPr>
      </w:pPr>
    </w:p>
    <w:p w14:paraId="68DB80D3">
      <w:pPr>
        <w:rPr>
          <w:rFonts w:ascii="宋体" w:hAnsi="宋体" w:cs="宋体"/>
          <w:color w:val="auto"/>
          <w:szCs w:val="21"/>
          <w:highlight w:val="none"/>
        </w:rPr>
      </w:pPr>
    </w:p>
    <w:p w14:paraId="5B6C7D11">
      <w:pPr>
        <w:rPr>
          <w:rFonts w:ascii="宋体" w:hAnsi="宋体" w:cs="宋体"/>
          <w:color w:val="auto"/>
          <w:szCs w:val="21"/>
          <w:highlight w:val="none"/>
        </w:rPr>
      </w:pPr>
    </w:p>
    <w:p w14:paraId="441EFE46">
      <w:pPr>
        <w:rPr>
          <w:rFonts w:ascii="宋体" w:hAnsi="宋体" w:cs="宋体"/>
          <w:color w:val="auto"/>
          <w:szCs w:val="21"/>
          <w:highlight w:val="none"/>
        </w:rPr>
      </w:pPr>
    </w:p>
    <w:p w14:paraId="30DB4E23">
      <w:pPr>
        <w:rPr>
          <w:rFonts w:ascii="宋体" w:hAnsi="宋体" w:cs="宋体"/>
          <w:color w:val="auto"/>
          <w:szCs w:val="21"/>
          <w:highlight w:val="none"/>
        </w:rPr>
      </w:pPr>
    </w:p>
    <w:p w14:paraId="40DD93CD">
      <w:pPr>
        <w:rPr>
          <w:rFonts w:ascii="宋体" w:hAnsi="宋体" w:cs="宋体"/>
          <w:color w:val="auto"/>
          <w:szCs w:val="21"/>
          <w:highlight w:val="none"/>
        </w:rPr>
      </w:pPr>
    </w:p>
    <w:p w14:paraId="0DE3FD57">
      <w:pPr>
        <w:rPr>
          <w:rFonts w:ascii="宋体" w:hAnsi="宋体" w:cs="宋体"/>
          <w:color w:val="auto"/>
          <w:szCs w:val="21"/>
          <w:highlight w:val="none"/>
        </w:rPr>
      </w:pPr>
    </w:p>
    <w:p w14:paraId="2DFE361E">
      <w:pPr>
        <w:rPr>
          <w:rFonts w:ascii="宋体" w:hAnsi="宋体" w:cs="宋体"/>
          <w:color w:val="auto"/>
          <w:szCs w:val="21"/>
          <w:highlight w:val="none"/>
        </w:rPr>
      </w:pPr>
    </w:p>
    <w:p w14:paraId="3AE19E30">
      <w:pPr>
        <w:rPr>
          <w:rFonts w:ascii="宋体" w:hAnsi="宋体" w:cs="宋体"/>
          <w:color w:val="auto"/>
          <w:szCs w:val="21"/>
          <w:highlight w:val="none"/>
        </w:rPr>
      </w:pPr>
    </w:p>
    <w:p w14:paraId="3351B584">
      <w:pPr>
        <w:rPr>
          <w:rFonts w:ascii="宋体" w:hAnsi="宋体" w:cs="宋体"/>
          <w:color w:val="auto"/>
          <w:szCs w:val="21"/>
          <w:highlight w:val="none"/>
        </w:rPr>
      </w:pPr>
    </w:p>
    <w:p w14:paraId="0F962037">
      <w:pPr>
        <w:rPr>
          <w:rFonts w:ascii="宋体" w:hAnsi="宋体" w:cs="宋体"/>
          <w:color w:val="auto"/>
          <w:szCs w:val="21"/>
          <w:highlight w:val="none"/>
        </w:rPr>
      </w:pPr>
    </w:p>
    <w:p w14:paraId="6F44C601">
      <w:pPr>
        <w:rPr>
          <w:rFonts w:ascii="宋体" w:hAnsi="宋体" w:cs="宋体"/>
          <w:color w:val="auto"/>
          <w:szCs w:val="21"/>
          <w:highlight w:val="none"/>
        </w:rPr>
      </w:pPr>
    </w:p>
    <w:p w14:paraId="7575AFFC">
      <w:pPr>
        <w:rPr>
          <w:rFonts w:ascii="宋体" w:hAnsi="宋体" w:cs="宋体"/>
          <w:color w:val="auto"/>
          <w:szCs w:val="21"/>
          <w:highlight w:val="none"/>
        </w:rPr>
      </w:pPr>
    </w:p>
    <w:p w14:paraId="0E8BF6ED">
      <w:pPr>
        <w:rPr>
          <w:rFonts w:ascii="宋体" w:hAnsi="宋体" w:cs="宋体"/>
          <w:color w:val="auto"/>
          <w:szCs w:val="21"/>
          <w:highlight w:val="none"/>
        </w:rPr>
      </w:pPr>
    </w:p>
    <w:p w14:paraId="317782F9">
      <w:pPr>
        <w:rPr>
          <w:rFonts w:ascii="宋体" w:hAnsi="宋体" w:cs="宋体"/>
          <w:color w:val="auto"/>
          <w:szCs w:val="21"/>
          <w:highlight w:val="none"/>
        </w:rPr>
      </w:pPr>
    </w:p>
    <w:p w14:paraId="20811426">
      <w:pPr>
        <w:rPr>
          <w:rFonts w:ascii="宋体" w:hAnsi="宋体" w:cs="宋体"/>
          <w:color w:val="auto"/>
          <w:szCs w:val="21"/>
          <w:highlight w:val="none"/>
        </w:rPr>
      </w:pPr>
    </w:p>
    <w:p w14:paraId="72F4238B">
      <w:pPr>
        <w:rPr>
          <w:rFonts w:ascii="宋体" w:hAnsi="宋体" w:cs="宋体"/>
          <w:color w:val="auto"/>
          <w:szCs w:val="21"/>
          <w:highlight w:val="none"/>
        </w:rPr>
      </w:pPr>
    </w:p>
    <w:p w14:paraId="26ED8E36">
      <w:pPr>
        <w:rPr>
          <w:rFonts w:ascii="宋体" w:hAnsi="宋体" w:cs="宋体"/>
          <w:color w:val="auto"/>
          <w:szCs w:val="21"/>
          <w:highlight w:val="none"/>
        </w:rPr>
      </w:pPr>
    </w:p>
    <w:p w14:paraId="6172ED32">
      <w:pPr>
        <w:rPr>
          <w:rFonts w:ascii="宋体" w:hAnsi="宋体" w:cs="宋体"/>
          <w:color w:val="auto"/>
          <w:szCs w:val="21"/>
          <w:highlight w:val="none"/>
        </w:rPr>
      </w:pPr>
    </w:p>
    <w:p w14:paraId="42023522">
      <w:pPr>
        <w:rPr>
          <w:rFonts w:ascii="宋体" w:hAnsi="宋体" w:cs="宋体"/>
          <w:color w:val="auto"/>
          <w:szCs w:val="21"/>
          <w:highlight w:val="none"/>
        </w:rPr>
      </w:pPr>
    </w:p>
    <w:p w14:paraId="774ED790">
      <w:pPr>
        <w:rPr>
          <w:rFonts w:ascii="宋体" w:hAnsi="宋体" w:cs="宋体"/>
          <w:color w:val="auto"/>
          <w:szCs w:val="21"/>
          <w:highlight w:val="none"/>
        </w:rPr>
      </w:pPr>
    </w:p>
    <w:p w14:paraId="2F7F9762">
      <w:pPr>
        <w:rPr>
          <w:rFonts w:ascii="宋体" w:hAnsi="宋体" w:cs="宋体"/>
          <w:color w:val="auto"/>
          <w:szCs w:val="21"/>
          <w:highlight w:val="none"/>
        </w:rPr>
      </w:pPr>
    </w:p>
    <w:p w14:paraId="3DDAE3FC">
      <w:pPr>
        <w:pStyle w:val="16"/>
        <w:rPr>
          <w:rFonts w:ascii="Arial Unicode MS" w:hAnsi="Arial Unicode MS" w:eastAsia="Arial Unicode MS" w:cs="Arial Unicode MS"/>
          <w:color w:val="auto"/>
          <w:sz w:val="28"/>
          <w:szCs w:val="28"/>
          <w:highlight w:val="none"/>
        </w:rPr>
      </w:pPr>
      <w:r>
        <w:rPr>
          <w:rFonts w:hint="eastAsia" w:ascii="微软雅黑" w:hAnsi="微软雅黑" w:eastAsia="微软雅黑" w:cs="微软雅黑"/>
          <w:color w:val="auto"/>
          <w:sz w:val="28"/>
          <w:szCs w:val="28"/>
          <w:highlight w:val="none"/>
        </w:rPr>
        <w:t>附件</w:t>
      </w:r>
      <w:r>
        <w:rPr>
          <w:rFonts w:hint="eastAsia" w:ascii="Arial Unicode MS" w:hAnsi="Arial Unicode MS" w:eastAsia="Arial Unicode MS" w:cs="Arial Unicode MS"/>
          <w:color w:val="auto"/>
          <w:sz w:val="28"/>
          <w:szCs w:val="28"/>
          <w:highlight w:val="none"/>
          <w:lang w:val="en-US" w:eastAsia="zh-CN"/>
        </w:rPr>
        <w:t>1</w:t>
      </w:r>
      <w:r>
        <w:rPr>
          <w:rFonts w:hint="eastAsia" w:ascii="微软雅黑" w:hAnsi="微软雅黑" w:eastAsia="微软雅黑" w:cs="微软雅黑"/>
          <w:color w:val="auto"/>
          <w:sz w:val="28"/>
          <w:szCs w:val="28"/>
          <w:highlight w:val="none"/>
        </w:rPr>
        <w:t>：</w:t>
      </w:r>
    </w:p>
    <w:p w14:paraId="1C19D0B4">
      <w:pPr>
        <w:spacing w:line="528" w:lineRule="exact"/>
        <w:ind w:left="1871"/>
        <w:rPr>
          <w:rFonts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节能产品政府采购品目清单</w:t>
      </w:r>
    </w:p>
    <w:tbl>
      <w:tblPr>
        <w:tblStyle w:val="36"/>
        <w:tblW w:w="9220" w:type="dxa"/>
        <w:jc w:val="center"/>
        <w:tblLayout w:type="autofit"/>
        <w:tblCellMar>
          <w:top w:w="0" w:type="dxa"/>
          <w:left w:w="108" w:type="dxa"/>
          <w:bottom w:w="0" w:type="dxa"/>
          <w:right w:w="108" w:type="dxa"/>
        </w:tblCellMar>
      </w:tblPr>
      <w:tblGrid>
        <w:gridCol w:w="660"/>
        <w:gridCol w:w="1116"/>
        <w:gridCol w:w="1516"/>
        <w:gridCol w:w="1620"/>
        <w:gridCol w:w="4540"/>
      </w:tblGrid>
      <w:tr w14:paraId="3705A75C">
        <w:tblPrEx>
          <w:tblCellMar>
            <w:top w:w="0" w:type="dxa"/>
            <w:left w:w="108" w:type="dxa"/>
            <w:bottom w:w="0" w:type="dxa"/>
            <w:right w:w="108" w:type="dxa"/>
          </w:tblCellMar>
        </w:tblPrEx>
        <w:trPr>
          <w:trHeight w:val="555" w:hRule="atLeast"/>
          <w:jc w:val="center"/>
        </w:trPr>
        <w:tc>
          <w:tcPr>
            <w:tcW w:w="660" w:type="dxa"/>
            <w:tcBorders>
              <w:top w:val="single" w:color="000000" w:sz="8" w:space="0"/>
              <w:left w:val="single" w:color="000000" w:sz="8" w:space="0"/>
              <w:bottom w:val="nil"/>
              <w:right w:val="single" w:color="000000" w:sz="8" w:space="0"/>
            </w:tcBorders>
            <w:noWrap/>
          </w:tcPr>
          <w:p w14:paraId="151FD477">
            <w:pPr>
              <w:widowControl/>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品目序号</w:t>
            </w:r>
          </w:p>
        </w:tc>
        <w:tc>
          <w:tcPr>
            <w:tcW w:w="4020" w:type="dxa"/>
            <w:gridSpan w:val="3"/>
            <w:tcBorders>
              <w:top w:val="single" w:color="000000" w:sz="8" w:space="0"/>
              <w:left w:val="nil"/>
              <w:bottom w:val="single" w:color="000000" w:sz="8" w:space="0"/>
              <w:right w:val="single" w:color="000000" w:sz="8" w:space="0"/>
            </w:tcBorders>
            <w:noWrap/>
            <w:vAlign w:val="center"/>
          </w:tcPr>
          <w:p w14:paraId="0CC9DD48">
            <w:pPr>
              <w:widowControl/>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名称</w:t>
            </w:r>
          </w:p>
        </w:tc>
        <w:tc>
          <w:tcPr>
            <w:tcW w:w="4540" w:type="dxa"/>
            <w:tcBorders>
              <w:top w:val="single" w:color="000000" w:sz="8" w:space="0"/>
              <w:left w:val="nil"/>
              <w:bottom w:val="single" w:color="000000" w:sz="8" w:space="0"/>
              <w:right w:val="single" w:color="000000" w:sz="8" w:space="0"/>
            </w:tcBorders>
            <w:noWrap/>
            <w:vAlign w:val="center"/>
          </w:tcPr>
          <w:p w14:paraId="0406C687">
            <w:pPr>
              <w:widowControl/>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依据的标准</w:t>
            </w:r>
          </w:p>
        </w:tc>
      </w:tr>
      <w:tr w14:paraId="28397B01">
        <w:tblPrEx>
          <w:tblCellMar>
            <w:top w:w="0" w:type="dxa"/>
            <w:left w:w="108" w:type="dxa"/>
            <w:bottom w:w="0" w:type="dxa"/>
            <w:right w:w="108" w:type="dxa"/>
          </w:tblCellMar>
        </w:tblPrEx>
        <w:trPr>
          <w:trHeight w:val="495" w:hRule="atLeast"/>
          <w:jc w:val="center"/>
        </w:trPr>
        <w:tc>
          <w:tcPr>
            <w:tcW w:w="660" w:type="dxa"/>
            <w:vMerge w:val="restart"/>
            <w:tcBorders>
              <w:top w:val="single" w:color="000000" w:sz="8" w:space="0"/>
              <w:left w:val="single" w:color="000000" w:sz="8" w:space="0"/>
              <w:bottom w:val="single" w:color="000000" w:sz="8" w:space="0"/>
              <w:right w:val="single" w:color="000000" w:sz="8" w:space="0"/>
            </w:tcBorders>
            <w:noWrap/>
            <w:vAlign w:val="center"/>
          </w:tcPr>
          <w:p w14:paraId="677A793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1080" w:type="dxa"/>
            <w:vMerge w:val="restart"/>
            <w:tcBorders>
              <w:top w:val="nil"/>
              <w:left w:val="single" w:color="000000" w:sz="8" w:space="0"/>
              <w:bottom w:val="single" w:color="000000" w:sz="8" w:space="0"/>
              <w:right w:val="single" w:color="000000" w:sz="8" w:space="0"/>
            </w:tcBorders>
            <w:noWrap/>
            <w:vAlign w:val="center"/>
          </w:tcPr>
          <w:p w14:paraId="0B30C1B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A020101计算机设备</w:t>
            </w:r>
          </w:p>
        </w:tc>
        <w:tc>
          <w:tcPr>
            <w:tcW w:w="1320" w:type="dxa"/>
            <w:tcBorders>
              <w:top w:val="nil"/>
              <w:left w:val="nil"/>
              <w:bottom w:val="single" w:color="000000" w:sz="8" w:space="0"/>
              <w:right w:val="single" w:color="000000" w:sz="8" w:space="0"/>
            </w:tcBorders>
            <w:noWrap/>
            <w:vAlign w:val="center"/>
          </w:tcPr>
          <w:p w14:paraId="22F3BD3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★A02010104台式计算机</w:t>
            </w:r>
          </w:p>
        </w:tc>
        <w:tc>
          <w:tcPr>
            <w:tcW w:w="1620" w:type="dxa"/>
            <w:tcBorders>
              <w:top w:val="nil"/>
              <w:left w:val="nil"/>
              <w:bottom w:val="single" w:color="000000" w:sz="8" w:space="0"/>
              <w:right w:val="single" w:color="000000" w:sz="8" w:space="0"/>
            </w:tcBorders>
            <w:noWrap/>
            <w:vAlign w:val="center"/>
          </w:tcPr>
          <w:p w14:paraId="794A1B1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32A4512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4464CAB2">
        <w:tblPrEx>
          <w:tblCellMar>
            <w:top w:w="0" w:type="dxa"/>
            <w:left w:w="108" w:type="dxa"/>
            <w:bottom w:w="0" w:type="dxa"/>
            <w:right w:w="108" w:type="dxa"/>
          </w:tblCellMar>
        </w:tblPrEx>
        <w:trPr>
          <w:trHeight w:val="495"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B344C43">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85A5312">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47C5D1D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★A02010105便携式计算机</w:t>
            </w:r>
          </w:p>
        </w:tc>
        <w:tc>
          <w:tcPr>
            <w:tcW w:w="1620" w:type="dxa"/>
            <w:tcBorders>
              <w:top w:val="nil"/>
              <w:left w:val="nil"/>
              <w:bottom w:val="single" w:color="000000" w:sz="8" w:space="0"/>
              <w:right w:val="single" w:color="000000" w:sz="8" w:space="0"/>
            </w:tcBorders>
            <w:noWrap/>
            <w:vAlign w:val="center"/>
          </w:tcPr>
          <w:p w14:paraId="7115FED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2AC5D62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3AA6D8D0">
        <w:tblPrEx>
          <w:tblCellMar>
            <w:top w:w="0" w:type="dxa"/>
            <w:left w:w="108" w:type="dxa"/>
            <w:bottom w:w="0" w:type="dxa"/>
            <w:right w:w="108" w:type="dxa"/>
          </w:tblCellMar>
        </w:tblPrEx>
        <w:trPr>
          <w:trHeight w:val="735" w:hRule="atLeast"/>
          <w:jc w:val="center"/>
        </w:trPr>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7ED23C2">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E554024">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6012EFA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★A02010107平板式微型计算机</w:t>
            </w:r>
          </w:p>
        </w:tc>
        <w:tc>
          <w:tcPr>
            <w:tcW w:w="1620" w:type="dxa"/>
            <w:tcBorders>
              <w:top w:val="nil"/>
              <w:left w:val="nil"/>
              <w:bottom w:val="single" w:color="000000" w:sz="8" w:space="0"/>
              <w:right w:val="single" w:color="000000" w:sz="8" w:space="0"/>
            </w:tcBorders>
            <w:noWrap/>
            <w:vAlign w:val="center"/>
          </w:tcPr>
          <w:p w14:paraId="2C5CDE8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76B51DAB">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30DEF42A">
        <w:tblPrEx>
          <w:tblCellMar>
            <w:top w:w="0" w:type="dxa"/>
            <w:left w:w="108" w:type="dxa"/>
            <w:bottom w:w="0" w:type="dxa"/>
            <w:right w:w="108" w:type="dxa"/>
          </w:tblCellMar>
        </w:tblPrEx>
        <w:trPr>
          <w:trHeight w:val="495" w:hRule="atLeast"/>
          <w:jc w:val="center"/>
        </w:trPr>
        <w:tc>
          <w:tcPr>
            <w:tcW w:w="660" w:type="dxa"/>
            <w:vMerge w:val="restart"/>
            <w:tcBorders>
              <w:top w:val="nil"/>
              <w:left w:val="single" w:color="000000" w:sz="8" w:space="0"/>
              <w:bottom w:val="single" w:color="000000" w:sz="8" w:space="0"/>
              <w:right w:val="single" w:color="000000" w:sz="8" w:space="0"/>
            </w:tcBorders>
            <w:noWrap/>
            <w:vAlign w:val="center"/>
          </w:tcPr>
          <w:p w14:paraId="1926C03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1080" w:type="dxa"/>
            <w:vMerge w:val="restart"/>
            <w:tcBorders>
              <w:top w:val="nil"/>
              <w:left w:val="single" w:color="000000" w:sz="8" w:space="0"/>
              <w:bottom w:val="single" w:color="000000" w:sz="8" w:space="0"/>
              <w:right w:val="single" w:color="000000" w:sz="8" w:space="0"/>
            </w:tcBorders>
            <w:noWrap/>
            <w:vAlign w:val="center"/>
          </w:tcPr>
          <w:p w14:paraId="331A4D5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A020106输入输出设备</w:t>
            </w:r>
          </w:p>
        </w:tc>
        <w:tc>
          <w:tcPr>
            <w:tcW w:w="1320" w:type="dxa"/>
            <w:vMerge w:val="restart"/>
            <w:tcBorders>
              <w:top w:val="nil"/>
              <w:left w:val="single" w:color="000000" w:sz="8" w:space="0"/>
              <w:bottom w:val="single" w:color="000000" w:sz="8" w:space="0"/>
              <w:right w:val="single" w:color="000000" w:sz="8" w:space="0"/>
            </w:tcBorders>
            <w:noWrap/>
            <w:vAlign w:val="center"/>
          </w:tcPr>
          <w:p w14:paraId="750E7FE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A02010601打印设备</w:t>
            </w:r>
          </w:p>
        </w:tc>
        <w:tc>
          <w:tcPr>
            <w:tcW w:w="1620" w:type="dxa"/>
            <w:tcBorders>
              <w:top w:val="nil"/>
              <w:left w:val="nil"/>
              <w:bottom w:val="single" w:color="000000" w:sz="8" w:space="0"/>
              <w:right w:val="single" w:color="000000" w:sz="8" w:space="0"/>
            </w:tcBorders>
            <w:noWrap/>
            <w:vAlign w:val="center"/>
          </w:tcPr>
          <w:p w14:paraId="72B9318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A0201060101喷墨打印机</w:t>
            </w:r>
          </w:p>
        </w:tc>
        <w:tc>
          <w:tcPr>
            <w:tcW w:w="4540" w:type="dxa"/>
            <w:tcBorders>
              <w:top w:val="nil"/>
              <w:left w:val="nil"/>
              <w:bottom w:val="single" w:color="000000" w:sz="8" w:space="0"/>
              <w:right w:val="single" w:color="000000" w:sz="8" w:space="0"/>
            </w:tcBorders>
            <w:noWrap/>
            <w:vAlign w:val="center"/>
          </w:tcPr>
          <w:p w14:paraId="541929D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2CCF39EC">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6395E1AF">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13942F0">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DC1E065">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0EB2641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★A0201060102激光打印机</w:t>
            </w:r>
          </w:p>
        </w:tc>
        <w:tc>
          <w:tcPr>
            <w:tcW w:w="4540" w:type="dxa"/>
            <w:tcBorders>
              <w:top w:val="nil"/>
              <w:left w:val="nil"/>
              <w:bottom w:val="single" w:color="000000" w:sz="8" w:space="0"/>
              <w:right w:val="single" w:color="000000" w:sz="8" w:space="0"/>
            </w:tcBorders>
            <w:noWrap/>
            <w:vAlign w:val="center"/>
          </w:tcPr>
          <w:p w14:paraId="3E5E3D6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1C958196">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0B5A07FB">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96BD0D7">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B7BDDA9">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53A4514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★A0201060104针式打印机</w:t>
            </w:r>
          </w:p>
        </w:tc>
        <w:tc>
          <w:tcPr>
            <w:tcW w:w="4540" w:type="dxa"/>
            <w:tcBorders>
              <w:top w:val="nil"/>
              <w:left w:val="nil"/>
              <w:bottom w:val="single" w:color="000000" w:sz="8" w:space="0"/>
              <w:right w:val="single" w:color="000000" w:sz="8" w:space="0"/>
            </w:tcBorders>
            <w:noWrap/>
            <w:vAlign w:val="center"/>
          </w:tcPr>
          <w:p w14:paraId="68A3AB7F">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32F6414A">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06728DC6">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1AEBFEC">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7A6CCF0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A02010604显示设备</w:t>
            </w:r>
          </w:p>
        </w:tc>
        <w:tc>
          <w:tcPr>
            <w:tcW w:w="1620" w:type="dxa"/>
            <w:tcBorders>
              <w:top w:val="nil"/>
              <w:left w:val="nil"/>
              <w:bottom w:val="single" w:color="000000" w:sz="8" w:space="0"/>
              <w:right w:val="single" w:color="000000" w:sz="8" w:space="0"/>
            </w:tcBorders>
            <w:noWrap/>
            <w:vAlign w:val="center"/>
          </w:tcPr>
          <w:p w14:paraId="077CD27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★A0201060401液晶显示器</w:t>
            </w:r>
          </w:p>
        </w:tc>
        <w:tc>
          <w:tcPr>
            <w:tcW w:w="4540" w:type="dxa"/>
            <w:tcBorders>
              <w:top w:val="nil"/>
              <w:left w:val="nil"/>
              <w:bottom w:val="single" w:color="000000" w:sz="8" w:space="0"/>
              <w:right w:val="single" w:color="000000" w:sz="8" w:space="0"/>
            </w:tcBorders>
            <w:noWrap/>
            <w:vAlign w:val="center"/>
          </w:tcPr>
          <w:p w14:paraId="228FDCF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《计算机显示器能效限定值及能效等级》（GB21520）</w:t>
            </w:r>
          </w:p>
        </w:tc>
      </w:tr>
      <w:tr w14:paraId="42BABB87">
        <w:tblPrEx>
          <w:tblCellMar>
            <w:top w:w="0" w:type="dxa"/>
            <w:left w:w="108" w:type="dxa"/>
            <w:bottom w:w="0" w:type="dxa"/>
            <w:right w:w="108" w:type="dxa"/>
          </w:tblCellMar>
        </w:tblPrEx>
        <w:trPr>
          <w:trHeight w:val="97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3B36024">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51CD9FE">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7A87B99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A02010609图形图像输入设备</w:t>
            </w:r>
          </w:p>
        </w:tc>
        <w:tc>
          <w:tcPr>
            <w:tcW w:w="1620" w:type="dxa"/>
            <w:tcBorders>
              <w:top w:val="nil"/>
              <w:left w:val="nil"/>
              <w:bottom w:val="single" w:color="000000" w:sz="8" w:space="0"/>
              <w:right w:val="single" w:color="000000" w:sz="8" w:space="0"/>
            </w:tcBorders>
            <w:noWrap/>
            <w:vAlign w:val="center"/>
          </w:tcPr>
          <w:p w14:paraId="59BCD7F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A0201060901扫描仪</w:t>
            </w:r>
          </w:p>
        </w:tc>
        <w:tc>
          <w:tcPr>
            <w:tcW w:w="4540" w:type="dxa"/>
            <w:tcBorders>
              <w:top w:val="nil"/>
              <w:left w:val="nil"/>
              <w:bottom w:val="single" w:color="000000" w:sz="8" w:space="0"/>
              <w:right w:val="single" w:color="000000" w:sz="8" w:space="0"/>
            </w:tcBorders>
            <w:noWrap/>
            <w:vAlign w:val="center"/>
          </w:tcPr>
          <w:p w14:paraId="7A77774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参照《复印机、打印机和传真机能效限定值及能效等级》（GB21521中打印速度为15页/分的针式打印机相关要求中打印速度为15页/分的针式打印机相关要求</w:t>
            </w:r>
          </w:p>
        </w:tc>
      </w:tr>
      <w:tr w14:paraId="22D2C63E">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09B1F5DE">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1080" w:type="dxa"/>
            <w:tcBorders>
              <w:top w:val="nil"/>
              <w:left w:val="nil"/>
              <w:bottom w:val="single" w:color="000000" w:sz="8" w:space="0"/>
              <w:right w:val="single" w:color="000000" w:sz="8" w:space="0"/>
            </w:tcBorders>
            <w:noWrap/>
            <w:vAlign w:val="center"/>
          </w:tcPr>
          <w:p w14:paraId="2DC9FA8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A020202投影仪</w:t>
            </w:r>
          </w:p>
        </w:tc>
        <w:tc>
          <w:tcPr>
            <w:tcW w:w="1320" w:type="dxa"/>
            <w:tcBorders>
              <w:top w:val="nil"/>
              <w:left w:val="nil"/>
              <w:bottom w:val="single" w:color="000000" w:sz="8" w:space="0"/>
              <w:right w:val="single" w:color="000000" w:sz="8" w:space="0"/>
            </w:tcBorders>
            <w:noWrap/>
            <w:vAlign w:val="center"/>
          </w:tcPr>
          <w:p w14:paraId="4E20CCC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18ABC40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73E1780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《投影机能效限定值及能效等级》（GB32028）</w:t>
            </w:r>
          </w:p>
        </w:tc>
      </w:tr>
      <w:tr w14:paraId="24B22DEC">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55C8D92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1080" w:type="dxa"/>
            <w:tcBorders>
              <w:top w:val="nil"/>
              <w:left w:val="nil"/>
              <w:bottom w:val="single" w:color="000000" w:sz="8" w:space="0"/>
              <w:right w:val="single" w:color="000000" w:sz="8" w:space="0"/>
            </w:tcBorders>
            <w:noWrap/>
            <w:vAlign w:val="center"/>
          </w:tcPr>
          <w:p w14:paraId="51E936D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A020204多功能一体机</w:t>
            </w:r>
          </w:p>
        </w:tc>
        <w:tc>
          <w:tcPr>
            <w:tcW w:w="1320" w:type="dxa"/>
            <w:tcBorders>
              <w:top w:val="nil"/>
              <w:left w:val="nil"/>
              <w:bottom w:val="single" w:color="000000" w:sz="8" w:space="0"/>
              <w:right w:val="single" w:color="000000" w:sz="8" w:space="0"/>
            </w:tcBorders>
            <w:noWrap/>
            <w:vAlign w:val="center"/>
          </w:tcPr>
          <w:p w14:paraId="067A109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669DA3B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32CA751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04618C41">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6EC62D5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1080" w:type="dxa"/>
            <w:tcBorders>
              <w:top w:val="nil"/>
              <w:left w:val="nil"/>
              <w:bottom w:val="single" w:color="000000" w:sz="8" w:space="0"/>
              <w:right w:val="single" w:color="000000" w:sz="8" w:space="0"/>
            </w:tcBorders>
            <w:noWrap/>
            <w:vAlign w:val="center"/>
          </w:tcPr>
          <w:p w14:paraId="77AD102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A020519泵</w:t>
            </w:r>
          </w:p>
        </w:tc>
        <w:tc>
          <w:tcPr>
            <w:tcW w:w="1320" w:type="dxa"/>
            <w:tcBorders>
              <w:top w:val="nil"/>
              <w:left w:val="nil"/>
              <w:bottom w:val="single" w:color="000000" w:sz="8" w:space="0"/>
              <w:right w:val="single" w:color="000000" w:sz="8" w:space="0"/>
            </w:tcBorders>
            <w:noWrap/>
            <w:vAlign w:val="center"/>
          </w:tcPr>
          <w:p w14:paraId="682BD20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A02051901离心泵</w:t>
            </w:r>
          </w:p>
        </w:tc>
        <w:tc>
          <w:tcPr>
            <w:tcW w:w="1620" w:type="dxa"/>
            <w:tcBorders>
              <w:top w:val="nil"/>
              <w:left w:val="nil"/>
              <w:bottom w:val="single" w:color="000000" w:sz="8" w:space="0"/>
              <w:right w:val="single" w:color="000000" w:sz="8" w:space="0"/>
            </w:tcBorders>
            <w:noWrap/>
            <w:vAlign w:val="center"/>
          </w:tcPr>
          <w:p w14:paraId="58F6D1D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219EB7E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《清水离心泵能效限定值及节能评价值》（GB19762）</w:t>
            </w:r>
          </w:p>
        </w:tc>
      </w:tr>
      <w:tr w14:paraId="4ABAC08F">
        <w:tblPrEx>
          <w:tblCellMar>
            <w:top w:w="0" w:type="dxa"/>
            <w:left w:w="108" w:type="dxa"/>
            <w:bottom w:w="0" w:type="dxa"/>
            <w:right w:w="108" w:type="dxa"/>
          </w:tblCellMar>
        </w:tblPrEx>
        <w:trPr>
          <w:trHeight w:val="735" w:hRule="atLeast"/>
          <w:jc w:val="center"/>
        </w:trPr>
        <w:tc>
          <w:tcPr>
            <w:tcW w:w="660" w:type="dxa"/>
            <w:vMerge w:val="restart"/>
            <w:tcBorders>
              <w:top w:val="nil"/>
              <w:left w:val="single" w:color="000000" w:sz="8" w:space="0"/>
              <w:bottom w:val="single" w:color="000000" w:sz="8" w:space="0"/>
              <w:right w:val="single" w:color="000000" w:sz="8" w:space="0"/>
            </w:tcBorders>
            <w:noWrap/>
            <w:vAlign w:val="center"/>
          </w:tcPr>
          <w:p w14:paraId="3656154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6</w:t>
            </w:r>
          </w:p>
        </w:tc>
        <w:tc>
          <w:tcPr>
            <w:tcW w:w="1080" w:type="dxa"/>
            <w:vMerge w:val="restart"/>
            <w:tcBorders>
              <w:top w:val="nil"/>
              <w:left w:val="single" w:color="000000" w:sz="8" w:space="0"/>
              <w:bottom w:val="single" w:color="000000" w:sz="8" w:space="0"/>
              <w:right w:val="single" w:color="000000" w:sz="8" w:space="0"/>
            </w:tcBorders>
            <w:noWrap/>
            <w:vAlign w:val="center"/>
          </w:tcPr>
          <w:p w14:paraId="70D52D6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A020523制冷空调设备</w:t>
            </w:r>
          </w:p>
        </w:tc>
        <w:tc>
          <w:tcPr>
            <w:tcW w:w="1320" w:type="dxa"/>
            <w:vMerge w:val="restart"/>
            <w:tcBorders>
              <w:top w:val="nil"/>
              <w:left w:val="single" w:color="000000" w:sz="8" w:space="0"/>
              <w:bottom w:val="single" w:color="000000" w:sz="8" w:space="0"/>
              <w:right w:val="single" w:color="000000" w:sz="8" w:space="0"/>
            </w:tcBorders>
            <w:noWrap/>
            <w:vAlign w:val="center"/>
          </w:tcPr>
          <w:p w14:paraId="2B3E1A9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★A02052301制冷压缩机</w:t>
            </w:r>
          </w:p>
        </w:tc>
        <w:tc>
          <w:tcPr>
            <w:tcW w:w="1620" w:type="dxa"/>
            <w:tcBorders>
              <w:top w:val="nil"/>
              <w:left w:val="nil"/>
              <w:bottom w:val="single" w:color="000000" w:sz="8" w:space="0"/>
              <w:right w:val="single" w:color="000000" w:sz="8" w:space="0"/>
            </w:tcBorders>
            <w:noWrap/>
            <w:vAlign w:val="center"/>
          </w:tcPr>
          <w:p w14:paraId="0D1F21B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冷水机组</w:t>
            </w:r>
          </w:p>
        </w:tc>
        <w:tc>
          <w:tcPr>
            <w:tcW w:w="4540" w:type="dxa"/>
            <w:tcBorders>
              <w:top w:val="nil"/>
              <w:left w:val="nil"/>
              <w:bottom w:val="single" w:color="000000" w:sz="8" w:space="0"/>
              <w:right w:val="single" w:color="000000" w:sz="8" w:space="0"/>
            </w:tcBorders>
            <w:noWrap/>
            <w:vAlign w:val="center"/>
          </w:tcPr>
          <w:p w14:paraId="5051160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《冷水机组能效限定值及能效等级》（GB19577），《低环境温度空气源热泵（冷水）机组能效限定值及能效等级》（GB37480）</w:t>
            </w:r>
          </w:p>
        </w:tc>
      </w:tr>
      <w:tr w14:paraId="07F3A040">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03A78AA4">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575FFB85">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7EA47D4">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7175FAC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水源热泵机组</w:t>
            </w:r>
          </w:p>
        </w:tc>
        <w:tc>
          <w:tcPr>
            <w:tcW w:w="4540" w:type="dxa"/>
            <w:tcBorders>
              <w:top w:val="nil"/>
              <w:left w:val="nil"/>
              <w:bottom w:val="single" w:color="000000" w:sz="8" w:space="0"/>
              <w:right w:val="single" w:color="000000" w:sz="8" w:space="0"/>
            </w:tcBorders>
            <w:noWrap/>
            <w:vAlign w:val="center"/>
          </w:tcPr>
          <w:p w14:paraId="65DF75A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《水（地）源热泵机组能效限定值及能效等级》（GB30721）</w:t>
            </w:r>
          </w:p>
        </w:tc>
      </w:tr>
      <w:tr w14:paraId="778443FA">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1D198ACC">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2853875">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C4F10B2">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56C6483E">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w:t>
            </w:r>
          </w:p>
        </w:tc>
        <w:tc>
          <w:tcPr>
            <w:tcW w:w="4540" w:type="dxa"/>
            <w:tcBorders>
              <w:top w:val="nil"/>
              <w:left w:val="nil"/>
              <w:bottom w:val="single" w:color="000000" w:sz="8" w:space="0"/>
              <w:right w:val="single" w:color="000000" w:sz="8" w:space="0"/>
            </w:tcBorders>
            <w:noWrap/>
            <w:vAlign w:val="center"/>
          </w:tcPr>
          <w:p w14:paraId="0A418DE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《溴化锂吸收式冷水机组能效限定值及能效等级》（GB29540）</w:t>
            </w:r>
          </w:p>
        </w:tc>
      </w:tr>
      <w:tr w14:paraId="08C833FE">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2332B110">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140C07A">
            <w:pPr>
              <w:widowControl/>
              <w:jc w:val="left"/>
              <w:rPr>
                <w:rFonts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noWrap/>
            <w:vAlign w:val="center"/>
          </w:tcPr>
          <w:p w14:paraId="4623E97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★A02052305空调机组</w:t>
            </w:r>
          </w:p>
        </w:tc>
        <w:tc>
          <w:tcPr>
            <w:tcW w:w="1620" w:type="dxa"/>
            <w:tcBorders>
              <w:top w:val="nil"/>
              <w:left w:val="nil"/>
              <w:bottom w:val="single" w:color="000000" w:sz="8" w:space="0"/>
              <w:right w:val="single" w:color="000000" w:sz="8" w:space="0"/>
            </w:tcBorders>
            <w:noWrap/>
            <w:vAlign w:val="center"/>
          </w:tcPr>
          <w:p w14:paraId="2AE2E8F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多联式空调（热泵）机组(制冷量&gt;14000W)</w:t>
            </w:r>
          </w:p>
        </w:tc>
        <w:tc>
          <w:tcPr>
            <w:tcW w:w="4540" w:type="dxa"/>
            <w:tcBorders>
              <w:top w:val="nil"/>
              <w:left w:val="nil"/>
              <w:bottom w:val="single" w:color="000000" w:sz="8" w:space="0"/>
              <w:right w:val="single" w:color="000000" w:sz="8" w:space="0"/>
            </w:tcBorders>
            <w:noWrap/>
            <w:vAlign w:val="center"/>
          </w:tcPr>
          <w:p w14:paraId="655C72C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6C72EB60">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1FCAB323">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6A757E2">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ACBC01B">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35B427F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单元式空气调节机(制冷量&gt;14000W</w:t>
            </w:r>
          </w:p>
        </w:tc>
        <w:tc>
          <w:tcPr>
            <w:tcW w:w="4540" w:type="dxa"/>
            <w:tcBorders>
              <w:top w:val="nil"/>
              <w:left w:val="nil"/>
              <w:bottom w:val="single" w:color="000000" w:sz="8" w:space="0"/>
              <w:right w:val="single" w:color="000000" w:sz="8" w:space="0"/>
            </w:tcBorders>
            <w:noWrap/>
            <w:vAlign w:val="center"/>
          </w:tcPr>
          <w:p w14:paraId="7F08944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《单元式空气调节机能效限定值及能效等级》（GB19576）《风管送风式空调机组能效限定值及能效等级》（GB37479）</w:t>
            </w:r>
          </w:p>
        </w:tc>
      </w:tr>
      <w:tr w14:paraId="635E8737">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47380512">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4945E31">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19EFF0B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★A02052309专用制冷、空调设备</w:t>
            </w:r>
          </w:p>
        </w:tc>
        <w:tc>
          <w:tcPr>
            <w:tcW w:w="1620" w:type="dxa"/>
            <w:tcBorders>
              <w:top w:val="nil"/>
              <w:left w:val="nil"/>
              <w:bottom w:val="single" w:color="000000" w:sz="8" w:space="0"/>
              <w:right w:val="single" w:color="000000" w:sz="8" w:space="0"/>
            </w:tcBorders>
            <w:noWrap/>
            <w:vAlign w:val="center"/>
          </w:tcPr>
          <w:p w14:paraId="69045E0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机房空调</w:t>
            </w:r>
          </w:p>
        </w:tc>
        <w:tc>
          <w:tcPr>
            <w:tcW w:w="4540" w:type="dxa"/>
            <w:tcBorders>
              <w:top w:val="nil"/>
              <w:left w:val="nil"/>
              <w:bottom w:val="single" w:color="000000" w:sz="8" w:space="0"/>
              <w:right w:val="single" w:color="000000" w:sz="8" w:space="0"/>
            </w:tcBorders>
            <w:noWrap/>
            <w:vAlign w:val="center"/>
          </w:tcPr>
          <w:p w14:paraId="76426BC9">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w:t>
            </w:r>
          </w:p>
        </w:tc>
      </w:tr>
      <w:tr w14:paraId="16D8908A">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3EB8E10A">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59BDEE76">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66C037D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A02052399其他制冷空调设备</w:t>
            </w:r>
          </w:p>
        </w:tc>
        <w:tc>
          <w:tcPr>
            <w:tcW w:w="1620" w:type="dxa"/>
            <w:tcBorders>
              <w:top w:val="nil"/>
              <w:left w:val="nil"/>
              <w:bottom w:val="single" w:color="000000" w:sz="8" w:space="0"/>
              <w:right w:val="single" w:color="000000" w:sz="8" w:space="0"/>
            </w:tcBorders>
            <w:noWrap/>
            <w:vAlign w:val="center"/>
          </w:tcPr>
          <w:p w14:paraId="3643A10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冷却塔</w:t>
            </w:r>
          </w:p>
        </w:tc>
        <w:tc>
          <w:tcPr>
            <w:tcW w:w="4540" w:type="dxa"/>
            <w:tcBorders>
              <w:top w:val="nil"/>
              <w:left w:val="nil"/>
              <w:bottom w:val="single" w:color="000000" w:sz="8" w:space="0"/>
              <w:right w:val="single" w:color="000000" w:sz="8" w:space="0"/>
            </w:tcBorders>
            <w:noWrap/>
            <w:vAlign w:val="center"/>
          </w:tcPr>
          <w:p w14:paraId="74471A0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《机械通风冷却塔第1部分：中小型开式冷却塔》（GB/T7190.1）；《机械通风冷却塔第2部分：大型开式冷却塔》（GB/T7190.2）</w:t>
            </w:r>
          </w:p>
        </w:tc>
      </w:tr>
      <w:tr w14:paraId="17458041">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4F73538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1080" w:type="dxa"/>
            <w:tcBorders>
              <w:top w:val="nil"/>
              <w:left w:val="nil"/>
              <w:bottom w:val="single" w:color="000000" w:sz="8" w:space="0"/>
              <w:right w:val="single" w:color="000000" w:sz="8" w:space="0"/>
            </w:tcBorders>
            <w:noWrap/>
            <w:vAlign w:val="center"/>
          </w:tcPr>
          <w:p w14:paraId="0904372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A020601电机</w:t>
            </w:r>
          </w:p>
        </w:tc>
        <w:tc>
          <w:tcPr>
            <w:tcW w:w="1320" w:type="dxa"/>
            <w:tcBorders>
              <w:top w:val="nil"/>
              <w:left w:val="nil"/>
              <w:bottom w:val="single" w:color="000000" w:sz="8" w:space="0"/>
              <w:right w:val="single" w:color="000000" w:sz="8" w:space="0"/>
            </w:tcBorders>
            <w:noWrap/>
            <w:vAlign w:val="center"/>
          </w:tcPr>
          <w:p w14:paraId="4375D5D7">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38D73A7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682BC3C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《中小型三相异步电动机能效限定值及能效等级》（GB18613）</w:t>
            </w:r>
          </w:p>
        </w:tc>
      </w:tr>
      <w:tr w14:paraId="48930145">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4DCE042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8</w:t>
            </w:r>
          </w:p>
        </w:tc>
        <w:tc>
          <w:tcPr>
            <w:tcW w:w="1080" w:type="dxa"/>
            <w:tcBorders>
              <w:top w:val="nil"/>
              <w:left w:val="nil"/>
              <w:bottom w:val="single" w:color="000000" w:sz="8" w:space="0"/>
              <w:right w:val="single" w:color="000000" w:sz="8" w:space="0"/>
            </w:tcBorders>
            <w:noWrap/>
            <w:vAlign w:val="center"/>
          </w:tcPr>
          <w:p w14:paraId="304DCD8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A020602变压器</w:t>
            </w:r>
          </w:p>
        </w:tc>
        <w:tc>
          <w:tcPr>
            <w:tcW w:w="1320" w:type="dxa"/>
            <w:tcBorders>
              <w:top w:val="nil"/>
              <w:left w:val="nil"/>
              <w:bottom w:val="single" w:color="000000" w:sz="8" w:space="0"/>
              <w:right w:val="single" w:color="000000" w:sz="8" w:space="0"/>
            </w:tcBorders>
            <w:noWrap/>
            <w:vAlign w:val="center"/>
          </w:tcPr>
          <w:p w14:paraId="39C3C9A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配电变压器</w:t>
            </w:r>
          </w:p>
        </w:tc>
        <w:tc>
          <w:tcPr>
            <w:tcW w:w="1620" w:type="dxa"/>
            <w:tcBorders>
              <w:top w:val="nil"/>
              <w:left w:val="nil"/>
              <w:bottom w:val="single" w:color="000000" w:sz="8" w:space="0"/>
              <w:right w:val="single" w:color="000000" w:sz="8" w:space="0"/>
            </w:tcBorders>
            <w:noWrap/>
            <w:vAlign w:val="center"/>
          </w:tcPr>
          <w:p w14:paraId="287121D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58BB87E6">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《三相配电变压器能效限定值及能效等级》（GB20052）</w:t>
            </w:r>
          </w:p>
        </w:tc>
      </w:tr>
      <w:tr w14:paraId="782D1A5B">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7B89CF0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1080" w:type="dxa"/>
            <w:tcBorders>
              <w:top w:val="nil"/>
              <w:left w:val="nil"/>
              <w:bottom w:val="single" w:color="000000" w:sz="8" w:space="0"/>
              <w:right w:val="single" w:color="000000" w:sz="8" w:space="0"/>
            </w:tcBorders>
            <w:noWrap/>
            <w:vAlign w:val="center"/>
          </w:tcPr>
          <w:p w14:paraId="68D2131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★A020609镇流器</w:t>
            </w:r>
          </w:p>
        </w:tc>
        <w:tc>
          <w:tcPr>
            <w:tcW w:w="1320" w:type="dxa"/>
            <w:tcBorders>
              <w:top w:val="nil"/>
              <w:left w:val="nil"/>
              <w:bottom w:val="single" w:color="000000" w:sz="8" w:space="0"/>
              <w:right w:val="single" w:color="000000" w:sz="8" w:space="0"/>
            </w:tcBorders>
            <w:noWrap/>
            <w:vAlign w:val="center"/>
          </w:tcPr>
          <w:p w14:paraId="57883DC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管型荧光灯镇流器</w:t>
            </w:r>
          </w:p>
        </w:tc>
        <w:tc>
          <w:tcPr>
            <w:tcW w:w="1620" w:type="dxa"/>
            <w:tcBorders>
              <w:top w:val="nil"/>
              <w:left w:val="nil"/>
              <w:bottom w:val="single" w:color="000000" w:sz="8" w:space="0"/>
              <w:right w:val="single" w:color="000000" w:sz="8" w:space="0"/>
            </w:tcBorders>
            <w:noWrap/>
            <w:vAlign w:val="center"/>
          </w:tcPr>
          <w:p w14:paraId="242C44D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2E5759E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《管形荧光灯镇流器能效限定值及能效等级》（GB17896）</w:t>
            </w:r>
          </w:p>
        </w:tc>
      </w:tr>
      <w:tr w14:paraId="6E87B12B">
        <w:tblPrEx>
          <w:tblCellMar>
            <w:top w:w="0" w:type="dxa"/>
            <w:left w:w="108" w:type="dxa"/>
            <w:bottom w:w="0" w:type="dxa"/>
            <w:right w:w="108" w:type="dxa"/>
          </w:tblCellMar>
        </w:tblPrEx>
        <w:trPr>
          <w:trHeight w:val="495" w:hRule="atLeast"/>
          <w:jc w:val="center"/>
        </w:trPr>
        <w:tc>
          <w:tcPr>
            <w:tcW w:w="660" w:type="dxa"/>
            <w:vMerge w:val="restart"/>
            <w:tcBorders>
              <w:top w:val="nil"/>
              <w:left w:val="single" w:color="000000" w:sz="8" w:space="0"/>
              <w:bottom w:val="single" w:color="000000" w:sz="8" w:space="0"/>
              <w:right w:val="single" w:color="000000" w:sz="8" w:space="0"/>
            </w:tcBorders>
            <w:noWrap/>
            <w:vAlign w:val="center"/>
          </w:tcPr>
          <w:p w14:paraId="189CA61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1080" w:type="dxa"/>
            <w:vMerge w:val="restart"/>
            <w:tcBorders>
              <w:top w:val="nil"/>
              <w:left w:val="single" w:color="000000" w:sz="8" w:space="0"/>
              <w:bottom w:val="single" w:color="000000" w:sz="8" w:space="0"/>
              <w:right w:val="single" w:color="000000" w:sz="8" w:space="0"/>
            </w:tcBorders>
            <w:noWrap/>
            <w:vAlign w:val="center"/>
          </w:tcPr>
          <w:p w14:paraId="62EC04B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A020618生活用电器</w:t>
            </w:r>
          </w:p>
        </w:tc>
        <w:tc>
          <w:tcPr>
            <w:tcW w:w="1320" w:type="dxa"/>
            <w:tcBorders>
              <w:top w:val="nil"/>
              <w:left w:val="nil"/>
              <w:bottom w:val="single" w:color="000000" w:sz="8" w:space="0"/>
              <w:right w:val="single" w:color="000000" w:sz="8" w:space="0"/>
            </w:tcBorders>
            <w:noWrap/>
            <w:vAlign w:val="center"/>
          </w:tcPr>
          <w:p w14:paraId="5B156FF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A0206180101电冰箱</w:t>
            </w:r>
          </w:p>
        </w:tc>
        <w:tc>
          <w:tcPr>
            <w:tcW w:w="1620" w:type="dxa"/>
            <w:tcBorders>
              <w:top w:val="nil"/>
              <w:left w:val="nil"/>
              <w:bottom w:val="single" w:color="000000" w:sz="8" w:space="0"/>
              <w:right w:val="single" w:color="000000" w:sz="8" w:space="0"/>
            </w:tcBorders>
            <w:noWrap/>
            <w:vAlign w:val="center"/>
          </w:tcPr>
          <w:p w14:paraId="4630106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55D81A3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《家用电冰箱耗电量限定值及能效等级》（GB 12021.2）</w:t>
            </w:r>
          </w:p>
        </w:tc>
      </w:tr>
      <w:tr w14:paraId="7CE3A283">
        <w:tblPrEx>
          <w:tblCellMar>
            <w:top w:w="0" w:type="dxa"/>
            <w:left w:w="108" w:type="dxa"/>
            <w:bottom w:w="0" w:type="dxa"/>
            <w:right w:w="108" w:type="dxa"/>
          </w:tblCellMar>
        </w:tblPrEx>
        <w:trPr>
          <w:trHeight w:val="97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16FA760B">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9FBF06D">
            <w:pPr>
              <w:widowControl/>
              <w:jc w:val="left"/>
              <w:rPr>
                <w:rFonts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noWrap/>
            <w:vAlign w:val="center"/>
          </w:tcPr>
          <w:p w14:paraId="3B31E5C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★A0206180203空调机</w:t>
            </w:r>
          </w:p>
        </w:tc>
        <w:tc>
          <w:tcPr>
            <w:tcW w:w="1620" w:type="dxa"/>
            <w:tcBorders>
              <w:top w:val="nil"/>
              <w:left w:val="nil"/>
              <w:bottom w:val="single" w:color="000000" w:sz="8" w:space="0"/>
              <w:right w:val="single" w:color="000000" w:sz="8" w:space="0"/>
            </w:tcBorders>
            <w:noWrap/>
            <w:vAlign w:val="center"/>
          </w:tcPr>
          <w:p w14:paraId="024981C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房间空气调节器</w:t>
            </w:r>
          </w:p>
        </w:tc>
        <w:tc>
          <w:tcPr>
            <w:tcW w:w="4540" w:type="dxa"/>
            <w:tcBorders>
              <w:top w:val="nil"/>
              <w:left w:val="nil"/>
              <w:bottom w:val="single" w:color="000000" w:sz="8" w:space="0"/>
              <w:right w:val="single" w:color="000000" w:sz="8" w:space="0"/>
            </w:tcBorders>
            <w:noWrap/>
            <w:vAlign w:val="center"/>
          </w:tcPr>
          <w:p w14:paraId="41FB95B8">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24F8DC6C">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5632DAC1">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D06AF1D">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08F4B29">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55C1E5E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 14000W）</w:t>
            </w:r>
          </w:p>
        </w:tc>
        <w:tc>
          <w:tcPr>
            <w:tcW w:w="4540" w:type="dxa"/>
            <w:tcBorders>
              <w:top w:val="nil"/>
              <w:left w:val="nil"/>
              <w:bottom w:val="single" w:color="000000" w:sz="8" w:space="0"/>
              <w:right w:val="single" w:color="000000" w:sz="8" w:space="0"/>
            </w:tcBorders>
            <w:noWrap/>
            <w:vAlign w:val="center"/>
          </w:tcPr>
          <w:p w14:paraId="131307B4">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6DD2EE48">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1E9B0948">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75F1A79">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DA04B1F">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6FDB9C4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单元式空气调节机(制冷量≤14000W)</w:t>
            </w:r>
          </w:p>
        </w:tc>
        <w:tc>
          <w:tcPr>
            <w:tcW w:w="4540" w:type="dxa"/>
            <w:tcBorders>
              <w:top w:val="nil"/>
              <w:left w:val="nil"/>
              <w:bottom w:val="single" w:color="000000" w:sz="8" w:space="0"/>
              <w:right w:val="single" w:color="000000" w:sz="8" w:space="0"/>
            </w:tcBorders>
            <w:noWrap/>
            <w:vAlign w:val="center"/>
          </w:tcPr>
          <w:p w14:paraId="6112F30D">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《单元式空气调节机能效限定值及能源效率等级》（GB19576）《风管送风式空调机组能效限定值及能效等级》（GB37479）</w:t>
            </w:r>
          </w:p>
        </w:tc>
      </w:tr>
      <w:tr w14:paraId="2FE72391">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66CCB664">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485082B">
            <w:pPr>
              <w:widowControl/>
              <w:jc w:val="left"/>
              <w:rPr>
                <w:rFonts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ign w:val="center"/>
          </w:tcPr>
          <w:p w14:paraId="36F42A4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A0206180301洗衣机</w:t>
            </w:r>
          </w:p>
        </w:tc>
        <w:tc>
          <w:tcPr>
            <w:tcW w:w="1620" w:type="dxa"/>
            <w:tcBorders>
              <w:top w:val="nil"/>
              <w:left w:val="nil"/>
              <w:bottom w:val="single" w:color="000000" w:sz="8" w:space="0"/>
              <w:right w:val="single" w:color="000000" w:sz="8" w:space="0"/>
            </w:tcBorders>
            <w:noWrap/>
            <w:vAlign w:val="center"/>
          </w:tcPr>
          <w:p w14:paraId="48DE863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351983D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《电动洗衣机能效水效限定值及等级》（GB12021.4）</w:t>
            </w:r>
          </w:p>
        </w:tc>
      </w:tr>
      <w:tr w14:paraId="316E6208">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46F9DD9">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AF64FB1">
            <w:pPr>
              <w:widowControl/>
              <w:jc w:val="left"/>
              <w:rPr>
                <w:rFonts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noWrap/>
            <w:vAlign w:val="center"/>
          </w:tcPr>
          <w:p w14:paraId="7DB6AB7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A02061808热水器</w:t>
            </w:r>
          </w:p>
        </w:tc>
        <w:tc>
          <w:tcPr>
            <w:tcW w:w="1620" w:type="dxa"/>
            <w:tcBorders>
              <w:top w:val="nil"/>
              <w:left w:val="nil"/>
              <w:bottom w:val="single" w:color="000000" w:sz="8" w:space="0"/>
              <w:right w:val="single" w:color="000000" w:sz="8" w:space="0"/>
            </w:tcBorders>
            <w:noWrap/>
            <w:vAlign w:val="center"/>
          </w:tcPr>
          <w:p w14:paraId="43838D4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★电热水器</w:t>
            </w:r>
          </w:p>
        </w:tc>
        <w:tc>
          <w:tcPr>
            <w:tcW w:w="4540" w:type="dxa"/>
            <w:tcBorders>
              <w:top w:val="nil"/>
              <w:left w:val="nil"/>
              <w:bottom w:val="single" w:color="000000" w:sz="8" w:space="0"/>
              <w:right w:val="single" w:color="000000" w:sz="8" w:space="0"/>
            </w:tcBorders>
            <w:noWrap/>
            <w:vAlign w:val="center"/>
          </w:tcPr>
          <w:p w14:paraId="4687D475">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《储水式电热水器能效限定值及能效等级》（GB21519）</w:t>
            </w:r>
          </w:p>
        </w:tc>
      </w:tr>
      <w:tr w14:paraId="3233A399">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473EDA6">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C2D222C">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ADD690F">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194173F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燃气热水器</w:t>
            </w:r>
          </w:p>
        </w:tc>
        <w:tc>
          <w:tcPr>
            <w:tcW w:w="4540" w:type="dxa"/>
            <w:tcBorders>
              <w:top w:val="nil"/>
              <w:left w:val="nil"/>
              <w:bottom w:val="single" w:color="000000" w:sz="8" w:space="0"/>
              <w:right w:val="single" w:color="000000" w:sz="8" w:space="0"/>
            </w:tcBorders>
            <w:noWrap/>
            <w:vAlign w:val="center"/>
          </w:tcPr>
          <w:p w14:paraId="72309E83">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《家用燃气快速热水器和燃气采暖热水炉能效限定值及能效等级》（GB20665）</w:t>
            </w:r>
          </w:p>
        </w:tc>
      </w:tr>
      <w:tr w14:paraId="4B6E2D79">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061DD71">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3A4B571">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7815114">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017073B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热泵热水器</w:t>
            </w:r>
          </w:p>
        </w:tc>
        <w:tc>
          <w:tcPr>
            <w:tcW w:w="4540" w:type="dxa"/>
            <w:tcBorders>
              <w:top w:val="nil"/>
              <w:left w:val="nil"/>
              <w:bottom w:val="single" w:color="000000" w:sz="8" w:space="0"/>
              <w:right w:val="single" w:color="000000" w:sz="8" w:space="0"/>
            </w:tcBorders>
            <w:noWrap/>
            <w:vAlign w:val="center"/>
          </w:tcPr>
          <w:p w14:paraId="67F5267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《热泵热水机（器）能效限定值及能效等级》（GB29541）</w:t>
            </w:r>
          </w:p>
        </w:tc>
      </w:tr>
      <w:tr w14:paraId="0F95CE99">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964E3BC">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C67510C">
            <w:pPr>
              <w:widowControl/>
              <w:jc w:val="left"/>
              <w:rPr>
                <w:rFonts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C281A1B">
            <w:pPr>
              <w:widowControl/>
              <w:jc w:val="left"/>
              <w:rPr>
                <w:rFonts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ign w:val="center"/>
          </w:tcPr>
          <w:p w14:paraId="7E75D61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太阳能热水系统</w:t>
            </w:r>
          </w:p>
        </w:tc>
        <w:tc>
          <w:tcPr>
            <w:tcW w:w="4540" w:type="dxa"/>
            <w:tcBorders>
              <w:top w:val="nil"/>
              <w:left w:val="nil"/>
              <w:bottom w:val="single" w:color="000000" w:sz="8" w:space="0"/>
              <w:right w:val="single" w:color="000000" w:sz="8" w:space="0"/>
            </w:tcBorders>
            <w:noWrap/>
            <w:vAlign w:val="center"/>
          </w:tcPr>
          <w:p w14:paraId="395A43B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《家用太阳能热水系统能效限定值及能效等级》（GB26969）</w:t>
            </w:r>
          </w:p>
        </w:tc>
      </w:tr>
      <w:tr w14:paraId="2050F1EA">
        <w:tblPrEx>
          <w:tblCellMar>
            <w:top w:w="0" w:type="dxa"/>
            <w:left w:w="108" w:type="dxa"/>
            <w:bottom w:w="0" w:type="dxa"/>
            <w:right w:w="108" w:type="dxa"/>
          </w:tblCellMar>
        </w:tblPrEx>
        <w:trPr>
          <w:trHeight w:val="495" w:hRule="atLeast"/>
          <w:jc w:val="center"/>
        </w:trPr>
        <w:tc>
          <w:tcPr>
            <w:tcW w:w="660" w:type="dxa"/>
            <w:vMerge w:val="restart"/>
            <w:tcBorders>
              <w:top w:val="nil"/>
              <w:left w:val="single" w:color="auto" w:sz="8" w:space="0"/>
              <w:bottom w:val="single" w:color="auto" w:sz="8" w:space="0"/>
              <w:right w:val="single" w:color="auto" w:sz="8" w:space="0"/>
            </w:tcBorders>
            <w:noWrap/>
            <w:vAlign w:val="center"/>
          </w:tcPr>
          <w:p w14:paraId="2D1EAAE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11</w:t>
            </w:r>
          </w:p>
        </w:tc>
        <w:tc>
          <w:tcPr>
            <w:tcW w:w="1080" w:type="dxa"/>
            <w:vMerge w:val="restart"/>
            <w:tcBorders>
              <w:top w:val="nil"/>
              <w:left w:val="single" w:color="auto" w:sz="8" w:space="0"/>
              <w:bottom w:val="single" w:color="auto" w:sz="8" w:space="0"/>
              <w:right w:val="single" w:color="auto" w:sz="8" w:space="0"/>
            </w:tcBorders>
            <w:noWrap/>
            <w:vAlign w:val="center"/>
          </w:tcPr>
          <w:p w14:paraId="03B32A2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A020619照明设备</w:t>
            </w:r>
          </w:p>
        </w:tc>
        <w:tc>
          <w:tcPr>
            <w:tcW w:w="1320" w:type="dxa"/>
            <w:tcBorders>
              <w:top w:val="nil"/>
              <w:left w:val="nil"/>
              <w:bottom w:val="single" w:color="auto" w:sz="8" w:space="0"/>
              <w:right w:val="single" w:color="auto" w:sz="8" w:space="0"/>
            </w:tcBorders>
            <w:noWrap/>
            <w:vAlign w:val="center"/>
          </w:tcPr>
          <w:p w14:paraId="7D5E12C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w:t>
            </w:r>
          </w:p>
        </w:tc>
        <w:tc>
          <w:tcPr>
            <w:tcW w:w="1620" w:type="dxa"/>
            <w:tcBorders>
              <w:top w:val="nil"/>
              <w:left w:val="nil"/>
              <w:bottom w:val="single" w:color="auto" w:sz="8" w:space="0"/>
              <w:right w:val="single" w:color="auto" w:sz="8" w:space="0"/>
            </w:tcBorders>
            <w:noWrap/>
            <w:vAlign w:val="center"/>
          </w:tcPr>
          <w:p w14:paraId="496877E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5D320EF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《普通照明用双端荧光灯能效限定值及能效等级》（GB19043）</w:t>
            </w:r>
          </w:p>
        </w:tc>
      </w:tr>
      <w:tr w14:paraId="7EDFF13D">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7D7C8637">
            <w:pPr>
              <w:widowControl/>
              <w:jc w:val="left"/>
              <w:rPr>
                <w:rFonts w:ascii="宋体" w:hAnsi="宋体" w:cs="宋体"/>
                <w:color w:val="auto"/>
                <w:kern w:val="0"/>
                <w:sz w:val="20"/>
                <w:szCs w:val="20"/>
                <w:highlight w:val="none"/>
              </w:rPr>
            </w:pPr>
          </w:p>
        </w:tc>
        <w:tc>
          <w:tcPr>
            <w:tcW w:w="0" w:type="auto"/>
            <w:vMerge w:val="continue"/>
            <w:tcBorders>
              <w:top w:val="nil"/>
              <w:left w:val="single" w:color="auto" w:sz="8" w:space="0"/>
              <w:bottom w:val="single" w:color="auto" w:sz="8" w:space="0"/>
              <w:right w:val="single" w:color="auto" w:sz="8" w:space="0"/>
            </w:tcBorders>
            <w:vAlign w:val="center"/>
          </w:tcPr>
          <w:p w14:paraId="1B6C251C">
            <w:pPr>
              <w:widowControl/>
              <w:jc w:val="left"/>
              <w:rPr>
                <w:rFonts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585F480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LED道路/隧道照明产品</w:t>
            </w:r>
          </w:p>
        </w:tc>
        <w:tc>
          <w:tcPr>
            <w:tcW w:w="1620" w:type="dxa"/>
            <w:tcBorders>
              <w:top w:val="nil"/>
              <w:left w:val="nil"/>
              <w:bottom w:val="single" w:color="auto" w:sz="8" w:space="0"/>
              <w:right w:val="single" w:color="auto" w:sz="8" w:space="0"/>
            </w:tcBorders>
            <w:noWrap/>
            <w:vAlign w:val="center"/>
          </w:tcPr>
          <w:p w14:paraId="72BC0BE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09694BE2">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《道路和隧道照明用LED灯具能效限定值及能效等级》（GB37478）</w:t>
            </w:r>
          </w:p>
        </w:tc>
      </w:tr>
      <w:tr w14:paraId="3087F7DE">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78856FCB">
            <w:pPr>
              <w:widowControl/>
              <w:jc w:val="left"/>
              <w:rPr>
                <w:rFonts w:ascii="宋体" w:hAnsi="宋体" w:cs="宋体"/>
                <w:color w:val="auto"/>
                <w:kern w:val="0"/>
                <w:sz w:val="20"/>
                <w:szCs w:val="20"/>
                <w:highlight w:val="none"/>
              </w:rPr>
            </w:pPr>
          </w:p>
        </w:tc>
        <w:tc>
          <w:tcPr>
            <w:tcW w:w="0" w:type="auto"/>
            <w:vMerge w:val="continue"/>
            <w:tcBorders>
              <w:top w:val="nil"/>
              <w:left w:val="single" w:color="auto" w:sz="8" w:space="0"/>
              <w:bottom w:val="single" w:color="auto" w:sz="8" w:space="0"/>
              <w:right w:val="single" w:color="auto" w:sz="8" w:space="0"/>
            </w:tcBorders>
            <w:vAlign w:val="center"/>
          </w:tcPr>
          <w:p w14:paraId="2D1B4637">
            <w:pPr>
              <w:widowControl/>
              <w:jc w:val="left"/>
              <w:rPr>
                <w:rFonts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62800C7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LED筒灯</w:t>
            </w:r>
          </w:p>
        </w:tc>
        <w:tc>
          <w:tcPr>
            <w:tcW w:w="1620" w:type="dxa"/>
            <w:tcBorders>
              <w:top w:val="nil"/>
              <w:left w:val="nil"/>
              <w:bottom w:val="single" w:color="auto" w:sz="8" w:space="0"/>
              <w:right w:val="single" w:color="auto" w:sz="8" w:space="0"/>
            </w:tcBorders>
            <w:noWrap/>
            <w:vAlign w:val="center"/>
          </w:tcPr>
          <w:p w14:paraId="11C6DFB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7DF0161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00BC14F8">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2D06C452">
            <w:pPr>
              <w:widowControl/>
              <w:jc w:val="left"/>
              <w:rPr>
                <w:rFonts w:ascii="宋体" w:hAnsi="宋体" w:cs="宋体"/>
                <w:color w:val="auto"/>
                <w:kern w:val="0"/>
                <w:sz w:val="20"/>
                <w:szCs w:val="20"/>
                <w:highlight w:val="none"/>
              </w:rPr>
            </w:pPr>
          </w:p>
        </w:tc>
        <w:tc>
          <w:tcPr>
            <w:tcW w:w="0" w:type="auto"/>
            <w:vMerge w:val="continue"/>
            <w:tcBorders>
              <w:top w:val="nil"/>
              <w:left w:val="single" w:color="auto" w:sz="8" w:space="0"/>
              <w:bottom w:val="single" w:color="auto" w:sz="8" w:space="0"/>
              <w:right w:val="single" w:color="auto" w:sz="8" w:space="0"/>
            </w:tcBorders>
            <w:vAlign w:val="center"/>
          </w:tcPr>
          <w:p w14:paraId="207DA787">
            <w:pPr>
              <w:widowControl/>
              <w:jc w:val="left"/>
              <w:rPr>
                <w:rFonts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46D15C9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普通照明用非定向自镇流LED灯</w:t>
            </w:r>
          </w:p>
        </w:tc>
        <w:tc>
          <w:tcPr>
            <w:tcW w:w="1620" w:type="dxa"/>
            <w:tcBorders>
              <w:top w:val="nil"/>
              <w:left w:val="nil"/>
              <w:bottom w:val="single" w:color="auto" w:sz="8" w:space="0"/>
              <w:right w:val="single" w:color="auto" w:sz="8" w:space="0"/>
            </w:tcBorders>
            <w:noWrap/>
            <w:vAlign w:val="center"/>
          </w:tcPr>
          <w:p w14:paraId="485C6651">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2FA067CC">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6366A8CB">
        <w:tblPrEx>
          <w:tblCellMar>
            <w:top w:w="0" w:type="dxa"/>
            <w:left w:w="108" w:type="dxa"/>
            <w:bottom w:w="0" w:type="dxa"/>
            <w:right w:w="108" w:type="dxa"/>
          </w:tblCellMar>
        </w:tblPrEx>
        <w:trPr>
          <w:trHeight w:val="735" w:hRule="atLeast"/>
          <w:jc w:val="center"/>
        </w:trPr>
        <w:tc>
          <w:tcPr>
            <w:tcW w:w="660" w:type="dxa"/>
            <w:tcBorders>
              <w:top w:val="nil"/>
              <w:left w:val="single" w:color="auto" w:sz="8" w:space="0"/>
              <w:bottom w:val="single" w:color="auto" w:sz="8" w:space="0"/>
              <w:right w:val="single" w:color="auto" w:sz="8" w:space="0"/>
            </w:tcBorders>
            <w:noWrap/>
            <w:vAlign w:val="center"/>
          </w:tcPr>
          <w:p w14:paraId="3C16A5B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12</w:t>
            </w:r>
          </w:p>
        </w:tc>
        <w:tc>
          <w:tcPr>
            <w:tcW w:w="1080" w:type="dxa"/>
            <w:tcBorders>
              <w:top w:val="nil"/>
              <w:left w:val="nil"/>
              <w:bottom w:val="single" w:color="auto" w:sz="8" w:space="0"/>
              <w:right w:val="single" w:color="auto" w:sz="8" w:space="0"/>
            </w:tcBorders>
            <w:noWrap/>
            <w:vAlign w:val="center"/>
          </w:tcPr>
          <w:p w14:paraId="0F4269E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★A020910电视设备</w:t>
            </w:r>
          </w:p>
        </w:tc>
        <w:tc>
          <w:tcPr>
            <w:tcW w:w="1320" w:type="dxa"/>
            <w:tcBorders>
              <w:top w:val="nil"/>
              <w:left w:val="nil"/>
              <w:bottom w:val="single" w:color="auto" w:sz="8" w:space="0"/>
              <w:right w:val="single" w:color="auto" w:sz="8" w:space="0"/>
            </w:tcBorders>
            <w:noWrap/>
            <w:vAlign w:val="center"/>
          </w:tcPr>
          <w:p w14:paraId="41A13AF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A02091001普通电视设备（电视机）</w:t>
            </w:r>
          </w:p>
        </w:tc>
        <w:tc>
          <w:tcPr>
            <w:tcW w:w="1620" w:type="dxa"/>
            <w:tcBorders>
              <w:top w:val="nil"/>
              <w:left w:val="nil"/>
              <w:bottom w:val="single" w:color="auto" w:sz="8" w:space="0"/>
              <w:right w:val="single" w:color="auto" w:sz="8" w:space="0"/>
            </w:tcBorders>
            <w:noWrap/>
            <w:vAlign w:val="center"/>
          </w:tcPr>
          <w:p w14:paraId="151364B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72F01C5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《平板电视能效限定值及能效等级》（GB24850）</w:t>
            </w:r>
          </w:p>
        </w:tc>
      </w:tr>
      <w:tr w14:paraId="2819C4AF">
        <w:tblPrEx>
          <w:tblCellMar>
            <w:top w:w="0" w:type="dxa"/>
            <w:left w:w="108" w:type="dxa"/>
            <w:bottom w:w="0" w:type="dxa"/>
            <w:right w:w="108" w:type="dxa"/>
          </w:tblCellMar>
        </w:tblPrEx>
        <w:trPr>
          <w:trHeight w:val="975" w:hRule="atLeast"/>
          <w:jc w:val="center"/>
        </w:trPr>
        <w:tc>
          <w:tcPr>
            <w:tcW w:w="660" w:type="dxa"/>
            <w:tcBorders>
              <w:top w:val="nil"/>
              <w:left w:val="single" w:color="auto" w:sz="8" w:space="0"/>
              <w:bottom w:val="single" w:color="auto" w:sz="8" w:space="0"/>
              <w:right w:val="single" w:color="auto" w:sz="8" w:space="0"/>
            </w:tcBorders>
            <w:noWrap/>
            <w:vAlign w:val="center"/>
          </w:tcPr>
          <w:p w14:paraId="467442E6">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13</w:t>
            </w:r>
          </w:p>
        </w:tc>
        <w:tc>
          <w:tcPr>
            <w:tcW w:w="1080" w:type="dxa"/>
            <w:tcBorders>
              <w:top w:val="nil"/>
              <w:left w:val="nil"/>
              <w:bottom w:val="single" w:color="auto" w:sz="8" w:space="0"/>
              <w:right w:val="single" w:color="auto" w:sz="8" w:space="0"/>
            </w:tcBorders>
            <w:noWrap/>
            <w:vAlign w:val="center"/>
          </w:tcPr>
          <w:p w14:paraId="6E5EE032">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★A020911视频设备</w:t>
            </w:r>
          </w:p>
        </w:tc>
        <w:tc>
          <w:tcPr>
            <w:tcW w:w="1320" w:type="dxa"/>
            <w:tcBorders>
              <w:top w:val="nil"/>
              <w:left w:val="nil"/>
              <w:bottom w:val="single" w:color="auto" w:sz="8" w:space="0"/>
              <w:right w:val="single" w:color="auto" w:sz="8" w:space="0"/>
            </w:tcBorders>
            <w:noWrap/>
            <w:vAlign w:val="center"/>
          </w:tcPr>
          <w:p w14:paraId="6C60605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A02091107视频监控设备</w:t>
            </w:r>
          </w:p>
        </w:tc>
        <w:tc>
          <w:tcPr>
            <w:tcW w:w="1620" w:type="dxa"/>
            <w:tcBorders>
              <w:top w:val="nil"/>
              <w:left w:val="nil"/>
              <w:bottom w:val="single" w:color="auto" w:sz="8" w:space="0"/>
              <w:right w:val="single" w:color="auto" w:sz="8" w:space="0"/>
            </w:tcBorders>
            <w:noWrap/>
            <w:vAlign w:val="center"/>
          </w:tcPr>
          <w:p w14:paraId="14D7BB5B">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监视器</w:t>
            </w:r>
          </w:p>
        </w:tc>
        <w:tc>
          <w:tcPr>
            <w:tcW w:w="4540" w:type="dxa"/>
            <w:tcBorders>
              <w:top w:val="nil"/>
              <w:left w:val="nil"/>
              <w:bottom w:val="single" w:color="auto" w:sz="8" w:space="0"/>
              <w:right w:val="single" w:color="auto" w:sz="8" w:space="0"/>
            </w:tcBorders>
            <w:noWrap/>
            <w:vAlign w:val="center"/>
          </w:tcPr>
          <w:p w14:paraId="4645504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53D7F054">
        <w:tblPrEx>
          <w:tblCellMar>
            <w:top w:w="0" w:type="dxa"/>
            <w:left w:w="108" w:type="dxa"/>
            <w:bottom w:w="0" w:type="dxa"/>
            <w:right w:w="108" w:type="dxa"/>
          </w:tblCellMar>
        </w:tblPrEx>
        <w:trPr>
          <w:trHeight w:val="495" w:hRule="atLeast"/>
          <w:jc w:val="center"/>
        </w:trPr>
        <w:tc>
          <w:tcPr>
            <w:tcW w:w="660" w:type="dxa"/>
            <w:tcBorders>
              <w:top w:val="nil"/>
              <w:left w:val="single" w:color="auto" w:sz="8" w:space="0"/>
              <w:bottom w:val="single" w:color="auto" w:sz="8" w:space="0"/>
              <w:right w:val="single" w:color="auto" w:sz="8" w:space="0"/>
            </w:tcBorders>
            <w:noWrap/>
            <w:vAlign w:val="center"/>
          </w:tcPr>
          <w:p w14:paraId="01FA693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14</w:t>
            </w:r>
          </w:p>
        </w:tc>
        <w:tc>
          <w:tcPr>
            <w:tcW w:w="1080" w:type="dxa"/>
            <w:tcBorders>
              <w:top w:val="nil"/>
              <w:left w:val="nil"/>
              <w:bottom w:val="single" w:color="auto" w:sz="8" w:space="0"/>
              <w:right w:val="single" w:color="auto" w:sz="8" w:space="0"/>
            </w:tcBorders>
            <w:noWrap/>
            <w:vAlign w:val="center"/>
          </w:tcPr>
          <w:p w14:paraId="522DD70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A031210饮食炊事机械</w:t>
            </w:r>
          </w:p>
        </w:tc>
        <w:tc>
          <w:tcPr>
            <w:tcW w:w="1320" w:type="dxa"/>
            <w:tcBorders>
              <w:top w:val="nil"/>
              <w:left w:val="nil"/>
              <w:bottom w:val="single" w:color="auto" w:sz="8" w:space="0"/>
              <w:right w:val="single" w:color="auto" w:sz="8" w:space="0"/>
            </w:tcBorders>
            <w:noWrap/>
            <w:vAlign w:val="center"/>
          </w:tcPr>
          <w:p w14:paraId="08041CD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w:t>
            </w:r>
          </w:p>
        </w:tc>
        <w:tc>
          <w:tcPr>
            <w:tcW w:w="1620" w:type="dxa"/>
            <w:tcBorders>
              <w:top w:val="nil"/>
              <w:left w:val="nil"/>
              <w:bottom w:val="single" w:color="auto" w:sz="8" w:space="0"/>
              <w:right w:val="single" w:color="auto" w:sz="8" w:space="0"/>
            </w:tcBorders>
            <w:noWrap/>
            <w:vAlign w:val="center"/>
          </w:tcPr>
          <w:p w14:paraId="007146E9">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4D4A261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《商用燃气灶具能效限定值及能效等级》（GB30531）</w:t>
            </w:r>
          </w:p>
        </w:tc>
      </w:tr>
      <w:tr w14:paraId="06D3B4FB">
        <w:tblPrEx>
          <w:tblCellMar>
            <w:top w:w="0" w:type="dxa"/>
            <w:left w:w="108" w:type="dxa"/>
            <w:bottom w:w="0" w:type="dxa"/>
            <w:right w:w="108" w:type="dxa"/>
          </w:tblCellMar>
        </w:tblPrEx>
        <w:trPr>
          <w:trHeight w:val="285" w:hRule="atLeast"/>
          <w:jc w:val="center"/>
        </w:trPr>
        <w:tc>
          <w:tcPr>
            <w:tcW w:w="660" w:type="dxa"/>
            <w:vMerge w:val="restart"/>
            <w:tcBorders>
              <w:top w:val="nil"/>
              <w:left w:val="single" w:color="auto" w:sz="8" w:space="0"/>
              <w:bottom w:val="single" w:color="auto" w:sz="8" w:space="0"/>
              <w:right w:val="single" w:color="auto" w:sz="8" w:space="0"/>
            </w:tcBorders>
            <w:noWrap/>
            <w:vAlign w:val="center"/>
          </w:tcPr>
          <w:p w14:paraId="76F01E4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1080" w:type="dxa"/>
            <w:vMerge w:val="restart"/>
            <w:tcBorders>
              <w:top w:val="nil"/>
              <w:left w:val="single" w:color="auto" w:sz="8" w:space="0"/>
              <w:bottom w:val="single" w:color="000000" w:sz="8" w:space="0"/>
              <w:right w:val="single" w:color="auto" w:sz="8" w:space="0"/>
            </w:tcBorders>
            <w:noWrap/>
            <w:vAlign w:val="center"/>
          </w:tcPr>
          <w:p w14:paraId="67EC049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★A060805便器</w:t>
            </w:r>
          </w:p>
        </w:tc>
        <w:tc>
          <w:tcPr>
            <w:tcW w:w="1320" w:type="dxa"/>
            <w:tcBorders>
              <w:top w:val="nil"/>
              <w:left w:val="nil"/>
              <w:bottom w:val="single" w:color="auto" w:sz="8" w:space="0"/>
              <w:right w:val="single" w:color="auto" w:sz="8" w:space="0"/>
            </w:tcBorders>
            <w:noWrap/>
            <w:vAlign w:val="center"/>
          </w:tcPr>
          <w:p w14:paraId="06AC1DE3">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坐便器</w:t>
            </w:r>
          </w:p>
        </w:tc>
        <w:tc>
          <w:tcPr>
            <w:tcW w:w="1620" w:type="dxa"/>
            <w:tcBorders>
              <w:top w:val="nil"/>
              <w:left w:val="nil"/>
              <w:bottom w:val="single" w:color="auto" w:sz="8" w:space="0"/>
              <w:right w:val="single" w:color="auto" w:sz="8" w:space="0"/>
            </w:tcBorders>
            <w:noWrap/>
            <w:vAlign w:val="center"/>
          </w:tcPr>
          <w:p w14:paraId="67017B0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00177A21">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《坐便器水效限定值及水效等级》（GB25502）</w:t>
            </w:r>
          </w:p>
        </w:tc>
      </w:tr>
      <w:tr w14:paraId="0745361A">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4F55E509">
            <w:pPr>
              <w:widowControl/>
              <w:jc w:val="left"/>
              <w:rPr>
                <w:rFonts w:ascii="宋体" w:hAnsi="宋体" w:cs="宋体"/>
                <w:color w:val="auto"/>
                <w:kern w:val="0"/>
                <w:sz w:val="20"/>
                <w:szCs w:val="20"/>
                <w:highlight w:val="none"/>
              </w:rPr>
            </w:pPr>
          </w:p>
        </w:tc>
        <w:tc>
          <w:tcPr>
            <w:tcW w:w="0" w:type="auto"/>
            <w:vMerge w:val="continue"/>
            <w:tcBorders>
              <w:top w:val="nil"/>
              <w:left w:val="single" w:color="auto" w:sz="8" w:space="0"/>
              <w:bottom w:val="single" w:color="000000" w:sz="8" w:space="0"/>
              <w:right w:val="single" w:color="auto" w:sz="8" w:space="0"/>
            </w:tcBorders>
            <w:vAlign w:val="center"/>
          </w:tcPr>
          <w:p w14:paraId="6BCB052F">
            <w:pPr>
              <w:widowControl/>
              <w:jc w:val="left"/>
              <w:rPr>
                <w:rFonts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1F84316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蹲便器</w:t>
            </w:r>
          </w:p>
        </w:tc>
        <w:tc>
          <w:tcPr>
            <w:tcW w:w="1620" w:type="dxa"/>
            <w:tcBorders>
              <w:top w:val="nil"/>
              <w:left w:val="nil"/>
              <w:bottom w:val="single" w:color="auto" w:sz="8" w:space="0"/>
              <w:right w:val="single" w:color="auto" w:sz="8" w:space="0"/>
            </w:tcBorders>
            <w:noWrap/>
            <w:vAlign w:val="center"/>
          </w:tcPr>
          <w:p w14:paraId="694D59F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389E2750">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《蹲便器用水效率限定值及用水效率等级》（GB30717）</w:t>
            </w:r>
          </w:p>
        </w:tc>
      </w:tr>
      <w:tr w14:paraId="36AE694F">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auto" w:sz="8" w:space="0"/>
              <w:bottom w:val="single" w:color="auto" w:sz="8" w:space="0"/>
              <w:right w:val="single" w:color="auto" w:sz="8" w:space="0"/>
            </w:tcBorders>
            <w:vAlign w:val="center"/>
          </w:tcPr>
          <w:p w14:paraId="27B77CD0">
            <w:pPr>
              <w:widowControl/>
              <w:jc w:val="left"/>
              <w:rPr>
                <w:rFonts w:ascii="宋体" w:hAnsi="宋体" w:cs="宋体"/>
                <w:color w:val="auto"/>
                <w:kern w:val="0"/>
                <w:sz w:val="20"/>
                <w:szCs w:val="20"/>
                <w:highlight w:val="none"/>
              </w:rPr>
            </w:pPr>
          </w:p>
        </w:tc>
        <w:tc>
          <w:tcPr>
            <w:tcW w:w="0" w:type="auto"/>
            <w:vMerge w:val="continue"/>
            <w:tcBorders>
              <w:top w:val="nil"/>
              <w:left w:val="single" w:color="auto" w:sz="8" w:space="0"/>
              <w:bottom w:val="single" w:color="000000" w:sz="8" w:space="0"/>
              <w:right w:val="single" w:color="auto" w:sz="8" w:space="0"/>
            </w:tcBorders>
            <w:vAlign w:val="center"/>
          </w:tcPr>
          <w:p w14:paraId="718AC20A">
            <w:pPr>
              <w:widowControl/>
              <w:jc w:val="left"/>
              <w:rPr>
                <w:rFonts w:ascii="宋体" w:hAnsi="宋体" w:cs="宋体"/>
                <w:color w:val="auto"/>
                <w:kern w:val="0"/>
                <w:sz w:val="20"/>
                <w:szCs w:val="20"/>
                <w:highlight w:val="none"/>
              </w:rPr>
            </w:pPr>
          </w:p>
        </w:tc>
        <w:tc>
          <w:tcPr>
            <w:tcW w:w="1320" w:type="dxa"/>
            <w:tcBorders>
              <w:top w:val="nil"/>
              <w:left w:val="nil"/>
              <w:bottom w:val="single" w:color="auto" w:sz="8" w:space="0"/>
              <w:right w:val="single" w:color="auto" w:sz="8" w:space="0"/>
            </w:tcBorders>
            <w:noWrap/>
            <w:vAlign w:val="center"/>
          </w:tcPr>
          <w:p w14:paraId="649ABB8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小便器</w:t>
            </w:r>
          </w:p>
        </w:tc>
        <w:tc>
          <w:tcPr>
            <w:tcW w:w="1620" w:type="dxa"/>
            <w:tcBorders>
              <w:top w:val="nil"/>
              <w:left w:val="nil"/>
              <w:bottom w:val="single" w:color="auto" w:sz="8" w:space="0"/>
              <w:right w:val="single" w:color="auto" w:sz="8" w:space="0"/>
            </w:tcBorders>
            <w:noWrap/>
            <w:vAlign w:val="center"/>
          </w:tcPr>
          <w:p w14:paraId="5B86C65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auto" w:sz="8" w:space="0"/>
              <w:right w:val="single" w:color="auto" w:sz="8" w:space="0"/>
            </w:tcBorders>
            <w:noWrap/>
            <w:vAlign w:val="center"/>
          </w:tcPr>
          <w:p w14:paraId="2AB5748E">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《小便器用水效率限定值及用水效率等级》（GB28377）</w:t>
            </w:r>
          </w:p>
        </w:tc>
      </w:tr>
      <w:tr w14:paraId="6E2C2D6E">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5E854FCC">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1080" w:type="dxa"/>
            <w:tcBorders>
              <w:top w:val="nil"/>
              <w:left w:val="nil"/>
              <w:bottom w:val="single" w:color="000000" w:sz="8" w:space="0"/>
              <w:right w:val="single" w:color="000000" w:sz="8" w:space="0"/>
            </w:tcBorders>
            <w:noWrap/>
            <w:vAlign w:val="center"/>
          </w:tcPr>
          <w:p w14:paraId="5A59C16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★A060806水嘴</w:t>
            </w:r>
          </w:p>
        </w:tc>
        <w:tc>
          <w:tcPr>
            <w:tcW w:w="1320" w:type="dxa"/>
            <w:tcBorders>
              <w:top w:val="nil"/>
              <w:left w:val="nil"/>
              <w:bottom w:val="single" w:color="000000" w:sz="8" w:space="0"/>
              <w:right w:val="single" w:color="000000" w:sz="8" w:space="0"/>
            </w:tcBorders>
            <w:noWrap/>
            <w:vAlign w:val="center"/>
          </w:tcPr>
          <w:p w14:paraId="49A2EE3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2E477D5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0BB54BB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《水嘴用水效率限定值及用水效率等级》（GB 25501）</w:t>
            </w:r>
          </w:p>
        </w:tc>
      </w:tr>
      <w:tr w14:paraId="6453B96E">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17EF8285">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1080" w:type="dxa"/>
            <w:tcBorders>
              <w:top w:val="nil"/>
              <w:left w:val="nil"/>
              <w:bottom w:val="single" w:color="000000" w:sz="8" w:space="0"/>
              <w:right w:val="single" w:color="000000" w:sz="8" w:space="0"/>
            </w:tcBorders>
            <w:noWrap/>
            <w:vAlign w:val="center"/>
          </w:tcPr>
          <w:p w14:paraId="05D448BA">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A060807便器冲洗阀</w:t>
            </w:r>
          </w:p>
        </w:tc>
        <w:tc>
          <w:tcPr>
            <w:tcW w:w="1320" w:type="dxa"/>
            <w:tcBorders>
              <w:top w:val="nil"/>
              <w:left w:val="nil"/>
              <w:bottom w:val="single" w:color="000000" w:sz="8" w:space="0"/>
              <w:right w:val="single" w:color="000000" w:sz="8" w:space="0"/>
            </w:tcBorders>
            <w:noWrap/>
            <w:vAlign w:val="center"/>
          </w:tcPr>
          <w:p w14:paraId="6A2784E4">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373E1A6E">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5A74F4D7">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《便器冲洗阀用水效率限定值及用水效率等级》（GB28379）</w:t>
            </w:r>
          </w:p>
        </w:tc>
      </w:tr>
      <w:tr w14:paraId="29FD8152">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noWrap/>
            <w:vAlign w:val="center"/>
          </w:tcPr>
          <w:p w14:paraId="2B03D92F">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18</w:t>
            </w:r>
          </w:p>
        </w:tc>
        <w:tc>
          <w:tcPr>
            <w:tcW w:w="1080" w:type="dxa"/>
            <w:tcBorders>
              <w:top w:val="nil"/>
              <w:left w:val="nil"/>
              <w:bottom w:val="single" w:color="000000" w:sz="8" w:space="0"/>
              <w:right w:val="single" w:color="000000" w:sz="8" w:space="0"/>
            </w:tcBorders>
            <w:noWrap/>
            <w:vAlign w:val="center"/>
          </w:tcPr>
          <w:p w14:paraId="115E6FD8">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A060810淋浴器</w:t>
            </w:r>
          </w:p>
        </w:tc>
        <w:tc>
          <w:tcPr>
            <w:tcW w:w="1320" w:type="dxa"/>
            <w:tcBorders>
              <w:top w:val="nil"/>
              <w:left w:val="nil"/>
              <w:bottom w:val="single" w:color="000000" w:sz="8" w:space="0"/>
              <w:right w:val="single" w:color="000000" w:sz="8" w:space="0"/>
            </w:tcBorders>
            <w:noWrap/>
            <w:vAlign w:val="center"/>
          </w:tcPr>
          <w:p w14:paraId="56FC72C0">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ign w:val="center"/>
          </w:tcPr>
          <w:p w14:paraId="72EBF06D">
            <w:pPr>
              <w:widowControl/>
              <w:jc w:val="center"/>
              <w:rPr>
                <w:rFonts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ign w:val="center"/>
          </w:tcPr>
          <w:p w14:paraId="26EC2BDA">
            <w:pPr>
              <w:widowControl/>
              <w:jc w:val="left"/>
              <w:rPr>
                <w:rFonts w:ascii="宋体" w:hAnsi="宋体" w:cs="宋体"/>
                <w:color w:val="auto"/>
                <w:kern w:val="0"/>
                <w:sz w:val="20"/>
                <w:szCs w:val="20"/>
                <w:highlight w:val="none"/>
              </w:rPr>
            </w:pPr>
            <w:r>
              <w:rPr>
                <w:rFonts w:hint="eastAsia" w:ascii="宋体" w:hAnsi="宋体" w:cs="宋体"/>
                <w:color w:val="auto"/>
                <w:kern w:val="0"/>
                <w:sz w:val="20"/>
                <w:szCs w:val="20"/>
                <w:highlight w:val="none"/>
              </w:rPr>
              <w:t>《淋浴器用水效率限定值及用水效率等级》（GB28378）</w:t>
            </w:r>
          </w:p>
        </w:tc>
      </w:tr>
    </w:tbl>
    <w:p w14:paraId="15BF3B2E">
      <w:pPr>
        <w:widowControl/>
        <w:rPr>
          <w:rFonts w:ascii="宋体" w:hAnsi="宋体" w:cs="宋体"/>
          <w:color w:val="auto"/>
          <w:sz w:val="20"/>
          <w:szCs w:val="20"/>
          <w:highlight w:val="none"/>
        </w:rPr>
      </w:pPr>
    </w:p>
    <w:p w14:paraId="631CF054">
      <w:pPr>
        <w:pStyle w:val="16"/>
        <w:spacing w:after="0" w:line="360" w:lineRule="exact"/>
        <w:rPr>
          <w:rFonts w:hAnsi="宋体"/>
          <w:color w:val="auto"/>
          <w:sz w:val="21"/>
          <w:szCs w:val="21"/>
          <w:highlight w:val="none"/>
        </w:rPr>
      </w:pPr>
      <w:r>
        <w:rPr>
          <w:rFonts w:hint="eastAsia"/>
          <w:color w:val="auto"/>
          <w:spacing w:val="-3"/>
          <w:sz w:val="21"/>
          <w:szCs w:val="21"/>
          <w:highlight w:val="none"/>
        </w:rPr>
        <w:t>注：</w:t>
      </w:r>
      <w:r>
        <w:rPr>
          <w:color w:val="auto"/>
          <w:spacing w:val="-3"/>
          <w:sz w:val="21"/>
          <w:szCs w:val="21"/>
          <w:highlight w:val="none"/>
        </w:rPr>
        <w:t>1.</w:t>
      </w:r>
      <w:r>
        <w:rPr>
          <w:rFonts w:hint="eastAsia"/>
          <w:color w:val="auto"/>
          <w:spacing w:val="-3"/>
          <w:sz w:val="21"/>
          <w:szCs w:val="21"/>
          <w:highlight w:val="none"/>
        </w:rPr>
        <w:t>节能产品认证应依据相关国家标准的最新版本，依据国家标准中二级能效（水效）</w:t>
      </w:r>
      <w:r>
        <w:rPr>
          <w:rFonts w:hint="eastAsia"/>
          <w:color w:val="auto"/>
          <w:sz w:val="21"/>
          <w:szCs w:val="21"/>
          <w:highlight w:val="none"/>
        </w:rPr>
        <w:t>指标。</w:t>
      </w:r>
    </w:p>
    <w:p w14:paraId="4B6BF980">
      <w:pPr>
        <w:spacing w:line="360" w:lineRule="exact"/>
        <w:ind w:firstLine="420" w:firstLineChars="200"/>
        <w:rPr>
          <w:rFonts w:ascii="宋体" w:hAnsi="宋体" w:cs="宋体"/>
          <w:color w:val="auto"/>
          <w:szCs w:val="21"/>
          <w:highlight w:val="none"/>
        </w:rPr>
      </w:pPr>
      <w:r>
        <w:rPr>
          <w:color w:val="auto"/>
          <w:szCs w:val="21"/>
          <w:highlight w:val="none"/>
        </w:rPr>
        <w:t>2</w:t>
      </w:r>
      <w:r>
        <w:rPr>
          <w:b/>
          <w:bCs/>
          <w:color w:val="auto"/>
          <w:szCs w:val="21"/>
          <w:highlight w:val="none"/>
        </w:rPr>
        <w:t>.</w:t>
      </w:r>
      <w:r>
        <w:rPr>
          <w:rFonts w:hint="eastAsia"/>
          <w:b/>
          <w:bCs/>
          <w:color w:val="auto"/>
          <w:szCs w:val="21"/>
          <w:highlight w:val="none"/>
        </w:rPr>
        <w:t>以</w:t>
      </w:r>
      <w:r>
        <w:rPr>
          <w:b/>
          <w:bCs/>
          <w:color w:val="auto"/>
          <w:szCs w:val="21"/>
          <w:highlight w:val="none"/>
        </w:rPr>
        <w:t>“</w:t>
      </w:r>
      <w:r>
        <w:rPr>
          <w:rFonts w:hint="eastAsia"/>
          <w:b/>
          <w:bCs/>
          <w:color w:val="auto"/>
          <w:szCs w:val="21"/>
          <w:highlight w:val="none"/>
        </w:rPr>
        <w:t>★</w:t>
      </w:r>
      <w:r>
        <w:rPr>
          <w:b/>
          <w:bCs/>
          <w:color w:val="auto"/>
          <w:szCs w:val="21"/>
          <w:highlight w:val="none"/>
        </w:rPr>
        <w:t>”</w:t>
      </w:r>
      <w:r>
        <w:rPr>
          <w:rFonts w:hint="eastAsia"/>
          <w:b/>
          <w:bCs/>
          <w:color w:val="auto"/>
          <w:szCs w:val="21"/>
          <w:highlight w:val="none"/>
        </w:rPr>
        <w:t>标注的为政府强制采购产品。</w:t>
      </w:r>
      <w:r>
        <w:rPr>
          <w:rFonts w:hAnsi="宋体"/>
          <w:color w:val="auto"/>
          <w:highlight w:val="none"/>
        </w:rPr>
        <w:br w:type="page"/>
      </w:r>
    </w:p>
    <w:p w14:paraId="6B874269">
      <w:pPr>
        <w:pStyle w:val="16"/>
        <w:spacing w:line="360" w:lineRule="auto"/>
        <w:rPr>
          <w:rFonts w:ascii="Arial Unicode MS" w:hAnsi="Arial Unicode MS" w:eastAsia="Arial Unicode MS" w:cs="Arial Unicode MS"/>
          <w:color w:val="auto"/>
          <w:sz w:val="28"/>
          <w:szCs w:val="28"/>
          <w:highlight w:val="none"/>
        </w:rPr>
      </w:pPr>
      <w:r>
        <w:rPr>
          <w:rFonts w:hint="eastAsia" w:ascii="微软雅黑" w:hAnsi="微软雅黑" w:eastAsia="微软雅黑" w:cs="微软雅黑"/>
          <w:color w:val="auto"/>
          <w:sz w:val="28"/>
          <w:szCs w:val="28"/>
          <w:highlight w:val="none"/>
        </w:rPr>
        <w:t>附件</w:t>
      </w:r>
      <w:r>
        <w:rPr>
          <w:rFonts w:hint="eastAsia" w:ascii="Arial Unicode MS" w:hAnsi="Arial Unicode MS" w:eastAsia="Arial Unicode MS" w:cs="Arial Unicode MS"/>
          <w:color w:val="auto"/>
          <w:sz w:val="28"/>
          <w:szCs w:val="28"/>
          <w:highlight w:val="none"/>
          <w:lang w:val="en-US" w:eastAsia="zh-CN"/>
        </w:rPr>
        <w:t>2</w:t>
      </w:r>
      <w:r>
        <w:rPr>
          <w:rFonts w:hint="eastAsia" w:ascii="微软雅黑" w:hAnsi="微软雅黑" w:eastAsia="微软雅黑" w:cs="微软雅黑"/>
          <w:color w:val="auto"/>
          <w:sz w:val="28"/>
          <w:szCs w:val="28"/>
          <w:highlight w:val="none"/>
        </w:rPr>
        <w:t>：</w:t>
      </w:r>
    </w:p>
    <w:p w14:paraId="1FA83F60">
      <w:pPr>
        <w:spacing w:line="528" w:lineRule="exact"/>
        <w:jc w:val="center"/>
        <w:rPr>
          <w:rFonts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中小微企业划型标准</w:t>
      </w:r>
    </w:p>
    <w:tbl>
      <w:tblPr>
        <w:tblStyle w:val="36"/>
        <w:tblW w:w="9511" w:type="dxa"/>
        <w:jc w:val="center"/>
        <w:tblLayout w:type="fixed"/>
        <w:tblCellMar>
          <w:top w:w="0" w:type="dxa"/>
          <w:left w:w="108" w:type="dxa"/>
          <w:bottom w:w="0" w:type="dxa"/>
          <w:right w:w="108" w:type="dxa"/>
        </w:tblCellMar>
      </w:tblPr>
      <w:tblGrid>
        <w:gridCol w:w="1700"/>
        <w:gridCol w:w="1383"/>
        <w:gridCol w:w="865"/>
        <w:gridCol w:w="2097"/>
        <w:gridCol w:w="2105"/>
        <w:gridCol w:w="1361"/>
      </w:tblGrid>
      <w:tr w14:paraId="3AA7BA62">
        <w:tblPrEx>
          <w:tblCellMar>
            <w:top w:w="0" w:type="dxa"/>
            <w:left w:w="108" w:type="dxa"/>
            <w:bottom w:w="0" w:type="dxa"/>
            <w:right w:w="108" w:type="dxa"/>
          </w:tblCellMar>
        </w:tblPrEx>
        <w:trPr>
          <w:trHeight w:val="285" w:hRule="atLeast"/>
          <w:jc w:val="center"/>
        </w:trPr>
        <w:tc>
          <w:tcPr>
            <w:tcW w:w="1700" w:type="dxa"/>
            <w:tcBorders>
              <w:top w:val="single" w:color="auto" w:sz="4" w:space="0"/>
              <w:left w:val="single" w:color="auto" w:sz="4" w:space="0"/>
              <w:bottom w:val="single" w:color="auto" w:sz="4" w:space="0"/>
              <w:right w:val="single" w:color="auto" w:sz="4" w:space="0"/>
            </w:tcBorders>
            <w:noWrap/>
            <w:vAlign w:val="center"/>
          </w:tcPr>
          <w:p w14:paraId="20554B3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行业名称</w:t>
            </w:r>
          </w:p>
        </w:tc>
        <w:tc>
          <w:tcPr>
            <w:tcW w:w="1383" w:type="dxa"/>
            <w:tcBorders>
              <w:top w:val="single" w:color="auto" w:sz="4" w:space="0"/>
              <w:left w:val="nil"/>
              <w:bottom w:val="single" w:color="auto" w:sz="4" w:space="0"/>
              <w:right w:val="single" w:color="auto" w:sz="4" w:space="0"/>
            </w:tcBorders>
            <w:noWrap/>
            <w:vAlign w:val="center"/>
          </w:tcPr>
          <w:p w14:paraId="1E880A1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指标名称</w:t>
            </w:r>
          </w:p>
        </w:tc>
        <w:tc>
          <w:tcPr>
            <w:tcW w:w="865" w:type="dxa"/>
            <w:tcBorders>
              <w:top w:val="single" w:color="auto" w:sz="4" w:space="0"/>
              <w:left w:val="nil"/>
              <w:bottom w:val="single" w:color="auto" w:sz="4" w:space="0"/>
              <w:right w:val="single" w:color="auto" w:sz="4" w:space="0"/>
            </w:tcBorders>
            <w:noWrap/>
            <w:vAlign w:val="center"/>
          </w:tcPr>
          <w:p w14:paraId="63F46E2E">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计量单位</w:t>
            </w:r>
          </w:p>
        </w:tc>
        <w:tc>
          <w:tcPr>
            <w:tcW w:w="2097" w:type="dxa"/>
            <w:tcBorders>
              <w:top w:val="single" w:color="auto" w:sz="4" w:space="0"/>
              <w:left w:val="nil"/>
              <w:bottom w:val="single" w:color="auto" w:sz="4" w:space="0"/>
              <w:right w:val="single" w:color="auto" w:sz="4" w:space="0"/>
            </w:tcBorders>
            <w:noWrap/>
            <w:vAlign w:val="center"/>
          </w:tcPr>
          <w:p w14:paraId="37F0EE6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中型</w:t>
            </w:r>
          </w:p>
        </w:tc>
        <w:tc>
          <w:tcPr>
            <w:tcW w:w="2105" w:type="dxa"/>
            <w:tcBorders>
              <w:top w:val="single" w:color="auto" w:sz="4" w:space="0"/>
              <w:left w:val="nil"/>
              <w:bottom w:val="single" w:color="auto" w:sz="4" w:space="0"/>
              <w:right w:val="single" w:color="auto" w:sz="4" w:space="0"/>
            </w:tcBorders>
            <w:noWrap/>
            <w:vAlign w:val="center"/>
          </w:tcPr>
          <w:p w14:paraId="2F788A8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小型</w:t>
            </w:r>
          </w:p>
        </w:tc>
        <w:tc>
          <w:tcPr>
            <w:tcW w:w="1361" w:type="dxa"/>
            <w:tcBorders>
              <w:top w:val="single" w:color="auto" w:sz="4" w:space="0"/>
              <w:left w:val="nil"/>
              <w:bottom w:val="single" w:color="auto" w:sz="4" w:space="0"/>
              <w:right w:val="single" w:color="auto" w:sz="4" w:space="0"/>
            </w:tcBorders>
            <w:noWrap/>
            <w:vAlign w:val="center"/>
          </w:tcPr>
          <w:p w14:paraId="3185AA8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微型</w:t>
            </w:r>
          </w:p>
        </w:tc>
      </w:tr>
      <w:tr w14:paraId="21A2725D">
        <w:tblPrEx>
          <w:tblCellMar>
            <w:top w:w="0" w:type="dxa"/>
            <w:left w:w="108" w:type="dxa"/>
            <w:bottom w:w="0" w:type="dxa"/>
            <w:right w:w="108" w:type="dxa"/>
          </w:tblCellMar>
        </w:tblPrEx>
        <w:trPr>
          <w:trHeight w:val="225" w:hRule="atLeast"/>
          <w:jc w:val="center"/>
        </w:trPr>
        <w:tc>
          <w:tcPr>
            <w:tcW w:w="1700" w:type="dxa"/>
            <w:tcBorders>
              <w:top w:val="nil"/>
              <w:left w:val="single" w:color="auto" w:sz="4" w:space="0"/>
              <w:bottom w:val="single" w:color="auto" w:sz="4" w:space="0"/>
              <w:right w:val="single" w:color="auto" w:sz="4" w:space="0"/>
            </w:tcBorders>
            <w:noWrap/>
            <w:vAlign w:val="center"/>
          </w:tcPr>
          <w:p w14:paraId="5C6A956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农、林、牧、渔</w:t>
            </w:r>
          </w:p>
        </w:tc>
        <w:tc>
          <w:tcPr>
            <w:tcW w:w="1383" w:type="dxa"/>
            <w:tcBorders>
              <w:top w:val="nil"/>
              <w:left w:val="nil"/>
              <w:bottom w:val="single" w:color="auto" w:sz="4" w:space="0"/>
              <w:right w:val="single" w:color="auto" w:sz="4" w:space="0"/>
            </w:tcBorders>
            <w:noWrap/>
            <w:vAlign w:val="center"/>
          </w:tcPr>
          <w:p w14:paraId="247CD86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11F2231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3D61512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500≤Y＜20000</w:t>
            </w:r>
          </w:p>
        </w:tc>
        <w:tc>
          <w:tcPr>
            <w:tcW w:w="2105" w:type="dxa"/>
            <w:tcBorders>
              <w:top w:val="nil"/>
              <w:left w:val="nil"/>
              <w:bottom w:val="single" w:color="auto" w:sz="4" w:space="0"/>
              <w:right w:val="single" w:color="auto" w:sz="4" w:space="0"/>
            </w:tcBorders>
            <w:noWrap/>
            <w:vAlign w:val="center"/>
          </w:tcPr>
          <w:p w14:paraId="477260B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50≤Y＜500</w:t>
            </w:r>
          </w:p>
        </w:tc>
        <w:tc>
          <w:tcPr>
            <w:tcW w:w="1361" w:type="dxa"/>
            <w:tcBorders>
              <w:top w:val="nil"/>
              <w:left w:val="nil"/>
              <w:bottom w:val="single" w:color="auto" w:sz="4" w:space="0"/>
              <w:right w:val="single" w:color="auto" w:sz="4" w:space="0"/>
            </w:tcBorders>
            <w:noWrap/>
            <w:vAlign w:val="center"/>
          </w:tcPr>
          <w:p w14:paraId="400BAC3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Y＜50</w:t>
            </w:r>
          </w:p>
        </w:tc>
      </w:tr>
      <w:tr w14:paraId="4EDFB24B">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20E7331E">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工业</w:t>
            </w:r>
          </w:p>
        </w:tc>
        <w:tc>
          <w:tcPr>
            <w:tcW w:w="1383" w:type="dxa"/>
            <w:tcBorders>
              <w:top w:val="nil"/>
              <w:left w:val="nil"/>
              <w:bottom w:val="single" w:color="auto" w:sz="4" w:space="0"/>
              <w:right w:val="single" w:color="auto" w:sz="4" w:space="0"/>
            </w:tcBorders>
            <w:noWrap/>
            <w:vAlign w:val="center"/>
          </w:tcPr>
          <w:p w14:paraId="786DA57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5E1D00F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003DFD2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300≤X＜1000</w:t>
            </w:r>
          </w:p>
        </w:tc>
        <w:tc>
          <w:tcPr>
            <w:tcW w:w="2105" w:type="dxa"/>
            <w:tcBorders>
              <w:top w:val="nil"/>
              <w:left w:val="nil"/>
              <w:bottom w:val="single" w:color="auto" w:sz="4" w:space="0"/>
              <w:right w:val="single" w:color="auto" w:sz="4" w:space="0"/>
            </w:tcBorders>
            <w:noWrap/>
            <w:vAlign w:val="center"/>
          </w:tcPr>
          <w:p w14:paraId="474ED11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20≤X＜300</w:t>
            </w:r>
          </w:p>
        </w:tc>
        <w:tc>
          <w:tcPr>
            <w:tcW w:w="1361" w:type="dxa"/>
            <w:tcBorders>
              <w:top w:val="nil"/>
              <w:left w:val="nil"/>
              <w:bottom w:val="single" w:color="auto" w:sz="4" w:space="0"/>
              <w:right w:val="single" w:color="auto" w:sz="4" w:space="0"/>
            </w:tcBorders>
            <w:noWrap/>
            <w:vAlign w:val="center"/>
          </w:tcPr>
          <w:p w14:paraId="524863B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X＜20</w:t>
            </w:r>
          </w:p>
        </w:tc>
      </w:tr>
      <w:tr w14:paraId="28C35833">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705842F9">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5AC9878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1000024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29758D2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2000≤Y＜40000</w:t>
            </w:r>
          </w:p>
        </w:tc>
        <w:tc>
          <w:tcPr>
            <w:tcW w:w="2105" w:type="dxa"/>
            <w:tcBorders>
              <w:top w:val="nil"/>
              <w:left w:val="nil"/>
              <w:bottom w:val="single" w:color="auto" w:sz="4" w:space="0"/>
              <w:right w:val="single" w:color="auto" w:sz="4" w:space="0"/>
            </w:tcBorders>
            <w:noWrap/>
            <w:vAlign w:val="center"/>
          </w:tcPr>
          <w:p w14:paraId="159419D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300≤Y＜2000</w:t>
            </w:r>
          </w:p>
        </w:tc>
        <w:tc>
          <w:tcPr>
            <w:tcW w:w="1361" w:type="dxa"/>
            <w:tcBorders>
              <w:top w:val="nil"/>
              <w:left w:val="nil"/>
              <w:bottom w:val="single" w:color="auto" w:sz="4" w:space="0"/>
              <w:right w:val="single" w:color="auto" w:sz="4" w:space="0"/>
            </w:tcBorders>
            <w:noWrap/>
            <w:vAlign w:val="center"/>
          </w:tcPr>
          <w:p w14:paraId="679A410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Y＜300</w:t>
            </w:r>
          </w:p>
        </w:tc>
      </w:tr>
      <w:tr w14:paraId="0FB063B5">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24E227C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建筑业</w:t>
            </w:r>
          </w:p>
        </w:tc>
        <w:tc>
          <w:tcPr>
            <w:tcW w:w="1383" w:type="dxa"/>
            <w:tcBorders>
              <w:top w:val="nil"/>
              <w:left w:val="nil"/>
              <w:bottom w:val="single" w:color="auto" w:sz="4" w:space="0"/>
              <w:right w:val="single" w:color="auto" w:sz="4" w:space="0"/>
            </w:tcBorders>
            <w:noWrap/>
            <w:vAlign w:val="center"/>
          </w:tcPr>
          <w:p w14:paraId="69E3E42C">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26ADB56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6CBB2DF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6000≤Y＜80000</w:t>
            </w:r>
          </w:p>
        </w:tc>
        <w:tc>
          <w:tcPr>
            <w:tcW w:w="2105" w:type="dxa"/>
            <w:tcBorders>
              <w:top w:val="nil"/>
              <w:left w:val="nil"/>
              <w:bottom w:val="single" w:color="auto" w:sz="4" w:space="0"/>
              <w:right w:val="single" w:color="auto" w:sz="4" w:space="0"/>
            </w:tcBorders>
            <w:noWrap/>
            <w:vAlign w:val="center"/>
          </w:tcPr>
          <w:p w14:paraId="64A2716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300≤Y＜6000</w:t>
            </w:r>
          </w:p>
        </w:tc>
        <w:tc>
          <w:tcPr>
            <w:tcW w:w="1361" w:type="dxa"/>
            <w:tcBorders>
              <w:top w:val="nil"/>
              <w:left w:val="nil"/>
              <w:bottom w:val="single" w:color="auto" w:sz="4" w:space="0"/>
              <w:right w:val="single" w:color="auto" w:sz="4" w:space="0"/>
            </w:tcBorders>
            <w:noWrap/>
            <w:vAlign w:val="center"/>
          </w:tcPr>
          <w:p w14:paraId="4F71CF0C">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Y＜300</w:t>
            </w:r>
          </w:p>
        </w:tc>
      </w:tr>
      <w:tr w14:paraId="4964F5C9">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2C8F0119">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4B03E70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资产总额（Z）</w:t>
            </w:r>
          </w:p>
        </w:tc>
        <w:tc>
          <w:tcPr>
            <w:tcW w:w="865" w:type="dxa"/>
            <w:tcBorders>
              <w:top w:val="nil"/>
              <w:left w:val="nil"/>
              <w:bottom w:val="single" w:color="auto" w:sz="4" w:space="0"/>
              <w:right w:val="single" w:color="auto" w:sz="4" w:space="0"/>
            </w:tcBorders>
            <w:noWrap/>
            <w:vAlign w:val="center"/>
          </w:tcPr>
          <w:p w14:paraId="10E98CA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28C6286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5000≤Z＜80000</w:t>
            </w:r>
          </w:p>
        </w:tc>
        <w:tc>
          <w:tcPr>
            <w:tcW w:w="2105" w:type="dxa"/>
            <w:tcBorders>
              <w:top w:val="nil"/>
              <w:left w:val="nil"/>
              <w:bottom w:val="single" w:color="auto" w:sz="4" w:space="0"/>
              <w:right w:val="single" w:color="auto" w:sz="4" w:space="0"/>
            </w:tcBorders>
            <w:noWrap/>
            <w:vAlign w:val="center"/>
          </w:tcPr>
          <w:p w14:paraId="1EBE654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300≤Z＜5000</w:t>
            </w:r>
          </w:p>
        </w:tc>
        <w:tc>
          <w:tcPr>
            <w:tcW w:w="1361" w:type="dxa"/>
            <w:tcBorders>
              <w:top w:val="nil"/>
              <w:left w:val="nil"/>
              <w:bottom w:val="single" w:color="auto" w:sz="4" w:space="0"/>
              <w:right w:val="single" w:color="auto" w:sz="4" w:space="0"/>
            </w:tcBorders>
            <w:noWrap/>
            <w:vAlign w:val="center"/>
          </w:tcPr>
          <w:p w14:paraId="4C7EB6E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Z＜300</w:t>
            </w:r>
          </w:p>
        </w:tc>
      </w:tr>
      <w:tr w14:paraId="5261B848">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127C149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批发业</w:t>
            </w:r>
          </w:p>
        </w:tc>
        <w:tc>
          <w:tcPr>
            <w:tcW w:w="1383" w:type="dxa"/>
            <w:tcBorders>
              <w:top w:val="nil"/>
              <w:left w:val="nil"/>
              <w:bottom w:val="single" w:color="auto" w:sz="4" w:space="0"/>
              <w:right w:val="single" w:color="auto" w:sz="4" w:space="0"/>
            </w:tcBorders>
            <w:noWrap/>
            <w:vAlign w:val="center"/>
          </w:tcPr>
          <w:p w14:paraId="002E3A3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4097E9F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3FB3E09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20≤X＜200</w:t>
            </w:r>
          </w:p>
        </w:tc>
        <w:tc>
          <w:tcPr>
            <w:tcW w:w="2105" w:type="dxa"/>
            <w:tcBorders>
              <w:top w:val="nil"/>
              <w:left w:val="nil"/>
              <w:bottom w:val="single" w:color="auto" w:sz="4" w:space="0"/>
              <w:right w:val="single" w:color="auto" w:sz="4" w:space="0"/>
            </w:tcBorders>
            <w:noWrap/>
            <w:vAlign w:val="center"/>
          </w:tcPr>
          <w:p w14:paraId="0E90BA4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5≤X＜20</w:t>
            </w:r>
          </w:p>
        </w:tc>
        <w:tc>
          <w:tcPr>
            <w:tcW w:w="1361" w:type="dxa"/>
            <w:tcBorders>
              <w:top w:val="nil"/>
              <w:left w:val="nil"/>
              <w:bottom w:val="single" w:color="auto" w:sz="4" w:space="0"/>
              <w:right w:val="single" w:color="auto" w:sz="4" w:space="0"/>
            </w:tcBorders>
            <w:noWrap/>
            <w:vAlign w:val="center"/>
          </w:tcPr>
          <w:p w14:paraId="328853A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X＜5</w:t>
            </w:r>
          </w:p>
        </w:tc>
      </w:tr>
      <w:tr w14:paraId="713CD9A1">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794EDFC0">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77770FFE">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624D187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618723C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5000≤Y＜40000</w:t>
            </w:r>
          </w:p>
        </w:tc>
        <w:tc>
          <w:tcPr>
            <w:tcW w:w="2105" w:type="dxa"/>
            <w:tcBorders>
              <w:top w:val="nil"/>
              <w:left w:val="nil"/>
              <w:bottom w:val="single" w:color="auto" w:sz="4" w:space="0"/>
              <w:right w:val="single" w:color="auto" w:sz="4" w:space="0"/>
            </w:tcBorders>
            <w:noWrap/>
            <w:vAlign w:val="center"/>
          </w:tcPr>
          <w:p w14:paraId="28F0737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1000≤Y＜5000</w:t>
            </w:r>
          </w:p>
        </w:tc>
        <w:tc>
          <w:tcPr>
            <w:tcW w:w="1361" w:type="dxa"/>
            <w:tcBorders>
              <w:top w:val="nil"/>
              <w:left w:val="nil"/>
              <w:bottom w:val="single" w:color="auto" w:sz="4" w:space="0"/>
              <w:right w:val="single" w:color="auto" w:sz="4" w:space="0"/>
            </w:tcBorders>
            <w:noWrap/>
            <w:vAlign w:val="center"/>
          </w:tcPr>
          <w:p w14:paraId="067F15B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Y＜1000</w:t>
            </w:r>
          </w:p>
        </w:tc>
      </w:tr>
      <w:tr w14:paraId="537EE476">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48E4CF6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零售业</w:t>
            </w:r>
          </w:p>
        </w:tc>
        <w:tc>
          <w:tcPr>
            <w:tcW w:w="1383" w:type="dxa"/>
            <w:tcBorders>
              <w:top w:val="nil"/>
              <w:left w:val="nil"/>
              <w:bottom w:val="single" w:color="auto" w:sz="4" w:space="0"/>
              <w:right w:val="single" w:color="auto" w:sz="4" w:space="0"/>
            </w:tcBorders>
            <w:noWrap/>
            <w:vAlign w:val="center"/>
          </w:tcPr>
          <w:p w14:paraId="4165DDE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3AE8FAA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3E65E39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50≤X＜300</w:t>
            </w:r>
          </w:p>
        </w:tc>
        <w:tc>
          <w:tcPr>
            <w:tcW w:w="2105" w:type="dxa"/>
            <w:tcBorders>
              <w:top w:val="nil"/>
              <w:left w:val="nil"/>
              <w:bottom w:val="single" w:color="auto" w:sz="4" w:space="0"/>
              <w:right w:val="single" w:color="auto" w:sz="4" w:space="0"/>
            </w:tcBorders>
            <w:noWrap/>
            <w:vAlign w:val="center"/>
          </w:tcPr>
          <w:p w14:paraId="356B10E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10≤X＜50</w:t>
            </w:r>
          </w:p>
        </w:tc>
        <w:tc>
          <w:tcPr>
            <w:tcW w:w="1361" w:type="dxa"/>
            <w:tcBorders>
              <w:top w:val="nil"/>
              <w:left w:val="nil"/>
              <w:bottom w:val="single" w:color="auto" w:sz="4" w:space="0"/>
              <w:right w:val="single" w:color="auto" w:sz="4" w:space="0"/>
            </w:tcBorders>
            <w:noWrap/>
            <w:vAlign w:val="center"/>
          </w:tcPr>
          <w:p w14:paraId="28E75A1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r w14:paraId="52D83063">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785718CD">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03FF626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274E36A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1D031A3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500≤Y＜20000</w:t>
            </w:r>
          </w:p>
        </w:tc>
        <w:tc>
          <w:tcPr>
            <w:tcW w:w="2105" w:type="dxa"/>
            <w:tcBorders>
              <w:top w:val="nil"/>
              <w:left w:val="nil"/>
              <w:bottom w:val="single" w:color="auto" w:sz="4" w:space="0"/>
              <w:right w:val="single" w:color="auto" w:sz="4" w:space="0"/>
            </w:tcBorders>
            <w:noWrap/>
            <w:vAlign w:val="center"/>
          </w:tcPr>
          <w:p w14:paraId="28ECAA0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100≤Y＜500</w:t>
            </w:r>
          </w:p>
        </w:tc>
        <w:tc>
          <w:tcPr>
            <w:tcW w:w="1361" w:type="dxa"/>
            <w:tcBorders>
              <w:top w:val="nil"/>
              <w:left w:val="nil"/>
              <w:bottom w:val="single" w:color="auto" w:sz="4" w:space="0"/>
              <w:right w:val="single" w:color="auto" w:sz="4" w:space="0"/>
            </w:tcBorders>
            <w:noWrap/>
            <w:vAlign w:val="center"/>
          </w:tcPr>
          <w:p w14:paraId="5269C73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003753EC">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2A6E635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交通运输业</w:t>
            </w:r>
          </w:p>
        </w:tc>
        <w:tc>
          <w:tcPr>
            <w:tcW w:w="1383" w:type="dxa"/>
            <w:tcBorders>
              <w:top w:val="nil"/>
              <w:left w:val="nil"/>
              <w:bottom w:val="single" w:color="auto" w:sz="4" w:space="0"/>
              <w:right w:val="single" w:color="auto" w:sz="4" w:space="0"/>
            </w:tcBorders>
            <w:noWrap/>
            <w:vAlign w:val="center"/>
          </w:tcPr>
          <w:p w14:paraId="5F4FF72E">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75D323F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16D0E96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300≤X＜1000</w:t>
            </w:r>
          </w:p>
        </w:tc>
        <w:tc>
          <w:tcPr>
            <w:tcW w:w="2105" w:type="dxa"/>
            <w:tcBorders>
              <w:top w:val="nil"/>
              <w:left w:val="nil"/>
              <w:bottom w:val="single" w:color="auto" w:sz="4" w:space="0"/>
              <w:right w:val="single" w:color="auto" w:sz="4" w:space="0"/>
            </w:tcBorders>
            <w:noWrap/>
            <w:vAlign w:val="center"/>
          </w:tcPr>
          <w:p w14:paraId="08BF289C">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20≤X＜300</w:t>
            </w:r>
          </w:p>
        </w:tc>
        <w:tc>
          <w:tcPr>
            <w:tcW w:w="1361" w:type="dxa"/>
            <w:tcBorders>
              <w:top w:val="nil"/>
              <w:left w:val="nil"/>
              <w:bottom w:val="single" w:color="auto" w:sz="4" w:space="0"/>
              <w:right w:val="single" w:color="auto" w:sz="4" w:space="0"/>
            </w:tcBorders>
            <w:noWrap/>
            <w:vAlign w:val="center"/>
          </w:tcPr>
          <w:p w14:paraId="1C65270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X＜20</w:t>
            </w:r>
          </w:p>
        </w:tc>
      </w:tr>
      <w:tr w14:paraId="5D17DAAE">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6549588D">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0087FAD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5527E07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4092B8D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3000≤Y＜30000</w:t>
            </w:r>
          </w:p>
        </w:tc>
        <w:tc>
          <w:tcPr>
            <w:tcW w:w="2105" w:type="dxa"/>
            <w:tcBorders>
              <w:top w:val="nil"/>
              <w:left w:val="nil"/>
              <w:bottom w:val="single" w:color="auto" w:sz="4" w:space="0"/>
              <w:right w:val="single" w:color="auto" w:sz="4" w:space="0"/>
            </w:tcBorders>
            <w:noWrap/>
            <w:vAlign w:val="center"/>
          </w:tcPr>
          <w:p w14:paraId="66D118F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200≤Y＜3000</w:t>
            </w:r>
          </w:p>
        </w:tc>
        <w:tc>
          <w:tcPr>
            <w:tcW w:w="1361" w:type="dxa"/>
            <w:tcBorders>
              <w:top w:val="nil"/>
              <w:left w:val="nil"/>
              <w:bottom w:val="single" w:color="auto" w:sz="4" w:space="0"/>
              <w:right w:val="single" w:color="auto" w:sz="4" w:space="0"/>
            </w:tcBorders>
            <w:noWrap/>
            <w:vAlign w:val="center"/>
          </w:tcPr>
          <w:p w14:paraId="7A5965FE">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Y＜200</w:t>
            </w:r>
          </w:p>
        </w:tc>
      </w:tr>
      <w:tr w14:paraId="7DAF72AF">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09D358C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仓储业</w:t>
            </w:r>
          </w:p>
        </w:tc>
        <w:tc>
          <w:tcPr>
            <w:tcW w:w="1383" w:type="dxa"/>
            <w:tcBorders>
              <w:top w:val="nil"/>
              <w:left w:val="nil"/>
              <w:bottom w:val="single" w:color="auto" w:sz="4" w:space="0"/>
              <w:right w:val="single" w:color="auto" w:sz="4" w:space="0"/>
            </w:tcBorders>
            <w:noWrap/>
            <w:vAlign w:val="center"/>
          </w:tcPr>
          <w:p w14:paraId="62FF3D2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29E4BAE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121B8A7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100≤X＜200</w:t>
            </w:r>
          </w:p>
        </w:tc>
        <w:tc>
          <w:tcPr>
            <w:tcW w:w="2105" w:type="dxa"/>
            <w:tcBorders>
              <w:top w:val="nil"/>
              <w:left w:val="nil"/>
              <w:bottom w:val="single" w:color="auto" w:sz="4" w:space="0"/>
              <w:right w:val="single" w:color="auto" w:sz="4" w:space="0"/>
            </w:tcBorders>
            <w:noWrap/>
            <w:vAlign w:val="center"/>
          </w:tcPr>
          <w:p w14:paraId="09ACBEF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20≤X＜100</w:t>
            </w:r>
          </w:p>
        </w:tc>
        <w:tc>
          <w:tcPr>
            <w:tcW w:w="1361" w:type="dxa"/>
            <w:tcBorders>
              <w:top w:val="nil"/>
              <w:left w:val="nil"/>
              <w:bottom w:val="single" w:color="auto" w:sz="4" w:space="0"/>
              <w:right w:val="single" w:color="auto" w:sz="4" w:space="0"/>
            </w:tcBorders>
            <w:noWrap/>
            <w:vAlign w:val="center"/>
          </w:tcPr>
          <w:p w14:paraId="5773805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X＜20</w:t>
            </w:r>
          </w:p>
        </w:tc>
      </w:tr>
      <w:tr w14:paraId="0566805D">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21C87E32">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516C98B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4800DD7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2477637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1000≤Y＜30000</w:t>
            </w:r>
          </w:p>
        </w:tc>
        <w:tc>
          <w:tcPr>
            <w:tcW w:w="2105" w:type="dxa"/>
            <w:tcBorders>
              <w:top w:val="nil"/>
              <w:left w:val="nil"/>
              <w:bottom w:val="single" w:color="auto" w:sz="4" w:space="0"/>
              <w:right w:val="single" w:color="auto" w:sz="4" w:space="0"/>
            </w:tcBorders>
            <w:noWrap/>
            <w:vAlign w:val="center"/>
          </w:tcPr>
          <w:p w14:paraId="19958C0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100≤Y＜1000</w:t>
            </w:r>
          </w:p>
        </w:tc>
        <w:tc>
          <w:tcPr>
            <w:tcW w:w="1361" w:type="dxa"/>
            <w:tcBorders>
              <w:top w:val="nil"/>
              <w:left w:val="nil"/>
              <w:bottom w:val="single" w:color="auto" w:sz="4" w:space="0"/>
              <w:right w:val="single" w:color="auto" w:sz="4" w:space="0"/>
            </w:tcBorders>
            <w:noWrap/>
            <w:vAlign w:val="center"/>
          </w:tcPr>
          <w:p w14:paraId="45FBF51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37764929">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7E5327A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邮政业</w:t>
            </w:r>
          </w:p>
        </w:tc>
        <w:tc>
          <w:tcPr>
            <w:tcW w:w="1383" w:type="dxa"/>
            <w:tcBorders>
              <w:top w:val="nil"/>
              <w:left w:val="nil"/>
              <w:bottom w:val="single" w:color="auto" w:sz="4" w:space="0"/>
              <w:right w:val="single" w:color="auto" w:sz="4" w:space="0"/>
            </w:tcBorders>
            <w:noWrap/>
            <w:vAlign w:val="center"/>
          </w:tcPr>
          <w:p w14:paraId="014C58D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2212CCD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413BD35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300≤X＜1000</w:t>
            </w:r>
          </w:p>
        </w:tc>
        <w:tc>
          <w:tcPr>
            <w:tcW w:w="2105" w:type="dxa"/>
            <w:tcBorders>
              <w:top w:val="nil"/>
              <w:left w:val="nil"/>
              <w:bottom w:val="single" w:color="auto" w:sz="4" w:space="0"/>
              <w:right w:val="single" w:color="auto" w:sz="4" w:space="0"/>
            </w:tcBorders>
            <w:noWrap/>
            <w:vAlign w:val="center"/>
          </w:tcPr>
          <w:p w14:paraId="6C2416E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20≤X＜300</w:t>
            </w:r>
          </w:p>
        </w:tc>
        <w:tc>
          <w:tcPr>
            <w:tcW w:w="1361" w:type="dxa"/>
            <w:tcBorders>
              <w:top w:val="nil"/>
              <w:left w:val="nil"/>
              <w:bottom w:val="single" w:color="auto" w:sz="4" w:space="0"/>
              <w:right w:val="single" w:color="auto" w:sz="4" w:space="0"/>
            </w:tcBorders>
            <w:noWrap/>
            <w:vAlign w:val="center"/>
          </w:tcPr>
          <w:p w14:paraId="5404309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X＜20</w:t>
            </w:r>
          </w:p>
        </w:tc>
      </w:tr>
      <w:tr w14:paraId="17380F19">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20B3FBC7">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2BD1879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127F4F9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7C93312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2000≤Y＜30000</w:t>
            </w:r>
          </w:p>
        </w:tc>
        <w:tc>
          <w:tcPr>
            <w:tcW w:w="2105" w:type="dxa"/>
            <w:tcBorders>
              <w:top w:val="nil"/>
              <w:left w:val="nil"/>
              <w:bottom w:val="single" w:color="auto" w:sz="4" w:space="0"/>
              <w:right w:val="single" w:color="auto" w:sz="4" w:space="0"/>
            </w:tcBorders>
            <w:noWrap/>
            <w:vAlign w:val="center"/>
          </w:tcPr>
          <w:p w14:paraId="672B346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100≤Y＜2000</w:t>
            </w:r>
          </w:p>
        </w:tc>
        <w:tc>
          <w:tcPr>
            <w:tcW w:w="1361" w:type="dxa"/>
            <w:tcBorders>
              <w:top w:val="nil"/>
              <w:left w:val="nil"/>
              <w:bottom w:val="single" w:color="auto" w:sz="4" w:space="0"/>
              <w:right w:val="single" w:color="auto" w:sz="4" w:space="0"/>
            </w:tcBorders>
            <w:noWrap/>
            <w:vAlign w:val="center"/>
          </w:tcPr>
          <w:p w14:paraId="2D14E49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6B1413FF">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5C8652C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住宿业</w:t>
            </w:r>
          </w:p>
        </w:tc>
        <w:tc>
          <w:tcPr>
            <w:tcW w:w="1383" w:type="dxa"/>
            <w:tcBorders>
              <w:top w:val="nil"/>
              <w:left w:val="nil"/>
              <w:bottom w:val="single" w:color="auto" w:sz="4" w:space="0"/>
              <w:right w:val="single" w:color="auto" w:sz="4" w:space="0"/>
            </w:tcBorders>
            <w:noWrap/>
            <w:vAlign w:val="center"/>
          </w:tcPr>
          <w:p w14:paraId="3045083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2EB91E0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70CAF3B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0070CBA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4CFB996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r w14:paraId="675C9228">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523C10EF">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6257B5FC">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2C2B641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61A2C62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2000≤Y＜10000</w:t>
            </w:r>
          </w:p>
        </w:tc>
        <w:tc>
          <w:tcPr>
            <w:tcW w:w="2105" w:type="dxa"/>
            <w:tcBorders>
              <w:top w:val="nil"/>
              <w:left w:val="nil"/>
              <w:bottom w:val="single" w:color="auto" w:sz="4" w:space="0"/>
              <w:right w:val="single" w:color="auto" w:sz="4" w:space="0"/>
            </w:tcBorders>
            <w:noWrap/>
            <w:vAlign w:val="center"/>
          </w:tcPr>
          <w:p w14:paraId="75572C1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100≤Y＜2000</w:t>
            </w:r>
          </w:p>
        </w:tc>
        <w:tc>
          <w:tcPr>
            <w:tcW w:w="1361" w:type="dxa"/>
            <w:tcBorders>
              <w:top w:val="nil"/>
              <w:left w:val="nil"/>
              <w:bottom w:val="single" w:color="auto" w:sz="4" w:space="0"/>
              <w:right w:val="single" w:color="auto" w:sz="4" w:space="0"/>
            </w:tcBorders>
            <w:noWrap/>
            <w:vAlign w:val="center"/>
          </w:tcPr>
          <w:p w14:paraId="7431045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10214405">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770A194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餐饮业</w:t>
            </w:r>
          </w:p>
        </w:tc>
        <w:tc>
          <w:tcPr>
            <w:tcW w:w="1383" w:type="dxa"/>
            <w:tcBorders>
              <w:top w:val="nil"/>
              <w:left w:val="nil"/>
              <w:bottom w:val="single" w:color="auto" w:sz="4" w:space="0"/>
              <w:right w:val="single" w:color="auto" w:sz="4" w:space="0"/>
            </w:tcBorders>
            <w:noWrap/>
            <w:vAlign w:val="center"/>
          </w:tcPr>
          <w:p w14:paraId="7538014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4E945A4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705A952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65A92B4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3E226D7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r w14:paraId="12034D40">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6146593B">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3E53C75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368B076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5DC8100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2000≤Y＜10000</w:t>
            </w:r>
          </w:p>
        </w:tc>
        <w:tc>
          <w:tcPr>
            <w:tcW w:w="2105" w:type="dxa"/>
            <w:tcBorders>
              <w:top w:val="nil"/>
              <w:left w:val="nil"/>
              <w:bottom w:val="single" w:color="auto" w:sz="4" w:space="0"/>
              <w:right w:val="single" w:color="auto" w:sz="4" w:space="0"/>
            </w:tcBorders>
            <w:noWrap/>
            <w:vAlign w:val="center"/>
          </w:tcPr>
          <w:p w14:paraId="2D0EA6E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100≤Y＜2000</w:t>
            </w:r>
          </w:p>
        </w:tc>
        <w:tc>
          <w:tcPr>
            <w:tcW w:w="1361" w:type="dxa"/>
            <w:tcBorders>
              <w:top w:val="nil"/>
              <w:left w:val="nil"/>
              <w:bottom w:val="single" w:color="auto" w:sz="4" w:space="0"/>
              <w:right w:val="single" w:color="auto" w:sz="4" w:space="0"/>
            </w:tcBorders>
            <w:noWrap/>
            <w:vAlign w:val="center"/>
          </w:tcPr>
          <w:p w14:paraId="5E0904DC">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095D1057">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57BB497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信息传输业</w:t>
            </w:r>
          </w:p>
        </w:tc>
        <w:tc>
          <w:tcPr>
            <w:tcW w:w="1383" w:type="dxa"/>
            <w:tcBorders>
              <w:top w:val="nil"/>
              <w:left w:val="nil"/>
              <w:bottom w:val="single" w:color="auto" w:sz="4" w:space="0"/>
              <w:right w:val="single" w:color="auto" w:sz="4" w:space="0"/>
            </w:tcBorders>
            <w:noWrap/>
            <w:vAlign w:val="center"/>
          </w:tcPr>
          <w:p w14:paraId="417904B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2EE8C00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04369AF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100≤X＜2000</w:t>
            </w:r>
          </w:p>
        </w:tc>
        <w:tc>
          <w:tcPr>
            <w:tcW w:w="2105" w:type="dxa"/>
            <w:tcBorders>
              <w:top w:val="nil"/>
              <w:left w:val="nil"/>
              <w:bottom w:val="single" w:color="auto" w:sz="4" w:space="0"/>
              <w:right w:val="single" w:color="auto" w:sz="4" w:space="0"/>
            </w:tcBorders>
            <w:noWrap/>
            <w:vAlign w:val="center"/>
          </w:tcPr>
          <w:p w14:paraId="305B9BD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38C0035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r w14:paraId="7C92B3E2">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715B5B15">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6DB1FAC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60FC3CA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1AC9674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1000≤Y＜100000</w:t>
            </w:r>
          </w:p>
        </w:tc>
        <w:tc>
          <w:tcPr>
            <w:tcW w:w="2105" w:type="dxa"/>
            <w:tcBorders>
              <w:top w:val="nil"/>
              <w:left w:val="nil"/>
              <w:bottom w:val="single" w:color="auto" w:sz="4" w:space="0"/>
              <w:right w:val="single" w:color="auto" w:sz="4" w:space="0"/>
            </w:tcBorders>
            <w:noWrap/>
            <w:vAlign w:val="center"/>
          </w:tcPr>
          <w:p w14:paraId="6C7F593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100≤Y＜1000</w:t>
            </w:r>
          </w:p>
        </w:tc>
        <w:tc>
          <w:tcPr>
            <w:tcW w:w="1361" w:type="dxa"/>
            <w:tcBorders>
              <w:top w:val="nil"/>
              <w:left w:val="nil"/>
              <w:bottom w:val="single" w:color="auto" w:sz="4" w:space="0"/>
              <w:right w:val="single" w:color="auto" w:sz="4" w:space="0"/>
            </w:tcBorders>
            <w:noWrap/>
            <w:vAlign w:val="center"/>
          </w:tcPr>
          <w:p w14:paraId="28666E4C">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1423072B">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424BDBF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软件和信息技术服务业</w:t>
            </w:r>
          </w:p>
        </w:tc>
        <w:tc>
          <w:tcPr>
            <w:tcW w:w="1383" w:type="dxa"/>
            <w:tcBorders>
              <w:top w:val="nil"/>
              <w:left w:val="nil"/>
              <w:bottom w:val="single" w:color="auto" w:sz="4" w:space="0"/>
              <w:right w:val="single" w:color="auto" w:sz="4" w:space="0"/>
            </w:tcBorders>
            <w:noWrap/>
            <w:vAlign w:val="center"/>
          </w:tcPr>
          <w:p w14:paraId="59AD611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29E87A3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33D43F1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28F54D2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3B03F0C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r w14:paraId="27B454EC">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09E03E33">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7136B2C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4A5510B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552D60B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1000≤Y＜10000</w:t>
            </w:r>
          </w:p>
        </w:tc>
        <w:tc>
          <w:tcPr>
            <w:tcW w:w="2105" w:type="dxa"/>
            <w:tcBorders>
              <w:top w:val="nil"/>
              <w:left w:val="nil"/>
              <w:bottom w:val="single" w:color="auto" w:sz="4" w:space="0"/>
              <w:right w:val="single" w:color="auto" w:sz="4" w:space="0"/>
            </w:tcBorders>
            <w:noWrap/>
            <w:vAlign w:val="center"/>
          </w:tcPr>
          <w:p w14:paraId="45EEB20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50≤Y＜1000</w:t>
            </w:r>
          </w:p>
        </w:tc>
        <w:tc>
          <w:tcPr>
            <w:tcW w:w="1361" w:type="dxa"/>
            <w:tcBorders>
              <w:top w:val="nil"/>
              <w:left w:val="nil"/>
              <w:bottom w:val="single" w:color="auto" w:sz="4" w:space="0"/>
              <w:right w:val="single" w:color="auto" w:sz="4" w:space="0"/>
            </w:tcBorders>
            <w:noWrap/>
            <w:vAlign w:val="center"/>
          </w:tcPr>
          <w:p w14:paraId="11E399A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Y＜50</w:t>
            </w:r>
          </w:p>
        </w:tc>
      </w:tr>
      <w:tr w14:paraId="52689EE0">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1123EAF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房地产开发经营</w:t>
            </w:r>
          </w:p>
        </w:tc>
        <w:tc>
          <w:tcPr>
            <w:tcW w:w="1383" w:type="dxa"/>
            <w:tcBorders>
              <w:top w:val="nil"/>
              <w:left w:val="nil"/>
              <w:bottom w:val="single" w:color="auto" w:sz="4" w:space="0"/>
              <w:right w:val="single" w:color="auto" w:sz="4" w:space="0"/>
            </w:tcBorders>
            <w:noWrap/>
            <w:vAlign w:val="center"/>
          </w:tcPr>
          <w:p w14:paraId="0D574F4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1E35DFA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2D818013">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1000≤Y＜200000</w:t>
            </w:r>
          </w:p>
        </w:tc>
        <w:tc>
          <w:tcPr>
            <w:tcW w:w="2105" w:type="dxa"/>
            <w:tcBorders>
              <w:top w:val="nil"/>
              <w:left w:val="nil"/>
              <w:bottom w:val="single" w:color="auto" w:sz="4" w:space="0"/>
              <w:right w:val="single" w:color="auto" w:sz="4" w:space="0"/>
            </w:tcBorders>
            <w:noWrap/>
            <w:vAlign w:val="center"/>
          </w:tcPr>
          <w:p w14:paraId="3029A01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100≤X＜1000</w:t>
            </w:r>
          </w:p>
        </w:tc>
        <w:tc>
          <w:tcPr>
            <w:tcW w:w="1361" w:type="dxa"/>
            <w:tcBorders>
              <w:top w:val="nil"/>
              <w:left w:val="nil"/>
              <w:bottom w:val="single" w:color="auto" w:sz="4" w:space="0"/>
              <w:right w:val="single" w:color="auto" w:sz="4" w:space="0"/>
            </w:tcBorders>
            <w:noWrap/>
            <w:vAlign w:val="center"/>
          </w:tcPr>
          <w:p w14:paraId="2E49D64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X＜100</w:t>
            </w:r>
          </w:p>
        </w:tc>
      </w:tr>
      <w:tr w14:paraId="6669F890">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6092F522">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52698BC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资产总额（Z）</w:t>
            </w:r>
          </w:p>
        </w:tc>
        <w:tc>
          <w:tcPr>
            <w:tcW w:w="865" w:type="dxa"/>
            <w:tcBorders>
              <w:top w:val="nil"/>
              <w:left w:val="nil"/>
              <w:bottom w:val="single" w:color="auto" w:sz="4" w:space="0"/>
              <w:right w:val="single" w:color="auto" w:sz="4" w:space="0"/>
            </w:tcBorders>
            <w:noWrap/>
            <w:vAlign w:val="center"/>
          </w:tcPr>
          <w:p w14:paraId="5194FDB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5D76263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5000≤Z＜10000</w:t>
            </w:r>
          </w:p>
        </w:tc>
        <w:tc>
          <w:tcPr>
            <w:tcW w:w="2105" w:type="dxa"/>
            <w:tcBorders>
              <w:top w:val="nil"/>
              <w:left w:val="nil"/>
              <w:bottom w:val="single" w:color="auto" w:sz="4" w:space="0"/>
              <w:right w:val="single" w:color="auto" w:sz="4" w:space="0"/>
            </w:tcBorders>
            <w:noWrap/>
            <w:vAlign w:val="center"/>
          </w:tcPr>
          <w:p w14:paraId="2C91DEC7">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2000≤Y＜5000</w:t>
            </w:r>
          </w:p>
        </w:tc>
        <w:tc>
          <w:tcPr>
            <w:tcW w:w="1361" w:type="dxa"/>
            <w:tcBorders>
              <w:top w:val="nil"/>
              <w:left w:val="nil"/>
              <w:bottom w:val="single" w:color="auto" w:sz="4" w:space="0"/>
              <w:right w:val="single" w:color="auto" w:sz="4" w:space="0"/>
            </w:tcBorders>
            <w:noWrap/>
            <w:vAlign w:val="center"/>
          </w:tcPr>
          <w:p w14:paraId="75B34C3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Y＜2000</w:t>
            </w:r>
          </w:p>
        </w:tc>
      </w:tr>
      <w:tr w14:paraId="20708788">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03D331E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物业管理</w:t>
            </w:r>
          </w:p>
        </w:tc>
        <w:tc>
          <w:tcPr>
            <w:tcW w:w="1383" w:type="dxa"/>
            <w:tcBorders>
              <w:top w:val="nil"/>
              <w:left w:val="nil"/>
              <w:bottom w:val="single" w:color="auto" w:sz="4" w:space="0"/>
              <w:right w:val="single" w:color="auto" w:sz="4" w:space="0"/>
            </w:tcBorders>
            <w:noWrap/>
            <w:vAlign w:val="center"/>
          </w:tcPr>
          <w:p w14:paraId="6C4828C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07E5F4A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1AC9235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300≤X＜1000</w:t>
            </w:r>
          </w:p>
        </w:tc>
        <w:tc>
          <w:tcPr>
            <w:tcW w:w="2105" w:type="dxa"/>
            <w:tcBorders>
              <w:top w:val="nil"/>
              <w:left w:val="nil"/>
              <w:bottom w:val="single" w:color="auto" w:sz="4" w:space="0"/>
              <w:right w:val="single" w:color="auto" w:sz="4" w:space="0"/>
            </w:tcBorders>
            <w:noWrap/>
            <w:vAlign w:val="center"/>
          </w:tcPr>
          <w:p w14:paraId="1D8B02E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100≤X＜300</w:t>
            </w:r>
          </w:p>
        </w:tc>
        <w:tc>
          <w:tcPr>
            <w:tcW w:w="1361" w:type="dxa"/>
            <w:tcBorders>
              <w:top w:val="nil"/>
              <w:left w:val="nil"/>
              <w:bottom w:val="single" w:color="auto" w:sz="4" w:space="0"/>
              <w:right w:val="single" w:color="auto" w:sz="4" w:space="0"/>
            </w:tcBorders>
            <w:noWrap/>
            <w:vAlign w:val="center"/>
          </w:tcPr>
          <w:p w14:paraId="609B173F">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X＜100</w:t>
            </w:r>
          </w:p>
        </w:tc>
      </w:tr>
      <w:tr w14:paraId="3FF23048">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019AE3B3">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567782D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营业收入（Y）</w:t>
            </w:r>
          </w:p>
        </w:tc>
        <w:tc>
          <w:tcPr>
            <w:tcW w:w="865" w:type="dxa"/>
            <w:tcBorders>
              <w:top w:val="nil"/>
              <w:left w:val="nil"/>
              <w:bottom w:val="single" w:color="auto" w:sz="4" w:space="0"/>
              <w:right w:val="single" w:color="auto" w:sz="4" w:space="0"/>
            </w:tcBorders>
            <w:noWrap/>
            <w:vAlign w:val="center"/>
          </w:tcPr>
          <w:p w14:paraId="760428C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74EB452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1000≤Y＜5000</w:t>
            </w:r>
          </w:p>
        </w:tc>
        <w:tc>
          <w:tcPr>
            <w:tcW w:w="2105" w:type="dxa"/>
            <w:tcBorders>
              <w:top w:val="nil"/>
              <w:left w:val="nil"/>
              <w:bottom w:val="single" w:color="auto" w:sz="4" w:space="0"/>
              <w:right w:val="single" w:color="auto" w:sz="4" w:space="0"/>
            </w:tcBorders>
            <w:noWrap/>
            <w:vAlign w:val="center"/>
          </w:tcPr>
          <w:p w14:paraId="51BAE5D1">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500≤Y＜1000</w:t>
            </w:r>
          </w:p>
        </w:tc>
        <w:tc>
          <w:tcPr>
            <w:tcW w:w="1361" w:type="dxa"/>
            <w:tcBorders>
              <w:top w:val="nil"/>
              <w:left w:val="nil"/>
              <w:bottom w:val="single" w:color="auto" w:sz="4" w:space="0"/>
              <w:right w:val="single" w:color="auto" w:sz="4" w:space="0"/>
            </w:tcBorders>
            <w:noWrap/>
            <w:vAlign w:val="center"/>
          </w:tcPr>
          <w:p w14:paraId="53DC36F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Y＜500</w:t>
            </w:r>
          </w:p>
        </w:tc>
      </w:tr>
      <w:tr w14:paraId="34198182">
        <w:tblPrEx>
          <w:tblCellMar>
            <w:top w:w="0" w:type="dxa"/>
            <w:left w:w="108" w:type="dxa"/>
            <w:bottom w:w="0" w:type="dxa"/>
            <w:right w:w="108" w:type="dxa"/>
          </w:tblCellMar>
        </w:tblPrEx>
        <w:trPr>
          <w:trHeight w:val="225" w:hRule="atLeast"/>
          <w:jc w:val="center"/>
        </w:trPr>
        <w:tc>
          <w:tcPr>
            <w:tcW w:w="1700" w:type="dxa"/>
            <w:vMerge w:val="restart"/>
            <w:tcBorders>
              <w:top w:val="nil"/>
              <w:left w:val="single" w:color="auto" w:sz="4" w:space="0"/>
              <w:bottom w:val="single" w:color="auto" w:sz="4" w:space="0"/>
              <w:right w:val="single" w:color="auto" w:sz="4" w:space="0"/>
            </w:tcBorders>
            <w:noWrap/>
            <w:vAlign w:val="center"/>
          </w:tcPr>
          <w:p w14:paraId="72BFD19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租赁和商务服务业</w:t>
            </w:r>
          </w:p>
        </w:tc>
        <w:tc>
          <w:tcPr>
            <w:tcW w:w="1383" w:type="dxa"/>
            <w:tcBorders>
              <w:top w:val="nil"/>
              <w:left w:val="nil"/>
              <w:bottom w:val="single" w:color="auto" w:sz="4" w:space="0"/>
              <w:right w:val="single" w:color="auto" w:sz="4" w:space="0"/>
            </w:tcBorders>
            <w:noWrap/>
            <w:vAlign w:val="center"/>
          </w:tcPr>
          <w:p w14:paraId="7BB7235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7D4EBB4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3A74E002">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4ED7F5A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1BC5DC44">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r w14:paraId="034D0C4D">
        <w:tblPrEx>
          <w:tblCellMar>
            <w:top w:w="0" w:type="dxa"/>
            <w:left w:w="108" w:type="dxa"/>
            <w:bottom w:w="0" w:type="dxa"/>
            <w:right w:w="108" w:type="dxa"/>
          </w:tblCellMar>
        </w:tblPrEx>
        <w:trPr>
          <w:trHeight w:val="225" w:hRule="atLeast"/>
          <w:jc w:val="center"/>
        </w:trPr>
        <w:tc>
          <w:tcPr>
            <w:tcW w:w="1700" w:type="dxa"/>
            <w:vMerge w:val="continue"/>
            <w:tcBorders>
              <w:top w:val="nil"/>
              <w:left w:val="single" w:color="auto" w:sz="4" w:space="0"/>
              <w:bottom w:val="single" w:color="auto" w:sz="4" w:space="0"/>
              <w:right w:val="single" w:color="auto" w:sz="4" w:space="0"/>
            </w:tcBorders>
            <w:vAlign w:val="center"/>
          </w:tcPr>
          <w:p w14:paraId="16C9F93B">
            <w:pPr>
              <w:pStyle w:val="32"/>
              <w:widowControl/>
              <w:spacing w:line="360" w:lineRule="exact"/>
              <w:jc w:val="center"/>
              <w:rPr>
                <w:rFonts w:ascii="宋体" w:hAnsi="宋体" w:cs="宋体"/>
                <w:color w:val="auto"/>
                <w:sz w:val="21"/>
                <w:szCs w:val="21"/>
                <w:highlight w:val="none"/>
              </w:rPr>
            </w:pPr>
          </w:p>
        </w:tc>
        <w:tc>
          <w:tcPr>
            <w:tcW w:w="1383" w:type="dxa"/>
            <w:tcBorders>
              <w:top w:val="nil"/>
              <w:left w:val="nil"/>
              <w:bottom w:val="single" w:color="auto" w:sz="4" w:space="0"/>
              <w:right w:val="single" w:color="auto" w:sz="4" w:space="0"/>
            </w:tcBorders>
            <w:noWrap/>
            <w:vAlign w:val="center"/>
          </w:tcPr>
          <w:p w14:paraId="0A2BFFC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资产总额（Z）</w:t>
            </w:r>
          </w:p>
        </w:tc>
        <w:tc>
          <w:tcPr>
            <w:tcW w:w="865" w:type="dxa"/>
            <w:tcBorders>
              <w:top w:val="nil"/>
              <w:left w:val="nil"/>
              <w:bottom w:val="single" w:color="auto" w:sz="4" w:space="0"/>
              <w:right w:val="single" w:color="auto" w:sz="4" w:space="0"/>
            </w:tcBorders>
            <w:noWrap/>
            <w:vAlign w:val="center"/>
          </w:tcPr>
          <w:p w14:paraId="1F0C4F0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万元</w:t>
            </w:r>
          </w:p>
        </w:tc>
        <w:tc>
          <w:tcPr>
            <w:tcW w:w="2097" w:type="dxa"/>
            <w:tcBorders>
              <w:top w:val="nil"/>
              <w:left w:val="nil"/>
              <w:bottom w:val="single" w:color="auto" w:sz="4" w:space="0"/>
              <w:right w:val="single" w:color="auto" w:sz="4" w:space="0"/>
            </w:tcBorders>
            <w:noWrap/>
            <w:vAlign w:val="center"/>
          </w:tcPr>
          <w:p w14:paraId="4C7AB6BB">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8000≤Z＜120000</w:t>
            </w:r>
          </w:p>
        </w:tc>
        <w:tc>
          <w:tcPr>
            <w:tcW w:w="2105" w:type="dxa"/>
            <w:tcBorders>
              <w:top w:val="nil"/>
              <w:left w:val="nil"/>
              <w:bottom w:val="single" w:color="auto" w:sz="4" w:space="0"/>
              <w:right w:val="single" w:color="auto" w:sz="4" w:space="0"/>
            </w:tcBorders>
            <w:noWrap/>
            <w:vAlign w:val="center"/>
          </w:tcPr>
          <w:p w14:paraId="23F2E276">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100≤Z＜8000</w:t>
            </w:r>
          </w:p>
        </w:tc>
        <w:tc>
          <w:tcPr>
            <w:tcW w:w="1361" w:type="dxa"/>
            <w:tcBorders>
              <w:top w:val="nil"/>
              <w:left w:val="nil"/>
              <w:bottom w:val="single" w:color="auto" w:sz="4" w:space="0"/>
              <w:right w:val="single" w:color="auto" w:sz="4" w:space="0"/>
            </w:tcBorders>
            <w:noWrap/>
            <w:vAlign w:val="center"/>
          </w:tcPr>
          <w:p w14:paraId="35EC575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Y＜100</w:t>
            </w:r>
          </w:p>
        </w:tc>
      </w:tr>
      <w:tr w14:paraId="1D211090">
        <w:tblPrEx>
          <w:tblCellMar>
            <w:top w:w="0" w:type="dxa"/>
            <w:left w:w="108" w:type="dxa"/>
            <w:bottom w:w="0" w:type="dxa"/>
            <w:right w:w="108" w:type="dxa"/>
          </w:tblCellMar>
        </w:tblPrEx>
        <w:trPr>
          <w:trHeight w:val="225" w:hRule="atLeast"/>
          <w:jc w:val="center"/>
        </w:trPr>
        <w:tc>
          <w:tcPr>
            <w:tcW w:w="1700" w:type="dxa"/>
            <w:tcBorders>
              <w:top w:val="nil"/>
              <w:left w:val="single" w:color="auto" w:sz="4" w:space="0"/>
              <w:bottom w:val="single" w:color="auto" w:sz="4" w:space="0"/>
              <w:right w:val="single" w:color="auto" w:sz="4" w:space="0"/>
            </w:tcBorders>
            <w:noWrap/>
            <w:vAlign w:val="center"/>
          </w:tcPr>
          <w:p w14:paraId="3EA251C0">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其他未列明行业</w:t>
            </w:r>
          </w:p>
        </w:tc>
        <w:tc>
          <w:tcPr>
            <w:tcW w:w="1383" w:type="dxa"/>
            <w:tcBorders>
              <w:top w:val="nil"/>
              <w:left w:val="nil"/>
              <w:bottom w:val="single" w:color="auto" w:sz="4" w:space="0"/>
              <w:right w:val="single" w:color="auto" w:sz="4" w:space="0"/>
            </w:tcBorders>
            <w:noWrap/>
            <w:vAlign w:val="center"/>
          </w:tcPr>
          <w:p w14:paraId="4FACB7FD">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从业人员（X）</w:t>
            </w:r>
          </w:p>
        </w:tc>
        <w:tc>
          <w:tcPr>
            <w:tcW w:w="865" w:type="dxa"/>
            <w:tcBorders>
              <w:top w:val="nil"/>
              <w:left w:val="nil"/>
              <w:bottom w:val="single" w:color="auto" w:sz="4" w:space="0"/>
              <w:right w:val="single" w:color="auto" w:sz="4" w:space="0"/>
            </w:tcBorders>
            <w:noWrap/>
            <w:vAlign w:val="center"/>
          </w:tcPr>
          <w:p w14:paraId="052F4F68">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人</w:t>
            </w:r>
          </w:p>
        </w:tc>
        <w:tc>
          <w:tcPr>
            <w:tcW w:w="2097" w:type="dxa"/>
            <w:tcBorders>
              <w:top w:val="nil"/>
              <w:left w:val="nil"/>
              <w:bottom w:val="single" w:color="auto" w:sz="4" w:space="0"/>
              <w:right w:val="single" w:color="auto" w:sz="4" w:space="0"/>
            </w:tcBorders>
            <w:noWrap/>
            <w:vAlign w:val="center"/>
          </w:tcPr>
          <w:p w14:paraId="43653845">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100≤X＜300</w:t>
            </w:r>
          </w:p>
        </w:tc>
        <w:tc>
          <w:tcPr>
            <w:tcW w:w="2105" w:type="dxa"/>
            <w:tcBorders>
              <w:top w:val="nil"/>
              <w:left w:val="nil"/>
              <w:bottom w:val="single" w:color="auto" w:sz="4" w:space="0"/>
              <w:right w:val="single" w:color="auto" w:sz="4" w:space="0"/>
            </w:tcBorders>
            <w:noWrap/>
            <w:vAlign w:val="center"/>
          </w:tcPr>
          <w:p w14:paraId="42C0FEC9">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10≤X＜100</w:t>
            </w:r>
          </w:p>
        </w:tc>
        <w:tc>
          <w:tcPr>
            <w:tcW w:w="1361" w:type="dxa"/>
            <w:tcBorders>
              <w:top w:val="nil"/>
              <w:left w:val="nil"/>
              <w:bottom w:val="single" w:color="auto" w:sz="4" w:space="0"/>
              <w:right w:val="single" w:color="auto" w:sz="4" w:space="0"/>
            </w:tcBorders>
            <w:noWrap/>
            <w:vAlign w:val="center"/>
          </w:tcPr>
          <w:p w14:paraId="41EB1D9A">
            <w:pPr>
              <w:pStyle w:val="32"/>
              <w:widowControl/>
              <w:spacing w:line="36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X＜10</w:t>
            </w:r>
          </w:p>
        </w:tc>
      </w:tr>
    </w:tbl>
    <w:p w14:paraId="093B2263">
      <w:pPr>
        <w:spacing w:line="360" w:lineRule="auto"/>
        <w:ind w:firstLine="525" w:firstLineChars="250"/>
        <w:rPr>
          <w:rFonts w:hint="eastAsia" w:ascii="仿宋_GB2312" w:hAnsi="仿宋" w:eastAsia="仿宋_GB2312"/>
          <w:color w:val="auto"/>
          <w:szCs w:val="21"/>
          <w:highlight w:val="none"/>
        </w:rPr>
      </w:pPr>
      <w:r>
        <w:rPr>
          <w:rFonts w:hint="eastAsia" w:ascii="仿宋_GB2312" w:hAnsi="仿宋" w:eastAsia="仿宋_GB2312"/>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0E0ADF72">
      <w:pPr>
        <w:pStyle w:val="16"/>
        <w:spacing w:line="360" w:lineRule="auto"/>
        <w:rPr>
          <w:rFonts w:hint="eastAsia" w:hAnsi="宋体" w:cs="宋体"/>
          <w:color w:val="auto"/>
          <w:sz w:val="28"/>
          <w:szCs w:val="28"/>
          <w:highlight w:val="none"/>
        </w:rPr>
      </w:pPr>
      <w:r>
        <w:rPr>
          <w:rFonts w:hint="eastAsia" w:hAnsi="宋体" w:cs="宋体"/>
          <w:color w:val="auto"/>
          <w:sz w:val="28"/>
          <w:szCs w:val="28"/>
          <w:highlight w:val="none"/>
        </w:rPr>
        <w:t>附件</w:t>
      </w:r>
      <w:r>
        <w:rPr>
          <w:rFonts w:hint="eastAsia" w:hAnsi="宋体" w:cs="宋体"/>
          <w:color w:val="auto"/>
          <w:sz w:val="28"/>
          <w:szCs w:val="28"/>
          <w:highlight w:val="none"/>
          <w:lang w:val="en-US" w:eastAsia="zh-CN"/>
        </w:rPr>
        <w:t>3</w:t>
      </w:r>
      <w:r>
        <w:rPr>
          <w:rFonts w:hint="eastAsia" w:hAnsi="宋体" w:cs="宋体"/>
          <w:color w:val="auto"/>
          <w:sz w:val="28"/>
          <w:szCs w:val="28"/>
          <w:highlight w:val="none"/>
        </w:rPr>
        <w:t>：</w:t>
      </w:r>
    </w:p>
    <w:p w14:paraId="44396869">
      <w:pPr>
        <w:widowControl/>
        <w:shd w:val="clear" w:color="auto" w:fill="FFFFFF"/>
        <w:spacing w:before="20" w:after="20" w:line="560" w:lineRule="atLeast"/>
        <w:jc w:val="center"/>
        <w:textAlignment w:val="baseline"/>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b/>
          <w:bCs/>
          <w:color w:val="auto"/>
          <w:kern w:val="0"/>
          <w:sz w:val="24"/>
          <w:highlight w:val="none"/>
        </w:rPr>
        <w:t>中国境内生产的组件成本核算基本规则</w:t>
      </w:r>
    </w:p>
    <w:p w14:paraId="1134D004">
      <w:pPr>
        <w:widowControl/>
        <w:shd w:val="clear" w:color="auto" w:fill="FFFFFF"/>
        <w:spacing w:before="20" w:after="20" w:line="480" w:lineRule="auto"/>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1A077EF">
      <w:pPr>
        <w:widowControl/>
        <w:shd w:val="clear" w:color="auto" w:fill="FFFFFF"/>
        <w:spacing w:before="20" w:after="20" w:line="480" w:lineRule="auto"/>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一、产品的一级组件是指直接组成产品的组件。产品的二级组件是指直接组成产品一级组件的组件。一级组件不可分解的，视同二级组件。</w:t>
      </w:r>
    </w:p>
    <w:p w14:paraId="1FB8968D">
      <w:pPr>
        <w:widowControl/>
        <w:shd w:val="clear" w:color="auto" w:fill="FFFFFF"/>
        <w:spacing w:before="20" w:after="20" w:line="480" w:lineRule="auto"/>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二、二级组件在中国境内生产的，其全部成本计入中国境内生产的组件成本；二级组件不在中国境内生产的，其成本不计入中国境内生产的组件成本。</w:t>
      </w:r>
    </w:p>
    <w:p w14:paraId="2101FCB1">
      <w:pPr>
        <w:widowControl/>
        <w:shd w:val="clear" w:color="auto" w:fill="FFFFFF"/>
        <w:spacing w:before="20" w:after="20" w:line="480" w:lineRule="auto"/>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三、产品总成本和组件成本以相关会计核算数据、采购合同、进货记录等为基础进行计算。</w:t>
      </w:r>
    </w:p>
    <w:p w14:paraId="2569039E">
      <w:pPr>
        <w:spacing w:line="360" w:lineRule="auto"/>
        <w:ind w:firstLine="525" w:firstLineChars="25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四、需要对成本核算规则予以进一步明确的其他有关事项，由财政部会同有关部门另行规定。</w:t>
      </w:r>
    </w:p>
    <w:p w14:paraId="4F3D9F8D">
      <w:pPr>
        <w:spacing w:line="360" w:lineRule="auto"/>
        <w:ind w:firstLine="525" w:firstLineChars="250"/>
        <w:rPr>
          <w:rFonts w:hint="eastAsia" w:ascii="仿宋_GB2312" w:hAnsi="仿宋" w:eastAsia="仿宋_GB2312"/>
          <w:color w:val="auto"/>
          <w:szCs w:val="21"/>
          <w:highlight w:val="none"/>
        </w:rPr>
      </w:pPr>
    </w:p>
    <w:p w14:paraId="39C9400F">
      <w:pPr>
        <w:spacing w:line="360" w:lineRule="auto"/>
        <w:ind w:firstLine="525" w:firstLineChars="250"/>
        <w:rPr>
          <w:rFonts w:hint="eastAsia" w:ascii="仿宋_GB2312" w:hAnsi="仿宋" w:eastAsia="仿宋_GB2312"/>
          <w:color w:val="auto"/>
          <w:szCs w:val="21"/>
          <w:highlight w:val="none"/>
        </w:rPr>
      </w:pPr>
    </w:p>
    <w:p w14:paraId="45B5365F">
      <w:pPr>
        <w:spacing w:line="360" w:lineRule="auto"/>
        <w:ind w:firstLine="525" w:firstLineChars="250"/>
        <w:rPr>
          <w:rFonts w:hint="eastAsia" w:ascii="仿宋_GB2312" w:hAnsi="仿宋" w:eastAsia="仿宋_GB2312"/>
          <w:color w:val="auto"/>
          <w:szCs w:val="21"/>
          <w:highlight w:val="none"/>
        </w:rPr>
      </w:pPr>
    </w:p>
    <w:p w14:paraId="3EA670C0">
      <w:pPr>
        <w:spacing w:line="360" w:lineRule="auto"/>
        <w:ind w:firstLine="525" w:firstLineChars="250"/>
        <w:rPr>
          <w:rFonts w:hint="eastAsia" w:ascii="仿宋_GB2312" w:hAnsi="仿宋" w:eastAsia="仿宋_GB2312"/>
          <w:color w:val="auto"/>
          <w:szCs w:val="21"/>
          <w:highlight w:val="none"/>
        </w:rPr>
      </w:pPr>
    </w:p>
    <w:p w14:paraId="1EAD8A2D">
      <w:pPr>
        <w:spacing w:line="360" w:lineRule="auto"/>
        <w:ind w:firstLine="525" w:firstLineChars="250"/>
        <w:rPr>
          <w:rFonts w:hint="eastAsia" w:ascii="仿宋_GB2312" w:hAnsi="仿宋" w:eastAsia="仿宋_GB2312"/>
          <w:color w:val="auto"/>
          <w:szCs w:val="21"/>
          <w:highlight w:val="none"/>
        </w:rPr>
      </w:pPr>
    </w:p>
    <w:p w14:paraId="13800F9E">
      <w:pPr>
        <w:spacing w:line="360" w:lineRule="auto"/>
        <w:ind w:firstLine="525" w:firstLineChars="250"/>
        <w:rPr>
          <w:rFonts w:hint="eastAsia" w:ascii="仿宋_GB2312" w:hAnsi="仿宋" w:eastAsia="仿宋_GB2312"/>
          <w:color w:val="auto"/>
          <w:szCs w:val="21"/>
          <w:highlight w:val="none"/>
        </w:rPr>
      </w:pPr>
    </w:p>
    <w:p w14:paraId="2554876C">
      <w:pPr>
        <w:spacing w:line="360" w:lineRule="auto"/>
        <w:ind w:firstLine="525" w:firstLineChars="250"/>
        <w:rPr>
          <w:rFonts w:hint="eastAsia" w:ascii="仿宋_GB2312" w:hAnsi="仿宋" w:eastAsia="仿宋_GB2312"/>
          <w:color w:val="auto"/>
          <w:szCs w:val="21"/>
          <w:highlight w:val="none"/>
        </w:rPr>
      </w:pPr>
    </w:p>
    <w:p w14:paraId="6DC7AFC1">
      <w:pPr>
        <w:spacing w:line="360" w:lineRule="auto"/>
        <w:ind w:firstLine="525" w:firstLineChars="250"/>
        <w:rPr>
          <w:rFonts w:hint="eastAsia" w:ascii="仿宋_GB2312" w:hAnsi="仿宋" w:eastAsia="仿宋_GB2312"/>
          <w:color w:val="auto"/>
          <w:szCs w:val="21"/>
          <w:highlight w:val="none"/>
        </w:rPr>
      </w:pPr>
    </w:p>
    <w:p w14:paraId="69EDF859">
      <w:pPr>
        <w:spacing w:line="360" w:lineRule="auto"/>
        <w:ind w:firstLine="525" w:firstLineChars="250"/>
        <w:rPr>
          <w:rFonts w:hint="eastAsia" w:ascii="仿宋_GB2312" w:hAnsi="仿宋" w:eastAsia="仿宋_GB2312"/>
          <w:color w:val="auto"/>
          <w:szCs w:val="21"/>
          <w:highlight w:val="none"/>
        </w:rPr>
      </w:pPr>
    </w:p>
    <w:p w14:paraId="54BBE20C">
      <w:pPr>
        <w:spacing w:line="360" w:lineRule="auto"/>
        <w:ind w:firstLine="525" w:firstLineChars="250"/>
        <w:rPr>
          <w:rFonts w:hint="eastAsia" w:ascii="仿宋_GB2312" w:hAnsi="仿宋" w:eastAsia="仿宋_GB2312"/>
          <w:color w:val="auto"/>
          <w:szCs w:val="21"/>
          <w:highlight w:val="none"/>
        </w:rPr>
      </w:pPr>
    </w:p>
    <w:p w14:paraId="6528A257">
      <w:pPr>
        <w:spacing w:line="360" w:lineRule="auto"/>
        <w:ind w:firstLine="525" w:firstLineChars="250"/>
        <w:rPr>
          <w:rFonts w:hint="eastAsia" w:ascii="仿宋_GB2312" w:hAnsi="仿宋" w:eastAsia="仿宋_GB2312"/>
          <w:color w:val="auto"/>
          <w:szCs w:val="21"/>
          <w:highlight w:val="none"/>
        </w:rPr>
      </w:pPr>
    </w:p>
    <w:p w14:paraId="18C34008">
      <w:pPr>
        <w:spacing w:line="360" w:lineRule="auto"/>
        <w:ind w:firstLine="525" w:firstLineChars="250"/>
        <w:rPr>
          <w:rFonts w:hint="eastAsia" w:ascii="仿宋_GB2312" w:hAnsi="仿宋" w:eastAsia="仿宋_GB2312"/>
          <w:color w:val="auto"/>
          <w:szCs w:val="21"/>
          <w:highlight w:val="none"/>
        </w:rPr>
      </w:pPr>
    </w:p>
    <w:p w14:paraId="0569F1ED">
      <w:pPr>
        <w:spacing w:line="360" w:lineRule="auto"/>
        <w:ind w:firstLine="525" w:firstLineChars="250"/>
        <w:rPr>
          <w:rFonts w:hint="eastAsia" w:ascii="仿宋_GB2312" w:hAnsi="仿宋" w:eastAsia="仿宋_GB2312"/>
          <w:color w:val="auto"/>
          <w:szCs w:val="21"/>
          <w:highlight w:val="none"/>
        </w:rPr>
      </w:pPr>
    </w:p>
    <w:p w14:paraId="31112B97">
      <w:pPr>
        <w:spacing w:line="360" w:lineRule="auto"/>
        <w:ind w:firstLine="525" w:firstLineChars="250"/>
        <w:rPr>
          <w:rFonts w:hint="eastAsia" w:ascii="仿宋_GB2312" w:hAnsi="仿宋" w:eastAsia="仿宋_GB2312"/>
          <w:color w:val="auto"/>
          <w:szCs w:val="21"/>
          <w:highlight w:val="none"/>
        </w:rPr>
      </w:pPr>
    </w:p>
    <w:p w14:paraId="0C72E7B7">
      <w:pPr>
        <w:spacing w:line="360" w:lineRule="auto"/>
        <w:ind w:firstLine="525" w:firstLineChars="250"/>
        <w:rPr>
          <w:rFonts w:hint="eastAsia" w:ascii="仿宋_GB2312" w:hAnsi="仿宋" w:eastAsia="仿宋_GB2312"/>
          <w:color w:val="auto"/>
          <w:szCs w:val="21"/>
          <w:highlight w:val="none"/>
        </w:rPr>
      </w:pPr>
    </w:p>
    <w:p w14:paraId="776574C1">
      <w:pPr>
        <w:spacing w:line="360" w:lineRule="auto"/>
        <w:ind w:firstLine="525" w:firstLineChars="250"/>
        <w:rPr>
          <w:rFonts w:hint="eastAsia" w:ascii="仿宋_GB2312" w:hAnsi="仿宋" w:eastAsia="仿宋_GB2312"/>
          <w:color w:val="auto"/>
          <w:szCs w:val="21"/>
          <w:highlight w:val="none"/>
        </w:rPr>
      </w:pPr>
    </w:p>
    <w:p w14:paraId="672652AA">
      <w:pPr>
        <w:spacing w:line="360" w:lineRule="auto"/>
        <w:ind w:firstLine="525" w:firstLineChars="250"/>
        <w:rPr>
          <w:rFonts w:hint="eastAsia" w:ascii="仿宋_GB2312" w:hAnsi="仿宋" w:eastAsia="仿宋_GB2312"/>
          <w:color w:val="auto"/>
          <w:szCs w:val="21"/>
          <w:highlight w:val="none"/>
        </w:rPr>
      </w:pPr>
    </w:p>
    <w:p w14:paraId="52EFD893">
      <w:pPr>
        <w:pStyle w:val="2"/>
        <w:rPr>
          <w:rFonts w:ascii="宋体" w:hAnsi="宋体"/>
          <w:color w:val="auto"/>
          <w:highlight w:val="none"/>
        </w:rPr>
      </w:pPr>
      <w:bookmarkStart w:id="22" w:name="_Toc8893"/>
      <w:r>
        <w:rPr>
          <w:rFonts w:hint="eastAsia" w:ascii="宋体" w:hAnsi="宋体"/>
          <w:color w:val="auto"/>
          <w:highlight w:val="none"/>
        </w:rPr>
        <w:t>第四章 响应文件格式</w:t>
      </w:r>
      <w:bookmarkEnd w:id="22"/>
    </w:p>
    <w:p w14:paraId="3BE5A7AE">
      <w:pPr>
        <w:snapToGrid w:val="0"/>
        <w:spacing w:beforeLines="50" w:after="50"/>
        <w:rPr>
          <w:rFonts w:ascii="宋体" w:hAnsi="宋体" w:cs="宋体"/>
          <w:b/>
          <w:bCs/>
          <w:color w:val="auto"/>
          <w:szCs w:val="21"/>
          <w:highlight w:val="none"/>
        </w:rPr>
      </w:pPr>
      <w:bookmarkStart w:id="23" w:name="_Toc455646389"/>
      <w:r>
        <w:rPr>
          <w:rFonts w:hint="eastAsia" w:ascii="宋体" w:hAnsi="宋体" w:cs="宋体"/>
          <w:b/>
          <w:bCs/>
          <w:color w:val="auto"/>
          <w:szCs w:val="21"/>
          <w:highlight w:val="none"/>
        </w:rPr>
        <w:t>一、响应文件袋外层包装封面格式</w:t>
      </w:r>
    </w:p>
    <w:p w14:paraId="3043B74B">
      <w:pPr>
        <w:snapToGrid w:val="0"/>
        <w:spacing w:beforeLines="50" w:after="50"/>
        <w:rPr>
          <w:rFonts w:ascii="宋体" w:hAnsi="宋体" w:cs="宋体"/>
          <w:b/>
          <w:bCs/>
          <w:color w:val="auto"/>
          <w:szCs w:val="21"/>
          <w:highlight w:val="none"/>
        </w:rPr>
      </w:pPr>
      <w:r>
        <w:rPr>
          <w:rFonts w:hint="eastAsia" w:ascii="宋体" w:hAnsi="宋体" w:cs="宋体"/>
          <w:b/>
          <w:bCs/>
          <w:color w:val="auto"/>
          <w:szCs w:val="21"/>
          <w:highlight w:val="none"/>
        </w:rPr>
        <w:t>1.所有文件（资格证明文件、商务和技术文件、报价文件）的外装封面格式：</w:t>
      </w:r>
    </w:p>
    <w:p w14:paraId="0D665B02">
      <w:pPr>
        <w:snapToGrid w:val="0"/>
        <w:spacing w:beforeLines="50" w:after="50"/>
        <w:jc w:val="center"/>
        <w:rPr>
          <w:rFonts w:ascii="宋体" w:hAnsi="宋体" w:cs="宋体"/>
          <w:bCs/>
          <w:color w:val="auto"/>
          <w:szCs w:val="21"/>
          <w:highlight w:val="none"/>
        </w:rPr>
      </w:pPr>
    </w:p>
    <w:p w14:paraId="7DF89D27">
      <w:pPr>
        <w:snapToGrid w:val="0"/>
        <w:spacing w:beforeLines="50" w:after="50"/>
        <w:jc w:val="center"/>
        <w:rPr>
          <w:rFonts w:ascii="宋体" w:hAnsi="宋体" w:cs="宋体"/>
          <w:bCs/>
          <w:color w:val="auto"/>
          <w:szCs w:val="21"/>
          <w:highlight w:val="none"/>
        </w:rPr>
      </w:pPr>
    </w:p>
    <w:p w14:paraId="687D3987">
      <w:pPr>
        <w:snapToGrid w:val="0"/>
        <w:spacing w:beforeLines="50" w:after="50"/>
        <w:jc w:val="center"/>
        <w:rPr>
          <w:rFonts w:ascii="宋体" w:hAnsi="宋体" w:cs="宋体"/>
          <w:bCs/>
          <w:color w:val="auto"/>
          <w:szCs w:val="21"/>
          <w:highlight w:val="none"/>
        </w:rPr>
      </w:pPr>
    </w:p>
    <w:p w14:paraId="4FAC0235">
      <w:pPr>
        <w:snapToGrid w:val="0"/>
        <w:spacing w:beforeLines="50" w:after="50"/>
        <w:jc w:val="center"/>
        <w:rPr>
          <w:rFonts w:ascii="宋体" w:hAnsi="宋体" w:cs="宋体"/>
          <w:b/>
          <w:bCs/>
          <w:color w:val="auto"/>
          <w:sz w:val="52"/>
          <w:szCs w:val="52"/>
          <w:highlight w:val="none"/>
        </w:rPr>
      </w:pPr>
      <w:r>
        <w:rPr>
          <w:rFonts w:hint="eastAsia" w:ascii="宋体" w:hAnsi="宋体" w:cs="宋体"/>
          <w:b/>
          <w:bCs/>
          <w:color w:val="auto"/>
          <w:sz w:val="52"/>
          <w:szCs w:val="52"/>
          <w:highlight w:val="none"/>
        </w:rPr>
        <w:t>响  应 文 件 袋</w:t>
      </w:r>
    </w:p>
    <w:p w14:paraId="29004494">
      <w:pPr>
        <w:snapToGrid w:val="0"/>
        <w:spacing w:beforeLines="50" w:after="50"/>
        <w:jc w:val="center"/>
        <w:rPr>
          <w:rFonts w:ascii="宋体" w:hAnsi="宋体" w:cs="宋体"/>
          <w:bCs/>
          <w:color w:val="auto"/>
          <w:sz w:val="52"/>
          <w:szCs w:val="52"/>
          <w:highlight w:val="none"/>
        </w:rPr>
      </w:pPr>
    </w:p>
    <w:p w14:paraId="23483BF9">
      <w:pPr>
        <w:snapToGrid w:val="0"/>
        <w:spacing w:beforeLines="50" w:after="50"/>
        <w:jc w:val="center"/>
        <w:rPr>
          <w:rFonts w:ascii="宋体" w:hAnsi="宋体" w:cs="宋体"/>
          <w:bCs/>
          <w:color w:val="auto"/>
          <w:sz w:val="52"/>
          <w:szCs w:val="52"/>
          <w:highlight w:val="none"/>
        </w:rPr>
      </w:pPr>
    </w:p>
    <w:p w14:paraId="40488B56">
      <w:pPr>
        <w:snapToGrid w:val="0"/>
        <w:spacing w:beforeLines="50" w:after="50"/>
        <w:rPr>
          <w:rFonts w:ascii="宋体" w:hAnsi="宋体" w:cs="宋体"/>
          <w:bCs/>
          <w:color w:val="auto"/>
          <w:szCs w:val="21"/>
          <w:highlight w:val="none"/>
        </w:rPr>
      </w:pPr>
    </w:p>
    <w:p w14:paraId="3D0733AF">
      <w:pPr>
        <w:snapToGrid w:val="0"/>
        <w:spacing w:beforeLines="50" w:after="50"/>
        <w:ind w:firstLine="450" w:firstLineChars="150"/>
        <w:rPr>
          <w:rFonts w:ascii="宋体" w:hAnsi="宋体" w:cs="宋体"/>
          <w:bCs/>
          <w:color w:val="auto"/>
          <w:sz w:val="30"/>
          <w:szCs w:val="30"/>
          <w:highlight w:val="none"/>
        </w:rPr>
      </w:pPr>
      <w:r>
        <w:rPr>
          <w:rFonts w:hint="eastAsia" w:ascii="宋体" w:hAnsi="宋体" w:cs="宋体"/>
          <w:bCs/>
          <w:color w:val="auto"/>
          <w:sz w:val="30"/>
          <w:szCs w:val="30"/>
          <w:highlight w:val="none"/>
        </w:rPr>
        <w:t>项目名称：</w:t>
      </w:r>
    </w:p>
    <w:p w14:paraId="730C41D6">
      <w:pPr>
        <w:snapToGrid w:val="0"/>
        <w:spacing w:beforeLines="50" w:after="50"/>
        <w:ind w:firstLine="450" w:firstLineChars="150"/>
        <w:rPr>
          <w:rFonts w:ascii="宋体" w:hAnsi="宋体" w:cs="宋体"/>
          <w:bCs/>
          <w:color w:val="auto"/>
          <w:sz w:val="30"/>
          <w:szCs w:val="30"/>
          <w:highlight w:val="none"/>
        </w:rPr>
      </w:pPr>
    </w:p>
    <w:p w14:paraId="3088E6F2">
      <w:pPr>
        <w:snapToGrid w:val="0"/>
        <w:spacing w:beforeLines="50" w:after="50"/>
        <w:ind w:firstLine="450" w:firstLineChars="150"/>
        <w:rPr>
          <w:rFonts w:ascii="宋体" w:hAnsi="宋体" w:cs="宋体"/>
          <w:bCs/>
          <w:color w:val="auto"/>
          <w:sz w:val="30"/>
          <w:szCs w:val="30"/>
          <w:highlight w:val="none"/>
        </w:rPr>
      </w:pPr>
      <w:r>
        <w:rPr>
          <w:rFonts w:hint="eastAsia" w:ascii="宋体" w:hAnsi="宋体" w:cs="宋体"/>
          <w:bCs/>
          <w:color w:val="auto"/>
          <w:sz w:val="30"/>
          <w:szCs w:val="30"/>
          <w:highlight w:val="none"/>
        </w:rPr>
        <w:t xml:space="preserve">项目编号： </w:t>
      </w:r>
    </w:p>
    <w:p w14:paraId="46DF246C">
      <w:pPr>
        <w:snapToGrid w:val="0"/>
        <w:spacing w:beforeLines="50" w:after="50"/>
        <w:ind w:firstLine="450" w:firstLineChars="150"/>
        <w:rPr>
          <w:rFonts w:ascii="宋体" w:hAnsi="宋体" w:cs="宋体"/>
          <w:bCs/>
          <w:color w:val="auto"/>
          <w:sz w:val="30"/>
          <w:szCs w:val="30"/>
          <w:highlight w:val="none"/>
        </w:rPr>
      </w:pPr>
    </w:p>
    <w:p w14:paraId="4752E89B">
      <w:pPr>
        <w:pStyle w:val="7"/>
        <w:snapToGrid w:val="0"/>
        <w:spacing w:before="50" w:after="50" w:line="360" w:lineRule="auto"/>
        <w:ind w:firstLine="450" w:firstLineChars="150"/>
        <w:rPr>
          <w:rFonts w:ascii="宋体" w:hAnsi="宋体" w:cs="宋体"/>
          <w:bCs/>
          <w:color w:val="auto"/>
          <w:sz w:val="30"/>
          <w:szCs w:val="30"/>
          <w:highlight w:val="none"/>
        </w:rPr>
      </w:pPr>
      <w:r>
        <w:rPr>
          <w:rFonts w:hint="eastAsia" w:ascii="宋体" w:hAnsi="宋体" w:cs="宋体"/>
          <w:bCs/>
          <w:color w:val="auto"/>
          <w:sz w:val="30"/>
          <w:szCs w:val="30"/>
          <w:highlight w:val="none"/>
        </w:rPr>
        <w:t>标    项：（如有则填写，无分标时填写“无”或者留空）</w:t>
      </w:r>
    </w:p>
    <w:p w14:paraId="618DFF7F">
      <w:pPr>
        <w:pStyle w:val="7"/>
        <w:snapToGrid w:val="0"/>
        <w:spacing w:before="50" w:after="50"/>
        <w:ind w:firstLine="450" w:firstLineChars="150"/>
        <w:rPr>
          <w:rFonts w:ascii="宋体" w:hAnsi="宋体" w:cs="宋体"/>
          <w:bCs/>
          <w:color w:val="auto"/>
          <w:sz w:val="30"/>
          <w:szCs w:val="30"/>
          <w:highlight w:val="none"/>
        </w:rPr>
      </w:pPr>
    </w:p>
    <w:p w14:paraId="6BCEC752">
      <w:pPr>
        <w:pStyle w:val="7"/>
        <w:snapToGrid w:val="0"/>
        <w:spacing w:before="50" w:after="50"/>
        <w:ind w:firstLine="450" w:firstLineChars="150"/>
        <w:rPr>
          <w:rFonts w:ascii="宋体" w:hAnsi="宋体" w:cs="宋体"/>
          <w:bCs/>
          <w:color w:val="auto"/>
          <w:sz w:val="30"/>
          <w:szCs w:val="30"/>
          <w:highlight w:val="none"/>
        </w:rPr>
      </w:pPr>
      <w:r>
        <w:rPr>
          <w:rFonts w:hint="eastAsia" w:ascii="宋体" w:hAnsi="宋体" w:cs="宋体"/>
          <w:bCs/>
          <w:color w:val="auto"/>
          <w:sz w:val="30"/>
          <w:szCs w:val="30"/>
          <w:highlight w:val="none"/>
        </w:rPr>
        <w:t>供应商名称：</w:t>
      </w:r>
      <w:r>
        <w:rPr>
          <w:rFonts w:hint="eastAsia" w:ascii="宋体" w:hAnsi="宋体" w:cs="宋体"/>
          <w:bCs/>
          <w:color w:val="auto"/>
          <w:sz w:val="30"/>
          <w:szCs w:val="30"/>
          <w:highlight w:val="none"/>
          <w:u w:val="single"/>
        </w:rPr>
        <w:t xml:space="preserve">             全称           </w:t>
      </w:r>
      <w:r>
        <w:rPr>
          <w:rFonts w:hint="eastAsia" w:ascii="宋体" w:hAnsi="宋体" w:cs="宋体"/>
          <w:bCs/>
          <w:color w:val="auto"/>
          <w:sz w:val="30"/>
          <w:szCs w:val="30"/>
          <w:highlight w:val="none"/>
        </w:rPr>
        <w:t>（加盖单位电子公章）</w:t>
      </w:r>
    </w:p>
    <w:p w14:paraId="4449BF07">
      <w:pPr>
        <w:pStyle w:val="7"/>
        <w:snapToGrid w:val="0"/>
        <w:spacing w:before="50" w:after="50"/>
        <w:ind w:firstLine="450" w:firstLineChars="150"/>
        <w:rPr>
          <w:rFonts w:ascii="宋体" w:hAnsi="宋体" w:cs="宋体"/>
          <w:bCs/>
          <w:color w:val="auto"/>
          <w:sz w:val="30"/>
          <w:szCs w:val="30"/>
          <w:highlight w:val="none"/>
        </w:rPr>
      </w:pPr>
    </w:p>
    <w:p w14:paraId="30E1FB82">
      <w:pPr>
        <w:pStyle w:val="7"/>
        <w:snapToGrid w:val="0"/>
        <w:spacing w:before="50" w:after="50"/>
        <w:ind w:firstLine="450" w:firstLineChars="150"/>
        <w:rPr>
          <w:rFonts w:ascii="宋体" w:hAnsi="宋体" w:cs="宋体"/>
          <w:bCs/>
          <w:color w:val="auto"/>
          <w:sz w:val="30"/>
          <w:szCs w:val="30"/>
          <w:highlight w:val="none"/>
        </w:rPr>
      </w:pPr>
      <w:r>
        <w:rPr>
          <w:rFonts w:hint="eastAsia" w:ascii="宋体" w:hAnsi="宋体" w:cs="宋体"/>
          <w:bCs/>
          <w:color w:val="auto"/>
          <w:sz w:val="30"/>
          <w:szCs w:val="30"/>
          <w:highlight w:val="none"/>
        </w:rPr>
        <w:t>供应商地址：</w:t>
      </w:r>
      <w:r>
        <w:rPr>
          <w:rFonts w:hint="eastAsia" w:ascii="宋体" w:hAnsi="宋体" w:cs="宋体"/>
          <w:bCs/>
          <w:color w:val="auto"/>
          <w:sz w:val="30"/>
          <w:szCs w:val="30"/>
          <w:highlight w:val="none"/>
          <w:u w:val="single"/>
        </w:rPr>
        <w:t xml:space="preserve">                            </w:t>
      </w:r>
      <w:r>
        <w:rPr>
          <w:rFonts w:hint="eastAsia" w:ascii="宋体" w:hAnsi="宋体" w:cs="宋体"/>
          <w:bCs/>
          <w:color w:val="auto"/>
          <w:sz w:val="30"/>
          <w:szCs w:val="30"/>
          <w:highlight w:val="none"/>
        </w:rPr>
        <w:t xml:space="preserve">   </w:t>
      </w:r>
    </w:p>
    <w:p w14:paraId="07D62B0B">
      <w:pPr>
        <w:pStyle w:val="7"/>
        <w:snapToGrid w:val="0"/>
        <w:spacing w:before="50" w:after="50"/>
        <w:ind w:firstLine="450" w:firstLineChars="150"/>
        <w:rPr>
          <w:rFonts w:ascii="宋体" w:hAnsi="宋体" w:cs="宋体"/>
          <w:bCs/>
          <w:color w:val="auto"/>
          <w:sz w:val="30"/>
          <w:szCs w:val="30"/>
          <w:highlight w:val="none"/>
        </w:rPr>
      </w:pPr>
    </w:p>
    <w:p w14:paraId="47931A60">
      <w:pPr>
        <w:pStyle w:val="7"/>
        <w:snapToGrid w:val="0"/>
        <w:spacing w:before="50" w:after="50"/>
        <w:ind w:firstLine="450" w:firstLineChars="150"/>
        <w:rPr>
          <w:rFonts w:ascii="宋体" w:hAnsi="宋体" w:cs="宋体"/>
          <w:bCs/>
          <w:color w:val="auto"/>
          <w:sz w:val="30"/>
          <w:szCs w:val="30"/>
          <w:highlight w:val="none"/>
        </w:rPr>
      </w:pPr>
    </w:p>
    <w:p w14:paraId="4582D26E">
      <w:pPr>
        <w:pStyle w:val="7"/>
        <w:snapToGrid w:val="0"/>
        <w:spacing w:before="50" w:after="50"/>
        <w:ind w:firstLine="360" w:firstLineChars="150"/>
        <w:rPr>
          <w:rFonts w:ascii="宋体" w:hAnsi="宋体" w:cs="宋体"/>
          <w:bCs/>
          <w:color w:val="auto"/>
          <w:sz w:val="30"/>
          <w:szCs w:val="30"/>
          <w:highlight w:val="none"/>
        </w:rPr>
      </w:pPr>
      <w:r>
        <w:rPr>
          <w:rFonts w:hint="eastAsia" w:ascii="宋体" w:hAnsi="宋体"/>
          <w:bCs/>
          <w:color w:val="auto"/>
          <w:sz w:val="24"/>
          <w:highlight w:val="none"/>
        </w:rPr>
        <w:t>在首次响应文件提交截止时间之前不得解密</w:t>
      </w:r>
    </w:p>
    <w:p w14:paraId="4F155161">
      <w:pPr>
        <w:pStyle w:val="7"/>
        <w:snapToGrid w:val="0"/>
        <w:spacing w:before="50" w:after="50"/>
        <w:ind w:firstLine="450" w:firstLineChars="150"/>
        <w:rPr>
          <w:rFonts w:ascii="宋体" w:hAnsi="宋体" w:cs="宋体"/>
          <w:bCs/>
          <w:color w:val="auto"/>
          <w:sz w:val="30"/>
          <w:szCs w:val="30"/>
          <w:highlight w:val="none"/>
        </w:rPr>
      </w:pPr>
    </w:p>
    <w:p w14:paraId="76BFF3F8">
      <w:pPr>
        <w:pStyle w:val="7"/>
        <w:snapToGrid w:val="0"/>
        <w:spacing w:before="50" w:after="50"/>
        <w:ind w:firstLine="0"/>
        <w:rPr>
          <w:rFonts w:ascii="宋体" w:hAnsi="宋体" w:cs="宋体"/>
          <w:bCs/>
          <w:color w:val="auto"/>
          <w:sz w:val="30"/>
          <w:szCs w:val="30"/>
          <w:highlight w:val="none"/>
        </w:rPr>
      </w:pPr>
    </w:p>
    <w:p w14:paraId="1CFDC5DD">
      <w:pPr>
        <w:pStyle w:val="7"/>
        <w:snapToGrid w:val="0"/>
        <w:spacing w:before="50" w:after="50"/>
        <w:ind w:firstLine="450" w:firstLineChars="150"/>
        <w:jc w:val="center"/>
        <w:rPr>
          <w:rFonts w:ascii="宋体" w:hAnsi="宋体" w:cs="宋体"/>
          <w:color w:val="auto"/>
          <w:sz w:val="21"/>
          <w:szCs w:val="21"/>
          <w:highlight w:val="none"/>
        </w:rPr>
      </w:pPr>
      <w:r>
        <w:rPr>
          <w:rFonts w:hint="eastAsia" w:ascii="宋体" w:hAnsi="宋体" w:cs="宋体"/>
          <w:bCs/>
          <w:color w:val="auto"/>
          <w:sz w:val="30"/>
          <w:szCs w:val="30"/>
          <w:highlight w:val="none"/>
        </w:rPr>
        <w:t xml:space="preserve">                          年    月    日</w:t>
      </w:r>
    </w:p>
    <w:p w14:paraId="2994FC75">
      <w:pPr>
        <w:snapToGrid w:val="0"/>
        <w:spacing w:beforeLines="50" w:after="50"/>
        <w:outlineLvl w:val="1"/>
        <w:rPr>
          <w:rFonts w:ascii="宋体" w:hAnsi="宋体" w:cs="宋体"/>
          <w:b/>
          <w:bCs/>
          <w:color w:val="auto"/>
          <w:szCs w:val="21"/>
          <w:highlight w:val="none"/>
        </w:rPr>
      </w:pPr>
      <w:r>
        <w:rPr>
          <w:rFonts w:hint="eastAsia" w:ascii="宋体" w:hAnsi="宋体" w:cs="宋体"/>
          <w:b/>
          <w:bCs/>
          <w:color w:val="auto"/>
          <w:szCs w:val="21"/>
          <w:highlight w:val="none"/>
        </w:rPr>
        <w:br w:type="page"/>
      </w:r>
      <w:bookmarkEnd w:id="23"/>
      <w:bookmarkStart w:id="24" w:name="_Toc1763"/>
      <w:r>
        <w:rPr>
          <w:rFonts w:hint="eastAsia" w:ascii="宋体" w:hAnsi="宋体" w:cs="宋体"/>
          <w:b/>
          <w:bCs/>
          <w:color w:val="auto"/>
          <w:szCs w:val="21"/>
          <w:highlight w:val="none"/>
        </w:rPr>
        <w:t>二、响应文件格式</w:t>
      </w:r>
      <w:bookmarkEnd w:id="24"/>
    </w:p>
    <w:p w14:paraId="03394F8A">
      <w:pPr>
        <w:snapToGrid w:val="0"/>
        <w:spacing w:beforeLines="50" w:after="50"/>
        <w:rPr>
          <w:rFonts w:ascii="宋体" w:hAnsi="宋体" w:cs="宋体"/>
          <w:b/>
          <w:bCs/>
          <w:color w:val="auto"/>
          <w:szCs w:val="21"/>
          <w:highlight w:val="none"/>
        </w:rPr>
      </w:pPr>
    </w:p>
    <w:p w14:paraId="66CEB834">
      <w:pPr>
        <w:snapToGrid w:val="0"/>
        <w:spacing w:beforeLines="50" w:after="50"/>
        <w:rPr>
          <w:rFonts w:ascii="宋体" w:hAnsi="宋体" w:cs="宋体"/>
          <w:b/>
          <w:bCs/>
          <w:color w:val="auto"/>
          <w:szCs w:val="21"/>
          <w:highlight w:val="none"/>
        </w:rPr>
      </w:pPr>
      <w:r>
        <w:rPr>
          <w:rFonts w:hint="eastAsia" w:ascii="宋体" w:hAnsi="宋体" w:cs="宋体"/>
          <w:b/>
          <w:bCs/>
          <w:color w:val="auto"/>
          <w:szCs w:val="21"/>
          <w:highlight w:val="none"/>
        </w:rPr>
        <w:t>1、资格证明文件格式：</w:t>
      </w:r>
    </w:p>
    <w:p w14:paraId="373C2E54">
      <w:pPr>
        <w:spacing w:line="240" w:lineRule="atLeast"/>
        <w:jc w:val="center"/>
        <w:rPr>
          <w:rFonts w:ascii="宋体" w:hAnsi="宋体" w:cs="宋体"/>
          <w:b/>
          <w:color w:val="auto"/>
          <w:sz w:val="32"/>
          <w:szCs w:val="32"/>
          <w:highlight w:val="none"/>
        </w:rPr>
      </w:pPr>
    </w:p>
    <w:p w14:paraId="7B02D034">
      <w:pPr>
        <w:spacing w:line="240" w:lineRule="atLeast"/>
        <w:jc w:val="center"/>
        <w:rPr>
          <w:rFonts w:ascii="宋体" w:hAnsi="宋体" w:cs="宋体"/>
          <w:b/>
          <w:color w:val="auto"/>
          <w:sz w:val="32"/>
          <w:szCs w:val="32"/>
          <w:highlight w:val="none"/>
        </w:rPr>
      </w:pPr>
    </w:p>
    <w:p w14:paraId="7AFB1AD4">
      <w:pPr>
        <w:snapToGrid w:val="0"/>
        <w:spacing w:beforeLines="50" w:after="50" w:line="280" w:lineRule="exact"/>
        <w:ind w:firstLine="8" w:firstLineChars="3"/>
        <w:jc w:val="right"/>
        <w:rPr>
          <w:rFonts w:ascii="宋体" w:hAnsi="宋体" w:cs="宋体"/>
          <w:bCs/>
          <w:color w:val="auto"/>
          <w:sz w:val="28"/>
          <w:szCs w:val="28"/>
          <w:highlight w:val="none"/>
        </w:rPr>
      </w:pPr>
      <w:r>
        <w:rPr>
          <w:rFonts w:hint="eastAsia" w:ascii="宋体" w:hAnsi="宋体" w:cs="宋体"/>
          <w:bCs/>
          <w:color w:val="auto"/>
          <w:sz w:val="28"/>
          <w:szCs w:val="28"/>
          <w:highlight w:val="none"/>
        </w:rPr>
        <w:t>电子响应文件</w:t>
      </w:r>
    </w:p>
    <w:p w14:paraId="0AF03930">
      <w:pPr>
        <w:snapToGrid w:val="0"/>
        <w:spacing w:beforeLines="50" w:after="50" w:line="280" w:lineRule="exact"/>
        <w:ind w:firstLine="9" w:firstLineChars="3"/>
        <w:jc w:val="center"/>
        <w:rPr>
          <w:rFonts w:ascii="宋体" w:hAnsi="宋体" w:cs="宋体"/>
          <w:bCs/>
          <w:color w:val="auto"/>
          <w:sz w:val="32"/>
          <w:szCs w:val="32"/>
          <w:highlight w:val="none"/>
        </w:rPr>
      </w:pPr>
    </w:p>
    <w:p w14:paraId="392649FD">
      <w:pPr>
        <w:snapToGrid w:val="0"/>
        <w:spacing w:beforeLines="50" w:after="50" w:line="280" w:lineRule="exact"/>
        <w:ind w:firstLine="9" w:firstLineChars="3"/>
        <w:jc w:val="center"/>
        <w:rPr>
          <w:rFonts w:ascii="宋体" w:hAnsi="宋体" w:cs="宋体"/>
          <w:bCs/>
          <w:color w:val="auto"/>
          <w:sz w:val="32"/>
          <w:szCs w:val="32"/>
          <w:highlight w:val="none"/>
        </w:rPr>
      </w:pPr>
    </w:p>
    <w:p w14:paraId="2F9E43D7">
      <w:pPr>
        <w:snapToGrid w:val="0"/>
        <w:spacing w:beforeLines="50" w:after="50" w:line="280" w:lineRule="exact"/>
        <w:ind w:firstLine="9" w:firstLineChars="3"/>
        <w:jc w:val="center"/>
        <w:rPr>
          <w:rFonts w:ascii="宋体" w:hAnsi="宋体" w:cs="宋体"/>
          <w:bCs/>
          <w:color w:val="auto"/>
          <w:sz w:val="32"/>
          <w:szCs w:val="32"/>
          <w:highlight w:val="none"/>
        </w:rPr>
      </w:pPr>
    </w:p>
    <w:p w14:paraId="19F3E04D">
      <w:pPr>
        <w:snapToGrid w:val="0"/>
        <w:spacing w:beforeLines="50" w:after="50"/>
        <w:ind w:firstLine="13" w:firstLineChars="3"/>
        <w:jc w:val="center"/>
        <w:rPr>
          <w:rFonts w:ascii="宋体" w:hAnsi="宋体" w:cs="宋体"/>
          <w:bCs/>
          <w:color w:val="auto"/>
          <w:sz w:val="44"/>
          <w:szCs w:val="44"/>
          <w:highlight w:val="none"/>
        </w:rPr>
      </w:pPr>
      <w:r>
        <w:rPr>
          <w:rFonts w:hint="eastAsia" w:ascii="宋体" w:hAnsi="宋体" w:cs="宋体"/>
          <w:bCs/>
          <w:color w:val="auto"/>
          <w:sz w:val="44"/>
          <w:szCs w:val="44"/>
          <w:highlight w:val="none"/>
        </w:rPr>
        <w:t>响应文件</w:t>
      </w:r>
    </w:p>
    <w:p w14:paraId="50297822">
      <w:pPr>
        <w:snapToGrid w:val="0"/>
        <w:spacing w:beforeLines="50" w:after="50"/>
        <w:ind w:firstLine="9" w:firstLineChars="3"/>
        <w:jc w:val="center"/>
        <w:rPr>
          <w:rFonts w:ascii="宋体" w:hAnsi="宋体" w:cs="宋体"/>
          <w:bCs/>
          <w:color w:val="auto"/>
          <w:sz w:val="32"/>
          <w:szCs w:val="32"/>
          <w:highlight w:val="none"/>
        </w:rPr>
      </w:pPr>
      <w:r>
        <w:rPr>
          <w:rFonts w:hint="eastAsia" w:ascii="宋体" w:hAnsi="宋体" w:cs="宋体"/>
          <w:bCs/>
          <w:color w:val="auto"/>
          <w:sz w:val="32"/>
          <w:szCs w:val="32"/>
          <w:highlight w:val="none"/>
        </w:rPr>
        <w:t>（资格证明文件）</w:t>
      </w:r>
    </w:p>
    <w:p w14:paraId="0F1A2D48">
      <w:pPr>
        <w:snapToGrid w:val="0"/>
        <w:spacing w:beforeLines="50" w:after="50"/>
        <w:rPr>
          <w:rFonts w:ascii="宋体" w:hAnsi="宋体" w:cs="宋体"/>
          <w:bCs/>
          <w:color w:val="auto"/>
          <w:szCs w:val="21"/>
          <w:highlight w:val="none"/>
        </w:rPr>
      </w:pPr>
    </w:p>
    <w:p w14:paraId="3DDAE64B">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项目名称：</w:t>
      </w:r>
    </w:p>
    <w:p w14:paraId="314E061E">
      <w:pPr>
        <w:snapToGrid w:val="0"/>
        <w:spacing w:beforeLines="50" w:after="50" w:line="280" w:lineRule="exact"/>
        <w:ind w:firstLine="675" w:firstLineChars="225"/>
        <w:rPr>
          <w:rFonts w:ascii="宋体" w:hAnsi="宋体" w:cs="宋体"/>
          <w:bCs/>
          <w:color w:val="auto"/>
          <w:sz w:val="30"/>
          <w:szCs w:val="30"/>
          <w:highlight w:val="none"/>
        </w:rPr>
      </w:pPr>
    </w:p>
    <w:p w14:paraId="5BF3B8EC">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项目编号：</w:t>
      </w:r>
    </w:p>
    <w:p w14:paraId="469D045A">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 xml:space="preserve"> </w:t>
      </w:r>
    </w:p>
    <w:p w14:paraId="030B13BE">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标    项：（如有则填写，无分标时填写“无”或者留空）</w:t>
      </w:r>
    </w:p>
    <w:p w14:paraId="05AE23F4">
      <w:pPr>
        <w:snapToGrid w:val="0"/>
        <w:spacing w:beforeLines="50" w:after="50" w:line="280" w:lineRule="exact"/>
        <w:ind w:firstLine="675" w:firstLineChars="225"/>
        <w:rPr>
          <w:rFonts w:ascii="宋体" w:hAnsi="宋体" w:cs="宋体"/>
          <w:bCs/>
          <w:color w:val="auto"/>
          <w:sz w:val="30"/>
          <w:szCs w:val="30"/>
          <w:highlight w:val="none"/>
        </w:rPr>
      </w:pPr>
    </w:p>
    <w:p w14:paraId="662D8115">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供应商名称：</w:t>
      </w:r>
      <w:r>
        <w:rPr>
          <w:rFonts w:hint="eastAsia" w:ascii="宋体" w:hAnsi="宋体"/>
          <w:bCs/>
          <w:color w:val="auto"/>
          <w:sz w:val="24"/>
          <w:highlight w:val="none"/>
          <w:u w:val="single"/>
        </w:rPr>
        <w:t xml:space="preserve">                       </w:t>
      </w:r>
      <w:r>
        <w:rPr>
          <w:rFonts w:hint="eastAsia" w:ascii="宋体" w:hAnsi="宋体" w:cs="宋体"/>
          <w:bCs/>
          <w:color w:val="auto"/>
          <w:sz w:val="30"/>
          <w:szCs w:val="30"/>
          <w:highlight w:val="none"/>
        </w:rPr>
        <w:t>（加盖单位电子公章）</w:t>
      </w:r>
    </w:p>
    <w:p w14:paraId="7DBA3587">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p>
    <w:p w14:paraId="1EF12D1E">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供应商地址：</w:t>
      </w:r>
    </w:p>
    <w:p w14:paraId="2CA3E94F">
      <w:pPr>
        <w:pStyle w:val="7"/>
        <w:snapToGrid w:val="0"/>
        <w:spacing w:before="50" w:after="50" w:line="280" w:lineRule="exact"/>
        <w:ind w:firstLine="675" w:firstLineChars="225"/>
        <w:rPr>
          <w:rFonts w:ascii="宋体" w:hAnsi="宋体" w:cs="宋体"/>
          <w:bCs/>
          <w:color w:val="auto"/>
          <w:sz w:val="30"/>
          <w:szCs w:val="30"/>
          <w:highlight w:val="none"/>
        </w:rPr>
      </w:pPr>
    </w:p>
    <w:p w14:paraId="2433E1A3">
      <w:pPr>
        <w:snapToGrid w:val="0"/>
        <w:spacing w:beforeLines="50" w:after="50"/>
        <w:ind w:firstLine="10"/>
        <w:jc w:val="center"/>
        <w:rPr>
          <w:rFonts w:ascii="宋体" w:hAnsi="宋体" w:cs="宋体"/>
          <w:color w:val="auto"/>
          <w:sz w:val="30"/>
          <w:szCs w:val="30"/>
          <w:highlight w:val="none"/>
        </w:rPr>
      </w:pPr>
    </w:p>
    <w:p w14:paraId="5912D461">
      <w:pPr>
        <w:snapToGrid w:val="0"/>
        <w:spacing w:beforeLines="50" w:after="50"/>
        <w:ind w:firstLine="10"/>
        <w:jc w:val="center"/>
        <w:rPr>
          <w:rFonts w:ascii="宋体" w:hAnsi="宋体" w:cs="宋体"/>
          <w:color w:val="auto"/>
          <w:sz w:val="30"/>
          <w:szCs w:val="30"/>
          <w:highlight w:val="none"/>
        </w:rPr>
      </w:pPr>
    </w:p>
    <w:p w14:paraId="6358C05C">
      <w:pPr>
        <w:snapToGrid w:val="0"/>
        <w:spacing w:beforeLines="50" w:after="50"/>
        <w:ind w:firstLine="10"/>
        <w:jc w:val="center"/>
        <w:rPr>
          <w:rFonts w:ascii="宋体" w:hAnsi="宋体" w:cs="宋体"/>
          <w:color w:val="auto"/>
          <w:sz w:val="30"/>
          <w:szCs w:val="30"/>
          <w:highlight w:val="none"/>
        </w:rPr>
      </w:pPr>
    </w:p>
    <w:p w14:paraId="2890443A">
      <w:pPr>
        <w:snapToGrid w:val="0"/>
        <w:spacing w:beforeLines="50" w:after="50"/>
        <w:ind w:firstLine="10"/>
        <w:jc w:val="center"/>
        <w:rPr>
          <w:rFonts w:ascii="宋体" w:hAnsi="宋体" w:cs="宋体"/>
          <w:color w:val="auto"/>
          <w:sz w:val="30"/>
          <w:szCs w:val="30"/>
          <w:highlight w:val="none"/>
        </w:rPr>
      </w:pPr>
    </w:p>
    <w:p w14:paraId="3FCA702C">
      <w:pPr>
        <w:snapToGrid w:val="0"/>
        <w:spacing w:beforeLines="50" w:after="50"/>
        <w:ind w:firstLine="10"/>
        <w:jc w:val="center"/>
        <w:rPr>
          <w:rFonts w:ascii="宋体" w:hAnsi="宋体" w:cs="宋体"/>
          <w:color w:val="auto"/>
          <w:sz w:val="30"/>
          <w:szCs w:val="30"/>
          <w:highlight w:val="none"/>
        </w:rPr>
      </w:pPr>
      <w:r>
        <w:rPr>
          <w:rFonts w:hint="eastAsia" w:ascii="宋体" w:hAnsi="宋体" w:cs="宋体"/>
          <w:color w:val="auto"/>
          <w:sz w:val="30"/>
          <w:szCs w:val="30"/>
          <w:highlight w:val="none"/>
        </w:rPr>
        <w:t>年   月   日</w:t>
      </w:r>
    </w:p>
    <w:p w14:paraId="2EF29F96">
      <w:pPr>
        <w:snapToGrid w:val="0"/>
        <w:spacing w:before="50" w:after="50"/>
        <w:rPr>
          <w:rFonts w:ascii="宋体" w:hAnsi="宋体" w:cs="宋体"/>
          <w:b/>
          <w:color w:val="auto"/>
          <w:szCs w:val="21"/>
          <w:highlight w:val="none"/>
        </w:rPr>
      </w:pPr>
    </w:p>
    <w:p w14:paraId="6FE9AE1B">
      <w:pPr>
        <w:snapToGrid w:val="0"/>
        <w:spacing w:beforeLines="50" w:after="50" w:line="330" w:lineRule="exact"/>
        <w:jc w:val="center"/>
        <w:rPr>
          <w:rFonts w:ascii="宋体" w:hAnsi="宋体" w:cs="宋体"/>
          <w:b/>
          <w:color w:val="auto"/>
          <w:szCs w:val="21"/>
          <w:highlight w:val="none"/>
        </w:rPr>
      </w:pPr>
      <w:r>
        <w:rPr>
          <w:rFonts w:hint="eastAsia" w:ascii="宋体" w:hAnsi="宋体" w:cs="宋体"/>
          <w:b/>
          <w:color w:val="auto"/>
          <w:szCs w:val="21"/>
          <w:highlight w:val="none"/>
        </w:rPr>
        <w:br w:type="page"/>
      </w:r>
    </w:p>
    <w:p w14:paraId="5FF00329">
      <w:pPr>
        <w:snapToGrid w:val="0"/>
        <w:spacing w:beforeLines="50" w:after="50" w:line="330" w:lineRule="exact"/>
        <w:jc w:val="center"/>
        <w:rPr>
          <w:rFonts w:ascii="宋体" w:hAnsi="宋体" w:cs="宋体"/>
          <w:b/>
          <w:color w:val="auto"/>
          <w:szCs w:val="21"/>
          <w:highlight w:val="none"/>
        </w:rPr>
      </w:pPr>
    </w:p>
    <w:p w14:paraId="7999B625">
      <w:pPr>
        <w:snapToGrid w:val="0"/>
        <w:spacing w:beforeLines="50" w:after="50" w:line="330" w:lineRule="exact"/>
        <w:jc w:val="center"/>
        <w:rPr>
          <w:rFonts w:ascii="宋体" w:hAnsi="宋体" w:cs="宋体"/>
          <w:b/>
          <w:color w:val="auto"/>
          <w:sz w:val="44"/>
          <w:szCs w:val="44"/>
          <w:highlight w:val="none"/>
        </w:rPr>
      </w:pPr>
      <w:r>
        <w:rPr>
          <w:rFonts w:hint="eastAsia" w:ascii="宋体" w:hAnsi="宋体" w:cs="宋体"/>
          <w:b/>
          <w:color w:val="auto"/>
          <w:sz w:val="44"/>
          <w:szCs w:val="44"/>
          <w:highlight w:val="none"/>
        </w:rPr>
        <w:t>目录</w:t>
      </w:r>
    </w:p>
    <w:p w14:paraId="100282E4">
      <w:pPr>
        <w:tabs>
          <w:tab w:val="left" w:pos="2625"/>
        </w:tabs>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(供应商需根据响应文件自行编制目录及页码)</w:t>
      </w:r>
    </w:p>
    <w:p w14:paraId="72A0FA30">
      <w:pPr>
        <w:widowControl/>
        <w:spacing w:line="360" w:lineRule="exact"/>
        <w:rPr>
          <w:rFonts w:ascii="宋体" w:hAnsi="宋体"/>
          <w:b/>
          <w:bCs/>
          <w:color w:val="auto"/>
          <w:sz w:val="24"/>
          <w:highlight w:val="none"/>
        </w:rPr>
      </w:pPr>
    </w:p>
    <w:p w14:paraId="1D433406">
      <w:pPr>
        <w:tabs>
          <w:tab w:val="left" w:pos="2625"/>
        </w:tabs>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b/>
          <w:color w:val="auto"/>
          <w:szCs w:val="21"/>
          <w:highlight w:val="none"/>
        </w:rPr>
        <w:t>一、谈判声明书格式</w:t>
      </w:r>
    </w:p>
    <w:p w14:paraId="6B7C5589">
      <w:pPr>
        <w:spacing w:line="320" w:lineRule="exact"/>
        <w:jc w:val="center"/>
        <w:rPr>
          <w:rFonts w:ascii="宋体" w:hAnsi="宋体" w:cs="宋体"/>
          <w:b/>
          <w:color w:val="auto"/>
          <w:sz w:val="32"/>
          <w:szCs w:val="32"/>
          <w:highlight w:val="none"/>
        </w:rPr>
      </w:pPr>
      <w:r>
        <w:rPr>
          <w:rFonts w:hint="eastAsia" w:ascii="宋体" w:hAnsi="宋体" w:cs="宋体"/>
          <w:b/>
          <w:color w:val="auto"/>
          <w:sz w:val="32"/>
          <w:szCs w:val="32"/>
          <w:highlight w:val="none"/>
        </w:rPr>
        <w:t>谈判声明书</w:t>
      </w:r>
    </w:p>
    <w:p w14:paraId="07B1EFCB">
      <w:pPr>
        <w:pStyle w:val="20"/>
        <w:spacing w:line="360" w:lineRule="exact"/>
        <w:rPr>
          <w:rFonts w:hAnsi="宋体" w:cs="宋体"/>
          <w:color w:val="auto"/>
          <w:sz w:val="21"/>
          <w:szCs w:val="21"/>
          <w:highlight w:val="none"/>
        </w:rPr>
      </w:pPr>
      <w:r>
        <w:rPr>
          <w:rFonts w:hint="eastAsia" w:hAnsi="宋体"/>
          <w:color w:val="auto"/>
          <w:sz w:val="21"/>
          <w:highlight w:val="none"/>
        </w:rPr>
        <w:t>致：</w:t>
      </w:r>
      <w:r>
        <w:rPr>
          <w:rFonts w:hint="eastAsia" w:hAnsi="宋体"/>
          <w:color w:val="auto"/>
          <w:sz w:val="21"/>
          <w:highlight w:val="none"/>
          <w:u w:val="single"/>
        </w:rPr>
        <w:t xml:space="preserve">              </w:t>
      </w:r>
      <w:r>
        <w:rPr>
          <w:rFonts w:hint="eastAsia" w:hAnsi="宋体"/>
          <w:color w:val="auto"/>
          <w:sz w:val="21"/>
          <w:highlight w:val="none"/>
        </w:rPr>
        <w:t>（采购人单位名称）：</w:t>
      </w:r>
    </w:p>
    <w:p w14:paraId="6061AFDB">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我方愿意参加贵方组织的</w:t>
      </w:r>
      <w:r>
        <w:rPr>
          <w:rFonts w:hint="eastAsia" w:ascii="宋体" w:hAnsi="宋体" w:cs="宋体"/>
          <w:color w:val="auto"/>
          <w:szCs w:val="21"/>
          <w:highlight w:val="none"/>
          <w:u w:val="single"/>
        </w:rPr>
        <w:t xml:space="preserve">   （项目名称）  </w:t>
      </w:r>
      <w:r>
        <w:rPr>
          <w:rFonts w:hint="eastAsia" w:ascii="宋体" w:hAnsi="宋体" w:cs="宋体"/>
          <w:color w:val="auto"/>
          <w:szCs w:val="21"/>
          <w:highlight w:val="none"/>
        </w:rPr>
        <w:t>项目的竞标，为便于贵方公正、择优地确定成交供应商及其竞标产品和服务，我方就本次竞标有关事项郑重声明如下：</w:t>
      </w:r>
    </w:p>
    <w:p w14:paraId="300F0DF8">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1.我方向贵方提交的所有响应文件、资料都是准确的和真实的。</w:t>
      </w:r>
    </w:p>
    <w:p w14:paraId="386EA7B8">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3B70F097">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3.在此，我方宣布同意如下：</w:t>
      </w:r>
    </w:p>
    <w:p w14:paraId="1AB279F5">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（1）将按谈判文件的约定履行合同责任和义务；</w:t>
      </w:r>
    </w:p>
    <w:p w14:paraId="1BB553A2">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（2）已详细审查全部谈判文件，包括澄清或者更正公告（如有）；</w:t>
      </w:r>
    </w:p>
    <w:p w14:paraId="257C0E8D">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（3）同意提供按照贵方可能要求的与谈判有关的一切数据或者资料；</w:t>
      </w:r>
    </w:p>
    <w:p w14:paraId="6C396759">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（4）响应谈判文件规定的响应文件有效期。</w:t>
      </w:r>
    </w:p>
    <w:p w14:paraId="5875E2A4">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4.我方承诺符合《中华人民共和国政府采购法》第二十二条规定：</w:t>
      </w:r>
    </w:p>
    <w:p w14:paraId="12E3B707">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（1）具有独立承担民事责任的能力；</w:t>
      </w:r>
    </w:p>
    <w:p w14:paraId="0CEAE8CC">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（2）具有良好的商业信誉和健全的财务会计制度；</w:t>
      </w:r>
    </w:p>
    <w:p w14:paraId="2D406068">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（3）具有履行合同所必需的设备和专业技术能力；</w:t>
      </w:r>
    </w:p>
    <w:p w14:paraId="65A14525">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（4）有依法缴纳税收和社会保障资金的良好记录；</w:t>
      </w:r>
    </w:p>
    <w:p w14:paraId="66B2D92D">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（5）参加政府采购活动前三年内，在经营活动中没有重大违法记录；</w:t>
      </w:r>
    </w:p>
    <w:p w14:paraId="3999C288">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（6）法律、行政法规规定的其他条件。</w:t>
      </w:r>
    </w:p>
    <w:p w14:paraId="4A533F46">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FB25C2D">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B5EBD32">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□我方本次响应文件内容中未涉及商业秘密；</w:t>
      </w:r>
    </w:p>
    <w:p w14:paraId="32FCE878">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 xml:space="preserve">□我方本次响应文件涉及商业秘密的内容有： </w:t>
      </w:r>
    </w:p>
    <w:p w14:paraId="7DCA0373">
      <w:pPr>
        <w:snapToGrid w:val="0"/>
        <w:spacing w:before="50" w:after="50"/>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7.以上事项如有虚假或者隐瞒，我方愿意承担一切后果，并不再寻求任何旨在减轻或者免除法律责任的辩解。</w:t>
      </w:r>
    </w:p>
    <w:p w14:paraId="64B92141">
      <w:pPr>
        <w:pStyle w:val="20"/>
        <w:jc w:val="right"/>
        <w:rPr>
          <w:rFonts w:hAnsi="宋体" w:cs="宋体"/>
          <w:color w:val="auto"/>
          <w:sz w:val="21"/>
          <w:szCs w:val="21"/>
          <w:highlight w:val="none"/>
        </w:rPr>
      </w:pPr>
      <w:r>
        <w:rPr>
          <w:rFonts w:hint="eastAsia" w:hAnsi="宋体" w:cs="宋体"/>
          <w:color w:val="auto"/>
          <w:sz w:val="21"/>
          <w:highlight w:val="none"/>
        </w:rPr>
        <w:t>供应商名称（电子签章）：</w:t>
      </w:r>
    </w:p>
    <w:p w14:paraId="483026C8">
      <w:pPr>
        <w:snapToGrid w:val="0"/>
        <w:spacing w:before="50" w:after="50"/>
        <w:ind w:left="-6" w:leftChars="-3" w:right="-817" w:rightChars="-389" w:firstLine="6720" w:firstLineChars="3200"/>
        <w:rPr>
          <w:rFonts w:ascii="宋体" w:hAnsi="宋体" w:cs="宋体"/>
          <w:color w:val="auto"/>
          <w:szCs w:val="21"/>
          <w:highlight w:val="none"/>
        </w:rPr>
      </w:pPr>
      <w:r>
        <w:rPr>
          <w:rFonts w:hint="eastAsia" w:ascii="宋体" w:hAnsi="宋体" w:cs="宋体"/>
          <w:color w:val="auto"/>
          <w:szCs w:val="21"/>
          <w:highlight w:val="none"/>
        </w:rPr>
        <w:t>日期：    年   月   日</w:t>
      </w:r>
    </w:p>
    <w:p w14:paraId="5086529B">
      <w:pPr>
        <w:ind w:firstLine="363" w:firstLineChars="202"/>
        <w:rPr>
          <w:color w:val="auto"/>
          <w:sz w:val="18"/>
          <w:szCs w:val="18"/>
          <w:highlight w:val="none"/>
        </w:rPr>
      </w:pPr>
      <w:r>
        <w:rPr>
          <w:rFonts w:hint="eastAsia"/>
          <w:color w:val="auto"/>
          <w:sz w:val="18"/>
          <w:szCs w:val="18"/>
          <w:highlight w:val="none"/>
        </w:rPr>
        <w:t>说明：</w:t>
      </w:r>
    </w:p>
    <w:p w14:paraId="09B0CBBD">
      <w:pPr>
        <w:ind w:firstLine="363" w:firstLineChars="202"/>
        <w:rPr>
          <w:color w:val="auto"/>
          <w:sz w:val="18"/>
          <w:szCs w:val="18"/>
          <w:highlight w:val="none"/>
        </w:rPr>
      </w:pPr>
      <w:r>
        <w:rPr>
          <w:color w:val="auto"/>
          <w:sz w:val="18"/>
          <w:szCs w:val="18"/>
          <w:highlight w:val="none"/>
        </w:rPr>
        <w:t>1.</w:t>
      </w:r>
      <w:r>
        <w:rPr>
          <w:rFonts w:hint="eastAsia"/>
          <w:color w:val="auto"/>
          <w:sz w:val="18"/>
          <w:szCs w:val="18"/>
          <w:highlight w:val="none"/>
        </w:rPr>
        <w:t>供应商可以自行通过</w:t>
      </w:r>
      <w:r>
        <w:rPr>
          <w:color w:val="auto"/>
          <w:sz w:val="18"/>
          <w:szCs w:val="18"/>
          <w:highlight w:val="none"/>
        </w:rPr>
        <w:t xml:space="preserve"> </w:t>
      </w:r>
      <w:r>
        <w:rPr>
          <w:rFonts w:hint="eastAsia"/>
          <w:color w:val="auto"/>
          <w:sz w:val="18"/>
          <w:szCs w:val="18"/>
          <w:highlight w:val="none"/>
        </w:rPr>
        <w:t>“信用中国”（</w:t>
      </w:r>
      <w:r>
        <w:rPr>
          <w:color w:val="auto"/>
          <w:sz w:val="18"/>
          <w:szCs w:val="18"/>
          <w:highlight w:val="none"/>
        </w:rPr>
        <w:t>www.creditchina.gov.cn</w:t>
      </w:r>
      <w:r>
        <w:rPr>
          <w:rFonts w:hint="eastAsia"/>
          <w:color w:val="auto"/>
          <w:sz w:val="18"/>
          <w:szCs w:val="18"/>
          <w:highlight w:val="none"/>
        </w:rPr>
        <w:t>）和“中国政府采购网”网站（</w:t>
      </w:r>
      <w:r>
        <w:rPr>
          <w:color w:val="auto"/>
          <w:sz w:val="18"/>
          <w:szCs w:val="18"/>
          <w:highlight w:val="none"/>
        </w:rPr>
        <w:t>www.ccgp.gov.cn</w:t>
      </w:r>
      <w:r>
        <w:rPr>
          <w:rFonts w:hint="eastAsia"/>
          <w:color w:val="auto"/>
          <w:sz w:val="18"/>
          <w:szCs w:val="18"/>
          <w:highlight w:val="none"/>
        </w:rPr>
        <w:t>）查询供应商相关主体的信用记录。查询时间为本项目投标截止时间前</w:t>
      </w:r>
      <w:r>
        <w:rPr>
          <w:color w:val="auto"/>
          <w:sz w:val="18"/>
          <w:szCs w:val="18"/>
          <w:highlight w:val="none"/>
        </w:rPr>
        <w:t>10</w:t>
      </w:r>
      <w:r>
        <w:rPr>
          <w:rFonts w:hint="eastAsia"/>
          <w:color w:val="auto"/>
          <w:sz w:val="18"/>
          <w:szCs w:val="18"/>
          <w:highlight w:val="none"/>
        </w:rPr>
        <w:t>日至投标截止时间中任意一天。在资格审查阶段经谈判小组查询，对列入失信被执行人、重大税收违法案件当事人名单、政府采购严重违法失信行为记录名单的供应商，将被拒绝参与本项目政府采购活动。</w:t>
      </w:r>
    </w:p>
    <w:p w14:paraId="6B88FBDC">
      <w:pPr>
        <w:ind w:firstLine="363" w:firstLineChars="202"/>
        <w:rPr>
          <w:color w:val="auto"/>
          <w:sz w:val="18"/>
          <w:szCs w:val="18"/>
          <w:highlight w:val="none"/>
        </w:rPr>
      </w:pPr>
      <w:r>
        <w:rPr>
          <w:color w:val="auto"/>
          <w:sz w:val="18"/>
          <w:szCs w:val="18"/>
          <w:highlight w:val="none"/>
        </w:rPr>
        <w:t>2.</w:t>
      </w:r>
      <w:r>
        <w:rPr>
          <w:rFonts w:hint="eastAsia"/>
          <w:color w:val="auto"/>
          <w:sz w:val="18"/>
          <w:szCs w:val="18"/>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04650ED0">
      <w:pPr>
        <w:ind w:firstLine="363" w:firstLineChars="202"/>
        <w:rPr>
          <w:color w:val="auto"/>
          <w:sz w:val="18"/>
          <w:szCs w:val="18"/>
          <w:highlight w:val="none"/>
        </w:rPr>
      </w:pPr>
      <w:r>
        <w:rPr>
          <w:color w:val="auto"/>
          <w:sz w:val="18"/>
          <w:szCs w:val="18"/>
          <w:highlight w:val="none"/>
        </w:rPr>
        <w:t>3.</w:t>
      </w:r>
      <w:r>
        <w:rPr>
          <w:rFonts w:hint="eastAsia"/>
          <w:color w:val="auto"/>
          <w:sz w:val="18"/>
          <w:szCs w:val="18"/>
          <w:highlight w:val="none"/>
        </w:rPr>
        <w:t>如为联合体投标，盖章处须加盖联合体各方公章，否则投标无效。</w:t>
      </w:r>
    </w:p>
    <w:p w14:paraId="78C7A88B">
      <w:pPr>
        <w:ind w:firstLine="363" w:firstLineChars="202"/>
        <w:rPr>
          <w:color w:val="auto"/>
          <w:sz w:val="18"/>
          <w:szCs w:val="18"/>
          <w:highlight w:val="none"/>
        </w:rPr>
      </w:pPr>
    </w:p>
    <w:p w14:paraId="23893273">
      <w:pPr>
        <w:ind w:firstLine="363" w:firstLineChars="202"/>
        <w:rPr>
          <w:color w:val="auto"/>
          <w:sz w:val="18"/>
          <w:szCs w:val="18"/>
          <w:highlight w:val="none"/>
        </w:rPr>
      </w:pPr>
    </w:p>
    <w:p w14:paraId="552D27DB">
      <w:pPr>
        <w:ind w:firstLine="363" w:firstLineChars="202"/>
        <w:rPr>
          <w:color w:val="auto"/>
          <w:sz w:val="18"/>
          <w:szCs w:val="18"/>
          <w:highlight w:val="none"/>
        </w:rPr>
      </w:pPr>
    </w:p>
    <w:p w14:paraId="49F9E46B">
      <w:pPr>
        <w:spacing w:line="360" w:lineRule="auto"/>
        <w:rPr>
          <w:rFonts w:ascii="宋体" w:hAnsi="宋体"/>
          <w:b/>
          <w:bCs/>
          <w:color w:val="auto"/>
          <w:sz w:val="24"/>
          <w:highlight w:val="none"/>
        </w:rPr>
      </w:pPr>
      <w:r>
        <w:rPr>
          <w:rFonts w:hint="eastAsia" w:ascii="宋体" w:hAnsi="宋体"/>
          <w:b/>
          <w:bCs/>
          <w:color w:val="auto"/>
          <w:sz w:val="24"/>
          <w:highlight w:val="none"/>
        </w:rPr>
        <w:t>二、政府采购供应商资格信用承诺函格式</w:t>
      </w:r>
    </w:p>
    <w:p w14:paraId="3A6F2603">
      <w:pPr>
        <w:autoSpaceDE w:val="0"/>
        <w:autoSpaceDN w:val="0"/>
        <w:adjustRightInd w:val="0"/>
        <w:spacing w:line="400" w:lineRule="exact"/>
        <w:jc w:val="left"/>
        <w:rPr>
          <w:rFonts w:ascii="宋体" w:hAnsi="宋体" w:cs="宋体"/>
          <w:b/>
          <w:bCs/>
          <w:color w:val="auto"/>
          <w:szCs w:val="21"/>
          <w:highlight w:val="none"/>
        </w:rPr>
      </w:pPr>
    </w:p>
    <w:p w14:paraId="573EA85C">
      <w:pPr>
        <w:autoSpaceDE w:val="0"/>
        <w:autoSpaceDN w:val="0"/>
        <w:adjustRightInd w:val="0"/>
        <w:jc w:val="center"/>
        <w:rPr>
          <w:rFonts w:ascii="宋体" w:hAnsi="宋体" w:cs="宋体"/>
          <w:b/>
          <w:bCs/>
          <w:color w:val="auto"/>
          <w:szCs w:val="21"/>
          <w:highlight w:val="none"/>
        </w:rPr>
      </w:pPr>
      <w:r>
        <w:rPr>
          <w:rFonts w:hint="eastAsia" w:ascii="宋体" w:hAnsi="宋体" w:cs="宋体"/>
          <w:b/>
          <w:bCs/>
          <w:color w:val="auto"/>
          <w:szCs w:val="21"/>
          <w:highlight w:val="none"/>
        </w:rPr>
        <w:t>政府采购供应商资格信用承诺函</w:t>
      </w:r>
    </w:p>
    <w:p w14:paraId="175C967C">
      <w:pPr>
        <w:pStyle w:val="29"/>
        <w:rPr>
          <w:rFonts w:ascii="宋体" w:hAnsi="宋体" w:cs="宋体"/>
          <w:color w:val="auto"/>
          <w:sz w:val="21"/>
          <w:szCs w:val="21"/>
          <w:highlight w:val="none"/>
        </w:rPr>
      </w:pPr>
    </w:p>
    <w:p w14:paraId="1D10C9D4">
      <w:pPr>
        <w:autoSpaceDE w:val="0"/>
        <w:autoSpaceDN w:val="0"/>
        <w:adjustRightInd w:val="0"/>
        <w:spacing w:line="400" w:lineRule="exact"/>
        <w:rPr>
          <w:rFonts w:ascii="宋体" w:hAnsi="宋体" w:cs="宋体"/>
          <w:color w:val="auto"/>
          <w:spacing w:val="6"/>
          <w:szCs w:val="21"/>
          <w:highlight w:val="none"/>
        </w:rPr>
      </w:pPr>
      <w:r>
        <w:rPr>
          <w:rFonts w:hint="eastAsia" w:ascii="宋体" w:hAnsi="宋体" w:cs="宋体"/>
          <w:color w:val="auto"/>
          <w:spacing w:val="6"/>
          <w:szCs w:val="21"/>
          <w:highlight w:val="none"/>
        </w:rPr>
        <w:t>致：</w:t>
      </w:r>
      <w:r>
        <w:rPr>
          <w:rFonts w:hint="eastAsia" w:ascii="宋体" w:hAnsi="宋体" w:cs="宋体"/>
          <w:color w:val="auto"/>
          <w:spacing w:val="6"/>
          <w:szCs w:val="21"/>
          <w:highlight w:val="none"/>
          <w:u w:val="single"/>
        </w:rPr>
        <w:t>（采购人名称）、（代理机构名称）</w:t>
      </w:r>
      <w:r>
        <w:rPr>
          <w:rFonts w:hint="eastAsia" w:ascii="宋体" w:hAnsi="宋体" w:cs="宋体"/>
          <w:color w:val="auto"/>
          <w:spacing w:val="6"/>
          <w:szCs w:val="21"/>
          <w:highlight w:val="none"/>
        </w:rPr>
        <w:t>：</w:t>
      </w:r>
    </w:p>
    <w:p w14:paraId="40C3DCFF">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我方自愿参加</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项目（项目编号：</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 xml:space="preserve">）的政府采购活动，并郑重承诺我方符合《中华人民共和国政府采购法》第二十二条规定的条件： </w:t>
      </w:r>
    </w:p>
    <w:p w14:paraId="7DA3D930">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（一）具有独立承担民事责任的能力； </w:t>
      </w:r>
    </w:p>
    <w:p w14:paraId="05F68E23">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（二）具有良好的商业信誉和健全的财务会计制度； </w:t>
      </w:r>
    </w:p>
    <w:p w14:paraId="1F94DC80">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（三）具有履行合同所必需的设备和专业技术能力； </w:t>
      </w:r>
    </w:p>
    <w:p w14:paraId="79144312">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（四）有依法缴纳税收和社会保障资金的良好记录； </w:t>
      </w:r>
    </w:p>
    <w:p w14:paraId="543E2551">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（五）参加政府采购活动前三年内，在经营活动中没有重大违法记录； </w:t>
      </w:r>
    </w:p>
    <w:p w14:paraId="44529C57">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（六）法律、行政法规规定的其他条件。 </w:t>
      </w:r>
    </w:p>
    <w:p w14:paraId="5F81F4CF">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color w:val="auto"/>
          <w:spacing w:val="6"/>
          <w:szCs w:val="21"/>
          <w:highlight w:val="none"/>
        </w:rPr>
        <w:t xml:space="preserve">我方保证上述承诺事项的真实性，如有弄虚作假或其他违法违规行为，愿意承担一切法律责任，并承担因此所造成的一切损失。 </w:t>
      </w:r>
    </w:p>
    <w:p w14:paraId="1BB78ED4">
      <w:pPr>
        <w:autoSpaceDE w:val="0"/>
        <w:autoSpaceDN w:val="0"/>
        <w:adjustRightInd w:val="0"/>
        <w:spacing w:line="400" w:lineRule="exact"/>
        <w:ind w:firstLine="640"/>
        <w:rPr>
          <w:rFonts w:ascii="宋体" w:hAnsi="宋体" w:cs="宋体"/>
          <w:color w:val="auto"/>
          <w:spacing w:val="6"/>
          <w:szCs w:val="21"/>
          <w:highlight w:val="none"/>
        </w:rPr>
      </w:pPr>
      <w:r>
        <w:rPr>
          <w:rFonts w:hint="eastAsia" w:ascii="宋体" w:hAnsi="宋体" w:cs="宋体"/>
          <w:b/>
          <w:bCs/>
          <w:color w:val="auto"/>
          <w:spacing w:val="6"/>
          <w:szCs w:val="21"/>
          <w:highlight w:val="none"/>
        </w:rPr>
        <w:t>特此声明！</w:t>
      </w:r>
      <w:r>
        <w:rPr>
          <w:rFonts w:hint="eastAsia" w:ascii="宋体" w:hAnsi="宋体" w:cs="宋体"/>
          <w:color w:val="auto"/>
          <w:spacing w:val="6"/>
          <w:szCs w:val="21"/>
          <w:highlight w:val="none"/>
        </w:rPr>
        <w:t xml:space="preserve"> </w:t>
      </w:r>
    </w:p>
    <w:p w14:paraId="2ED44F67">
      <w:pPr>
        <w:pStyle w:val="35"/>
        <w:spacing w:line="400" w:lineRule="exact"/>
        <w:ind w:firstLine="444"/>
        <w:rPr>
          <w:rFonts w:ascii="宋体" w:hAnsi="宋体" w:cs="宋体"/>
          <w:color w:val="auto"/>
          <w:spacing w:val="6"/>
          <w:szCs w:val="21"/>
          <w:highlight w:val="none"/>
        </w:rPr>
      </w:pPr>
    </w:p>
    <w:p w14:paraId="1787BF08">
      <w:pPr>
        <w:spacing w:line="400" w:lineRule="exact"/>
        <w:rPr>
          <w:rFonts w:ascii="宋体" w:hAnsi="宋体" w:cs="宋体"/>
          <w:color w:val="auto"/>
          <w:szCs w:val="21"/>
          <w:highlight w:val="none"/>
        </w:rPr>
      </w:pPr>
    </w:p>
    <w:p w14:paraId="5300870B">
      <w:pPr>
        <w:spacing w:line="400" w:lineRule="exact"/>
        <w:jc w:val="center"/>
        <w:rPr>
          <w:rFonts w:ascii="宋体" w:hAnsi="宋体" w:cs="宋体"/>
          <w:color w:val="auto"/>
          <w:szCs w:val="21"/>
          <w:highlight w:val="none"/>
          <w:u w:val="single"/>
        </w:rPr>
      </w:pPr>
      <w:r>
        <w:rPr>
          <w:rFonts w:hint="eastAsia" w:ascii="宋体" w:hAnsi="宋体" w:cs="宋体"/>
          <w:color w:val="auto"/>
          <w:szCs w:val="21"/>
          <w:highlight w:val="none"/>
        </w:rPr>
        <w:t xml:space="preserve">           法定代表人或委托代理人</w:t>
      </w:r>
      <w:r>
        <w:rPr>
          <w:rFonts w:hint="eastAsia" w:ascii="宋体" w:hAnsi="宋体" w:cs="宋体"/>
          <w:b/>
          <w:bCs/>
          <w:color w:val="auto"/>
          <w:szCs w:val="21"/>
          <w:highlight w:val="none"/>
        </w:rPr>
        <w:t>（签字）：</w:t>
      </w:r>
      <w:r>
        <w:rPr>
          <w:rFonts w:hint="eastAsia" w:ascii="宋体" w:hAnsi="宋体" w:cs="宋体"/>
          <w:color w:val="auto"/>
          <w:szCs w:val="21"/>
          <w:highlight w:val="none"/>
          <w:u w:val="single"/>
        </w:rPr>
        <w:t xml:space="preserve">                  </w:t>
      </w:r>
    </w:p>
    <w:p w14:paraId="12A77614">
      <w:pPr>
        <w:spacing w:line="400" w:lineRule="exact"/>
        <w:jc w:val="center"/>
        <w:rPr>
          <w:rFonts w:ascii="宋体" w:hAnsi="宋体" w:cs="宋体"/>
          <w:color w:val="auto"/>
          <w:szCs w:val="21"/>
          <w:highlight w:val="none"/>
          <w:u w:val="single"/>
        </w:rPr>
      </w:pPr>
    </w:p>
    <w:p w14:paraId="132B7967">
      <w:pPr>
        <w:pStyle w:val="20"/>
        <w:spacing w:line="400" w:lineRule="exact"/>
        <w:ind w:firstLine="3570" w:firstLineChars="1700"/>
        <w:rPr>
          <w:rFonts w:hAnsi="宋体" w:cs="宋体"/>
          <w:color w:val="auto"/>
          <w:sz w:val="21"/>
          <w:highlight w:val="none"/>
        </w:rPr>
      </w:pPr>
      <w:r>
        <w:rPr>
          <w:rFonts w:hint="eastAsia" w:hAnsi="宋体" w:cs="宋体"/>
          <w:color w:val="auto"/>
          <w:sz w:val="21"/>
          <w:highlight w:val="none"/>
        </w:rPr>
        <w:t>政府采购供应商</w:t>
      </w:r>
      <w:r>
        <w:rPr>
          <w:rFonts w:hint="eastAsia" w:hAnsi="宋体" w:cs="宋体"/>
          <w:b/>
          <w:bCs/>
          <w:color w:val="auto"/>
          <w:sz w:val="21"/>
          <w:highlight w:val="none"/>
        </w:rPr>
        <w:t>（CA电子签章）</w:t>
      </w:r>
      <w:r>
        <w:rPr>
          <w:rFonts w:hint="eastAsia" w:hAnsi="宋体" w:cs="宋体"/>
          <w:color w:val="auto"/>
          <w:sz w:val="21"/>
          <w:highlight w:val="none"/>
        </w:rPr>
        <w:t>：</w:t>
      </w:r>
      <w:r>
        <w:rPr>
          <w:rFonts w:hint="eastAsia" w:hAnsi="宋体" w:cs="宋体"/>
          <w:color w:val="auto"/>
          <w:sz w:val="21"/>
          <w:highlight w:val="none"/>
          <w:u w:val="single"/>
        </w:rPr>
        <w:t xml:space="preserve">                </w:t>
      </w:r>
    </w:p>
    <w:p w14:paraId="3CAC25E2">
      <w:pPr>
        <w:pStyle w:val="20"/>
        <w:spacing w:line="400" w:lineRule="exact"/>
        <w:rPr>
          <w:rFonts w:hAnsi="宋体" w:cs="宋体"/>
          <w:color w:val="auto"/>
          <w:sz w:val="21"/>
          <w:highlight w:val="none"/>
        </w:rPr>
      </w:pPr>
    </w:p>
    <w:p w14:paraId="338F5618">
      <w:pPr>
        <w:pStyle w:val="20"/>
        <w:spacing w:line="400" w:lineRule="exact"/>
        <w:jc w:val="right"/>
        <w:rPr>
          <w:rFonts w:hAnsi="宋体" w:cs="宋体"/>
          <w:color w:val="auto"/>
          <w:sz w:val="21"/>
          <w:highlight w:val="none"/>
        </w:rPr>
      </w:pPr>
      <w:r>
        <w:rPr>
          <w:rFonts w:hint="eastAsia" w:hAnsi="宋体" w:cs="宋体"/>
          <w:color w:val="auto"/>
          <w:sz w:val="21"/>
          <w:highlight w:val="none"/>
        </w:rPr>
        <w:t>日期：       年   月   日</w:t>
      </w:r>
    </w:p>
    <w:p w14:paraId="62B7AC0A">
      <w:pPr>
        <w:snapToGrid w:val="0"/>
        <w:spacing w:beforeLines="50" w:after="50" w:line="400" w:lineRule="exact"/>
        <w:rPr>
          <w:rFonts w:ascii="宋体" w:hAnsi="宋体" w:cs="宋体"/>
          <w:b/>
          <w:color w:val="auto"/>
          <w:highlight w:val="none"/>
        </w:rPr>
      </w:pPr>
    </w:p>
    <w:p w14:paraId="7B936666">
      <w:pPr>
        <w:snapToGrid w:val="0"/>
        <w:spacing w:beforeLines="50" w:after="50" w:line="400" w:lineRule="exact"/>
        <w:rPr>
          <w:rFonts w:ascii="宋体" w:hAnsi="宋体" w:cs="宋体"/>
          <w:b/>
          <w:color w:val="auto"/>
          <w:highlight w:val="none"/>
        </w:rPr>
      </w:pPr>
    </w:p>
    <w:p w14:paraId="79F8EB0D">
      <w:pPr>
        <w:snapToGrid w:val="0"/>
        <w:spacing w:beforeLines="50" w:after="50" w:line="400" w:lineRule="exact"/>
        <w:rPr>
          <w:rFonts w:ascii="宋体" w:hAnsi="宋体" w:cs="宋体"/>
          <w:b/>
          <w:color w:val="auto"/>
          <w:highlight w:val="none"/>
        </w:rPr>
      </w:pPr>
    </w:p>
    <w:p w14:paraId="37EA0462">
      <w:pPr>
        <w:snapToGrid w:val="0"/>
        <w:spacing w:beforeLines="50" w:after="50" w:line="400" w:lineRule="exact"/>
        <w:rPr>
          <w:rFonts w:ascii="宋体" w:hAnsi="宋体" w:cs="宋体"/>
          <w:b/>
          <w:color w:val="auto"/>
          <w:highlight w:val="none"/>
        </w:rPr>
      </w:pPr>
    </w:p>
    <w:p w14:paraId="7AC1AFDC">
      <w:pPr>
        <w:snapToGrid w:val="0"/>
        <w:spacing w:beforeLines="50" w:after="50" w:line="400" w:lineRule="exact"/>
        <w:rPr>
          <w:rFonts w:ascii="宋体" w:hAnsi="宋体" w:cs="宋体"/>
          <w:b/>
          <w:color w:val="auto"/>
          <w:highlight w:val="none"/>
        </w:rPr>
      </w:pPr>
    </w:p>
    <w:p w14:paraId="2EFA7F63">
      <w:pPr>
        <w:snapToGrid w:val="0"/>
        <w:spacing w:beforeLines="50" w:after="50" w:line="400" w:lineRule="exact"/>
        <w:rPr>
          <w:rFonts w:ascii="宋体" w:hAnsi="宋体" w:cs="宋体"/>
          <w:b/>
          <w:color w:val="auto"/>
          <w:highlight w:val="none"/>
        </w:rPr>
      </w:pPr>
    </w:p>
    <w:p w14:paraId="75F0D696">
      <w:pPr>
        <w:snapToGrid w:val="0"/>
        <w:spacing w:beforeLines="50" w:after="50" w:line="400" w:lineRule="exact"/>
        <w:rPr>
          <w:rFonts w:ascii="宋体" w:hAnsi="宋体" w:cs="宋体"/>
          <w:b/>
          <w:color w:val="auto"/>
          <w:highlight w:val="none"/>
        </w:rPr>
      </w:pPr>
    </w:p>
    <w:p w14:paraId="64FAB458">
      <w:pPr>
        <w:snapToGrid w:val="0"/>
        <w:spacing w:beforeLines="50" w:after="50" w:line="400" w:lineRule="exact"/>
        <w:rPr>
          <w:rFonts w:ascii="宋体" w:hAnsi="宋体" w:cs="宋体"/>
          <w:b/>
          <w:color w:val="auto"/>
          <w:highlight w:val="none"/>
        </w:rPr>
      </w:pPr>
    </w:p>
    <w:p w14:paraId="6EB3C201">
      <w:pPr>
        <w:snapToGrid w:val="0"/>
        <w:spacing w:beforeLines="50" w:after="50" w:line="400" w:lineRule="exact"/>
        <w:rPr>
          <w:rFonts w:ascii="宋体" w:hAnsi="宋体" w:cs="宋体"/>
          <w:b/>
          <w:color w:val="auto"/>
          <w:highlight w:val="none"/>
        </w:rPr>
      </w:pPr>
    </w:p>
    <w:p w14:paraId="7EB1688E">
      <w:pPr>
        <w:snapToGrid w:val="0"/>
        <w:spacing w:beforeLines="50" w:after="50" w:line="400" w:lineRule="exact"/>
        <w:rPr>
          <w:rFonts w:ascii="宋体" w:hAnsi="宋体"/>
          <w:b/>
          <w:bCs/>
          <w:color w:val="auto"/>
          <w:sz w:val="24"/>
          <w:highlight w:val="none"/>
        </w:rPr>
      </w:pPr>
      <w:r>
        <w:rPr>
          <w:rFonts w:hint="eastAsia" w:ascii="宋体" w:hAnsi="宋体" w:cs="宋体"/>
          <w:b/>
          <w:color w:val="auto"/>
          <w:highlight w:val="none"/>
        </w:rPr>
        <w:t>三、供应商直接控股、管理关系信息表格式</w:t>
      </w:r>
    </w:p>
    <w:p w14:paraId="10CBE871">
      <w:pPr>
        <w:snapToGrid w:val="0"/>
        <w:spacing w:before="50" w:afterLines="50"/>
        <w:jc w:val="center"/>
        <w:rPr>
          <w:rFonts w:ascii="宋体" w:hAnsi="宋体"/>
          <w:b/>
          <w:color w:val="auto"/>
          <w:sz w:val="24"/>
          <w:highlight w:val="none"/>
        </w:rPr>
      </w:pPr>
      <w:r>
        <w:rPr>
          <w:rFonts w:hint="eastAsia" w:ascii="宋体" w:hAnsi="宋体"/>
          <w:b/>
          <w:color w:val="auto"/>
          <w:sz w:val="24"/>
          <w:highlight w:val="none"/>
        </w:rPr>
        <w:t>供应商直接控股股东信息表</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8"/>
        <w:gridCol w:w="2269"/>
        <w:gridCol w:w="1239"/>
        <w:gridCol w:w="3722"/>
        <w:gridCol w:w="1418"/>
      </w:tblGrid>
      <w:tr w14:paraId="5AA4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515C760">
            <w:pPr>
              <w:widowControl/>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5EB8363">
            <w:pPr>
              <w:widowControl/>
              <w:spacing w:line="360" w:lineRule="auto"/>
              <w:jc w:val="center"/>
              <w:rPr>
                <w:rFonts w:ascii="宋体" w:hAnsi="宋体"/>
                <w:color w:val="auto"/>
                <w:szCs w:val="21"/>
                <w:highlight w:val="none"/>
              </w:rPr>
            </w:pPr>
            <w:r>
              <w:rPr>
                <w:rFonts w:hint="eastAsia" w:ascii="宋体" w:hAnsi="宋体"/>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8503D27">
            <w:pPr>
              <w:widowControl/>
              <w:spacing w:line="360" w:lineRule="auto"/>
              <w:jc w:val="center"/>
              <w:rPr>
                <w:rFonts w:ascii="宋体" w:hAnsi="宋体"/>
                <w:color w:val="auto"/>
                <w:szCs w:val="21"/>
                <w:highlight w:val="none"/>
              </w:rPr>
            </w:pPr>
            <w:r>
              <w:rPr>
                <w:rFonts w:hint="eastAsia" w:ascii="宋体" w:hAnsi="宋体"/>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3C64514">
            <w:pPr>
              <w:widowControl/>
              <w:spacing w:line="360" w:lineRule="auto"/>
              <w:jc w:val="center"/>
              <w:rPr>
                <w:rFonts w:ascii="宋体" w:hAnsi="宋体"/>
                <w:color w:val="auto"/>
                <w:szCs w:val="21"/>
                <w:highlight w:val="none"/>
              </w:rPr>
            </w:pPr>
            <w:r>
              <w:rPr>
                <w:rFonts w:hint="eastAsia" w:ascii="宋体" w:hAnsi="宋体"/>
                <w:color w:val="auto"/>
                <w:szCs w:val="21"/>
                <w:highlight w:val="none"/>
              </w:rPr>
              <w:t>身份证号码或统一社会信用代码</w:t>
            </w: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B1DB644">
            <w:pPr>
              <w:widowControl/>
              <w:spacing w:line="360" w:lineRule="auto"/>
              <w:jc w:val="center"/>
              <w:rPr>
                <w:rFonts w:ascii="宋体" w:hAnsi="宋体"/>
                <w:color w:val="auto"/>
                <w:szCs w:val="21"/>
                <w:highlight w:val="none"/>
              </w:rPr>
            </w:pPr>
            <w:r>
              <w:rPr>
                <w:rFonts w:hint="eastAsia" w:ascii="宋体" w:hAnsi="宋体"/>
                <w:color w:val="auto"/>
                <w:szCs w:val="21"/>
                <w:highlight w:val="none"/>
              </w:rPr>
              <w:t>备注</w:t>
            </w:r>
          </w:p>
        </w:tc>
      </w:tr>
      <w:tr w14:paraId="6079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9D53912">
            <w:pPr>
              <w:widowControl/>
              <w:wordWrap w:val="0"/>
              <w:spacing w:line="360" w:lineRule="auto"/>
              <w:jc w:val="center"/>
              <w:rPr>
                <w:rFonts w:ascii="宋体" w:hAnsi="宋体"/>
                <w:color w:val="auto"/>
                <w:szCs w:val="21"/>
                <w:highlight w:val="none"/>
              </w:rPr>
            </w:pPr>
            <w:r>
              <w:rPr>
                <w:rFonts w:hint="eastAsia" w:ascii="宋体" w:hAnsi="宋体"/>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FC50EC2">
            <w:pPr>
              <w:widowControl/>
              <w:wordWrap w:val="0"/>
              <w:spacing w:line="360" w:lineRule="auto"/>
              <w:jc w:val="center"/>
              <w:rPr>
                <w:rFonts w:ascii="宋体" w:hAnsi="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5E60889">
            <w:pPr>
              <w:widowControl/>
              <w:wordWrap w:val="0"/>
              <w:spacing w:line="360" w:lineRule="auto"/>
              <w:jc w:val="center"/>
              <w:rPr>
                <w:rFonts w:ascii="宋体" w:hAnsi="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27432EE">
            <w:pPr>
              <w:widowControl/>
              <w:wordWrap w:val="0"/>
              <w:spacing w:line="360" w:lineRule="auto"/>
              <w:jc w:val="center"/>
              <w:rPr>
                <w:rFonts w:ascii="宋体" w:hAnsi="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3CA8663">
            <w:pPr>
              <w:widowControl/>
              <w:wordWrap w:val="0"/>
              <w:spacing w:line="360" w:lineRule="auto"/>
              <w:jc w:val="center"/>
              <w:rPr>
                <w:rFonts w:ascii="宋体" w:hAnsi="宋体"/>
                <w:color w:val="auto"/>
                <w:szCs w:val="21"/>
                <w:highlight w:val="none"/>
              </w:rPr>
            </w:pPr>
          </w:p>
        </w:tc>
      </w:tr>
      <w:tr w14:paraId="3711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F89E83B">
            <w:pPr>
              <w:widowControl/>
              <w:wordWrap w:val="0"/>
              <w:spacing w:line="360" w:lineRule="auto"/>
              <w:jc w:val="center"/>
              <w:rPr>
                <w:rFonts w:ascii="宋体" w:hAnsi="宋体"/>
                <w:color w:val="auto"/>
                <w:szCs w:val="21"/>
                <w:highlight w:val="none"/>
              </w:rPr>
            </w:pPr>
            <w:r>
              <w:rPr>
                <w:rFonts w:hint="eastAsia" w:ascii="宋体" w:hAnsi="宋体"/>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6C68DE8">
            <w:pPr>
              <w:widowControl/>
              <w:wordWrap w:val="0"/>
              <w:spacing w:line="360" w:lineRule="auto"/>
              <w:jc w:val="center"/>
              <w:rPr>
                <w:rFonts w:ascii="宋体" w:hAnsi="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1B80E9A">
            <w:pPr>
              <w:widowControl/>
              <w:wordWrap w:val="0"/>
              <w:spacing w:line="360" w:lineRule="auto"/>
              <w:jc w:val="center"/>
              <w:rPr>
                <w:rFonts w:ascii="宋体" w:hAnsi="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8CE4BAE">
            <w:pPr>
              <w:widowControl/>
              <w:wordWrap w:val="0"/>
              <w:spacing w:line="360" w:lineRule="auto"/>
              <w:jc w:val="center"/>
              <w:rPr>
                <w:rFonts w:ascii="宋体" w:hAnsi="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C23F80F">
            <w:pPr>
              <w:widowControl/>
              <w:wordWrap w:val="0"/>
              <w:spacing w:line="360" w:lineRule="auto"/>
              <w:jc w:val="center"/>
              <w:rPr>
                <w:rFonts w:ascii="宋体" w:hAnsi="宋体"/>
                <w:color w:val="auto"/>
                <w:szCs w:val="21"/>
                <w:highlight w:val="none"/>
              </w:rPr>
            </w:pPr>
          </w:p>
        </w:tc>
      </w:tr>
      <w:tr w14:paraId="6C26F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05C05DE">
            <w:pPr>
              <w:widowControl/>
              <w:wordWrap w:val="0"/>
              <w:spacing w:line="360" w:lineRule="auto"/>
              <w:jc w:val="center"/>
              <w:rPr>
                <w:rFonts w:ascii="宋体" w:hAnsi="宋体"/>
                <w:color w:val="auto"/>
                <w:szCs w:val="21"/>
                <w:highlight w:val="none"/>
              </w:rPr>
            </w:pPr>
            <w:r>
              <w:rPr>
                <w:rFonts w:hint="eastAsia" w:ascii="宋体" w:hAnsi="宋体"/>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66B06DA">
            <w:pPr>
              <w:widowControl/>
              <w:wordWrap w:val="0"/>
              <w:spacing w:line="360" w:lineRule="auto"/>
              <w:jc w:val="center"/>
              <w:rPr>
                <w:rFonts w:ascii="宋体" w:hAnsi="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B927BCF">
            <w:pPr>
              <w:widowControl/>
              <w:wordWrap w:val="0"/>
              <w:spacing w:line="360" w:lineRule="auto"/>
              <w:jc w:val="center"/>
              <w:rPr>
                <w:rFonts w:ascii="宋体" w:hAnsi="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7F3DC96">
            <w:pPr>
              <w:widowControl/>
              <w:wordWrap w:val="0"/>
              <w:spacing w:line="360" w:lineRule="auto"/>
              <w:jc w:val="center"/>
              <w:rPr>
                <w:rFonts w:ascii="宋体" w:hAnsi="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678AC00">
            <w:pPr>
              <w:widowControl/>
              <w:wordWrap w:val="0"/>
              <w:spacing w:line="360" w:lineRule="auto"/>
              <w:jc w:val="center"/>
              <w:rPr>
                <w:rFonts w:ascii="宋体" w:hAnsi="宋体"/>
                <w:color w:val="auto"/>
                <w:szCs w:val="21"/>
                <w:highlight w:val="none"/>
              </w:rPr>
            </w:pPr>
          </w:p>
        </w:tc>
      </w:tr>
    </w:tbl>
    <w:p w14:paraId="765375D8">
      <w:pPr>
        <w:snapToGrid w:val="0"/>
        <w:spacing w:line="360" w:lineRule="auto"/>
        <w:rPr>
          <w:rFonts w:ascii="宋体" w:hAnsi="宋体"/>
          <w:color w:val="auto"/>
          <w:szCs w:val="21"/>
          <w:highlight w:val="none"/>
        </w:rPr>
      </w:pPr>
      <w:r>
        <w:rPr>
          <w:rFonts w:hint="eastAsia" w:ascii="宋体" w:hAnsi="宋体"/>
          <w:color w:val="auto"/>
          <w:szCs w:val="21"/>
          <w:highlight w:val="none"/>
        </w:rPr>
        <w:t>注：</w:t>
      </w:r>
    </w:p>
    <w:p w14:paraId="26487657">
      <w:pPr>
        <w:snapToGrid w:val="0"/>
        <w:spacing w:line="360" w:lineRule="auto"/>
        <w:ind w:firstLine="424" w:firstLineChars="202"/>
        <w:rPr>
          <w:rFonts w:ascii="宋体" w:hAnsi="宋体"/>
          <w:color w:val="auto"/>
          <w:szCs w:val="21"/>
          <w:highlight w:val="none"/>
        </w:rPr>
      </w:pPr>
      <w:r>
        <w:rPr>
          <w:rFonts w:hint="eastAsia" w:ascii="宋体" w:hAnsi="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044AD9B">
      <w:pPr>
        <w:snapToGrid w:val="0"/>
        <w:spacing w:line="360" w:lineRule="auto"/>
        <w:ind w:firstLine="424" w:firstLineChars="202"/>
        <w:rPr>
          <w:rFonts w:ascii="宋体" w:hAnsi="宋体"/>
          <w:color w:val="auto"/>
          <w:szCs w:val="21"/>
          <w:highlight w:val="none"/>
        </w:rPr>
      </w:pPr>
      <w:r>
        <w:rPr>
          <w:rFonts w:hint="eastAsia" w:ascii="宋体" w:hAnsi="宋体"/>
          <w:color w:val="auto"/>
          <w:szCs w:val="21"/>
          <w:highlight w:val="none"/>
        </w:rPr>
        <w:t>2.本表所指的控股关系仅限于直接控股关系，不包括间接的控股关系。公司实际控制人与公司之间的关系不属于本表所指的直接控股关系。</w:t>
      </w:r>
    </w:p>
    <w:p w14:paraId="1BD75AAB">
      <w:pPr>
        <w:snapToGrid w:val="0"/>
        <w:spacing w:before="50" w:afterLines="50"/>
        <w:jc w:val="center"/>
        <w:rPr>
          <w:rFonts w:ascii="宋体" w:hAnsi="宋体"/>
          <w:color w:val="auto"/>
          <w:szCs w:val="21"/>
          <w:highlight w:val="none"/>
        </w:rPr>
      </w:pPr>
    </w:p>
    <w:p w14:paraId="5AC1F2C9">
      <w:pPr>
        <w:snapToGrid w:val="0"/>
        <w:spacing w:before="50" w:afterLines="50"/>
        <w:jc w:val="center"/>
        <w:rPr>
          <w:rFonts w:ascii="宋体" w:hAnsi="宋体"/>
          <w:color w:val="auto"/>
          <w:szCs w:val="21"/>
          <w:highlight w:val="none"/>
        </w:rPr>
      </w:pPr>
      <w:r>
        <w:rPr>
          <w:rFonts w:hint="eastAsia" w:ascii="宋体" w:hAnsi="宋体"/>
          <w:b/>
          <w:color w:val="auto"/>
          <w:sz w:val="24"/>
          <w:highlight w:val="none"/>
        </w:rPr>
        <w:t>供应商直接管理关系信息表</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05"/>
        <w:gridCol w:w="2659"/>
        <w:gridCol w:w="3924"/>
        <w:gridCol w:w="2064"/>
      </w:tblGrid>
      <w:tr w14:paraId="0FD0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11FBF22">
            <w:pPr>
              <w:widowControl/>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1A7A22D">
            <w:pPr>
              <w:widowControl/>
              <w:spacing w:line="360" w:lineRule="auto"/>
              <w:jc w:val="center"/>
              <w:rPr>
                <w:rFonts w:ascii="宋体" w:hAnsi="宋体"/>
                <w:color w:val="auto"/>
                <w:szCs w:val="21"/>
                <w:highlight w:val="none"/>
              </w:rPr>
            </w:pPr>
            <w:r>
              <w:rPr>
                <w:rFonts w:hint="eastAsia" w:ascii="宋体" w:hAnsi="宋体"/>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AE05A62">
            <w:pPr>
              <w:widowControl/>
              <w:spacing w:line="360" w:lineRule="auto"/>
              <w:jc w:val="center"/>
              <w:rPr>
                <w:rFonts w:ascii="宋体" w:hAnsi="宋体"/>
                <w:color w:val="auto"/>
                <w:szCs w:val="21"/>
                <w:highlight w:val="none"/>
              </w:rPr>
            </w:pPr>
            <w:r>
              <w:rPr>
                <w:rFonts w:hint="eastAsia" w:ascii="宋体" w:hAnsi="宋体"/>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8505B77">
            <w:pPr>
              <w:widowControl/>
              <w:spacing w:line="360" w:lineRule="auto"/>
              <w:jc w:val="center"/>
              <w:rPr>
                <w:rFonts w:ascii="宋体" w:hAnsi="宋体"/>
                <w:color w:val="auto"/>
                <w:szCs w:val="21"/>
                <w:highlight w:val="none"/>
              </w:rPr>
            </w:pPr>
            <w:r>
              <w:rPr>
                <w:rFonts w:hint="eastAsia" w:ascii="宋体" w:hAnsi="宋体"/>
                <w:color w:val="auto"/>
                <w:szCs w:val="21"/>
                <w:highlight w:val="none"/>
              </w:rPr>
              <w:t>备注</w:t>
            </w:r>
          </w:p>
        </w:tc>
      </w:tr>
      <w:tr w14:paraId="4F4C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97B3CDF">
            <w:pPr>
              <w:widowControl/>
              <w:spacing w:line="360" w:lineRule="auto"/>
              <w:jc w:val="center"/>
              <w:rPr>
                <w:rFonts w:ascii="宋体" w:hAnsi="宋体"/>
                <w:color w:val="auto"/>
                <w:szCs w:val="21"/>
                <w:highlight w:val="none"/>
              </w:rPr>
            </w:pPr>
            <w:r>
              <w:rPr>
                <w:rFonts w:hint="eastAsia" w:ascii="宋体" w:hAnsi="宋体"/>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C0767DA">
            <w:pPr>
              <w:widowControl/>
              <w:spacing w:line="360" w:lineRule="auto"/>
              <w:jc w:val="center"/>
              <w:rPr>
                <w:rFonts w:ascii="宋体" w:hAnsi="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3FC4A80">
            <w:pPr>
              <w:widowControl/>
              <w:spacing w:line="360" w:lineRule="auto"/>
              <w:jc w:val="center"/>
              <w:rPr>
                <w:rFonts w:ascii="宋体" w:hAnsi="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34A4721">
            <w:pPr>
              <w:widowControl/>
              <w:spacing w:line="360" w:lineRule="auto"/>
              <w:jc w:val="center"/>
              <w:rPr>
                <w:rFonts w:ascii="宋体" w:hAnsi="宋体"/>
                <w:color w:val="auto"/>
                <w:szCs w:val="21"/>
                <w:highlight w:val="none"/>
              </w:rPr>
            </w:pPr>
          </w:p>
        </w:tc>
      </w:tr>
      <w:tr w14:paraId="5E9B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37F830A">
            <w:pPr>
              <w:widowControl/>
              <w:spacing w:line="360" w:lineRule="auto"/>
              <w:jc w:val="center"/>
              <w:rPr>
                <w:rFonts w:ascii="宋体" w:hAnsi="宋体"/>
                <w:color w:val="auto"/>
                <w:szCs w:val="21"/>
                <w:highlight w:val="none"/>
              </w:rPr>
            </w:pPr>
            <w:r>
              <w:rPr>
                <w:rFonts w:hint="eastAsia" w:ascii="宋体" w:hAnsi="宋体"/>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7B24B16">
            <w:pPr>
              <w:widowControl/>
              <w:spacing w:line="360" w:lineRule="auto"/>
              <w:jc w:val="center"/>
              <w:rPr>
                <w:rFonts w:ascii="宋体" w:hAnsi="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FB16646">
            <w:pPr>
              <w:widowControl/>
              <w:spacing w:line="360" w:lineRule="auto"/>
              <w:jc w:val="center"/>
              <w:rPr>
                <w:rFonts w:ascii="宋体" w:hAnsi="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0F32193">
            <w:pPr>
              <w:widowControl/>
              <w:spacing w:line="360" w:lineRule="auto"/>
              <w:jc w:val="center"/>
              <w:rPr>
                <w:rFonts w:ascii="宋体" w:hAnsi="宋体"/>
                <w:color w:val="auto"/>
                <w:szCs w:val="21"/>
                <w:highlight w:val="none"/>
              </w:rPr>
            </w:pPr>
          </w:p>
        </w:tc>
      </w:tr>
      <w:tr w14:paraId="4882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A62C1AB">
            <w:pPr>
              <w:widowControl/>
              <w:spacing w:line="360" w:lineRule="auto"/>
              <w:jc w:val="center"/>
              <w:rPr>
                <w:rFonts w:ascii="宋体" w:hAnsi="宋体"/>
                <w:color w:val="auto"/>
                <w:szCs w:val="21"/>
                <w:highlight w:val="none"/>
              </w:rPr>
            </w:pPr>
            <w:r>
              <w:rPr>
                <w:rFonts w:hint="eastAsia" w:ascii="宋体" w:hAnsi="宋体"/>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B10E931">
            <w:pPr>
              <w:widowControl/>
              <w:spacing w:line="360" w:lineRule="auto"/>
              <w:jc w:val="center"/>
              <w:rPr>
                <w:rFonts w:ascii="宋体" w:hAnsi="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FFC49D0">
            <w:pPr>
              <w:widowControl/>
              <w:spacing w:line="360" w:lineRule="auto"/>
              <w:jc w:val="center"/>
              <w:rPr>
                <w:rFonts w:ascii="宋体" w:hAnsi="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13D94F7">
            <w:pPr>
              <w:widowControl/>
              <w:spacing w:line="360" w:lineRule="auto"/>
              <w:jc w:val="center"/>
              <w:rPr>
                <w:rFonts w:ascii="宋体" w:hAnsi="宋体"/>
                <w:color w:val="auto"/>
                <w:szCs w:val="21"/>
                <w:highlight w:val="none"/>
              </w:rPr>
            </w:pPr>
          </w:p>
        </w:tc>
      </w:tr>
    </w:tbl>
    <w:p w14:paraId="6B49431C">
      <w:pPr>
        <w:snapToGrid w:val="0"/>
        <w:spacing w:line="360" w:lineRule="auto"/>
        <w:rPr>
          <w:rFonts w:ascii="宋体" w:hAnsi="宋体"/>
          <w:color w:val="auto"/>
          <w:szCs w:val="21"/>
          <w:highlight w:val="none"/>
        </w:rPr>
      </w:pPr>
      <w:r>
        <w:rPr>
          <w:rFonts w:hint="eastAsia" w:ascii="宋体" w:hAnsi="宋体"/>
          <w:color w:val="auto"/>
          <w:szCs w:val="21"/>
          <w:highlight w:val="none"/>
        </w:rPr>
        <w:t>注：</w:t>
      </w:r>
    </w:p>
    <w:p w14:paraId="39D986D3">
      <w:pPr>
        <w:snapToGrid w:val="0"/>
        <w:spacing w:line="360" w:lineRule="auto"/>
        <w:ind w:firstLine="424" w:firstLineChars="202"/>
        <w:rPr>
          <w:rFonts w:ascii="宋体" w:hAnsi="宋体"/>
          <w:color w:val="auto"/>
          <w:szCs w:val="21"/>
          <w:highlight w:val="none"/>
        </w:rPr>
      </w:pPr>
      <w:r>
        <w:rPr>
          <w:rFonts w:hint="eastAsia" w:ascii="宋体" w:hAnsi="宋体"/>
          <w:color w:val="auto"/>
          <w:szCs w:val="21"/>
          <w:highlight w:val="none"/>
        </w:rPr>
        <w:t>1.管理关系：是指不具有出资持股关系的其他单位之间存在的管理与被管理关系，如一些上下级关系的事业单位和团体组织。</w:t>
      </w:r>
    </w:p>
    <w:p w14:paraId="1EE0B913">
      <w:pPr>
        <w:snapToGrid w:val="0"/>
        <w:spacing w:line="360" w:lineRule="auto"/>
        <w:ind w:firstLine="424" w:firstLineChars="202"/>
        <w:rPr>
          <w:rFonts w:ascii="宋体" w:hAnsi="宋体"/>
          <w:color w:val="auto"/>
          <w:szCs w:val="21"/>
          <w:highlight w:val="none"/>
        </w:rPr>
      </w:pPr>
      <w:r>
        <w:rPr>
          <w:rFonts w:hint="eastAsia" w:ascii="宋体" w:hAnsi="宋体"/>
          <w:color w:val="auto"/>
          <w:szCs w:val="21"/>
          <w:highlight w:val="none"/>
        </w:rPr>
        <w:t>2.本表所指的管理关系仅限于直接管理关系，不包括间接的管理关系。</w:t>
      </w:r>
    </w:p>
    <w:p w14:paraId="5843F0F8">
      <w:pPr>
        <w:pStyle w:val="20"/>
        <w:tabs>
          <w:tab w:val="left" w:pos="5529"/>
        </w:tabs>
        <w:wordWrap w:val="0"/>
        <w:ind w:firstLine="3240" w:firstLineChars="1620"/>
        <w:rPr>
          <w:rFonts w:hAnsi="宋体"/>
          <w:color w:val="auto"/>
          <w:szCs w:val="21"/>
          <w:highlight w:val="none"/>
        </w:rPr>
      </w:pPr>
    </w:p>
    <w:p w14:paraId="0DCEBC7C">
      <w:pPr>
        <w:pStyle w:val="20"/>
        <w:tabs>
          <w:tab w:val="left" w:pos="5529"/>
        </w:tabs>
        <w:wordWrap w:val="0"/>
        <w:ind w:firstLine="3240" w:firstLineChars="1620"/>
        <w:rPr>
          <w:rFonts w:hAnsi="宋体"/>
          <w:color w:val="auto"/>
          <w:highlight w:val="none"/>
        </w:rPr>
      </w:pPr>
    </w:p>
    <w:p w14:paraId="285FC1CE">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6047EE1A">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4DEA912D">
      <w:pPr>
        <w:snapToGrid w:val="0"/>
        <w:spacing w:before="50" w:after="50"/>
        <w:ind w:left="-6" w:leftChars="-3" w:right="-817" w:rightChars="-389" w:firstLine="6720" w:firstLineChars="3200"/>
        <w:rPr>
          <w:rFonts w:ascii="宋体" w:hAnsi="宋体" w:cs="宋体"/>
          <w:color w:val="auto"/>
          <w:szCs w:val="21"/>
          <w:highlight w:val="none"/>
        </w:rPr>
      </w:pPr>
    </w:p>
    <w:p w14:paraId="398D9722">
      <w:pPr>
        <w:snapToGrid w:val="0"/>
        <w:spacing w:beforeLines="50" w:after="50"/>
        <w:rPr>
          <w:rFonts w:ascii="宋体" w:hAnsi="宋体" w:cs="宋体"/>
          <w:b/>
          <w:bCs/>
          <w:color w:val="auto"/>
          <w:szCs w:val="21"/>
          <w:highlight w:val="none"/>
        </w:rPr>
      </w:pPr>
    </w:p>
    <w:p w14:paraId="5BEDB48B">
      <w:pPr>
        <w:snapToGrid w:val="0"/>
        <w:spacing w:beforeLines="50" w:after="50"/>
        <w:rPr>
          <w:rFonts w:ascii="宋体" w:hAnsi="宋体" w:cs="宋体"/>
          <w:b/>
          <w:bCs/>
          <w:color w:val="auto"/>
          <w:szCs w:val="21"/>
          <w:highlight w:val="none"/>
        </w:rPr>
      </w:pPr>
    </w:p>
    <w:p w14:paraId="4E2DF2B6">
      <w:pPr>
        <w:spacing w:line="360" w:lineRule="exact"/>
        <w:rPr>
          <w:rFonts w:ascii="宋体" w:hAnsi="宋体" w:cs="宋体"/>
          <w:b/>
          <w:color w:val="auto"/>
          <w:highlight w:val="none"/>
        </w:rPr>
      </w:pPr>
      <w:r>
        <w:rPr>
          <w:rFonts w:hint="eastAsia" w:ascii="宋体" w:hAnsi="宋体" w:cs="宋体"/>
          <w:b/>
          <w:color w:val="auto"/>
          <w:highlight w:val="none"/>
        </w:rPr>
        <w:t>四、中小企业声明函格式</w:t>
      </w:r>
    </w:p>
    <w:p w14:paraId="107EC138">
      <w:pPr>
        <w:spacing w:line="360" w:lineRule="exact"/>
        <w:jc w:val="center"/>
        <w:rPr>
          <w:rFonts w:ascii="宋体" w:hAnsi="宋体"/>
          <w:b/>
          <w:color w:val="auto"/>
          <w:sz w:val="24"/>
          <w:highlight w:val="none"/>
        </w:rPr>
      </w:pPr>
      <w:r>
        <w:rPr>
          <w:rFonts w:hint="eastAsia" w:ascii="宋体" w:hAnsi="宋体"/>
          <w:b/>
          <w:color w:val="auto"/>
          <w:sz w:val="24"/>
          <w:highlight w:val="none"/>
        </w:rPr>
        <w:t>中小企业声明函</w:t>
      </w:r>
    </w:p>
    <w:p w14:paraId="4A2F12ED">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说明：</w:t>
      </w:r>
    </w:p>
    <w:p w14:paraId="143C97EB">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1.本声明函主要供参加政府采购活动的中小企业填写，非中小企业无需填写。</w:t>
      </w:r>
    </w:p>
    <w:p w14:paraId="488CE3A0">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2.小型、微型企业提供中型企业提供的货物的，视同为中型企业。</w:t>
      </w:r>
    </w:p>
    <w:p w14:paraId="4A501707">
      <w:pPr>
        <w:spacing w:line="360" w:lineRule="exact"/>
        <w:ind w:firstLine="480" w:firstLineChars="200"/>
        <w:rPr>
          <w:rFonts w:ascii="宋体" w:hAnsi="宋体"/>
          <w:color w:val="auto"/>
          <w:sz w:val="24"/>
          <w:highlight w:val="none"/>
        </w:rPr>
      </w:pPr>
    </w:p>
    <w:p w14:paraId="6E4A73DE">
      <w:pPr>
        <w:spacing w:line="360" w:lineRule="exact"/>
        <w:ind w:firstLine="480" w:firstLineChars="200"/>
        <w:rPr>
          <w:rFonts w:ascii="宋体" w:hAnsi="宋体"/>
          <w:color w:val="auto"/>
          <w:sz w:val="24"/>
          <w:highlight w:val="none"/>
        </w:rPr>
      </w:pPr>
    </w:p>
    <w:p w14:paraId="30BADA90">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本公司（联合体）郑重声明，根据《政府采购促进中小企业发展管理办法》（财库﹝</w:t>
      </w:r>
      <w:r>
        <w:rPr>
          <w:rFonts w:ascii="宋体" w:hAnsi="宋体"/>
          <w:color w:val="auto"/>
          <w:sz w:val="24"/>
          <w:highlight w:val="none"/>
        </w:rPr>
        <w:t>2020</w:t>
      </w:r>
      <w:r>
        <w:rPr>
          <w:rFonts w:hint="eastAsia" w:ascii="宋体" w:hAnsi="宋体"/>
          <w:color w:val="auto"/>
          <w:sz w:val="24"/>
          <w:highlight w:val="none"/>
        </w:rPr>
        <w:t>﹞</w:t>
      </w:r>
      <w:r>
        <w:rPr>
          <w:rFonts w:ascii="宋体" w:hAnsi="宋体"/>
          <w:color w:val="auto"/>
          <w:sz w:val="24"/>
          <w:highlight w:val="none"/>
        </w:rPr>
        <w:t>46</w:t>
      </w:r>
      <w:r>
        <w:rPr>
          <w:rFonts w:hint="eastAsia" w:ascii="宋体" w:hAnsi="宋体"/>
          <w:color w:val="auto"/>
          <w:sz w:val="24"/>
          <w:highlight w:val="none"/>
        </w:rPr>
        <w:t>号）的规定，本公司（联合体）参加</w:t>
      </w:r>
      <w:r>
        <w:rPr>
          <w:rFonts w:hint="eastAsia" w:ascii="宋体" w:hAnsi="宋体"/>
          <w:color w:val="auto"/>
          <w:sz w:val="24"/>
          <w:highlight w:val="none"/>
          <w:u w:val="single"/>
        </w:rPr>
        <w:t xml:space="preserve">    （单位名称）   </w:t>
      </w:r>
      <w:r>
        <w:rPr>
          <w:rFonts w:hint="eastAsia" w:ascii="宋体" w:hAnsi="宋体"/>
          <w:color w:val="auto"/>
          <w:sz w:val="24"/>
          <w:highlight w:val="none"/>
        </w:rPr>
        <w:t>的</w:t>
      </w:r>
      <w:r>
        <w:rPr>
          <w:rFonts w:hint="eastAsia" w:ascii="宋体" w:hAnsi="宋体"/>
          <w:color w:val="auto"/>
          <w:sz w:val="24"/>
          <w:highlight w:val="none"/>
          <w:u w:val="single"/>
        </w:rPr>
        <w:t xml:space="preserve">   （项目名称）   </w:t>
      </w:r>
      <w:r>
        <w:rPr>
          <w:rFonts w:hint="eastAsia" w:ascii="宋体" w:hAnsi="宋体"/>
          <w:color w:val="auto"/>
          <w:sz w:val="24"/>
          <w:highlight w:val="none"/>
        </w:rPr>
        <w:t>采购活动，提供的货物全部由符合政策要求的中小企业制造。相关企业（含联合体中的中小企业、签订分包意向协议的中小企业）的具体情况如下：</w:t>
      </w:r>
    </w:p>
    <w:p w14:paraId="1EA40714">
      <w:pPr>
        <w:spacing w:line="360" w:lineRule="exact"/>
        <w:ind w:firstLine="480" w:firstLineChars="200"/>
        <w:rPr>
          <w:rFonts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u w:val="single"/>
        </w:rPr>
        <w:t xml:space="preserve">   （标的名称）  </w:t>
      </w:r>
      <w:r>
        <w:rPr>
          <w:rFonts w:hint="eastAsia" w:ascii="宋体" w:hAnsi="宋体"/>
          <w:color w:val="auto"/>
          <w:sz w:val="24"/>
          <w:highlight w:val="none"/>
        </w:rPr>
        <w:t>，属于</w:t>
      </w:r>
      <w:r>
        <w:rPr>
          <w:rFonts w:hint="eastAsia" w:ascii="宋体" w:hAnsi="宋体"/>
          <w:color w:val="auto"/>
          <w:sz w:val="24"/>
          <w:highlight w:val="none"/>
          <w:u w:val="single"/>
        </w:rPr>
        <w:t xml:space="preserve"> （采购文件中明确的所属行业） </w:t>
      </w:r>
      <w:r>
        <w:rPr>
          <w:rFonts w:hint="eastAsia" w:ascii="宋体" w:hAnsi="宋体"/>
          <w:color w:val="auto"/>
          <w:sz w:val="24"/>
          <w:highlight w:val="none"/>
        </w:rPr>
        <w:t>行业；制造商为</w:t>
      </w:r>
      <w:r>
        <w:rPr>
          <w:rFonts w:hint="eastAsia" w:ascii="宋体" w:hAnsi="宋体"/>
          <w:color w:val="auto"/>
          <w:sz w:val="24"/>
          <w:highlight w:val="none"/>
          <w:u w:val="single"/>
        </w:rPr>
        <w:t xml:space="preserve"> （企业名称） </w:t>
      </w:r>
      <w:r>
        <w:rPr>
          <w:rFonts w:hint="eastAsia" w:ascii="宋体" w:hAnsi="宋体"/>
          <w:color w:val="auto"/>
          <w:sz w:val="24"/>
          <w:highlight w:val="none"/>
        </w:rPr>
        <w:t>，从业人员人，营业收入为万元，资产总额为万元，属于</w:t>
      </w:r>
      <w:r>
        <w:rPr>
          <w:rFonts w:hint="eastAsia" w:ascii="宋体" w:hAnsi="宋体"/>
          <w:color w:val="auto"/>
          <w:sz w:val="24"/>
          <w:highlight w:val="none"/>
          <w:u w:val="single"/>
        </w:rPr>
        <w:t>（中型企业、小型企业、微型企业）</w:t>
      </w:r>
      <w:r>
        <w:rPr>
          <w:rFonts w:hint="eastAsia" w:ascii="宋体" w:hAnsi="宋体"/>
          <w:color w:val="auto"/>
          <w:sz w:val="24"/>
          <w:highlight w:val="none"/>
        </w:rPr>
        <w:t>；</w:t>
      </w:r>
    </w:p>
    <w:p w14:paraId="0EBAD9BD">
      <w:pPr>
        <w:spacing w:line="360" w:lineRule="exact"/>
        <w:ind w:firstLine="480" w:firstLineChars="200"/>
        <w:rPr>
          <w:rFonts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u w:val="single"/>
        </w:rPr>
        <w:t xml:space="preserve">   （标的名称）  </w:t>
      </w:r>
      <w:r>
        <w:rPr>
          <w:rFonts w:hint="eastAsia" w:ascii="宋体" w:hAnsi="宋体"/>
          <w:color w:val="auto"/>
          <w:sz w:val="24"/>
          <w:highlight w:val="none"/>
        </w:rPr>
        <w:t>，属于</w:t>
      </w:r>
      <w:r>
        <w:rPr>
          <w:rFonts w:hint="eastAsia" w:ascii="宋体" w:hAnsi="宋体"/>
          <w:color w:val="auto"/>
          <w:sz w:val="24"/>
          <w:highlight w:val="none"/>
          <w:u w:val="single"/>
        </w:rPr>
        <w:t xml:space="preserve"> （采购文件中明确的所属行业） </w:t>
      </w:r>
      <w:r>
        <w:rPr>
          <w:rFonts w:hint="eastAsia" w:ascii="宋体" w:hAnsi="宋体"/>
          <w:color w:val="auto"/>
          <w:sz w:val="24"/>
          <w:highlight w:val="none"/>
        </w:rPr>
        <w:t>行业；制造商为</w:t>
      </w:r>
      <w:r>
        <w:rPr>
          <w:rFonts w:hint="eastAsia" w:ascii="宋体" w:hAnsi="宋体"/>
          <w:color w:val="auto"/>
          <w:sz w:val="24"/>
          <w:highlight w:val="none"/>
          <w:u w:val="single"/>
        </w:rPr>
        <w:t xml:space="preserve"> （企业名称） </w:t>
      </w:r>
      <w:r>
        <w:rPr>
          <w:rFonts w:hint="eastAsia" w:ascii="宋体" w:hAnsi="宋体"/>
          <w:color w:val="auto"/>
          <w:sz w:val="24"/>
          <w:highlight w:val="none"/>
        </w:rPr>
        <w:t>，从业人员人，营业收入为万元，资产总额为万元，属于</w:t>
      </w:r>
      <w:r>
        <w:rPr>
          <w:rFonts w:hint="eastAsia" w:ascii="宋体" w:hAnsi="宋体"/>
          <w:color w:val="auto"/>
          <w:sz w:val="24"/>
          <w:highlight w:val="none"/>
          <w:u w:val="single"/>
        </w:rPr>
        <w:t>（中型企业、小型企业、微型企业）</w:t>
      </w:r>
      <w:r>
        <w:rPr>
          <w:rFonts w:hint="eastAsia" w:ascii="宋体" w:hAnsi="宋体"/>
          <w:color w:val="auto"/>
          <w:sz w:val="24"/>
          <w:highlight w:val="none"/>
        </w:rPr>
        <w:t>；</w:t>
      </w:r>
    </w:p>
    <w:p w14:paraId="44291719">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w:t>
      </w:r>
    </w:p>
    <w:p w14:paraId="5AFFC0A7">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以上企业，不属于大企业的分支机构，不存在控股股东为大企业的情形，也不存在与大企业的负责人为同一人的情形。</w:t>
      </w:r>
    </w:p>
    <w:p w14:paraId="33C5B237">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本企业对上述声明内容的真实性负责。如有虚假，将依法承担相应责任。</w:t>
      </w:r>
    </w:p>
    <w:p w14:paraId="3B0DF45C">
      <w:pPr>
        <w:spacing w:line="360" w:lineRule="exact"/>
        <w:ind w:firstLine="3600" w:firstLineChars="1500"/>
        <w:rPr>
          <w:rFonts w:ascii="宋体" w:hAnsi="宋体"/>
          <w:color w:val="auto"/>
          <w:sz w:val="24"/>
          <w:highlight w:val="none"/>
        </w:rPr>
      </w:pPr>
    </w:p>
    <w:p w14:paraId="06287227">
      <w:pPr>
        <w:spacing w:line="360" w:lineRule="auto"/>
        <w:ind w:firstLine="3928" w:firstLineChars="1637"/>
        <w:rPr>
          <w:rFonts w:ascii="宋体" w:hAnsi="宋体" w:cs="宋体"/>
          <w:color w:val="auto"/>
          <w:sz w:val="24"/>
          <w:highlight w:val="none"/>
          <w:u w:val="single"/>
        </w:rPr>
      </w:pPr>
      <w:r>
        <w:rPr>
          <w:rFonts w:hint="eastAsia" w:ascii="宋体" w:hAnsi="宋体" w:cs="宋体"/>
          <w:color w:val="auto"/>
          <w:sz w:val="24"/>
          <w:highlight w:val="none"/>
        </w:rPr>
        <w:t>法定代表人或被授权人（签字）：</w:t>
      </w:r>
      <w:r>
        <w:rPr>
          <w:rFonts w:hint="eastAsia" w:ascii="宋体" w:hAnsi="宋体" w:cs="宋体"/>
          <w:color w:val="auto"/>
          <w:sz w:val="24"/>
          <w:highlight w:val="none"/>
          <w:u w:val="single"/>
        </w:rPr>
        <w:t xml:space="preserve"> </w:t>
      </w:r>
    </w:p>
    <w:p w14:paraId="184A7849">
      <w:pPr>
        <w:spacing w:line="360" w:lineRule="auto"/>
        <w:ind w:firstLine="570"/>
        <w:rPr>
          <w:rFonts w:ascii="宋体" w:hAnsi="宋体" w:cs="宋体"/>
          <w:color w:val="auto"/>
          <w:sz w:val="24"/>
          <w:highlight w:val="none"/>
          <w:u w:val="single"/>
        </w:rPr>
      </w:pPr>
      <w:r>
        <w:rPr>
          <w:rFonts w:hint="eastAsia" w:ascii="宋体" w:hAnsi="宋体" w:cs="宋体"/>
          <w:color w:val="auto"/>
          <w:sz w:val="24"/>
          <w:highlight w:val="none"/>
        </w:rPr>
        <w:t xml:space="preserve">                            </w:t>
      </w:r>
      <w:r>
        <w:rPr>
          <w:rFonts w:ascii="宋体" w:hAnsi="宋体"/>
          <w:color w:val="auto"/>
          <w:sz w:val="24"/>
          <w:highlight w:val="none"/>
        </w:rPr>
        <w:t>投标人</w:t>
      </w:r>
      <w:r>
        <w:rPr>
          <w:rFonts w:hint="eastAsia" w:ascii="宋体" w:hAnsi="宋体"/>
          <w:color w:val="auto"/>
          <w:sz w:val="24"/>
          <w:highlight w:val="none"/>
        </w:rPr>
        <w:t>（</w:t>
      </w:r>
      <w:r>
        <w:rPr>
          <w:rFonts w:hint="eastAsia" w:ascii="宋体" w:hAnsi="宋体"/>
          <w:b/>
          <w:bCs/>
          <w:color w:val="auto"/>
          <w:sz w:val="24"/>
          <w:highlight w:val="none"/>
        </w:rPr>
        <w:t>公章</w:t>
      </w:r>
      <w:r>
        <w:rPr>
          <w:rFonts w:hint="eastAsia" w:ascii="宋体" w:hAnsi="宋体"/>
          <w:color w:val="auto"/>
          <w:sz w:val="24"/>
          <w:highlight w:val="none"/>
        </w:rPr>
        <w:t>）</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1146BB5D">
      <w:pPr>
        <w:spacing w:line="400" w:lineRule="exact"/>
        <w:rPr>
          <w:rFonts w:ascii="宋体" w:hAnsi="宋体" w:cs="宋体"/>
          <w:color w:val="auto"/>
          <w:sz w:val="24"/>
          <w:highlight w:val="none"/>
        </w:rPr>
      </w:pPr>
    </w:p>
    <w:p w14:paraId="31B9ABC9">
      <w:pPr>
        <w:spacing w:line="400" w:lineRule="exact"/>
        <w:rPr>
          <w:rFonts w:ascii="宋体" w:hAnsi="宋体" w:cs="宋体"/>
          <w:color w:val="auto"/>
          <w:sz w:val="24"/>
          <w:highlight w:val="none"/>
        </w:rPr>
      </w:pPr>
      <w:r>
        <w:rPr>
          <w:rFonts w:hint="eastAsia" w:ascii="宋体" w:hAnsi="宋体" w:cs="宋体"/>
          <w:color w:val="auto"/>
          <w:sz w:val="24"/>
          <w:highlight w:val="none"/>
        </w:rPr>
        <w:t xml:space="preserve">                                                                 年   月   日</w:t>
      </w:r>
    </w:p>
    <w:p w14:paraId="1C243230">
      <w:pPr>
        <w:spacing w:line="360" w:lineRule="exact"/>
        <w:ind w:firstLine="480" w:firstLineChars="200"/>
        <w:rPr>
          <w:rFonts w:ascii="宋体" w:hAnsi="宋体"/>
          <w:color w:val="auto"/>
          <w:sz w:val="24"/>
          <w:highlight w:val="none"/>
        </w:rPr>
      </w:pPr>
    </w:p>
    <w:p w14:paraId="398B200F">
      <w:pPr>
        <w:spacing w:line="360" w:lineRule="exact"/>
        <w:ind w:firstLine="480" w:firstLineChars="200"/>
        <w:rPr>
          <w:rFonts w:ascii="宋体" w:hAnsi="宋体"/>
          <w:color w:val="auto"/>
          <w:sz w:val="24"/>
          <w:highlight w:val="none"/>
        </w:rPr>
      </w:pPr>
    </w:p>
    <w:p w14:paraId="103B01FF">
      <w:pPr>
        <w:spacing w:line="360" w:lineRule="exact"/>
        <w:ind w:firstLine="480" w:firstLineChars="200"/>
        <w:rPr>
          <w:rFonts w:ascii="宋体" w:hAnsi="宋体"/>
          <w:color w:val="auto"/>
          <w:sz w:val="24"/>
          <w:highlight w:val="none"/>
        </w:rPr>
      </w:pPr>
    </w:p>
    <w:p w14:paraId="6BE77C02">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注：</w:t>
      </w:r>
    </w:p>
    <w:p w14:paraId="22057A2D">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1.从业人员、营业收入、资产总额填报上一年度数据，无上一年度数据的新成立企业可不填报。</w:t>
      </w:r>
    </w:p>
    <w:p w14:paraId="17FD6EA7">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2.请根据自己的真实情况出具《中小企业声明函》。依法享受中小企业优惠政策的，采购人或者采购代理机构在公告中标结果时，同时公告其《中小企业声明函》，接受社会监督。</w:t>
      </w:r>
    </w:p>
    <w:p w14:paraId="1CA83E38">
      <w:pPr>
        <w:snapToGrid w:val="0"/>
        <w:spacing w:before="50" w:after="50" w:line="240" w:lineRule="exact"/>
        <w:ind w:firstLine="360" w:firstLineChars="200"/>
        <w:jc w:val="left"/>
        <w:rPr>
          <w:rFonts w:ascii="宋体" w:hAnsi="宋体"/>
          <w:color w:val="auto"/>
          <w:sz w:val="18"/>
          <w:szCs w:val="18"/>
          <w:highlight w:val="none"/>
        </w:rPr>
      </w:pPr>
    </w:p>
    <w:p w14:paraId="5842DB93">
      <w:pPr>
        <w:snapToGrid w:val="0"/>
        <w:spacing w:before="50" w:after="50" w:line="240" w:lineRule="exact"/>
        <w:ind w:firstLine="360" w:firstLineChars="200"/>
        <w:jc w:val="left"/>
        <w:rPr>
          <w:rFonts w:ascii="宋体" w:hAnsi="宋体"/>
          <w:color w:val="auto"/>
          <w:sz w:val="18"/>
          <w:szCs w:val="18"/>
          <w:highlight w:val="none"/>
        </w:rPr>
      </w:pPr>
    </w:p>
    <w:p w14:paraId="0C001402">
      <w:pPr>
        <w:snapToGrid w:val="0"/>
        <w:spacing w:before="50" w:after="50" w:line="240" w:lineRule="exact"/>
        <w:jc w:val="left"/>
        <w:rPr>
          <w:rFonts w:ascii="宋体" w:hAnsi="宋体"/>
          <w:color w:val="auto"/>
          <w:sz w:val="18"/>
          <w:szCs w:val="18"/>
          <w:highlight w:val="none"/>
        </w:rPr>
      </w:pPr>
    </w:p>
    <w:p w14:paraId="4EC39E60">
      <w:pPr>
        <w:snapToGrid w:val="0"/>
        <w:spacing w:before="50" w:after="50" w:line="240" w:lineRule="exact"/>
        <w:jc w:val="left"/>
        <w:rPr>
          <w:rFonts w:ascii="宋体" w:hAnsi="宋体"/>
          <w:color w:val="auto"/>
          <w:sz w:val="18"/>
          <w:szCs w:val="18"/>
          <w:highlight w:val="none"/>
        </w:rPr>
      </w:pPr>
    </w:p>
    <w:p w14:paraId="17B9832C">
      <w:pPr>
        <w:tabs>
          <w:tab w:val="left" w:pos="4860"/>
        </w:tabs>
        <w:spacing w:line="360" w:lineRule="exact"/>
        <w:ind w:right="1560" w:firstLine="420" w:firstLineChars="200"/>
        <w:jc w:val="center"/>
        <w:rPr>
          <w:rFonts w:ascii="宋体" w:hAnsi="宋体"/>
          <w:color w:val="auto"/>
          <w:szCs w:val="21"/>
          <w:highlight w:val="none"/>
        </w:rPr>
      </w:pPr>
    </w:p>
    <w:p w14:paraId="15633906">
      <w:pPr>
        <w:spacing w:line="588" w:lineRule="exact"/>
        <w:jc w:val="left"/>
        <w:rPr>
          <w:rFonts w:ascii="仿宋_GB2312" w:eastAsia="仿宋_GB2312"/>
          <w:b/>
          <w:color w:val="auto"/>
          <w:spacing w:val="6"/>
          <w:sz w:val="32"/>
          <w:szCs w:val="32"/>
          <w:highlight w:val="none"/>
        </w:rPr>
      </w:pPr>
      <w:r>
        <w:rPr>
          <w:rFonts w:hint="eastAsia" w:ascii="宋体" w:hAnsi="宋体"/>
          <w:b/>
          <w:color w:val="auto"/>
          <w:sz w:val="24"/>
          <w:szCs w:val="20"/>
          <w:highlight w:val="none"/>
        </w:rPr>
        <w:t>残疾人福利性单位声明函格式</w:t>
      </w:r>
    </w:p>
    <w:p w14:paraId="252BB1FE">
      <w:pPr>
        <w:spacing w:line="588" w:lineRule="exact"/>
        <w:jc w:val="center"/>
        <w:rPr>
          <w:rFonts w:ascii="宋体" w:hAnsi="宋体"/>
          <w:b/>
          <w:color w:val="auto"/>
          <w:sz w:val="24"/>
          <w:highlight w:val="none"/>
        </w:rPr>
      </w:pPr>
      <w:r>
        <w:rPr>
          <w:rFonts w:hint="eastAsia" w:ascii="宋体" w:hAnsi="宋体"/>
          <w:b/>
          <w:color w:val="auto"/>
          <w:sz w:val="24"/>
          <w:highlight w:val="none"/>
        </w:rPr>
        <w:t>残疾人福利性单位声明函</w:t>
      </w:r>
    </w:p>
    <w:p w14:paraId="22611A49">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F40B601">
      <w:pPr>
        <w:spacing w:line="360" w:lineRule="exact"/>
        <w:ind w:firstLine="480" w:firstLineChars="200"/>
        <w:rPr>
          <w:rFonts w:ascii="宋体" w:hAnsi="宋体"/>
          <w:color w:val="auto"/>
          <w:sz w:val="24"/>
          <w:highlight w:val="none"/>
        </w:rPr>
      </w:pPr>
      <w:r>
        <w:rPr>
          <w:rFonts w:hint="eastAsia" w:ascii="宋体" w:hAnsi="宋体"/>
          <w:color w:val="auto"/>
          <w:sz w:val="24"/>
          <w:highlight w:val="none"/>
        </w:rPr>
        <w:t>本单位对上述声明的真实性负责。如有虚假，将依法承担相应责任。</w:t>
      </w:r>
    </w:p>
    <w:p w14:paraId="072351EC">
      <w:pPr>
        <w:spacing w:line="360" w:lineRule="exact"/>
        <w:ind w:firstLine="480" w:firstLineChars="200"/>
        <w:rPr>
          <w:rFonts w:ascii="宋体" w:hAnsi="宋体"/>
          <w:color w:val="auto"/>
          <w:sz w:val="24"/>
          <w:highlight w:val="none"/>
        </w:rPr>
      </w:pPr>
    </w:p>
    <w:p w14:paraId="0663FEB0">
      <w:pPr>
        <w:spacing w:line="360" w:lineRule="exact"/>
        <w:ind w:firstLine="480" w:firstLineChars="200"/>
        <w:rPr>
          <w:rFonts w:ascii="宋体" w:hAnsi="宋体"/>
          <w:color w:val="auto"/>
          <w:sz w:val="24"/>
          <w:highlight w:val="none"/>
        </w:rPr>
      </w:pPr>
    </w:p>
    <w:p w14:paraId="7321B444">
      <w:pPr>
        <w:spacing w:line="360" w:lineRule="auto"/>
        <w:ind w:firstLine="3928" w:firstLineChars="1637"/>
        <w:rPr>
          <w:rFonts w:ascii="宋体" w:hAnsi="宋体" w:cs="宋体"/>
          <w:color w:val="auto"/>
          <w:sz w:val="24"/>
          <w:highlight w:val="none"/>
          <w:u w:val="single"/>
        </w:rPr>
      </w:pPr>
      <w:r>
        <w:rPr>
          <w:rFonts w:hint="eastAsia" w:ascii="宋体" w:hAnsi="宋体" w:cs="宋体"/>
          <w:color w:val="auto"/>
          <w:sz w:val="24"/>
          <w:highlight w:val="none"/>
        </w:rPr>
        <w:t>法定代表人或被授权人（签字）：</w:t>
      </w:r>
      <w:r>
        <w:rPr>
          <w:rFonts w:hint="eastAsia" w:ascii="宋体" w:hAnsi="宋体" w:cs="宋体"/>
          <w:color w:val="auto"/>
          <w:sz w:val="24"/>
          <w:highlight w:val="none"/>
          <w:u w:val="single"/>
        </w:rPr>
        <w:t xml:space="preserve"> </w:t>
      </w:r>
    </w:p>
    <w:p w14:paraId="7D234B2E">
      <w:pPr>
        <w:spacing w:line="360" w:lineRule="auto"/>
        <w:ind w:firstLine="570"/>
        <w:rPr>
          <w:rFonts w:ascii="宋体" w:hAnsi="宋体" w:cs="宋体"/>
          <w:color w:val="auto"/>
          <w:sz w:val="24"/>
          <w:highlight w:val="none"/>
          <w:u w:val="single"/>
        </w:rPr>
      </w:pPr>
      <w:r>
        <w:rPr>
          <w:rFonts w:hint="eastAsia" w:ascii="宋体" w:hAnsi="宋体" w:cs="宋体"/>
          <w:color w:val="auto"/>
          <w:sz w:val="24"/>
          <w:highlight w:val="none"/>
        </w:rPr>
        <w:t xml:space="preserve">                            </w:t>
      </w:r>
      <w:r>
        <w:rPr>
          <w:rFonts w:ascii="宋体" w:hAnsi="宋体"/>
          <w:color w:val="auto"/>
          <w:sz w:val="24"/>
          <w:highlight w:val="none"/>
        </w:rPr>
        <w:t>投标人</w:t>
      </w:r>
      <w:r>
        <w:rPr>
          <w:rFonts w:hint="eastAsia" w:ascii="宋体" w:hAnsi="宋体"/>
          <w:color w:val="auto"/>
          <w:sz w:val="24"/>
          <w:highlight w:val="none"/>
        </w:rPr>
        <w:t>（</w:t>
      </w:r>
      <w:r>
        <w:rPr>
          <w:rFonts w:hint="eastAsia" w:ascii="宋体" w:hAnsi="宋体"/>
          <w:b/>
          <w:bCs/>
          <w:color w:val="auto"/>
          <w:sz w:val="24"/>
          <w:highlight w:val="none"/>
        </w:rPr>
        <w:t>公章</w:t>
      </w:r>
      <w:r>
        <w:rPr>
          <w:rFonts w:hint="eastAsia" w:ascii="宋体" w:hAnsi="宋体"/>
          <w:color w:val="auto"/>
          <w:sz w:val="24"/>
          <w:highlight w:val="none"/>
        </w:rPr>
        <w:t>）</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2B27D0AC">
      <w:pPr>
        <w:spacing w:line="360" w:lineRule="auto"/>
        <w:ind w:firstLine="570"/>
        <w:rPr>
          <w:rFonts w:ascii="宋体" w:hAnsi="宋体" w:cs="宋体"/>
          <w:color w:val="auto"/>
          <w:sz w:val="24"/>
          <w:highlight w:val="none"/>
        </w:rPr>
      </w:pPr>
      <w:r>
        <w:rPr>
          <w:rFonts w:hint="eastAsia" w:ascii="宋体" w:hAnsi="宋体" w:cs="宋体"/>
          <w:color w:val="auto"/>
          <w:sz w:val="24"/>
          <w:highlight w:val="none"/>
          <w:u w:val="single"/>
        </w:rPr>
        <w:t xml:space="preserve">    </w:t>
      </w:r>
    </w:p>
    <w:p w14:paraId="6EEDB42A">
      <w:pPr>
        <w:spacing w:line="400" w:lineRule="exact"/>
        <w:rPr>
          <w:rFonts w:ascii="宋体" w:hAnsi="宋体" w:cs="宋体"/>
          <w:color w:val="auto"/>
          <w:sz w:val="24"/>
          <w:highlight w:val="none"/>
        </w:rPr>
      </w:pPr>
      <w:r>
        <w:rPr>
          <w:rFonts w:hint="eastAsia" w:ascii="宋体" w:hAnsi="宋体" w:cs="宋体"/>
          <w:color w:val="auto"/>
          <w:sz w:val="24"/>
          <w:highlight w:val="none"/>
        </w:rPr>
        <w:t xml:space="preserve">                                                                 年   月   日</w:t>
      </w:r>
    </w:p>
    <w:p w14:paraId="70781B73">
      <w:pPr>
        <w:spacing w:line="360" w:lineRule="exact"/>
        <w:ind w:firstLine="480" w:firstLineChars="200"/>
        <w:rPr>
          <w:rFonts w:ascii="宋体" w:hAnsi="宋体"/>
          <w:color w:val="auto"/>
          <w:sz w:val="24"/>
          <w:highlight w:val="none"/>
        </w:rPr>
      </w:pPr>
    </w:p>
    <w:p w14:paraId="665E3425">
      <w:pPr>
        <w:snapToGrid w:val="0"/>
        <w:spacing w:beforeLines="50" w:after="50"/>
        <w:rPr>
          <w:rFonts w:ascii="宋体" w:hAnsi="宋体" w:cs="宋体"/>
          <w:b/>
          <w:bCs/>
          <w:color w:val="auto"/>
          <w:szCs w:val="21"/>
          <w:highlight w:val="none"/>
        </w:rPr>
      </w:pPr>
      <w:r>
        <w:rPr>
          <w:rFonts w:hint="eastAsia" w:ascii="宋体" w:hAnsi="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79BB31FC">
      <w:pPr>
        <w:snapToGrid w:val="0"/>
        <w:spacing w:beforeLines="50" w:after="50"/>
        <w:rPr>
          <w:rFonts w:ascii="宋体" w:hAnsi="宋体" w:cs="宋体"/>
          <w:b/>
          <w:bCs/>
          <w:color w:val="auto"/>
          <w:szCs w:val="21"/>
          <w:highlight w:val="none"/>
        </w:rPr>
      </w:pPr>
    </w:p>
    <w:p w14:paraId="24111EA0">
      <w:pPr>
        <w:snapToGrid w:val="0"/>
        <w:spacing w:beforeLines="50" w:after="50"/>
        <w:rPr>
          <w:rFonts w:ascii="宋体" w:hAnsi="宋体" w:cs="宋体"/>
          <w:b/>
          <w:bCs/>
          <w:color w:val="auto"/>
          <w:szCs w:val="21"/>
          <w:highlight w:val="none"/>
        </w:rPr>
      </w:pPr>
    </w:p>
    <w:p w14:paraId="39A4818B">
      <w:pPr>
        <w:snapToGrid w:val="0"/>
        <w:spacing w:beforeLines="50" w:after="50"/>
        <w:rPr>
          <w:rFonts w:ascii="宋体" w:hAnsi="宋体" w:cs="宋体"/>
          <w:b/>
          <w:bCs/>
          <w:color w:val="auto"/>
          <w:szCs w:val="21"/>
          <w:highlight w:val="none"/>
        </w:rPr>
      </w:pPr>
    </w:p>
    <w:p w14:paraId="437F40C2">
      <w:pPr>
        <w:snapToGrid w:val="0"/>
        <w:spacing w:beforeLines="50" w:after="50"/>
        <w:rPr>
          <w:rFonts w:ascii="宋体" w:hAnsi="宋体" w:cs="宋体"/>
          <w:b/>
          <w:bCs/>
          <w:color w:val="auto"/>
          <w:szCs w:val="21"/>
          <w:highlight w:val="none"/>
        </w:rPr>
      </w:pPr>
    </w:p>
    <w:p w14:paraId="057179FF">
      <w:pPr>
        <w:snapToGrid w:val="0"/>
        <w:spacing w:beforeLines="50" w:after="50"/>
        <w:rPr>
          <w:rFonts w:ascii="宋体" w:hAnsi="宋体" w:cs="宋体"/>
          <w:b/>
          <w:bCs/>
          <w:color w:val="auto"/>
          <w:szCs w:val="21"/>
          <w:highlight w:val="none"/>
        </w:rPr>
      </w:pPr>
    </w:p>
    <w:p w14:paraId="05C5DC1A">
      <w:pPr>
        <w:snapToGrid w:val="0"/>
        <w:spacing w:beforeLines="50" w:after="50"/>
        <w:rPr>
          <w:rFonts w:ascii="宋体" w:hAnsi="宋体" w:cs="宋体"/>
          <w:b/>
          <w:bCs/>
          <w:color w:val="auto"/>
          <w:szCs w:val="21"/>
          <w:highlight w:val="none"/>
        </w:rPr>
      </w:pPr>
    </w:p>
    <w:p w14:paraId="0355E531">
      <w:pPr>
        <w:snapToGrid w:val="0"/>
        <w:spacing w:beforeLines="50" w:after="50"/>
        <w:rPr>
          <w:rFonts w:ascii="宋体" w:hAnsi="宋体" w:cs="宋体"/>
          <w:b/>
          <w:bCs/>
          <w:color w:val="auto"/>
          <w:szCs w:val="21"/>
          <w:highlight w:val="none"/>
        </w:rPr>
      </w:pPr>
    </w:p>
    <w:p w14:paraId="126849BC">
      <w:pPr>
        <w:snapToGrid w:val="0"/>
        <w:spacing w:beforeLines="50" w:after="50"/>
        <w:rPr>
          <w:rFonts w:ascii="宋体" w:hAnsi="宋体" w:cs="宋体"/>
          <w:b/>
          <w:bCs/>
          <w:color w:val="auto"/>
          <w:szCs w:val="21"/>
          <w:highlight w:val="none"/>
        </w:rPr>
      </w:pPr>
    </w:p>
    <w:p w14:paraId="3A7AB027">
      <w:pPr>
        <w:snapToGrid w:val="0"/>
        <w:spacing w:beforeLines="50" w:after="50"/>
        <w:rPr>
          <w:rFonts w:ascii="宋体" w:hAnsi="宋体" w:cs="宋体"/>
          <w:b/>
          <w:bCs/>
          <w:color w:val="auto"/>
          <w:szCs w:val="21"/>
          <w:highlight w:val="none"/>
        </w:rPr>
      </w:pPr>
    </w:p>
    <w:p w14:paraId="2BAA0376">
      <w:pPr>
        <w:snapToGrid w:val="0"/>
        <w:spacing w:beforeLines="50" w:after="50"/>
        <w:rPr>
          <w:rFonts w:ascii="宋体" w:hAnsi="宋体" w:cs="宋体"/>
          <w:b/>
          <w:bCs/>
          <w:color w:val="auto"/>
          <w:szCs w:val="21"/>
          <w:highlight w:val="none"/>
        </w:rPr>
      </w:pPr>
    </w:p>
    <w:p w14:paraId="3DDED51E">
      <w:pPr>
        <w:snapToGrid w:val="0"/>
        <w:spacing w:beforeLines="50" w:after="50"/>
        <w:rPr>
          <w:rFonts w:ascii="宋体" w:hAnsi="宋体" w:cs="宋体"/>
          <w:b/>
          <w:bCs/>
          <w:color w:val="auto"/>
          <w:szCs w:val="21"/>
          <w:highlight w:val="none"/>
        </w:rPr>
      </w:pPr>
    </w:p>
    <w:p w14:paraId="45A1D824">
      <w:pPr>
        <w:snapToGrid w:val="0"/>
        <w:spacing w:beforeLines="50" w:after="50"/>
        <w:rPr>
          <w:rFonts w:ascii="宋体" w:hAnsi="宋体" w:cs="宋体"/>
          <w:b/>
          <w:bCs/>
          <w:color w:val="auto"/>
          <w:szCs w:val="21"/>
          <w:highlight w:val="none"/>
        </w:rPr>
      </w:pPr>
    </w:p>
    <w:p w14:paraId="46EF7E21">
      <w:pPr>
        <w:snapToGrid w:val="0"/>
        <w:spacing w:beforeLines="50" w:after="50"/>
        <w:rPr>
          <w:rFonts w:ascii="宋体" w:hAnsi="宋体" w:cs="宋体"/>
          <w:b/>
          <w:bCs/>
          <w:color w:val="auto"/>
          <w:szCs w:val="21"/>
          <w:highlight w:val="none"/>
        </w:rPr>
      </w:pPr>
    </w:p>
    <w:p w14:paraId="603C7E17">
      <w:pPr>
        <w:snapToGrid w:val="0"/>
        <w:spacing w:beforeLines="50" w:after="50"/>
        <w:rPr>
          <w:rFonts w:ascii="宋体" w:hAnsi="宋体" w:cs="宋体"/>
          <w:b/>
          <w:bCs/>
          <w:color w:val="auto"/>
          <w:szCs w:val="21"/>
          <w:highlight w:val="none"/>
        </w:rPr>
      </w:pPr>
    </w:p>
    <w:p w14:paraId="29B8F5AE">
      <w:pPr>
        <w:snapToGrid w:val="0"/>
        <w:spacing w:beforeLines="50" w:after="50"/>
        <w:rPr>
          <w:rFonts w:ascii="宋体" w:hAnsi="宋体" w:cs="宋体"/>
          <w:b/>
          <w:bCs/>
          <w:color w:val="auto"/>
          <w:szCs w:val="21"/>
          <w:highlight w:val="none"/>
        </w:rPr>
      </w:pPr>
    </w:p>
    <w:p w14:paraId="48661544">
      <w:pPr>
        <w:snapToGrid w:val="0"/>
        <w:spacing w:beforeLines="50" w:after="50"/>
        <w:rPr>
          <w:rFonts w:ascii="宋体" w:hAnsi="宋体" w:cs="宋体"/>
          <w:b/>
          <w:bCs/>
          <w:color w:val="auto"/>
          <w:szCs w:val="21"/>
          <w:highlight w:val="none"/>
        </w:rPr>
      </w:pPr>
    </w:p>
    <w:p w14:paraId="06A9146C">
      <w:pPr>
        <w:snapToGrid w:val="0"/>
        <w:spacing w:beforeLines="50" w:after="50"/>
        <w:rPr>
          <w:rFonts w:ascii="宋体" w:hAnsi="宋体" w:cs="宋体"/>
          <w:b/>
          <w:bCs/>
          <w:color w:val="auto"/>
          <w:szCs w:val="21"/>
          <w:highlight w:val="none"/>
        </w:rPr>
      </w:pPr>
      <w:r>
        <w:rPr>
          <w:rFonts w:hint="eastAsia" w:ascii="宋体" w:hAnsi="宋体" w:cs="宋体"/>
          <w:b/>
          <w:bCs/>
          <w:color w:val="auto"/>
          <w:szCs w:val="21"/>
          <w:highlight w:val="none"/>
        </w:rPr>
        <w:t>2、商务和技术文件格式：</w:t>
      </w:r>
    </w:p>
    <w:p w14:paraId="1F08E2FA">
      <w:pPr>
        <w:snapToGrid w:val="0"/>
        <w:spacing w:beforeLines="50" w:after="50" w:line="280" w:lineRule="exact"/>
        <w:ind w:firstLine="8" w:firstLineChars="3"/>
        <w:jc w:val="right"/>
        <w:rPr>
          <w:rFonts w:ascii="宋体" w:hAnsi="宋体" w:cs="宋体"/>
          <w:bCs/>
          <w:color w:val="auto"/>
          <w:sz w:val="28"/>
          <w:szCs w:val="28"/>
          <w:highlight w:val="none"/>
        </w:rPr>
      </w:pPr>
      <w:r>
        <w:rPr>
          <w:rFonts w:hint="eastAsia" w:ascii="宋体" w:hAnsi="宋体" w:cs="宋体"/>
          <w:bCs/>
          <w:color w:val="auto"/>
          <w:sz w:val="28"/>
          <w:szCs w:val="28"/>
          <w:highlight w:val="none"/>
        </w:rPr>
        <w:t>电子响应文件</w:t>
      </w:r>
    </w:p>
    <w:p w14:paraId="6C956A96">
      <w:pPr>
        <w:snapToGrid w:val="0"/>
        <w:spacing w:beforeLines="50" w:after="50" w:line="280" w:lineRule="exact"/>
        <w:ind w:firstLine="9" w:firstLineChars="3"/>
        <w:jc w:val="center"/>
        <w:rPr>
          <w:rFonts w:ascii="宋体" w:hAnsi="宋体" w:cs="宋体"/>
          <w:bCs/>
          <w:color w:val="auto"/>
          <w:sz w:val="32"/>
          <w:szCs w:val="32"/>
          <w:highlight w:val="none"/>
        </w:rPr>
      </w:pPr>
    </w:p>
    <w:p w14:paraId="15E16079">
      <w:pPr>
        <w:snapToGrid w:val="0"/>
        <w:spacing w:beforeLines="50" w:after="50" w:line="280" w:lineRule="exact"/>
        <w:ind w:firstLine="9" w:firstLineChars="3"/>
        <w:jc w:val="center"/>
        <w:rPr>
          <w:rFonts w:ascii="宋体" w:hAnsi="宋体" w:cs="宋体"/>
          <w:bCs/>
          <w:color w:val="auto"/>
          <w:sz w:val="32"/>
          <w:szCs w:val="32"/>
          <w:highlight w:val="none"/>
        </w:rPr>
      </w:pPr>
    </w:p>
    <w:p w14:paraId="0540EFAA">
      <w:pPr>
        <w:snapToGrid w:val="0"/>
        <w:spacing w:beforeLines="50" w:after="50"/>
        <w:ind w:firstLine="13" w:firstLineChars="3"/>
        <w:jc w:val="center"/>
        <w:rPr>
          <w:rFonts w:ascii="宋体" w:hAnsi="宋体" w:cs="宋体"/>
          <w:bCs/>
          <w:color w:val="auto"/>
          <w:sz w:val="44"/>
          <w:szCs w:val="44"/>
          <w:highlight w:val="none"/>
        </w:rPr>
      </w:pPr>
      <w:r>
        <w:rPr>
          <w:rFonts w:hint="eastAsia" w:ascii="宋体" w:hAnsi="宋体" w:cs="宋体"/>
          <w:bCs/>
          <w:color w:val="auto"/>
          <w:sz w:val="44"/>
          <w:szCs w:val="44"/>
          <w:highlight w:val="none"/>
        </w:rPr>
        <w:t>响应文件</w:t>
      </w:r>
    </w:p>
    <w:p w14:paraId="04636F98">
      <w:pPr>
        <w:snapToGrid w:val="0"/>
        <w:spacing w:beforeLines="50" w:after="50"/>
        <w:ind w:firstLine="9" w:firstLineChars="3"/>
        <w:jc w:val="center"/>
        <w:rPr>
          <w:rFonts w:ascii="宋体" w:hAnsi="宋体" w:cs="宋体"/>
          <w:bCs/>
          <w:color w:val="auto"/>
          <w:sz w:val="32"/>
          <w:szCs w:val="32"/>
          <w:highlight w:val="none"/>
        </w:rPr>
      </w:pPr>
      <w:r>
        <w:rPr>
          <w:rFonts w:hint="eastAsia" w:ascii="宋体" w:hAnsi="宋体" w:cs="宋体"/>
          <w:bCs/>
          <w:color w:val="auto"/>
          <w:sz w:val="32"/>
          <w:szCs w:val="32"/>
          <w:highlight w:val="none"/>
        </w:rPr>
        <w:t>（商务和技术文件）</w:t>
      </w:r>
    </w:p>
    <w:p w14:paraId="3679FAD2">
      <w:pPr>
        <w:snapToGrid w:val="0"/>
        <w:spacing w:beforeLines="50" w:after="50"/>
        <w:rPr>
          <w:rFonts w:ascii="宋体" w:hAnsi="宋体" w:cs="宋体"/>
          <w:bCs/>
          <w:color w:val="auto"/>
          <w:szCs w:val="21"/>
          <w:highlight w:val="none"/>
        </w:rPr>
      </w:pPr>
    </w:p>
    <w:p w14:paraId="73590599">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项目名称：</w:t>
      </w:r>
    </w:p>
    <w:p w14:paraId="0AAB3669">
      <w:pPr>
        <w:snapToGrid w:val="0"/>
        <w:spacing w:beforeLines="50" w:after="50" w:line="280" w:lineRule="exact"/>
        <w:ind w:firstLine="675" w:firstLineChars="225"/>
        <w:rPr>
          <w:rFonts w:ascii="宋体" w:hAnsi="宋体" w:cs="宋体"/>
          <w:bCs/>
          <w:color w:val="auto"/>
          <w:sz w:val="30"/>
          <w:szCs w:val="30"/>
          <w:highlight w:val="none"/>
        </w:rPr>
      </w:pPr>
    </w:p>
    <w:p w14:paraId="153EA93F">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项目编号：</w:t>
      </w:r>
    </w:p>
    <w:p w14:paraId="11BCD7A5">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 xml:space="preserve"> </w:t>
      </w:r>
    </w:p>
    <w:p w14:paraId="5A77CF71">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标    项：（如有则填写，无分标时填写“无”或者留空）</w:t>
      </w:r>
    </w:p>
    <w:p w14:paraId="1721DABE">
      <w:pPr>
        <w:snapToGrid w:val="0"/>
        <w:spacing w:beforeLines="50" w:after="50" w:line="280" w:lineRule="exact"/>
        <w:ind w:firstLine="675" w:firstLineChars="225"/>
        <w:rPr>
          <w:rFonts w:ascii="宋体" w:hAnsi="宋体" w:cs="宋体"/>
          <w:bCs/>
          <w:color w:val="auto"/>
          <w:sz w:val="30"/>
          <w:szCs w:val="30"/>
          <w:highlight w:val="none"/>
        </w:rPr>
      </w:pPr>
    </w:p>
    <w:p w14:paraId="26F82E54">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供应商名称：</w:t>
      </w:r>
      <w:r>
        <w:rPr>
          <w:rFonts w:hint="eastAsia" w:ascii="宋体" w:hAnsi="宋体"/>
          <w:bCs/>
          <w:color w:val="auto"/>
          <w:sz w:val="24"/>
          <w:highlight w:val="none"/>
          <w:u w:val="single"/>
        </w:rPr>
        <w:t xml:space="preserve">                       </w:t>
      </w:r>
      <w:r>
        <w:rPr>
          <w:rFonts w:hint="eastAsia" w:ascii="宋体" w:hAnsi="宋体" w:cs="宋体"/>
          <w:bCs/>
          <w:color w:val="auto"/>
          <w:sz w:val="30"/>
          <w:szCs w:val="30"/>
          <w:highlight w:val="none"/>
        </w:rPr>
        <w:t>（加盖单位电子公章）</w:t>
      </w:r>
    </w:p>
    <w:p w14:paraId="41BE36A7">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p>
    <w:p w14:paraId="1D706ADD">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供应商地址：</w:t>
      </w:r>
    </w:p>
    <w:p w14:paraId="67CFCE07">
      <w:pPr>
        <w:pStyle w:val="7"/>
        <w:snapToGrid w:val="0"/>
        <w:spacing w:before="50" w:after="50" w:line="280" w:lineRule="exact"/>
        <w:ind w:firstLine="675" w:firstLineChars="225"/>
        <w:rPr>
          <w:rFonts w:ascii="宋体" w:hAnsi="宋体" w:cs="宋体"/>
          <w:bCs/>
          <w:color w:val="auto"/>
          <w:sz w:val="30"/>
          <w:szCs w:val="30"/>
          <w:highlight w:val="none"/>
        </w:rPr>
      </w:pPr>
    </w:p>
    <w:p w14:paraId="4AD49CED">
      <w:pPr>
        <w:snapToGrid w:val="0"/>
        <w:spacing w:beforeLines="50" w:after="50"/>
        <w:ind w:firstLine="10"/>
        <w:jc w:val="center"/>
        <w:rPr>
          <w:rFonts w:ascii="宋体" w:hAnsi="宋体" w:cs="宋体"/>
          <w:color w:val="auto"/>
          <w:sz w:val="30"/>
          <w:szCs w:val="30"/>
          <w:highlight w:val="none"/>
        </w:rPr>
      </w:pPr>
    </w:p>
    <w:p w14:paraId="0529111A">
      <w:pPr>
        <w:snapToGrid w:val="0"/>
        <w:spacing w:beforeLines="50" w:after="50"/>
        <w:ind w:firstLine="10"/>
        <w:jc w:val="center"/>
        <w:rPr>
          <w:rFonts w:ascii="宋体" w:hAnsi="宋体" w:cs="宋体"/>
          <w:color w:val="auto"/>
          <w:sz w:val="30"/>
          <w:szCs w:val="30"/>
          <w:highlight w:val="none"/>
        </w:rPr>
      </w:pPr>
    </w:p>
    <w:p w14:paraId="3F50747A">
      <w:pPr>
        <w:snapToGrid w:val="0"/>
        <w:spacing w:beforeLines="50" w:after="50"/>
        <w:ind w:firstLine="10"/>
        <w:jc w:val="center"/>
        <w:rPr>
          <w:rFonts w:ascii="宋体" w:hAnsi="宋体" w:cs="宋体"/>
          <w:color w:val="auto"/>
          <w:sz w:val="30"/>
          <w:szCs w:val="30"/>
          <w:highlight w:val="none"/>
        </w:rPr>
      </w:pPr>
      <w:r>
        <w:rPr>
          <w:rFonts w:hint="eastAsia" w:ascii="宋体" w:hAnsi="宋体" w:cs="宋体"/>
          <w:color w:val="auto"/>
          <w:sz w:val="30"/>
          <w:szCs w:val="30"/>
          <w:highlight w:val="none"/>
        </w:rPr>
        <w:t>年   月   日</w:t>
      </w:r>
    </w:p>
    <w:p w14:paraId="4F3474FE">
      <w:pPr>
        <w:snapToGrid w:val="0"/>
        <w:spacing w:before="50" w:after="50"/>
        <w:rPr>
          <w:rFonts w:ascii="宋体" w:hAnsi="宋体" w:cs="宋体"/>
          <w:b/>
          <w:color w:val="auto"/>
          <w:szCs w:val="21"/>
          <w:highlight w:val="none"/>
        </w:rPr>
      </w:pPr>
    </w:p>
    <w:p w14:paraId="7DAEA751">
      <w:pPr>
        <w:snapToGrid w:val="0"/>
        <w:spacing w:beforeLines="50" w:after="50" w:line="330" w:lineRule="exact"/>
        <w:jc w:val="center"/>
        <w:rPr>
          <w:rFonts w:ascii="宋体" w:hAnsi="宋体" w:cs="宋体"/>
          <w:b/>
          <w:color w:val="auto"/>
          <w:szCs w:val="21"/>
          <w:highlight w:val="none"/>
        </w:rPr>
      </w:pPr>
      <w:r>
        <w:rPr>
          <w:rFonts w:hint="eastAsia" w:ascii="宋体" w:hAnsi="宋体" w:cs="宋体"/>
          <w:b/>
          <w:color w:val="auto"/>
          <w:szCs w:val="21"/>
          <w:highlight w:val="none"/>
        </w:rPr>
        <w:br w:type="page"/>
      </w:r>
    </w:p>
    <w:p w14:paraId="55ABA278">
      <w:pPr>
        <w:snapToGrid w:val="0"/>
        <w:spacing w:beforeLines="50" w:after="50" w:line="330" w:lineRule="exact"/>
        <w:jc w:val="center"/>
        <w:rPr>
          <w:rFonts w:ascii="宋体" w:hAnsi="宋体" w:cs="宋体"/>
          <w:b/>
          <w:color w:val="auto"/>
          <w:szCs w:val="21"/>
          <w:highlight w:val="none"/>
        </w:rPr>
      </w:pPr>
    </w:p>
    <w:p w14:paraId="571041A2">
      <w:pPr>
        <w:snapToGrid w:val="0"/>
        <w:spacing w:beforeLines="50" w:after="50" w:line="330" w:lineRule="exact"/>
        <w:jc w:val="center"/>
        <w:rPr>
          <w:rFonts w:ascii="宋体" w:hAnsi="宋体" w:cs="宋体"/>
          <w:b/>
          <w:color w:val="auto"/>
          <w:sz w:val="44"/>
          <w:szCs w:val="44"/>
          <w:highlight w:val="none"/>
        </w:rPr>
      </w:pPr>
      <w:r>
        <w:rPr>
          <w:rFonts w:hint="eastAsia" w:ascii="宋体" w:hAnsi="宋体" w:cs="宋体"/>
          <w:b/>
          <w:color w:val="auto"/>
          <w:sz w:val="44"/>
          <w:szCs w:val="44"/>
          <w:highlight w:val="none"/>
        </w:rPr>
        <w:t>目录</w:t>
      </w:r>
    </w:p>
    <w:p w14:paraId="12D2BAD0">
      <w:pPr>
        <w:snapToGrid w:val="0"/>
        <w:spacing w:beforeLines="50" w:after="50" w:line="330" w:lineRule="exact"/>
        <w:jc w:val="center"/>
        <w:rPr>
          <w:rFonts w:ascii="宋体" w:hAnsi="宋体" w:cs="宋体"/>
          <w:color w:val="auto"/>
          <w:sz w:val="28"/>
          <w:szCs w:val="28"/>
          <w:highlight w:val="none"/>
        </w:rPr>
      </w:pPr>
    </w:p>
    <w:p w14:paraId="1D2072DD">
      <w:pPr>
        <w:tabs>
          <w:tab w:val="left" w:pos="2625"/>
        </w:tabs>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(供应商需根据响应文件自行编制目录及页码)</w:t>
      </w:r>
    </w:p>
    <w:p w14:paraId="30A9E924">
      <w:pPr>
        <w:spacing w:line="320" w:lineRule="exact"/>
        <w:rPr>
          <w:rFonts w:ascii="宋体" w:hAnsi="宋体"/>
          <w:color w:val="auto"/>
          <w:szCs w:val="21"/>
          <w:highlight w:val="none"/>
        </w:rPr>
      </w:pPr>
    </w:p>
    <w:p w14:paraId="7DD7FAC8">
      <w:pPr>
        <w:spacing w:line="320" w:lineRule="exact"/>
        <w:rPr>
          <w:rFonts w:ascii="宋体" w:hAnsi="宋体"/>
          <w:color w:val="auto"/>
          <w:szCs w:val="21"/>
          <w:highlight w:val="none"/>
        </w:rPr>
      </w:pPr>
    </w:p>
    <w:p w14:paraId="28F2B460">
      <w:pPr>
        <w:spacing w:line="320" w:lineRule="exact"/>
        <w:rPr>
          <w:rFonts w:ascii="宋体" w:hAnsi="宋体"/>
          <w:color w:val="auto"/>
          <w:szCs w:val="21"/>
          <w:highlight w:val="none"/>
        </w:rPr>
      </w:pPr>
    </w:p>
    <w:p w14:paraId="3A16F244">
      <w:pPr>
        <w:spacing w:line="320" w:lineRule="exact"/>
        <w:rPr>
          <w:rFonts w:ascii="宋体" w:hAnsi="宋体"/>
          <w:color w:val="auto"/>
          <w:szCs w:val="21"/>
          <w:highlight w:val="none"/>
        </w:rPr>
      </w:pPr>
    </w:p>
    <w:p w14:paraId="263CBC8E">
      <w:pPr>
        <w:spacing w:line="320" w:lineRule="exact"/>
        <w:rPr>
          <w:rFonts w:ascii="宋体" w:hAnsi="宋体"/>
          <w:color w:val="auto"/>
          <w:szCs w:val="21"/>
          <w:highlight w:val="none"/>
        </w:rPr>
      </w:pPr>
    </w:p>
    <w:p w14:paraId="187C629B">
      <w:pPr>
        <w:spacing w:line="320" w:lineRule="exact"/>
        <w:rPr>
          <w:rFonts w:ascii="宋体" w:hAnsi="宋体"/>
          <w:color w:val="auto"/>
          <w:szCs w:val="21"/>
          <w:highlight w:val="none"/>
        </w:rPr>
      </w:pPr>
    </w:p>
    <w:p w14:paraId="3F242730">
      <w:pPr>
        <w:spacing w:line="320" w:lineRule="exact"/>
        <w:rPr>
          <w:rFonts w:ascii="宋体" w:hAnsi="宋体"/>
          <w:color w:val="auto"/>
          <w:szCs w:val="21"/>
          <w:highlight w:val="none"/>
        </w:rPr>
      </w:pPr>
    </w:p>
    <w:p w14:paraId="45C70160">
      <w:pPr>
        <w:spacing w:line="320" w:lineRule="exact"/>
        <w:rPr>
          <w:rFonts w:ascii="宋体" w:hAnsi="宋体"/>
          <w:color w:val="auto"/>
          <w:szCs w:val="21"/>
          <w:highlight w:val="none"/>
        </w:rPr>
      </w:pPr>
    </w:p>
    <w:p w14:paraId="1CAF5C59">
      <w:pPr>
        <w:spacing w:line="320" w:lineRule="exact"/>
        <w:rPr>
          <w:rFonts w:ascii="宋体" w:hAnsi="宋体"/>
          <w:color w:val="auto"/>
          <w:szCs w:val="21"/>
          <w:highlight w:val="none"/>
        </w:rPr>
      </w:pPr>
    </w:p>
    <w:p w14:paraId="67849D30">
      <w:pPr>
        <w:spacing w:line="320" w:lineRule="exact"/>
        <w:rPr>
          <w:rFonts w:ascii="宋体" w:hAnsi="宋体"/>
          <w:color w:val="auto"/>
          <w:szCs w:val="21"/>
          <w:highlight w:val="none"/>
        </w:rPr>
      </w:pPr>
    </w:p>
    <w:p w14:paraId="67C8AFD2">
      <w:pPr>
        <w:spacing w:line="320" w:lineRule="exact"/>
        <w:rPr>
          <w:rFonts w:ascii="宋体" w:hAnsi="宋体"/>
          <w:color w:val="auto"/>
          <w:szCs w:val="21"/>
          <w:highlight w:val="none"/>
        </w:rPr>
      </w:pPr>
    </w:p>
    <w:p w14:paraId="319D4810">
      <w:pPr>
        <w:spacing w:line="320" w:lineRule="exact"/>
        <w:rPr>
          <w:rFonts w:ascii="宋体" w:hAnsi="宋体"/>
          <w:color w:val="auto"/>
          <w:szCs w:val="21"/>
          <w:highlight w:val="none"/>
        </w:rPr>
      </w:pPr>
    </w:p>
    <w:p w14:paraId="014C4769">
      <w:pPr>
        <w:spacing w:line="320" w:lineRule="exact"/>
        <w:rPr>
          <w:rFonts w:ascii="宋体" w:hAnsi="宋体"/>
          <w:color w:val="auto"/>
          <w:szCs w:val="21"/>
          <w:highlight w:val="none"/>
        </w:rPr>
      </w:pPr>
    </w:p>
    <w:p w14:paraId="7D5A32E0">
      <w:pPr>
        <w:spacing w:line="320" w:lineRule="exact"/>
        <w:rPr>
          <w:rFonts w:ascii="宋体" w:hAnsi="宋体"/>
          <w:color w:val="auto"/>
          <w:szCs w:val="21"/>
          <w:highlight w:val="none"/>
        </w:rPr>
      </w:pPr>
    </w:p>
    <w:p w14:paraId="2158E2C7">
      <w:pPr>
        <w:spacing w:line="320" w:lineRule="exact"/>
        <w:rPr>
          <w:rFonts w:ascii="宋体" w:hAnsi="宋体"/>
          <w:color w:val="auto"/>
          <w:szCs w:val="21"/>
          <w:highlight w:val="none"/>
        </w:rPr>
      </w:pPr>
    </w:p>
    <w:p w14:paraId="25A3645A">
      <w:pPr>
        <w:spacing w:line="320" w:lineRule="exact"/>
        <w:rPr>
          <w:rFonts w:ascii="宋体" w:hAnsi="宋体"/>
          <w:color w:val="auto"/>
          <w:szCs w:val="21"/>
          <w:highlight w:val="none"/>
        </w:rPr>
      </w:pPr>
    </w:p>
    <w:p w14:paraId="4557689C">
      <w:pPr>
        <w:spacing w:line="320" w:lineRule="exact"/>
        <w:rPr>
          <w:rFonts w:ascii="宋体" w:hAnsi="宋体"/>
          <w:color w:val="auto"/>
          <w:szCs w:val="21"/>
          <w:highlight w:val="none"/>
        </w:rPr>
      </w:pPr>
    </w:p>
    <w:p w14:paraId="0F7FEB5B">
      <w:pPr>
        <w:spacing w:line="320" w:lineRule="exact"/>
        <w:rPr>
          <w:rFonts w:ascii="宋体" w:hAnsi="宋体"/>
          <w:color w:val="auto"/>
          <w:szCs w:val="21"/>
          <w:highlight w:val="none"/>
        </w:rPr>
      </w:pPr>
    </w:p>
    <w:p w14:paraId="24E09F06">
      <w:pPr>
        <w:spacing w:line="320" w:lineRule="exact"/>
        <w:rPr>
          <w:rFonts w:ascii="宋体" w:hAnsi="宋体"/>
          <w:color w:val="auto"/>
          <w:szCs w:val="21"/>
          <w:highlight w:val="none"/>
        </w:rPr>
      </w:pPr>
    </w:p>
    <w:p w14:paraId="14420DE1">
      <w:pPr>
        <w:spacing w:line="320" w:lineRule="exact"/>
        <w:rPr>
          <w:rFonts w:ascii="宋体" w:hAnsi="宋体"/>
          <w:color w:val="auto"/>
          <w:szCs w:val="21"/>
          <w:highlight w:val="none"/>
        </w:rPr>
      </w:pPr>
    </w:p>
    <w:p w14:paraId="6F7703B4">
      <w:pPr>
        <w:spacing w:line="320" w:lineRule="exact"/>
        <w:rPr>
          <w:rFonts w:ascii="宋体" w:hAnsi="宋体"/>
          <w:color w:val="auto"/>
          <w:szCs w:val="21"/>
          <w:highlight w:val="none"/>
        </w:rPr>
      </w:pPr>
    </w:p>
    <w:p w14:paraId="26FD21F0">
      <w:pPr>
        <w:spacing w:line="320" w:lineRule="exact"/>
        <w:rPr>
          <w:rFonts w:ascii="宋体" w:hAnsi="宋体"/>
          <w:color w:val="auto"/>
          <w:szCs w:val="21"/>
          <w:highlight w:val="none"/>
        </w:rPr>
      </w:pPr>
    </w:p>
    <w:p w14:paraId="1C26E56B">
      <w:pPr>
        <w:pStyle w:val="35"/>
        <w:rPr>
          <w:rFonts w:ascii="宋体" w:hAnsi="宋体"/>
          <w:color w:val="auto"/>
          <w:szCs w:val="21"/>
          <w:highlight w:val="none"/>
        </w:rPr>
      </w:pPr>
    </w:p>
    <w:p w14:paraId="46061E58">
      <w:pPr>
        <w:pStyle w:val="35"/>
        <w:rPr>
          <w:rFonts w:ascii="宋体" w:hAnsi="宋体"/>
          <w:color w:val="auto"/>
          <w:szCs w:val="21"/>
          <w:highlight w:val="none"/>
        </w:rPr>
      </w:pPr>
    </w:p>
    <w:p w14:paraId="5B430434">
      <w:pPr>
        <w:pStyle w:val="35"/>
        <w:rPr>
          <w:rFonts w:ascii="宋体" w:hAnsi="宋体"/>
          <w:color w:val="auto"/>
          <w:szCs w:val="21"/>
          <w:highlight w:val="none"/>
        </w:rPr>
      </w:pPr>
    </w:p>
    <w:p w14:paraId="6FB646FF">
      <w:pPr>
        <w:pStyle w:val="35"/>
        <w:rPr>
          <w:rFonts w:ascii="宋体" w:hAnsi="宋体"/>
          <w:color w:val="auto"/>
          <w:szCs w:val="21"/>
          <w:highlight w:val="none"/>
        </w:rPr>
      </w:pPr>
    </w:p>
    <w:p w14:paraId="74A9BF2F">
      <w:pPr>
        <w:pStyle w:val="35"/>
        <w:rPr>
          <w:rFonts w:ascii="宋体" w:hAnsi="宋体"/>
          <w:color w:val="auto"/>
          <w:szCs w:val="21"/>
          <w:highlight w:val="none"/>
        </w:rPr>
      </w:pPr>
    </w:p>
    <w:p w14:paraId="07C7AF9D">
      <w:pPr>
        <w:pStyle w:val="35"/>
        <w:rPr>
          <w:rFonts w:ascii="宋体" w:hAnsi="宋体"/>
          <w:color w:val="auto"/>
          <w:szCs w:val="21"/>
          <w:highlight w:val="none"/>
        </w:rPr>
      </w:pPr>
    </w:p>
    <w:p w14:paraId="1C383648">
      <w:pPr>
        <w:pStyle w:val="35"/>
        <w:rPr>
          <w:rFonts w:ascii="宋体" w:hAnsi="宋体"/>
          <w:color w:val="auto"/>
          <w:szCs w:val="21"/>
          <w:highlight w:val="none"/>
        </w:rPr>
      </w:pPr>
    </w:p>
    <w:p w14:paraId="047FBAB7">
      <w:pPr>
        <w:pStyle w:val="35"/>
        <w:rPr>
          <w:rFonts w:ascii="宋体" w:hAnsi="宋体"/>
          <w:color w:val="auto"/>
          <w:szCs w:val="21"/>
          <w:highlight w:val="none"/>
        </w:rPr>
      </w:pPr>
    </w:p>
    <w:p w14:paraId="37B2F499">
      <w:pPr>
        <w:pStyle w:val="35"/>
        <w:rPr>
          <w:rFonts w:ascii="宋体" w:hAnsi="宋体"/>
          <w:color w:val="auto"/>
          <w:szCs w:val="21"/>
          <w:highlight w:val="none"/>
        </w:rPr>
      </w:pPr>
    </w:p>
    <w:p w14:paraId="0337848C">
      <w:pPr>
        <w:pStyle w:val="35"/>
        <w:rPr>
          <w:rFonts w:ascii="宋体" w:hAnsi="宋体"/>
          <w:color w:val="auto"/>
          <w:szCs w:val="21"/>
          <w:highlight w:val="none"/>
        </w:rPr>
      </w:pPr>
    </w:p>
    <w:p w14:paraId="4F6A4657">
      <w:pPr>
        <w:spacing w:line="320" w:lineRule="exact"/>
        <w:rPr>
          <w:rFonts w:ascii="宋体" w:hAnsi="宋体"/>
          <w:color w:val="auto"/>
          <w:szCs w:val="21"/>
          <w:highlight w:val="none"/>
        </w:rPr>
      </w:pPr>
    </w:p>
    <w:p w14:paraId="46FBBA6B">
      <w:pPr>
        <w:spacing w:line="320" w:lineRule="exact"/>
        <w:rPr>
          <w:rFonts w:ascii="宋体" w:hAnsi="宋体"/>
          <w:color w:val="auto"/>
          <w:szCs w:val="21"/>
          <w:highlight w:val="none"/>
        </w:rPr>
      </w:pPr>
    </w:p>
    <w:p w14:paraId="60D8B6BE">
      <w:pPr>
        <w:spacing w:line="320" w:lineRule="exact"/>
        <w:rPr>
          <w:rFonts w:ascii="宋体" w:hAnsi="宋体"/>
          <w:color w:val="auto"/>
          <w:szCs w:val="21"/>
          <w:highlight w:val="none"/>
        </w:rPr>
      </w:pPr>
    </w:p>
    <w:p w14:paraId="49A6D020">
      <w:pPr>
        <w:spacing w:line="320" w:lineRule="exact"/>
        <w:rPr>
          <w:rFonts w:ascii="宋体" w:hAnsi="宋体"/>
          <w:color w:val="auto"/>
          <w:szCs w:val="21"/>
          <w:highlight w:val="none"/>
        </w:rPr>
      </w:pPr>
    </w:p>
    <w:p w14:paraId="784D60D4">
      <w:pPr>
        <w:spacing w:line="320" w:lineRule="exact"/>
        <w:rPr>
          <w:rFonts w:ascii="宋体" w:hAnsi="宋体"/>
          <w:color w:val="auto"/>
          <w:szCs w:val="21"/>
          <w:highlight w:val="none"/>
        </w:rPr>
      </w:pPr>
    </w:p>
    <w:p w14:paraId="2EF63F2F">
      <w:pPr>
        <w:rPr>
          <w:rFonts w:ascii="宋体" w:hAnsi="宋体" w:cs="宋体"/>
          <w:b/>
          <w:color w:val="auto"/>
          <w:szCs w:val="21"/>
          <w:highlight w:val="none"/>
        </w:rPr>
      </w:pPr>
      <w:r>
        <w:rPr>
          <w:rFonts w:hint="eastAsia" w:ascii="宋体" w:hAnsi="宋体" w:cs="宋体"/>
          <w:b/>
          <w:color w:val="auto"/>
          <w:szCs w:val="21"/>
          <w:highlight w:val="none"/>
        </w:rPr>
        <w:t>一、法定代表人身份证明书格式</w:t>
      </w:r>
    </w:p>
    <w:p w14:paraId="37D60B7E">
      <w:pPr>
        <w:pStyle w:val="20"/>
        <w:ind w:left="-10" w:firstLine="10" w:firstLineChars="3"/>
        <w:jc w:val="center"/>
        <w:rPr>
          <w:rFonts w:hAnsi="宋体" w:cs="宋体"/>
          <w:b/>
          <w:color w:val="auto"/>
          <w:sz w:val="32"/>
          <w:highlight w:val="none"/>
        </w:rPr>
      </w:pPr>
      <w:r>
        <w:rPr>
          <w:rFonts w:hint="eastAsia" w:hAnsi="宋体" w:cs="宋体"/>
          <w:b/>
          <w:color w:val="auto"/>
          <w:sz w:val="32"/>
          <w:highlight w:val="none"/>
        </w:rPr>
        <w:t>法定代表人身份证明书</w:t>
      </w:r>
    </w:p>
    <w:p w14:paraId="6130064D">
      <w:pPr>
        <w:pStyle w:val="20"/>
        <w:ind w:left="-10" w:firstLine="13" w:firstLineChars="3"/>
        <w:jc w:val="center"/>
        <w:rPr>
          <w:rFonts w:hAnsi="宋体" w:cs="宋体"/>
          <w:b/>
          <w:color w:val="auto"/>
          <w:sz w:val="44"/>
          <w:highlight w:val="none"/>
        </w:rPr>
      </w:pPr>
    </w:p>
    <w:p w14:paraId="7BF7856C">
      <w:pPr>
        <w:pStyle w:val="20"/>
        <w:ind w:firstLine="277"/>
        <w:rPr>
          <w:rFonts w:hAnsi="宋体" w:cs="宋体"/>
          <w:color w:val="auto"/>
          <w:sz w:val="21"/>
          <w:highlight w:val="none"/>
          <w:u w:val="single"/>
        </w:rPr>
      </w:pPr>
      <w:r>
        <w:rPr>
          <w:rFonts w:hint="eastAsia" w:hAnsi="宋体" w:cs="宋体"/>
          <w:color w:val="auto"/>
          <w:sz w:val="21"/>
          <w:highlight w:val="none"/>
        </w:rPr>
        <w:t>单位名称：</w:t>
      </w:r>
      <w:r>
        <w:rPr>
          <w:rFonts w:hint="eastAsia" w:hAnsi="宋体" w:cs="宋体"/>
          <w:color w:val="auto"/>
          <w:sz w:val="21"/>
          <w:highlight w:val="none"/>
          <w:u w:val="single"/>
        </w:rPr>
        <w:t xml:space="preserve">                         </w:t>
      </w:r>
    </w:p>
    <w:p w14:paraId="30ACAB4E">
      <w:pPr>
        <w:pStyle w:val="20"/>
        <w:ind w:firstLine="277"/>
        <w:rPr>
          <w:rFonts w:hAnsi="宋体" w:cs="宋体"/>
          <w:color w:val="auto"/>
          <w:sz w:val="21"/>
          <w:highlight w:val="none"/>
        </w:rPr>
      </w:pPr>
      <w:r>
        <w:rPr>
          <w:rFonts w:hint="eastAsia" w:hAnsi="宋体" w:cs="宋体"/>
          <w:color w:val="auto"/>
          <w:sz w:val="21"/>
          <w:highlight w:val="none"/>
        </w:rPr>
        <w:t>单位性质：</w:t>
      </w:r>
      <w:r>
        <w:rPr>
          <w:rFonts w:hint="eastAsia" w:hAnsi="宋体" w:cs="宋体"/>
          <w:color w:val="auto"/>
          <w:sz w:val="21"/>
          <w:highlight w:val="none"/>
          <w:u w:val="single"/>
        </w:rPr>
        <w:t xml:space="preserve">                         </w:t>
      </w:r>
    </w:p>
    <w:p w14:paraId="2D7C312F">
      <w:pPr>
        <w:pStyle w:val="20"/>
        <w:ind w:firstLine="277"/>
        <w:rPr>
          <w:rFonts w:hAnsi="宋体" w:cs="宋体"/>
          <w:color w:val="auto"/>
          <w:sz w:val="21"/>
          <w:highlight w:val="none"/>
        </w:rPr>
      </w:pPr>
      <w:r>
        <w:rPr>
          <w:rFonts w:hint="eastAsia" w:hAnsi="宋体" w:cs="宋体"/>
          <w:color w:val="auto"/>
          <w:sz w:val="21"/>
          <w:highlight w:val="none"/>
        </w:rPr>
        <w:t>地    址：</w:t>
      </w:r>
      <w:r>
        <w:rPr>
          <w:rFonts w:hint="eastAsia" w:hAnsi="宋体" w:cs="宋体"/>
          <w:color w:val="auto"/>
          <w:sz w:val="21"/>
          <w:highlight w:val="none"/>
          <w:u w:val="single"/>
        </w:rPr>
        <w:t xml:space="preserve">                         </w:t>
      </w:r>
    </w:p>
    <w:p w14:paraId="5B6A3018">
      <w:pPr>
        <w:pStyle w:val="20"/>
        <w:ind w:firstLine="277"/>
        <w:rPr>
          <w:rFonts w:hAnsi="宋体" w:cs="宋体"/>
          <w:color w:val="auto"/>
          <w:sz w:val="21"/>
          <w:highlight w:val="none"/>
        </w:rPr>
      </w:pPr>
      <w:r>
        <w:rPr>
          <w:rFonts w:hint="eastAsia" w:hAnsi="宋体" w:cs="宋体"/>
          <w:color w:val="auto"/>
          <w:sz w:val="21"/>
          <w:highlight w:val="none"/>
        </w:rPr>
        <w:t>成立时间：</w:t>
      </w:r>
      <w:r>
        <w:rPr>
          <w:rFonts w:hint="eastAsia" w:hAnsi="宋体" w:cs="宋体"/>
          <w:color w:val="auto"/>
          <w:sz w:val="21"/>
          <w:highlight w:val="none"/>
          <w:u w:val="single"/>
        </w:rPr>
        <w:t xml:space="preserve">              </w:t>
      </w:r>
      <w:r>
        <w:rPr>
          <w:rFonts w:hint="eastAsia" w:hAnsi="宋体" w:cs="宋体"/>
          <w:color w:val="auto"/>
          <w:sz w:val="21"/>
          <w:highlight w:val="none"/>
        </w:rPr>
        <w:t>年</w:t>
      </w:r>
      <w:r>
        <w:rPr>
          <w:rFonts w:hint="eastAsia" w:hAnsi="宋体" w:cs="宋体"/>
          <w:color w:val="auto"/>
          <w:sz w:val="21"/>
          <w:highlight w:val="none"/>
          <w:u w:val="single"/>
        </w:rPr>
        <w:t xml:space="preserve">   </w:t>
      </w:r>
      <w:r>
        <w:rPr>
          <w:rFonts w:hint="eastAsia" w:hAnsi="宋体" w:cs="宋体"/>
          <w:color w:val="auto"/>
          <w:sz w:val="21"/>
          <w:highlight w:val="none"/>
        </w:rPr>
        <w:t>月</w:t>
      </w:r>
      <w:r>
        <w:rPr>
          <w:rFonts w:hint="eastAsia" w:hAnsi="宋体" w:cs="宋体"/>
          <w:color w:val="auto"/>
          <w:sz w:val="21"/>
          <w:highlight w:val="none"/>
          <w:u w:val="single"/>
        </w:rPr>
        <w:t xml:space="preserve">   </w:t>
      </w:r>
      <w:r>
        <w:rPr>
          <w:rFonts w:hint="eastAsia" w:hAnsi="宋体" w:cs="宋体"/>
          <w:color w:val="auto"/>
          <w:sz w:val="21"/>
          <w:highlight w:val="none"/>
        </w:rPr>
        <w:t>日</w:t>
      </w:r>
    </w:p>
    <w:p w14:paraId="1480528F">
      <w:pPr>
        <w:pStyle w:val="20"/>
        <w:ind w:firstLine="277"/>
        <w:rPr>
          <w:rFonts w:hAnsi="宋体" w:cs="宋体"/>
          <w:color w:val="auto"/>
          <w:sz w:val="21"/>
          <w:highlight w:val="none"/>
          <w:u w:val="single"/>
        </w:rPr>
      </w:pPr>
      <w:r>
        <w:rPr>
          <w:rFonts w:hint="eastAsia" w:hAnsi="宋体" w:cs="宋体"/>
          <w:color w:val="auto"/>
          <w:sz w:val="21"/>
          <w:highlight w:val="none"/>
        </w:rPr>
        <w:t>经营期限：</w:t>
      </w:r>
      <w:r>
        <w:rPr>
          <w:rFonts w:hint="eastAsia" w:hAnsi="宋体" w:cs="宋体"/>
          <w:color w:val="auto"/>
          <w:sz w:val="21"/>
          <w:highlight w:val="none"/>
          <w:u w:val="single"/>
        </w:rPr>
        <w:t xml:space="preserve">                          </w:t>
      </w:r>
    </w:p>
    <w:p w14:paraId="7F8B6568">
      <w:pPr>
        <w:pStyle w:val="20"/>
        <w:ind w:firstLine="277"/>
        <w:rPr>
          <w:rFonts w:hAnsi="宋体" w:cs="宋体"/>
          <w:color w:val="auto"/>
          <w:sz w:val="21"/>
          <w:highlight w:val="none"/>
        </w:rPr>
      </w:pPr>
      <w:r>
        <w:rPr>
          <w:rFonts w:hint="eastAsia" w:hAnsi="宋体" w:cs="宋体"/>
          <w:color w:val="auto"/>
          <w:sz w:val="21"/>
          <w:highlight w:val="none"/>
        </w:rPr>
        <w:t>姓名：</w:t>
      </w:r>
      <w:r>
        <w:rPr>
          <w:rFonts w:hint="eastAsia" w:hAnsi="宋体" w:cs="宋体"/>
          <w:color w:val="auto"/>
          <w:sz w:val="21"/>
          <w:highlight w:val="none"/>
          <w:u w:val="single"/>
        </w:rPr>
        <w:t xml:space="preserve">       </w:t>
      </w:r>
      <w:r>
        <w:rPr>
          <w:rFonts w:hint="eastAsia" w:hAnsi="宋体" w:cs="宋体"/>
          <w:color w:val="auto"/>
          <w:sz w:val="21"/>
          <w:highlight w:val="none"/>
        </w:rPr>
        <w:t>性别：</w:t>
      </w:r>
      <w:r>
        <w:rPr>
          <w:rFonts w:hint="eastAsia" w:hAnsi="宋体" w:cs="宋体"/>
          <w:color w:val="auto"/>
          <w:sz w:val="21"/>
          <w:highlight w:val="none"/>
          <w:u w:val="single"/>
        </w:rPr>
        <w:t xml:space="preserve">   </w:t>
      </w:r>
      <w:r>
        <w:rPr>
          <w:rFonts w:hint="eastAsia" w:hAnsi="宋体" w:cs="宋体"/>
          <w:color w:val="auto"/>
          <w:sz w:val="21"/>
          <w:highlight w:val="none"/>
        </w:rPr>
        <w:t>年龄：</w:t>
      </w:r>
      <w:r>
        <w:rPr>
          <w:rFonts w:hint="eastAsia" w:hAnsi="宋体" w:cs="宋体"/>
          <w:color w:val="auto"/>
          <w:sz w:val="21"/>
          <w:highlight w:val="none"/>
          <w:u w:val="single"/>
        </w:rPr>
        <w:t xml:space="preserve">   </w:t>
      </w:r>
      <w:r>
        <w:rPr>
          <w:rFonts w:hint="eastAsia" w:hAnsi="宋体" w:cs="宋体"/>
          <w:color w:val="auto"/>
          <w:sz w:val="21"/>
          <w:highlight w:val="none"/>
        </w:rPr>
        <w:t>职务：</w:t>
      </w:r>
      <w:r>
        <w:rPr>
          <w:rFonts w:hint="eastAsia" w:hAnsi="宋体" w:cs="宋体"/>
          <w:color w:val="auto"/>
          <w:sz w:val="21"/>
          <w:highlight w:val="none"/>
          <w:u w:val="single"/>
        </w:rPr>
        <w:t xml:space="preserve">       </w:t>
      </w:r>
    </w:p>
    <w:p w14:paraId="6EAFF70F">
      <w:pPr>
        <w:pStyle w:val="20"/>
        <w:ind w:firstLine="277"/>
        <w:rPr>
          <w:rFonts w:hAnsi="宋体" w:cs="宋体"/>
          <w:color w:val="auto"/>
          <w:sz w:val="21"/>
          <w:highlight w:val="none"/>
        </w:rPr>
      </w:pPr>
      <w:r>
        <w:rPr>
          <w:rFonts w:hint="eastAsia" w:hAnsi="宋体" w:cs="宋体"/>
          <w:color w:val="auto"/>
          <w:sz w:val="21"/>
          <w:highlight w:val="none"/>
        </w:rPr>
        <w:t>系</w:t>
      </w:r>
      <w:r>
        <w:rPr>
          <w:rFonts w:hint="eastAsia" w:hAnsi="宋体" w:cs="宋体"/>
          <w:color w:val="auto"/>
          <w:sz w:val="21"/>
          <w:highlight w:val="none"/>
          <w:u w:val="single"/>
        </w:rPr>
        <w:t xml:space="preserve">     （供应商单位名称）  </w:t>
      </w:r>
      <w:r>
        <w:rPr>
          <w:rFonts w:hint="eastAsia" w:hAnsi="宋体" w:cs="宋体"/>
          <w:color w:val="auto"/>
          <w:sz w:val="21"/>
          <w:highlight w:val="none"/>
        </w:rPr>
        <w:t>的法定代表人。</w:t>
      </w:r>
    </w:p>
    <w:p w14:paraId="558CFF5A">
      <w:pPr>
        <w:pStyle w:val="20"/>
        <w:ind w:firstLine="277"/>
        <w:rPr>
          <w:rFonts w:hAnsi="宋体" w:cs="宋体"/>
          <w:color w:val="auto"/>
          <w:sz w:val="21"/>
          <w:highlight w:val="none"/>
        </w:rPr>
      </w:pPr>
      <w:r>
        <w:rPr>
          <w:rFonts w:hint="eastAsia" w:hAnsi="宋体" w:cs="宋体"/>
          <w:color w:val="auto"/>
          <w:sz w:val="21"/>
          <w:highlight w:val="none"/>
        </w:rPr>
        <w:t>特此证明。</w:t>
      </w:r>
    </w:p>
    <w:p w14:paraId="38518610">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331F2A21">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349762B2">
      <w:pPr>
        <w:pStyle w:val="20"/>
        <w:spacing w:line="360" w:lineRule="exact"/>
        <w:rPr>
          <w:rFonts w:hAnsi="宋体" w:cs="宋体"/>
          <w:color w:val="auto"/>
          <w:szCs w:val="21"/>
          <w:highlight w:val="none"/>
        </w:rPr>
      </w:pPr>
      <w:r>
        <w:rPr>
          <w:rFonts w:hint="eastAsia" w:hAnsi="宋体" w:cs="宋体"/>
          <w:color w:val="auto"/>
          <w:highlight w:val="none"/>
        </w:rPr>
        <w:t xml:space="preserve">                                                                                                                                                                                        </w:t>
      </w:r>
    </w:p>
    <w:p w14:paraId="257BC0FD">
      <w:pPr>
        <w:pStyle w:val="20"/>
        <w:spacing w:line="480" w:lineRule="exact"/>
        <w:rPr>
          <w:rFonts w:hAnsi="宋体" w:cs="宋体"/>
          <w:color w:val="auto"/>
          <w:highlight w:val="none"/>
        </w:rPr>
      </w:pPr>
      <w:r>
        <w:rPr>
          <w:rFonts w:cs="Courier New"/>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114300</wp:posOffset>
                </wp:positionH>
                <wp:positionV relativeFrom="paragraph">
                  <wp:posOffset>12700</wp:posOffset>
                </wp:positionV>
                <wp:extent cx="3239770" cy="2029460"/>
                <wp:effectExtent l="5080" t="4445" r="16510" b="8255"/>
                <wp:wrapNone/>
                <wp:docPr id="6" name="矩形 8"/>
                <wp:cNvGraphicFramePr/>
                <a:graphic xmlns:a="http://schemas.openxmlformats.org/drawingml/2006/main">
                  <a:graphicData uri="http://schemas.microsoft.com/office/word/2010/wordprocessingShape">
                    <wps:wsp>
                      <wps:cNvSpPr/>
                      <wps:spPr>
                        <a:xfrm>
                          <a:off x="0" y="0"/>
                          <a:ext cx="3239770" cy="20294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564DFBF"/>
                          <w:p w14:paraId="04673852"/>
                          <w:p w14:paraId="16C800B9"/>
                          <w:p w14:paraId="0FDFFC76"/>
                          <w:p w14:paraId="20B15FAA">
                            <w:pPr>
                              <w:jc w:val="center"/>
                            </w:pPr>
                            <w:r>
                              <w:rPr>
                                <w:rFonts w:hint="eastAsia"/>
                              </w:rPr>
                              <w:t>法定代表人第二代居民身份证复印件</w:t>
                            </w:r>
                          </w:p>
                          <w:p w14:paraId="6FB8D3E5">
                            <w:pPr>
                              <w:jc w:val="center"/>
                              <w:rPr>
                                <w:b/>
                              </w:rPr>
                            </w:pPr>
                            <w:r>
                              <w:rPr>
                                <w:rFonts w:hint="eastAsia"/>
                                <w:b/>
                              </w:rPr>
                              <w:t>（正面）</w:t>
                            </w:r>
                          </w:p>
                        </w:txbxContent>
                      </wps:txbx>
                      <wps:bodyPr upright="1"/>
                    </wps:wsp>
                  </a:graphicData>
                </a:graphic>
              </wp:anchor>
            </w:drawing>
          </mc:Choice>
          <mc:Fallback>
            <w:pict>
              <v:rect id="矩形 8" o:spid="_x0000_s1026" o:spt="1" style="position:absolute;left:0pt;margin-left:9pt;margin-top:1pt;height:159.8pt;width:255.1pt;z-index:251664384;mso-width-relative:page;mso-height-relative:page;" fillcolor="#FFFFFF" filled="t" stroked="t" coordsize="21600,21600" o:gfxdata="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xyeZ7WAAAACAEAAA8AAAAAAAAAAQAgAAAAIgAA&#10;AGRycy9kb3ducmV2LnhtbFBLAQIUABQAAAAIAIdO4kCHlueHCgIAADgEAAAOAAAAAAAAAAEAIAAA&#10;ACUBAABkcnMvZTJvRG9jLnhtbFBLBQYAAAAABgAGAFkBAAChBQAAAAA=&#10;">
                <v:fill on="t" focussize="0,0"/>
                <v:stroke color="#000000" joinstyle="miter"/>
                <v:imagedata o:title=""/>
                <o:lock v:ext="edit" aspectratio="f"/>
                <v:textbox>
                  <w:txbxContent>
                    <w:p w14:paraId="6564DFBF"/>
                    <w:p w14:paraId="04673852"/>
                    <w:p w14:paraId="16C800B9"/>
                    <w:p w14:paraId="0FDFFC76"/>
                    <w:p w14:paraId="20B15FAA">
                      <w:pPr>
                        <w:jc w:val="center"/>
                      </w:pPr>
                      <w:r>
                        <w:rPr>
                          <w:rFonts w:hint="eastAsia"/>
                        </w:rPr>
                        <w:t>法定代表人第二代居民身份证复印件</w:t>
                      </w:r>
                    </w:p>
                    <w:p w14:paraId="6FB8D3E5">
                      <w:pPr>
                        <w:jc w:val="center"/>
                        <w:rPr>
                          <w:b/>
                        </w:rPr>
                      </w:pPr>
                      <w:r>
                        <w:rPr>
                          <w:rFonts w:hint="eastAsia"/>
                          <w:b/>
                        </w:rPr>
                        <w:t>（正面）</w:t>
                      </w:r>
                    </w:p>
                  </w:txbxContent>
                </v:textbox>
              </v:rect>
            </w:pict>
          </mc:Fallback>
        </mc:AlternateContent>
      </w:r>
      <w:r>
        <w:rPr>
          <w:rFonts w:cs="Courier New"/>
          <w:color w:val="auto"/>
          <w:highlight w:val="none"/>
        </w:rPr>
        <mc:AlternateContent>
          <mc:Choice Requires="wps">
            <w:drawing>
              <wp:anchor distT="180340" distB="0" distL="114300" distR="114300" simplePos="0" relativeHeight="251662336" behindDoc="0" locked="0" layoutInCell="0" allowOverlap="1">
                <wp:simplePos x="0" y="0"/>
                <wp:positionH relativeFrom="column">
                  <wp:posOffset>0</wp:posOffset>
                </wp:positionH>
                <wp:positionV relativeFrom="paragraph">
                  <wp:posOffset>0</wp:posOffset>
                </wp:positionV>
                <wp:extent cx="6134100" cy="0"/>
                <wp:effectExtent l="0" t="4445" r="0" b="5080"/>
                <wp:wrapTopAndBottom/>
                <wp:docPr id="4" name="直线 6"/>
                <wp:cNvGraphicFramePr/>
                <a:graphic xmlns:a="http://schemas.openxmlformats.org/drawingml/2006/main">
                  <a:graphicData uri="http://schemas.microsoft.com/office/word/2010/wordprocessingShape">
                    <wps:wsp>
                      <wps:cNvCnPr/>
                      <wps:spPr>
                        <a:xfrm>
                          <a:off x="0" y="0"/>
                          <a:ext cx="613410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6" o:spid="_x0000_s1026" o:spt="20" style="position:absolute;left:0pt;margin-left:0pt;margin-top:0pt;height:0pt;width:483pt;mso-wrap-distance-bottom:0pt;mso-wrap-distance-top:14.2pt;z-index:251662336;mso-width-relative:page;mso-height-relative:page;" filled="f" stroked="t" coordsize="21600,21600" o:allowincell="f" o:gfxdata="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XAdU99AAAAACAQAADwAA&#10;AAAAAAABACAAAAAiAAAAZHJzL2Rvd25yZXYueG1sUEsBAhQAFAAAAAgAh07iQLda30rlAQAA3QMA&#10;AA4AAAAAAAAAAQAgAAAAHwEAAGRycy9lMm9Eb2MueG1sUEsFBgAAAAAGAAYAWQEAAHYFAAAAAA==&#10;">
                <v:fill on="f" focussize="0,0"/>
                <v:stroke color="#000000" joinstyle="round"/>
                <v:imagedata o:title=""/>
                <o:lock v:ext="edit" aspectratio="f"/>
                <w10:wrap type="topAndBottom"/>
              </v:line>
            </w:pict>
          </mc:Fallback>
        </mc:AlternateContent>
      </w:r>
      <w:r>
        <w:rPr>
          <w:rFonts w:hint="eastAsia" w:hAnsi="宋体" w:cs="宋体"/>
          <w:color w:val="auto"/>
          <w:highlight w:val="none"/>
        </w:rPr>
        <w:t xml:space="preserve">  </w:t>
      </w:r>
    </w:p>
    <w:p w14:paraId="740B78BB">
      <w:pPr>
        <w:pStyle w:val="20"/>
        <w:spacing w:line="480" w:lineRule="exact"/>
        <w:rPr>
          <w:rFonts w:hAnsi="宋体" w:cs="宋体"/>
          <w:color w:val="auto"/>
          <w:highlight w:val="none"/>
        </w:rPr>
      </w:pPr>
    </w:p>
    <w:p w14:paraId="666957CD">
      <w:pPr>
        <w:pStyle w:val="20"/>
        <w:spacing w:line="480" w:lineRule="exact"/>
        <w:rPr>
          <w:rFonts w:hAnsi="宋体" w:cs="宋体"/>
          <w:color w:val="auto"/>
          <w:highlight w:val="none"/>
        </w:rPr>
      </w:pPr>
    </w:p>
    <w:p w14:paraId="1FD6E841">
      <w:pPr>
        <w:pStyle w:val="20"/>
        <w:spacing w:line="480" w:lineRule="exact"/>
        <w:rPr>
          <w:rFonts w:hAnsi="宋体" w:cs="宋体"/>
          <w:color w:val="auto"/>
          <w:highlight w:val="none"/>
        </w:rPr>
      </w:pPr>
    </w:p>
    <w:p w14:paraId="61EF6997">
      <w:pPr>
        <w:pStyle w:val="20"/>
        <w:spacing w:line="480" w:lineRule="exact"/>
        <w:rPr>
          <w:rFonts w:hAnsi="宋体" w:cs="宋体"/>
          <w:color w:val="auto"/>
          <w:highlight w:val="none"/>
        </w:rPr>
      </w:pPr>
    </w:p>
    <w:p w14:paraId="273D56AE">
      <w:pPr>
        <w:pStyle w:val="20"/>
        <w:spacing w:line="240" w:lineRule="atLeast"/>
        <w:ind w:firstLine="6000" w:firstLineChars="3000"/>
        <w:rPr>
          <w:rFonts w:hAnsi="宋体" w:cs="宋体"/>
          <w:color w:val="auto"/>
          <w:highlight w:val="none"/>
        </w:rPr>
      </w:pPr>
    </w:p>
    <w:p w14:paraId="1810732C">
      <w:pPr>
        <w:pStyle w:val="20"/>
        <w:spacing w:line="480" w:lineRule="exact"/>
        <w:rPr>
          <w:rFonts w:hAnsi="宋体" w:cs="宋体"/>
          <w:color w:val="auto"/>
          <w:highlight w:val="none"/>
        </w:rPr>
      </w:pPr>
    </w:p>
    <w:p w14:paraId="076DE27F">
      <w:pPr>
        <w:pStyle w:val="20"/>
        <w:spacing w:line="240" w:lineRule="exact"/>
        <w:rPr>
          <w:rFonts w:hAnsi="宋体" w:cs="宋体"/>
          <w:color w:val="auto"/>
          <w:highlight w:val="none"/>
        </w:rPr>
      </w:pPr>
    </w:p>
    <w:p w14:paraId="344DBCE2">
      <w:pPr>
        <w:pStyle w:val="20"/>
        <w:spacing w:line="240" w:lineRule="exact"/>
        <w:rPr>
          <w:rFonts w:hAnsi="宋体" w:cs="宋体"/>
          <w:color w:val="auto"/>
          <w:highlight w:val="none"/>
        </w:rPr>
      </w:pPr>
      <w:r>
        <w:rPr>
          <w:rFonts w:cs="Courier New"/>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114300</wp:posOffset>
                </wp:positionH>
                <wp:positionV relativeFrom="paragraph">
                  <wp:posOffset>66040</wp:posOffset>
                </wp:positionV>
                <wp:extent cx="3239770" cy="2160270"/>
                <wp:effectExtent l="4445" t="4445" r="17145" b="14605"/>
                <wp:wrapNone/>
                <wp:docPr id="5" name="矩形 7"/>
                <wp:cNvGraphicFramePr/>
                <a:graphic xmlns:a="http://schemas.openxmlformats.org/drawingml/2006/main">
                  <a:graphicData uri="http://schemas.microsoft.com/office/word/2010/wordprocessingShape">
                    <wps:wsp>
                      <wps:cNvSpPr/>
                      <wps:spPr>
                        <a:xfrm>
                          <a:off x="0" y="0"/>
                          <a:ext cx="3239770" cy="21602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1FB9BB5"/>
                          <w:p w14:paraId="73002E2A"/>
                          <w:p w14:paraId="155FCB79"/>
                          <w:p w14:paraId="277236BA"/>
                          <w:p w14:paraId="64F13C90">
                            <w:pPr>
                              <w:jc w:val="center"/>
                            </w:pPr>
                            <w:r>
                              <w:rPr>
                                <w:rFonts w:hint="eastAsia"/>
                              </w:rPr>
                              <w:t>法定代表人第二代居民身份证复印件</w:t>
                            </w:r>
                          </w:p>
                          <w:p w14:paraId="7E95C899">
                            <w:pPr>
                              <w:jc w:val="center"/>
                              <w:rPr>
                                <w:b/>
                              </w:rPr>
                            </w:pPr>
                            <w:r>
                              <w:rPr>
                                <w:rFonts w:hint="eastAsia"/>
                                <w:b/>
                              </w:rPr>
                              <w:t>（背面）</w:t>
                            </w:r>
                          </w:p>
                        </w:txbxContent>
                      </wps:txbx>
                      <wps:bodyPr upright="1"/>
                    </wps:wsp>
                  </a:graphicData>
                </a:graphic>
              </wp:anchor>
            </w:drawing>
          </mc:Choice>
          <mc:Fallback>
            <w:pict>
              <v:rect id="矩形 7" o:spid="_x0000_s1026" o:spt="1" style="position:absolute;left:0pt;margin-left:9pt;margin-top:5.2pt;height:170.1pt;width:255.1pt;z-index:251663360;mso-width-relative:page;mso-height-relative:page;" fillcolor="#FFFFFF" filled="t" stroked="t" coordsize="21600,21600" o:gfxdata="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z5a9cAAAAJAQAADwAAAAAAAAABACAAAAAiAAAAZHJz&#10;L2Rvd25yZXYueG1sUEsBAhQAFAAAAAgAh07iQDcDvkQFAgAAOAQAAA4AAAAAAAAAAQAgAAAAJgEA&#10;AGRycy9lMm9Eb2MueG1sUEsFBgAAAAAGAAYAWQEAAJ0FAAAAAA==&#10;">
                <v:fill on="t" focussize="0,0"/>
                <v:stroke color="#000000" joinstyle="miter"/>
                <v:imagedata o:title=""/>
                <o:lock v:ext="edit" aspectratio="f"/>
                <v:textbox>
                  <w:txbxContent>
                    <w:p w14:paraId="41FB9BB5"/>
                    <w:p w14:paraId="73002E2A"/>
                    <w:p w14:paraId="155FCB79"/>
                    <w:p w14:paraId="277236BA"/>
                    <w:p w14:paraId="64F13C90">
                      <w:pPr>
                        <w:jc w:val="center"/>
                      </w:pPr>
                      <w:r>
                        <w:rPr>
                          <w:rFonts w:hint="eastAsia"/>
                        </w:rPr>
                        <w:t>法定代表人第二代居民身份证复印件</w:t>
                      </w:r>
                    </w:p>
                    <w:p w14:paraId="7E95C899">
                      <w:pPr>
                        <w:jc w:val="center"/>
                        <w:rPr>
                          <w:b/>
                        </w:rPr>
                      </w:pPr>
                      <w:r>
                        <w:rPr>
                          <w:rFonts w:hint="eastAsia"/>
                          <w:b/>
                        </w:rPr>
                        <w:t>（背面）</w:t>
                      </w:r>
                    </w:p>
                  </w:txbxContent>
                </v:textbox>
              </v:rect>
            </w:pict>
          </mc:Fallback>
        </mc:AlternateContent>
      </w:r>
    </w:p>
    <w:p w14:paraId="4F7A734C">
      <w:pPr>
        <w:pStyle w:val="20"/>
        <w:spacing w:line="240" w:lineRule="exact"/>
        <w:rPr>
          <w:rFonts w:hAnsi="宋体" w:cs="宋体"/>
          <w:color w:val="auto"/>
          <w:highlight w:val="none"/>
        </w:rPr>
      </w:pPr>
    </w:p>
    <w:p w14:paraId="34758ACD">
      <w:pPr>
        <w:pStyle w:val="20"/>
        <w:spacing w:line="240" w:lineRule="exact"/>
        <w:rPr>
          <w:rFonts w:hAnsi="宋体" w:cs="宋体"/>
          <w:color w:val="auto"/>
          <w:highlight w:val="none"/>
        </w:rPr>
      </w:pPr>
    </w:p>
    <w:p w14:paraId="5C4676B0">
      <w:pPr>
        <w:pStyle w:val="20"/>
        <w:spacing w:line="240" w:lineRule="exact"/>
        <w:rPr>
          <w:rFonts w:hAnsi="宋体" w:cs="宋体"/>
          <w:color w:val="auto"/>
          <w:sz w:val="44"/>
          <w:highlight w:val="none"/>
        </w:rPr>
      </w:pPr>
    </w:p>
    <w:p w14:paraId="3C38C5D9">
      <w:pPr>
        <w:pStyle w:val="20"/>
        <w:spacing w:line="240" w:lineRule="exact"/>
        <w:rPr>
          <w:rFonts w:hAnsi="宋体" w:cs="宋体"/>
          <w:color w:val="auto"/>
          <w:sz w:val="44"/>
          <w:highlight w:val="none"/>
        </w:rPr>
      </w:pPr>
    </w:p>
    <w:p w14:paraId="7E47D393">
      <w:pPr>
        <w:pStyle w:val="20"/>
        <w:spacing w:line="240" w:lineRule="exact"/>
        <w:rPr>
          <w:rFonts w:hAnsi="宋体" w:cs="宋体"/>
          <w:color w:val="auto"/>
          <w:sz w:val="44"/>
          <w:highlight w:val="none"/>
        </w:rPr>
      </w:pPr>
    </w:p>
    <w:p w14:paraId="5B7E3329">
      <w:pPr>
        <w:pStyle w:val="20"/>
        <w:spacing w:line="240" w:lineRule="exact"/>
        <w:rPr>
          <w:rFonts w:hAnsi="宋体" w:cs="宋体"/>
          <w:color w:val="auto"/>
          <w:sz w:val="44"/>
          <w:highlight w:val="none"/>
        </w:rPr>
      </w:pPr>
    </w:p>
    <w:p w14:paraId="5EBC7AAE">
      <w:pPr>
        <w:jc w:val="center"/>
        <w:rPr>
          <w:rFonts w:ascii="宋体" w:hAnsi="宋体" w:cs="宋体"/>
          <w:color w:val="auto"/>
          <w:highlight w:val="none"/>
        </w:rPr>
      </w:pPr>
    </w:p>
    <w:p w14:paraId="0BA550A9">
      <w:pPr>
        <w:jc w:val="center"/>
        <w:rPr>
          <w:rFonts w:ascii="宋体" w:hAnsi="宋体" w:cs="宋体"/>
          <w:color w:val="auto"/>
          <w:highlight w:val="none"/>
        </w:rPr>
      </w:pPr>
      <w:r>
        <w:rPr>
          <w:rFonts w:hint="eastAsia" w:ascii="宋体" w:hAnsi="宋体" w:cs="宋体"/>
          <w:color w:val="auto"/>
          <w:highlight w:val="none"/>
        </w:rPr>
        <w:t xml:space="preserve">      </w:t>
      </w:r>
    </w:p>
    <w:p w14:paraId="7377E348">
      <w:pPr>
        <w:jc w:val="center"/>
        <w:rPr>
          <w:rFonts w:ascii="宋体" w:hAnsi="宋体" w:cs="宋体"/>
          <w:color w:val="auto"/>
          <w:highlight w:val="none"/>
          <w:u w:val="single"/>
        </w:rPr>
      </w:pPr>
      <w:r>
        <w:rPr>
          <w:rFonts w:hint="eastAsia" w:ascii="宋体" w:hAnsi="宋体" w:cs="宋体"/>
          <w:color w:val="auto"/>
          <w:highlight w:val="none"/>
        </w:rPr>
        <w:t xml:space="preserve">                               </w:t>
      </w:r>
    </w:p>
    <w:p w14:paraId="314463C5">
      <w:pPr>
        <w:pStyle w:val="20"/>
        <w:spacing w:line="240" w:lineRule="exact"/>
        <w:rPr>
          <w:rFonts w:hAnsi="宋体" w:cs="宋体"/>
          <w:color w:val="auto"/>
          <w:sz w:val="44"/>
          <w:highlight w:val="none"/>
        </w:rPr>
      </w:pPr>
    </w:p>
    <w:p w14:paraId="37F20081">
      <w:pPr>
        <w:pStyle w:val="20"/>
        <w:spacing w:line="240" w:lineRule="atLeast"/>
        <w:ind w:firstLine="5500" w:firstLineChars="2750"/>
        <w:rPr>
          <w:rFonts w:hAnsi="宋体" w:cs="宋体"/>
          <w:color w:val="auto"/>
          <w:highlight w:val="none"/>
        </w:rPr>
      </w:pPr>
    </w:p>
    <w:p w14:paraId="59BEA49A">
      <w:pPr>
        <w:pStyle w:val="20"/>
        <w:spacing w:line="240" w:lineRule="atLeast"/>
        <w:ind w:firstLine="5500" w:firstLineChars="2750"/>
        <w:rPr>
          <w:rFonts w:hAnsi="宋体" w:cs="宋体"/>
          <w:color w:val="auto"/>
          <w:highlight w:val="none"/>
        </w:rPr>
      </w:pPr>
    </w:p>
    <w:p w14:paraId="0DDECAC6">
      <w:pPr>
        <w:pStyle w:val="20"/>
        <w:spacing w:line="240" w:lineRule="atLeast"/>
        <w:ind w:firstLine="5500" w:firstLineChars="2750"/>
        <w:rPr>
          <w:rFonts w:hAnsi="宋体" w:cs="宋体"/>
          <w:color w:val="auto"/>
          <w:highlight w:val="none"/>
        </w:rPr>
      </w:pPr>
    </w:p>
    <w:p w14:paraId="10EBD2AB">
      <w:pPr>
        <w:pStyle w:val="20"/>
        <w:spacing w:line="240" w:lineRule="atLeast"/>
        <w:ind w:firstLine="5500" w:firstLineChars="2750"/>
        <w:rPr>
          <w:rFonts w:hAnsi="宋体" w:cs="宋体"/>
          <w:color w:val="auto"/>
          <w:highlight w:val="none"/>
        </w:rPr>
      </w:pPr>
    </w:p>
    <w:p w14:paraId="1289054A">
      <w:pPr>
        <w:pStyle w:val="20"/>
        <w:spacing w:line="240" w:lineRule="atLeast"/>
        <w:ind w:firstLine="5500" w:firstLineChars="2750"/>
        <w:rPr>
          <w:rFonts w:hAnsi="宋体" w:cs="宋体"/>
          <w:color w:val="auto"/>
          <w:highlight w:val="none"/>
        </w:rPr>
      </w:pPr>
    </w:p>
    <w:p w14:paraId="287AD6F1">
      <w:pPr>
        <w:pStyle w:val="20"/>
        <w:spacing w:line="240" w:lineRule="atLeast"/>
        <w:ind w:firstLine="5500" w:firstLineChars="2750"/>
        <w:rPr>
          <w:rFonts w:hAnsi="宋体" w:cs="宋体"/>
          <w:color w:val="auto"/>
          <w:highlight w:val="none"/>
        </w:rPr>
      </w:pPr>
      <w:r>
        <w:rPr>
          <w:rFonts w:hint="eastAsia" w:hAnsi="宋体" w:cs="宋体"/>
          <w:color w:val="auto"/>
          <w:highlight w:val="none"/>
        </w:rPr>
        <w:t>法定代表人</w:t>
      </w:r>
      <w:r>
        <w:rPr>
          <w:rFonts w:hint="eastAsia" w:hAnsi="宋体" w:cs="宋体"/>
          <w:b/>
          <w:bCs/>
          <w:color w:val="auto"/>
          <w:highlight w:val="none"/>
        </w:rPr>
        <w:t>签名：</w:t>
      </w:r>
      <w:r>
        <w:rPr>
          <w:rFonts w:hint="eastAsia" w:hAnsi="宋体" w:cs="宋体"/>
          <w:color w:val="auto"/>
          <w:highlight w:val="none"/>
          <w:u w:val="single"/>
        </w:rPr>
        <w:t xml:space="preserve">                   </w:t>
      </w:r>
    </w:p>
    <w:p w14:paraId="644695E8">
      <w:pPr>
        <w:spacing w:line="300" w:lineRule="auto"/>
        <w:rPr>
          <w:rFonts w:ascii="宋体" w:hAnsi="宋体" w:cs="宋体"/>
          <w:b/>
          <w:color w:val="auto"/>
          <w:highlight w:val="none"/>
        </w:rPr>
      </w:pPr>
      <w:r>
        <w:rPr>
          <w:rFonts w:hint="eastAsia" w:ascii="宋体" w:hAnsi="宋体" w:cs="宋体"/>
          <w:b/>
          <w:color w:val="auto"/>
          <w:highlight w:val="none"/>
        </w:rPr>
        <w:t>二、法定代表人授权委托书格式</w:t>
      </w:r>
    </w:p>
    <w:p w14:paraId="7B50E04B">
      <w:pPr>
        <w:pStyle w:val="20"/>
        <w:jc w:val="center"/>
        <w:rPr>
          <w:rFonts w:hAnsi="宋体" w:cs="宋体"/>
          <w:b/>
          <w:color w:val="auto"/>
          <w:sz w:val="32"/>
          <w:highlight w:val="none"/>
        </w:rPr>
      </w:pPr>
      <w:r>
        <w:rPr>
          <w:rFonts w:hint="eastAsia" w:hAnsi="宋体" w:cs="宋体"/>
          <w:b/>
          <w:color w:val="auto"/>
          <w:sz w:val="32"/>
          <w:highlight w:val="none"/>
        </w:rPr>
        <w:t>法定代表人授权委托书</w:t>
      </w:r>
    </w:p>
    <w:p w14:paraId="22A90EFF">
      <w:pPr>
        <w:snapToGrid w:val="0"/>
        <w:spacing w:line="360" w:lineRule="exact"/>
        <w:rPr>
          <w:rFonts w:ascii="宋体" w:hAnsi="宋体" w:cs="宋体"/>
          <w:b/>
          <w:bCs/>
          <w:color w:val="auto"/>
          <w:szCs w:val="21"/>
          <w:highlight w:val="none"/>
        </w:rPr>
      </w:pPr>
      <w:r>
        <w:rPr>
          <w:rFonts w:hint="eastAsia" w:ascii="宋体" w:hAnsi="宋体" w:cs="宋体"/>
          <w:bCs/>
          <w:color w:val="auto"/>
          <w:szCs w:val="21"/>
          <w:highlight w:val="none"/>
        </w:rPr>
        <w:t>致：</w:t>
      </w:r>
      <w:r>
        <w:rPr>
          <w:rFonts w:hint="eastAsia" w:ascii="宋体" w:hAnsi="宋体" w:cs="宋体"/>
          <w:color w:val="auto"/>
          <w:szCs w:val="21"/>
          <w:highlight w:val="none"/>
          <w:u w:val="single"/>
        </w:rPr>
        <w:t xml:space="preserve"> 广西德元工程项目管理有限责任公司</w:t>
      </w:r>
      <w:r>
        <w:rPr>
          <w:rFonts w:hint="eastAsia" w:ascii="宋体" w:hAnsi="宋体" w:cs="宋体"/>
          <w:color w:val="auto"/>
          <w:szCs w:val="21"/>
          <w:highlight w:val="none"/>
        </w:rPr>
        <w:t>：</w:t>
      </w:r>
    </w:p>
    <w:p w14:paraId="44F201B5">
      <w:pPr>
        <w:snapToGrid w:val="0"/>
        <w:spacing w:line="360" w:lineRule="exact"/>
        <w:ind w:firstLine="630" w:firstLineChars="300"/>
        <w:rPr>
          <w:rFonts w:ascii="宋体" w:hAnsi="宋体" w:cs="宋体"/>
          <w:color w:val="auto"/>
          <w:szCs w:val="21"/>
          <w:highlight w:val="none"/>
        </w:rPr>
      </w:pPr>
      <w:r>
        <w:rPr>
          <w:rFonts w:hint="eastAsia" w:ascii="宋体" w:hAnsi="宋体" w:cs="宋体"/>
          <w:color w:val="auto"/>
          <w:szCs w:val="21"/>
          <w:highlight w:val="none"/>
        </w:rPr>
        <w:t xml:space="preserve">我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（供应商名称）的法定代表人，现授权委托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（姓名）以我方的名义参加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项目的谈判采购活动，并代表我方全权办理针对上述谈判采购项目的谈判、开标、评标、签约等具体事务和签署相关文件。</w:t>
      </w:r>
    </w:p>
    <w:p w14:paraId="5282D6C4">
      <w:pPr>
        <w:snapToGrid w:val="0"/>
        <w:spacing w:line="360" w:lineRule="exact"/>
        <w:rPr>
          <w:rFonts w:ascii="宋体" w:hAnsi="宋体" w:cs="宋体"/>
          <w:color w:val="auto"/>
          <w:szCs w:val="21"/>
          <w:highlight w:val="none"/>
        </w:rPr>
      </w:pPr>
      <w:r>
        <w:rPr>
          <w:rFonts w:hint="eastAsia" w:ascii="宋体" w:hAnsi="宋体" w:cs="宋体"/>
          <w:color w:val="auto"/>
          <w:szCs w:val="21"/>
          <w:highlight w:val="none"/>
        </w:rPr>
        <w:t xml:space="preserve">    我方对被授权人的签名事项负全部责任。代理期限从   年  月  日至   年  月  日止。</w:t>
      </w:r>
    </w:p>
    <w:p w14:paraId="08790AF9">
      <w:pPr>
        <w:snapToGrid w:val="0"/>
        <w:spacing w:line="360" w:lineRule="exact"/>
        <w:ind w:firstLine="480"/>
        <w:rPr>
          <w:rFonts w:ascii="宋体" w:hAnsi="宋体" w:cs="宋体"/>
          <w:color w:val="auto"/>
          <w:szCs w:val="21"/>
          <w:highlight w:val="none"/>
        </w:rPr>
      </w:pPr>
      <w:r>
        <w:rPr>
          <w:rFonts w:hint="eastAsia" w:ascii="宋体" w:hAnsi="宋体" w:cs="宋体"/>
          <w:color w:val="auto"/>
          <w:szCs w:val="21"/>
          <w:highlight w:val="none"/>
          <w:u w:val="single"/>
        </w:rPr>
        <w:t>在撤销授权的书面通知以前，本授权书一直有效。</w:t>
      </w:r>
      <w:r>
        <w:rPr>
          <w:rFonts w:hint="eastAsia" w:ascii="宋体" w:hAnsi="宋体" w:cs="宋体"/>
          <w:color w:val="auto"/>
          <w:szCs w:val="21"/>
          <w:highlight w:val="none"/>
        </w:rPr>
        <w:t>被授权人在授权书有效期内签署的所有文件不因授权的撤销而失效。</w:t>
      </w:r>
    </w:p>
    <w:p w14:paraId="38411603">
      <w:pPr>
        <w:snapToGrid w:val="0"/>
        <w:spacing w:line="360" w:lineRule="exact"/>
        <w:ind w:firstLine="480"/>
        <w:rPr>
          <w:rFonts w:ascii="宋体" w:hAnsi="宋体" w:cs="宋体"/>
          <w:color w:val="auto"/>
          <w:szCs w:val="21"/>
          <w:highlight w:val="none"/>
        </w:rPr>
      </w:pPr>
      <w:r>
        <w:rPr>
          <w:rFonts w:hint="eastAsia" w:ascii="宋体" w:hAnsi="宋体" w:cs="宋体"/>
          <w:color w:val="auto"/>
          <w:szCs w:val="21"/>
          <w:highlight w:val="none"/>
        </w:rPr>
        <w:t>被授权人无转委托权，特此委托。</w:t>
      </w:r>
    </w:p>
    <w:p w14:paraId="3D067A17">
      <w:pPr>
        <w:snapToGrid w:val="0"/>
        <w:spacing w:line="360" w:lineRule="exact"/>
        <w:rPr>
          <w:rFonts w:ascii="宋体" w:hAnsi="宋体" w:cs="宋体"/>
          <w:color w:val="auto"/>
          <w:szCs w:val="21"/>
          <w:highlight w:val="none"/>
        </w:rPr>
      </w:pPr>
    </w:p>
    <w:p w14:paraId="133489F3">
      <w:pPr>
        <w:snapToGrid w:val="0"/>
        <w:spacing w:line="360" w:lineRule="exact"/>
        <w:rPr>
          <w:rFonts w:ascii="宋体" w:hAnsi="宋体" w:cs="宋体"/>
          <w:color w:val="auto"/>
          <w:szCs w:val="21"/>
          <w:highlight w:val="none"/>
          <w:u w:val="single"/>
        </w:rPr>
      </w:pPr>
      <w:r>
        <w:rPr>
          <w:rFonts w:hint="eastAsia" w:ascii="宋体" w:hAnsi="宋体" w:cs="宋体"/>
          <w:color w:val="auto"/>
          <w:szCs w:val="21"/>
          <w:highlight w:val="none"/>
        </w:rPr>
        <w:t>被授权人</w:t>
      </w:r>
      <w:r>
        <w:rPr>
          <w:rFonts w:hint="eastAsia" w:ascii="宋体" w:hAnsi="宋体" w:cs="宋体"/>
          <w:b/>
          <w:color w:val="auto"/>
          <w:szCs w:val="21"/>
          <w:highlight w:val="none"/>
        </w:rPr>
        <w:t>签名</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w:t>
      </w:r>
      <w:r>
        <w:rPr>
          <w:rFonts w:hint="eastAsia" w:ascii="宋体" w:hAnsi="宋体" w:cs="宋体"/>
          <w:b/>
          <w:color w:val="auto"/>
          <w:szCs w:val="21"/>
          <w:highlight w:val="none"/>
        </w:rPr>
        <w:t>签名</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78294AB9">
      <w:pPr>
        <w:snapToGrid w:val="0"/>
        <w:spacing w:line="360" w:lineRule="exact"/>
        <w:rPr>
          <w:rFonts w:ascii="宋体" w:hAnsi="宋体" w:cs="宋体"/>
          <w:color w:val="auto"/>
          <w:szCs w:val="21"/>
          <w:highlight w:val="none"/>
        </w:rPr>
      </w:pPr>
      <w:r>
        <w:rPr>
          <w:rFonts w:hint="eastAsia" w:ascii="宋体" w:hAnsi="宋体" w:cs="宋体"/>
          <w:color w:val="auto"/>
          <w:szCs w:val="21"/>
          <w:highlight w:val="none"/>
        </w:rPr>
        <w:t>所在部门职务：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p>
    <w:p w14:paraId="0EE573DD">
      <w:pPr>
        <w:snapToGrid w:val="0"/>
        <w:spacing w:line="360" w:lineRule="exact"/>
        <w:rPr>
          <w:rFonts w:ascii="宋体" w:hAnsi="宋体" w:cs="宋体"/>
          <w:color w:val="auto"/>
          <w:szCs w:val="21"/>
          <w:highlight w:val="none"/>
        </w:rPr>
      </w:pPr>
      <w:r>
        <w:rPr>
          <w:rFonts w:hint="eastAsia" w:ascii="宋体" w:hAnsi="宋体" w:cs="宋体"/>
          <w:color w:val="auto"/>
          <w:szCs w:val="21"/>
          <w:highlight w:val="none"/>
        </w:rPr>
        <w:t>被授权人身份证号码：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AD4EB9C">
      <w:pPr>
        <w:spacing w:line="360" w:lineRule="exact"/>
        <w:ind w:firstLine="6090" w:firstLineChars="2900"/>
        <w:jc w:val="right"/>
        <w:rPr>
          <w:rFonts w:ascii="宋体" w:hAnsi="宋体"/>
          <w:color w:val="auto"/>
          <w:szCs w:val="21"/>
          <w:highlight w:val="none"/>
        </w:rPr>
      </w:pPr>
      <w:r>
        <w:rPr>
          <w:rFonts w:hint="eastAsia" w:ascii="宋体" w:hAnsi="宋体" w:cs="宋体"/>
          <w:color w:val="auto"/>
          <w:szCs w:val="21"/>
          <w:highlight w:val="none"/>
        </w:rPr>
        <w:t xml:space="preserve">                                   </w:t>
      </w:r>
      <w:r>
        <w:rPr>
          <w:rFonts w:hint="eastAsia" w:ascii="宋体" w:hAnsi="宋体"/>
          <w:color w:val="auto"/>
          <w:szCs w:val="21"/>
          <w:highlight w:val="none"/>
        </w:rPr>
        <w:t>供应商名称(电子签章)：</w:t>
      </w:r>
    </w:p>
    <w:p w14:paraId="498FABDE">
      <w:pPr>
        <w:spacing w:line="360" w:lineRule="exact"/>
        <w:ind w:firstLine="6300" w:firstLineChars="3000"/>
        <w:jc w:val="right"/>
        <w:rPr>
          <w:rFonts w:ascii="宋体" w:hAnsi="宋体"/>
          <w:color w:val="auto"/>
          <w:szCs w:val="21"/>
          <w:highlight w:val="none"/>
        </w:rPr>
      </w:pPr>
      <w:r>
        <w:rPr>
          <w:rFonts w:hint="eastAsia" w:ascii="宋体" w:hAnsi="宋体"/>
          <w:color w:val="auto"/>
          <w:szCs w:val="21"/>
          <w:highlight w:val="none"/>
        </w:rPr>
        <w:t>日期： 年 月 日</w:t>
      </w:r>
    </w:p>
    <w:p w14:paraId="0351688F">
      <w:pPr>
        <w:snapToGrid w:val="0"/>
        <w:spacing w:line="360" w:lineRule="exact"/>
        <w:jc w:val="center"/>
        <w:rPr>
          <w:rFonts w:hAnsi="宋体" w:cs="宋体"/>
          <w:color w:val="auto"/>
          <w:highlight w:val="none"/>
        </w:rPr>
      </w:pPr>
      <w:r>
        <w:rPr>
          <w:rFonts w:hAnsi="宋体" w:cs="宋体"/>
          <w:color w:val="auto"/>
          <w:highlight w:val="none"/>
        </w:rPr>
        <w:t xml:space="preserve">                                                                                                                                                                                        </w:t>
      </w:r>
    </w:p>
    <w:p w14:paraId="6D0152CC">
      <w:pPr>
        <w:pStyle w:val="20"/>
        <w:spacing w:line="480" w:lineRule="exact"/>
        <w:rPr>
          <w:rFonts w:hAnsi="宋体" w:cs="宋体"/>
          <w:color w:val="auto"/>
          <w:highlight w:val="none"/>
        </w:rPr>
      </w:pPr>
      <w:r>
        <w:rPr>
          <w:rFonts w:cs="Courier New"/>
          <w:color w:val="auto"/>
          <w:highlight w:val="none"/>
        </w:rPr>
        <mc:AlternateContent>
          <mc:Choice Requires="wps">
            <w:drawing>
              <wp:anchor distT="0" distB="0" distL="114300" distR="114300" simplePos="0" relativeHeight="251667456" behindDoc="0" locked="0" layoutInCell="1" allowOverlap="1">
                <wp:simplePos x="0" y="0"/>
                <wp:positionH relativeFrom="column">
                  <wp:posOffset>114300</wp:posOffset>
                </wp:positionH>
                <wp:positionV relativeFrom="paragraph">
                  <wp:posOffset>12700</wp:posOffset>
                </wp:positionV>
                <wp:extent cx="3239770" cy="2160270"/>
                <wp:effectExtent l="4445" t="4445" r="17145" b="14605"/>
                <wp:wrapNone/>
                <wp:docPr id="9" name="矩形 11"/>
                <wp:cNvGraphicFramePr/>
                <a:graphic xmlns:a="http://schemas.openxmlformats.org/drawingml/2006/main">
                  <a:graphicData uri="http://schemas.microsoft.com/office/word/2010/wordprocessingShape">
                    <wps:wsp>
                      <wps:cNvSpPr/>
                      <wps:spPr>
                        <a:xfrm>
                          <a:off x="0" y="0"/>
                          <a:ext cx="3239770" cy="21602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C3F3A51"/>
                          <w:p w14:paraId="48E2C91E"/>
                          <w:p w14:paraId="6DEA99A1"/>
                          <w:p w14:paraId="006548FD"/>
                          <w:p w14:paraId="2B8A12DA"/>
                          <w:p w14:paraId="0465D70B">
                            <w:pPr>
                              <w:jc w:val="center"/>
                            </w:pPr>
                            <w:r>
                              <w:rPr>
                                <w:rFonts w:hint="eastAsia"/>
                              </w:rPr>
                              <w:t>委托代理人第二代居民身份证复印件</w:t>
                            </w:r>
                          </w:p>
                          <w:p w14:paraId="3FC8D043">
                            <w:pPr>
                              <w:jc w:val="center"/>
                            </w:pPr>
                            <w:r>
                              <w:rPr>
                                <w:rFonts w:hint="eastAsia"/>
                                <w:b/>
                              </w:rPr>
                              <w:t>（正面）</w:t>
                            </w:r>
                          </w:p>
                          <w:p w14:paraId="5BDDA3B4">
                            <w:pPr>
                              <w:jc w:val="center"/>
                            </w:pPr>
                          </w:p>
                        </w:txbxContent>
                      </wps:txbx>
                      <wps:bodyPr upright="1"/>
                    </wps:wsp>
                  </a:graphicData>
                </a:graphic>
              </wp:anchor>
            </w:drawing>
          </mc:Choice>
          <mc:Fallback>
            <w:pict>
              <v:rect id="矩形 11" o:spid="_x0000_s1026" o:spt="1" style="position:absolute;left:0pt;margin-left:9pt;margin-top:1pt;height:170.1pt;width:255.1pt;z-index:251667456;mso-width-relative:page;mso-height-relative:page;" fillcolor="#FFFFFF" filled="t" stroked="t" coordsize="21600,21600" o:gfxdata="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sjeFLtYAAAAIAQAADwAAAAAAAAABACAAAAAiAAAAZHJz&#10;L2Rvd25yZXYueG1sUEsBAhQAFAAAAAgAh07iQC4GO6QGAgAAOQQAAA4AAAAAAAAAAQAgAAAAJQEA&#10;AGRycy9lMm9Eb2MueG1sUEsFBgAAAAAGAAYAWQEAAJ0FAAAAAA==&#10;">
                <v:fill on="t" focussize="0,0"/>
                <v:stroke color="#000000" joinstyle="miter"/>
                <v:imagedata o:title=""/>
                <o:lock v:ext="edit" aspectratio="f"/>
                <v:textbox>
                  <w:txbxContent>
                    <w:p w14:paraId="3C3F3A51"/>
                    <w:p w14:paraId="48E2C91E"/>
                    <w:p w14:paraId="6DEA99A1"/>
                    <w:p w14:paraId="006548FD"/>
                    <w:p w14:paraId="2B8A12DA"/>
                    <w:p w14:paraId="0465D70B">
                      <w:pPr>
                        <w:jc w:val="center"/>
                      </w:pPr>
                      <w:r>
                        <w:rPr>
                          <w:rFonts w:hint="eastAsia"/>
                        </w:rPr>
                        <w:t>委托代理人第二代居民身份证复印件</w:t>
                      </w:r>
                    </w:p>
                    <w:p w14:paraId="3FC8D043">
                      <w:pPr>
                        <w:jc w:val="center"/>
                      </w:pPr>
                      <w:r>
                        <w:rPr>
                          <w:rFonts w:hint="eastAsia"/>
                          <w:b/>
                        </w:rPr>
                        <w:t>（正面）</w:t>
                      </w:r>
                    </w:p>
                    <w:p w14:paraId="5BDDA3B4">
                      <w:pPr>
                        <w:jc w:val="center"/>
                      </w:pPr>
                    </w:p>
                  </w:txbxContent>
                </v:textbox>
              </v:rect>
            </w:pict>
          </mc:Fallback>
        </mc:AlternateContent>
      </w:r>
      <w:r>
        <w:rPr>
          <w:rFonts w:cs="Courier New"/>
          <w:color w:val="auto"/>
          <w:highlight w:val="none"/>
        </w:rPr>
        <mc:AlternateContent>
          <mc:Choice Requires="wps">
            <w:drawing>
              <wp:anchor distT="180340" distB="0" distL="114300" distR="114300" simplePos="0" relativeHeight="251665408" behindDoc="0" locked="0" layoutInCell="0" allowOverlap="1">
                <wp:simplePos x="0" y="0"/>
                <wp:positionH relativeFrom="column">
                  <wp:posOffset>0</wp:posOffset>
                </wp:positionH>
                <wp:positionV relativeFrom="paragraph">
                  <wp:posOffset>0</wp:posOffset>
                </wp:positionV>
                <wp:extent cx="6134100" cy="0"/>
                <wp:effectExtent l="0" t="4445" r="0" b="5080"/>
                <wp:wrapTopAndBottom/>
                <wp:docPr id="7" name="直线 9"/>
                <wp:cNvGraphicFramePr/>
                <a:graphic xmlns:a="http://schemas.openxmlformats.org/drawingml/2006/main">
                  <a:graphicData uri="http://schemas.microsoft.com/office/word/2010/wordprocessingShape">
                    <wps:wsp>
                      <wps:cNvCnPr/>
                      <wps:spPr>
                        <a:xfrm>
                          <a:off x="0" y="0"/>
                          <a:ext cx="613410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9" o:spid="_x0000_s1026" o:spt="20" style="position:absolute;left:0pt;margin-left:0pt;margin-top:0pt;height:0pt;width:483pt;mso-wrap-distance-bottom:0pt;mso-wrap-distance-top:14.2pt;z-index:251665408;mso-width-relative:page;mso-height-relative:page;" filled="f" stroked="t" coordsize="21600,21600" o:allowincell="f" o:gfxdata="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XAdU99AAAAACAQAADwAA&#10;AAAAAAABACAAAAAiAAAAZHJzL2Rvd25yZXYueG1sUEsBAhQAFAAAAAgAh07iQEa66BblAQAA3QMA&#10;AA4AAAAAAAAAAQAgAAAAHwEAAGRycy9lMm9Eb2MueG1sUEsFBgAAAAAGAAYAWQEAAHYFAAAAAA==&#10;">
                <v:fill on="f" focussize="0,0"/>
                <v:stroke color="#000000" joinstyle="round"/>
                <v:imagedata o:title=""/>
                <o:lock v:ext="edit" aspectratio="f"/>
                <w10:wrap type="topAndBottom"/>
              </v:line>
            </w:pict>
          </mc:Fallback>
        </mc:AlternateContent>
      </w:r>
      <w:r>
        <w:rPr>
          <w:rFonts w:hint="eastAsia" w:hAnsi="宋体" w:cs="宋体"/>
          <w:color w:val="auto"/>
          <w:highlight w:val="none"/>
        </w:rPr>
        <w:t xml:space="preserve">  </w:t>
      </w:r>
    </w:p>
    <w:p w14:paraId="034DE435">
      <w:pPr>
        <w:pStyle w:val="20"/>
        <w:spacing w:line="480" w:lineRule="exact"/>
        <w:rPr>
          <w:rFonts w:hAnsi="宋体" w:cs="宋体"/>
          <w:color w:val="auto"/>
          <w:highlight w:val="none"/>
        </w:rPr>
      </w:pPr>
    </w:p>
    <w:p w14:paraId="2A49C214">
      <w:pPr>
        <w:pStyle w:val="20"/>
        <w:spacing w:line="480" w:lineRule="exact"/>
        <w:rPr>
          <w:rFonts w:hAnsi="宋体" w:cs="宋体"/>
          <w:color w:val="auto"/>
          <w:highlight w:val="none"/>
        </w:rPr>
      </w:pPr>
    </w:p>
    <w:p w14:paraId="4867F148">
      <w:pPr>
        <w:pStyle w:val="20"/>
        <w:spacing w:line="480" w:lineRule="exact"/>
        <w:rPr>
          <w:rFonts w:hAnsi="宋体" w:cs="宋体"/>
          <w:color w:val="auto"/>
          <w:highlight w:val="none"/>
        </w:rPr>
      </w:pPr>
    </w:p>
    <w:p w14:paraId="153CE800">
      <w:pPr>
        <w:pStyle w:val="20"/>
        <w:spacing w:line="480" w:lineRule="exact"/>
        <w:rPr>
          <w:rFonts w:hAnsi="宋体" w:cs="宋体"/>
          <w:color w:val="auto"/>
          <w:highlight w:val="none"/>
        </w:rPr>
      </w:pPr>
    </w:p>
    <w:p w14:paraId="2E430B54">
      <w:pPr>
        <w:pStyle w:val="20"/>
        <w:spacing w:line="240" w:lineRule="atLeast"/>
        <w:ind w:firstLine="5200" w:firstLineChars="2600"/>
        <w:rPr>
          <w:rFonts w:hAnsi="宋体" w:cs="宋体"/>
          <w:color w:val="auto"/>
          <w:highlight w:val="none"/>
          <w:u w:val="single"/>
        </w:rPr>
      </w:pPr>
    </w:p>
    <w:p w14:paraId="546B51BB">
      <w:pPr>
        <w:pStyle w:val="20"/>
        <w:spacing w:line="240" w:lineRule="atLeast"/>
        <w:ind w:firstLine="5200" w:firstLineChars="2600"/>
        <w:rPr>
          <w:rFonts w:hAnsi="宋体" w:cs="宋体"/>
          <w:color w:val="auto"/>
          <w:highlight w:val="none"/>
          <w:u w:val="single"/>
        </w:rPr>
      </w:pPr>
    </w:p>
    <w:p w14:paraId="02284DFE">
      <w:pPr>
        <w:pStyle w:val="20"/>
        <w:spacing w:line="240" w:lineRule="atLeast"/>
        <w:ind w:firstLine="6000" w:firstLineChars="3000"/>
        <w:rPr>
          <w:rFonts w:hAnsi="宋体" w:cs="宋体"/>
          <w:color w:val="auto"/>
          <w:highlight w:val="none"/>
        </w:rPr>
      </w:pPr>
    </w:p>
    <w:p w14:paraId="6A7F2857">
      <w:pPr>
        <w:pStyle w:val="20"/>
        <w:spacing w:line="480" w:lineRule="exact"/>
        <w:rPr>
          <w:rFonts w:hAnsi="宋体" w:cs="宋体"/>
          <w:color w:val="auto"/>
          <w:highlight w:val="none"/>
        </w:rPr>
      </w:pPr>
      <w:r>
        <w:rPr>
          <w:rFonts w:cs="Courier New"/>
          <w:color w:val="auto"/>
          <w:highlight w:val="none"/>
        </w:rPr>
        <mc:AlternateContent>
          <mc:Choice Requires="wps">
            <w:drawing>
              <wp:anchor distT="0" distB="0" distL="114300" distR="114300" simplePos="0" relativeHeight="251666432" behindDoc="0" locked="0" layoutInCell="1" allowOverlap="1">
                <wp:simplePos x="0" y="0"/>
                <wp:positionH relativeFrom="column">
                  <wp:posOffset>107950</wp:posOffset>
                </wp:positionH>
                <wp:positionV relativeFrom="paragraph">
                  <wp:posOffset>248285</wp:posOffset>
                </wp:positionV>
                <wp:extent cx="3239770" cy="2160270"/>
                <wp:effectExtent l="4445" t="4445" r="17145" b="14605"/>
                <wp:wrapNone/>
                <wp:docPr id="8" name="矩形 10"/>
                <wp:cNvGraphicFramePr/>
                <a:graphic xmlns:a="http://schemas.openxmlformats.org/drawingml/2006/main">
                  <a:graphicData uri="http://schemas.microsoft.com/office/word/2010/wordprocessingShape">
                    <wps:wsp>
                      <wps:cNvSpPr/>
                      <wps:spPr>
                        <a:xfrm>
                          <a:off x="0" y="0"/>
                          <a:ext cx="3239770" cy="21602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21B0FB5"/>
                          <w:p w14:paraId="3DBE6C12"/>
                          <w:p w14:paraId="7536A983"/>
                          <w:p w14:paraId="24F043AB"/>
                          <w:p w14:paraId="0CB49245"/>
                          <w:p w14:paraId="23F24CCA">
                            <w:pPr>
                              <w:jc w:val="center"/>
                            </w:pPr>
                            <w:r>
                              <w:rPr>
                                <w:rFonts w:hint="eastAsia"/>
                              </w:rPr>
                              <w:t>委托代理人第二代居民身份证复印件</w:t>
                            </w:r>
                          </w:p>
                          <w:p w14:paraId="6C22918D">
                            <w:pPr>
                              <w:jc w:val="center"/>
                            </w:pPr>
                            <w:r>
                              <w:rPr>
                                <w:rFonts w:hint="eastAsia"/>
                                <w:b/>
                              </w:rPr>
                              <w:t>（背面）</w:t>
                            </w:r>
                          </w:p>
                        </w:txbxContent>
                      </wps:txbx>
                      <wps:bodyPr upright="1"/>
                    </wps:wsp>
                  </a:graphicData>
                </a:graphic>
              </wp:anchor>
            </w:drawing>
          </mc:Choice>
          <mc:Fallback>
            <w:pict>
              <v:rect id="矩形 10" o:spid="_x0000_s1026" o:spt="1" style="position:absolute;left:0pt;margin-left:8.5pt;margin-top:19.55pt;height:170.1pt;width:255.1pt;z-index:251666432;mso-width-relative:page;mso-height-relative:page;" fillcolor="#FFFFFF" filled="t" stroked="t" coordsize="21600,21600" o:gfxdata="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cESrDXAAAACQEAAA8AAAAAAAAAAQAgAAAAIgAAAGRy&#10;cy9kb3ducmV2LnhtbFBLAQIUABQAAAAIAIdO4kDnZJzrBgIAADkEAAAOAAAAAAAAAAEAIAAAACYB&#10;AABkcnMvZTJvRG9jLnhtbFBLBQYAAAAABgAGAFkBAACeBQAAAAA=&#10;">
                <v:fill on="t" focussize="0,0"/>
                <v:stroke color="#000000" joinstyle="miter"/>
                <v:imagedata o:title=""/>
                <o:lock v:ext="edit" aspectratio="f"/>
                <v:textbox>
                  <w:txbxContent>
                    <w:p w14:paraId="521B0FB5"/>
                    <w:p w14:paraId="3DBE6C12"/>
                    <w:p w14:paraId="7536A983"/>
                    <w:p w14:paraId="24F043AB"/>
                    <w:p w14:paraId="0CB49245"/>
                    <w:p w14:paraId="23F24CCA">
                      <w:pPr>
                        <w:jc w:val="center"/>
                      </w:pPr>
                      <w:r>
                        <w:rPr>
                          <w:rFonts w:hint="eastAsia"/>
                        </w:rPr>
                        <w:t>委托代理人第二代居民身份证复印件</w:t>
                      </w:r>
                    </w:p>
                    <w:p w14:paraId="6C22918D">
                      <w:pPr>
                        <w:jc w:val="center"/>
                      </w:pPr>
                      <w:r>
                        <w:rPr>
                          <w:rFonts w:hint="eastAsia"/>
                          <w:b/>
                        </w:rPr>
                        <w:t>（背面）</w:t>
                      </w:r>
                    </w:p>
                  </w:txbxContent>
                </v:textbox>
              </v:rect>
            </w:pict>
          </mc:Fallback>
        </mc:AlternateContent>
      </w:r>
    </w:p>
    <w:p w14:paraId="0CFCC51E">
      <w:pPr>
        <w:pStyle w:val="20"/>
        <w:spacing w:line="240" w:lineRule="exact"/>
        <w:rPr>
          <w:rFonts w:hAnsi="宋体" w:cs="宋体"/>
          <w:color w:val="auto"/>
          <w:highlight w:val="none"/>
        </w:rPr>
      </w:pPr>
    </w:p>
    <w:p w14:paraId="7C240062">
      <w:pPr>
        <w:pStyle w:val="20"/>
        <w:spacing w:line="240" w:lineRule="exact"/>
        <w:rPr>
          <w:rFonts w:hAnsi="宋体" w:cs="宋体"/>
          <w:color w:val="auto"/>
          <w:highlight w:val="none"/>
        </w:rPr>
      </w:pPr>
    </w:p>
    <w:p w14:paraId="2623F201">
      <w:pPr>
        <w:pStyle w:val="20"/>
        <w:spacing w:line="240" w:lineRule="exact"/>
        <w:rPr>
          <w:rFonts w:hAnsi="宋体" w:cs="宋体"/>
          <w:color w:val="auto"/>
          <w:highlight w:val="none"/>
        </w:rPr>
      </w:pPr>
    </w:p>
    <w:p w14:paraId="1064AB6B">
      <w:pPr>
        <w:pStyle w:val="20"/>
        <w:spacing w:line="240" w:lineRule="exact"/>
        <w:rPr>
          <w:rFonts w:hAnsi="宋体" w:cs="宋体"/>
          <w:color w:val="auto"/>
          <w:sz w:val="44"/>
          <w:highlight w:val="none"/>
        </w:rPr>
      </w:pPr>
    </w:p>
    <w:p w14:paraId="78C82B59">
      <w:pPr>
        <w:pStyle w:val="20"/>
        <w:spacing w:line="240" w:lineRule="exact"/>
        <w:rPr>
          <w:rFonts w:hAnsi="宋体" w:cs="宋体"/>
          <w:color w:val="auto"/>
          <w:sz w:val="44"/>
          <w:highlight w:val="none"/>
        </w:rPr>
      </w:pPr>
    </w:p>
    <w:p w14:paraId="29BE6A0F">
      <w:pPr>
        <w:pStyle w:val="20"/>
        <w:spacing w:line="240" w:lineRule="exact"/>
        <w:rPr>
          <w:rFonts w:hAnsi="宋体" w:cs="宋体"/>
          <w:color w:val="auto"/>
          <w:sz w:val="44"/>
          <w:highlight w:val="none"/>
        </w:rPr>
      </w:pPr>
    </w:p>
    <w:p w14:paraId="6298F927">
      <w:pPr>
        <w:pStyle w:val="20"/>
        <w:spacing w:line="240" w:lineRule="exact"/>
        <w:rPr>
          <w:rFonts w:hAnsi="宋体" w:cs="宋体"/>
          <w:color w:val="auto"/>
          <w:sz w:val="44"/>
          <w:highlight w:val="none"/>
        </w:rPr>
      </w:pPr>
    </w:p>
    <w:p w14:paraId="7ED9C9F8">
      <w:pPr>
        <w:pStyle w:val="20"/>
        <w:spacing w:line="240" w:lineRule="exact"/>
        <w:rPr>
          <w:rFonts w:hAnsi="宋体" w:cs="宋体"/>
          <w:color w:val="auto"/>
          <w:sz w:val="44"/>
          <w:highlight w:val="none"/>
        </w:rPr>
      </w:pPr>
    </w:p>
    <w:p w14:paraId="4076E547">
      <w:pPr>
        <w:pStyle w:val="20"/>
        <w:spacing w:line="240" w:lineRule="exact"/>
        <w:rPr>
          <w:rFonts w:hAnsi="宋体" w:cs="宋体"/>
          <w:color w:val="auto"/>
          <w:sz w:val="44"/>
          <w:highlight w:val="none"/>
        </w:rPr>
      </w:pPr>
    </w:p>
    <w:p w14:paraId="22575BEE">
      <w:pPr>
        <w:pStyle w:val="20"/>
        <w:spacing w:line="240" w:lineRule="exact"/>
        <w:rPr>
          <w:rFonts w:hAnsi="宋体" w:cs="宋体"/>
          <w:color w:val="auto"/>
          <w:sz w:val="44"/>
          <w:highlight w:val="none"/>
        </w:rPr>
      </w:pPr>
    </w:p>
    <w:p w14:paraId="78552E45">
      <w:pPr>
        <w:pStyle w:val="20"/>
        <w:spacing w:line="240" w:lineRule="exact"/>
        <w:rPr>
          <w:rFonts w:hAnsi="宋体" w:cs="宋体"/>
          <w:color w:val="auto"/>
          <w:sz w:val="44"/>
          <w:highlight w:val="none"/>
        </w:rPr>
      </w:pPr>
    </w:p>
    <w:p w14:paraId="77F53192">
      <w:pPr>
        <w:pStyle w:val="20"/>
        <w:spacing w:line="240" w:lineRule="exact"/>
        <w:rPr>
          <w:rFonts w:hAnsi="宋体" w:cs="宋体"/>
          <w:color w:val="auto"/>
          <w:sz w:val="44"/>
          <w:highlight w:val="none"/>
        </w:rPr>
      </w:pPr>
    </w:p>
    <w:p w14:paraId="551F96A7">
      <w:pPr>
        <w:jc w:val="center"/>
        <w:rPr>
          <w:rFonts w:ascii="宋体" w:hAnsi="宋体" w:cs="宋体"/>
          <w:color w:val="auto"/>
          <w:highlight w:val="none"/>
        </w:rPr>
      </w:pPr>
    </w:p>
    <w:p w14:paraId="47100D85">
      <w:pPr>
        <w:rPr>
          <w:rFonts w:ascii="宋体" w:hAnsi="宋体" w:cs="宋体"/>
          <w:b/>
          <w:color w:val="auto"/>
          <w:szCs w:val="21"/>
          <w:highlight w:val="none"/>
        </w:rPr>
      </w:pPr>
      <w:r>
        <w:rPr>
          <w:rFonts w:hAnsi="宋体" w:cs="宋体"/>
          <w:color w:val="auto"/>
          <w:highlight w:val="none"/>
        </w:rPr>
        <w:br w:type="page"/>
      </w:r>
      <w:r>
        <w:rPr>
          <w:rFonts w:hint="eastAsia" w:ascii="宋体" w:hAnsi="宋体" w:cs="宋体"/>
          <w:b/>
          <w:color w:val="auto"/>
          <w:szCs w:val="21"/>
          <w:highlight w:val="none"/>
        </w:rPr>
        <w:t>三、商务响应表格式</w:t>
      </w:r>
    </w:p>
    <w:p w14:paraId="0A1C0394">
      <w:pPr>
        <w:spacing w:line="360" w:lineRule="exact"/>
        <w:jc w:val="center"/>
        <w:rPr>
          <w:rFonts w:ascii="宋体" w:hAnsi="宋体" w:cs="宋体"/>
          <w:b/>
          <w:bCs/>
          <w:color w:val="auto"/>
          <w:kern w:val="0"/>
          <w:sz w:val="30"/>
          <w:highlight w:val="none"/>
        </w:rPr>
      </w:pPr>
      <w:r>
        <w:rPr>
          <w:rFonts w:hint="eastAsia" w:ascii="宋体" w:hAnsi="宋体" w:cs="宋体"/>
          <w:b/>
          <w:bCs/>
          <w:color w:val="auto"/>
          <w:kern w:val="0"/>
          <w:sz w:val="30"/>
          <w:highlight w:val="none"/>
        </w:rPr>
        <w:t>商务响应表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2977"/>
        <w:gridCol w:w="1275"/>
        <w:gridCol w:w="3119"/>
      </w:tblGrid>
      <w:tr w14:paraId="5A5B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6A08B341">
            <w:pPr>
              <w:pStyle w:val="20"/>
              <w:jc w:val="center"/>
              <w:rPr>
                <w:rFonts w:hAnsi="宋体" w:cs="宋体"/>
                <w:color w:val="auto"/>
                <w:kern w:val="2"/>
                <w:sz w:val="24"/>
                <w:szCs w:val="24"/>
                <w:highlight w:val="none"/>
              </w:rPr>
            </w:pPr>
            <w:r>
              <w:rPr>
                <w:rFonts w:hint="eastAsia" w:hAnsi="宋体" w:cs="宋体"/>
                <w:color w:val="auto"/>
                <w:kern w:val="2"/>
                <w:sz w:val="24"/>
                <w:szCs w:val="24"/>
                <w:highlight w:val="none"/>
              </w:rPr>
              <w:t>项目</w:t>
            </w:r>
          </w:p>
        </w:tc>
        <w:tc>
          <w:tcPr>
            <w:tcW w:w="2977" w:type="dxa"/>
            <w:tcBorders>
              <w:top w:val="single" w:color="auto" w:sz="4" w:space="0"/>
              <w:left w:val="single" w:color="auto" w:sz="4" w:space="0"/>
              <w:bottom w:val="single" w:color="auto" w:sz="4" w:space="0"/>
              <w:right w:val="single" w:color="auto" w:sz="4" w:space="0"/>
            </w:tcBorders>
            <w:vAlign w:val="center"/>
          </w:tcPr>
          <w:p w14:paraId="0F468073">
            <w:pPr>
              <w:pStyle w:val="20"/>
              <w:jc w:val="center"/>
              <w:rPr>
                <w:rFonts w:hAnsi="宋体" w:cs="宋体"/>
                <w:color w:val="auto"/>
                <w:kern w:val="2"/>
                <w:sz w:val="24"/>
                <w:szCs w:val="24"/>
                <w:highlight w:val="none"/>
              </w:rPr>
            </w:pPr>
            <w:r>
              <w:rPr>
                <w:rFonts w:hint="eastAsia" w:hAnsi="宋体" w:cs="宋体"/>
                <w:color w:val="auto"/>
                <w:kern w:val="2"/>
                <w:sz w:val="24"/>
                <w:szCs w:val="24"/>
                <w:highlight w:val="none"/>
              </w:rPr>
              <w:t>谈判文件的商务条款</w:t>
            </w:r>
          </w:p>
        </w:tc>
        <w:tc>
          <w:tcPr>
            <w:tcW w:w="1275" w:type="dxa"/>
            <w:tcBorders>
              <w:top w:val="single" w:color="auto" w:sz="4" w:space="0"/>
              <w:left w:val="single" w:color="auto" w:sz="4" w:space="0"/>
              <w:bottom w:val="single" w:color="auto" w:sz="4" w:space="0"/>
              <w:right w:val="single" w:color="auto" w:sz="4" w:space="0"/>
            </w:tcBorders>
            <w:vAlign w:val="center"/>
          </w:tcPr>
          <w:p w14:paraId="1D53F13C">
            <w:pPr>
              <w:pStyle w:val="20"/>
              <w:jc w:val="center"/>
              <w:rPr>
                <w:rFonts w:hAnsi="宋体" w:cs="宋体"/>
                <w:color w:val="auto"/>
                <w:kern w:val="2"/>
                <w:sz w:val="24"/>
                <w:szCs w:val="24"/>
                <w:highlight w:val="none"/>
              </w:rPr>
            </w:pPr>
            <w:r>
              <w:rPr>
                <w:rFonts w:hint="eastAsia" w:hAnsi="宋体" w:cs="宋体"/>
                <w:color w:val="auto"/>
                <w:kern w:val="2"/>
                <w:sz w:val="24"/>
                <w:szCs w:val="24"/>
                <w:highlight w:val="none"/>
              </w:rPr>
              <w:t>是否响应</w:t>
            </w:r>
          </w:p>
        </w:tc>
        <w:tc>
          <w:tcPr>
            <w:tcW w:w="3119" w:type="dxa"/>
            <w:tcBorders>
              <w:top w:val="single" w:color="auto" w:sz="4" w:space="0"/>
              <w:left w:val="single" w:color="auto" w:sz="4" w:space="0"/>
              <w:bottom w:val="single" w:color="auto" w:sz="4" w:space="0"/>
              <w:right w:val="single" w:color="auto" w:sz="4" w:space="0"/>
            </w:tcBorders>
            <w:vAlign w:val="center"/>
          </w:tcPr>
          <w:p w14:paraId="0E8D66DC">
            <w:pPr>
              <w:pStyle w:val="20"/>
              <w:jc w:val="center"/>
              <w:rPr>
                <w:rFonts w:hAnsi="宋体" w:cs="宋体"/>
                <w:color w:val="auto"/>
                <w:kern w:val="2"/>
                <w:sz w:val="24"/>
                <w:szCs w:val="24"/>
                <w:highlight w:val="none"/>
              </w:rPr>
            </w:pPr>
            <w:r>
              <w:rPr>
                <w:rFonts w:hint="eastAsia" w:hAnsi="宋体" w:cs="宋体"/>
                <w:color w:val="auto"/>
                <w:kern w:val="2"/>
                <w:sz w:val="24"/>
                <w:szCs w:val="24"/>
                <w:highlight w:val="none"/>
              </w:rPr>
              <w:t>响应文件的承诺或说明</w:t>
            </w:r>
          </w:p>
        </w:tc>
      </w:tr>
      <w:tr w14:paraId="46F1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28CF23E9">
            <w:pPr>
              <w:widowControl/>
              <w:spacing w:line="380" w:lineRule="exact"/>
              <w:jc w:val="center"/>
              <w:rPr>
                <w:rFonts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基本要求</w:t>
            </w:r>
          </w:p>
        </w:tc>
        <w:tc>
          <w:tcPr>
            <w:tcW w:w="2977" w:type="dxa"/>
            <w:tcBorders>
              <w:top w:val="single" w:color="auto" w:sz="4" w:space="0"/>
              <w:left w:val="single" w:color="auto" w:sz="4" w:space="0"/>
              <w:bottom w:val="single" w:color="auto" w:sz="4" w:space="0"/>
              <w:right w:val="single" w:color="auto" w:sz="4" w:space="0"/>
            </w:tcBorders>
            <w:vAlign w:val="center"/>
          </w:tcPr>
          <w:p w14:paraId="211BDEC8">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6C02BE9D">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33F89C22">
            <w:pPr>
              <w:pStyle w:val="20"/>
              <w:jc w:val="left"/>
              <w:rPr>
                <w:rFonts w:hAnsi="宋体" w:cs="宋体"/>
                <w:color w:val="auto"/>
                <w:kern w:val="2"/>
                <w:sz w:val="24"/>
                <w:szCs w:val="24"/>
                <w:highlight w:val="none"/>
              </w:rPr>
            </w:pPr>
          </w:p>
        </w:tc>
      </w:tr>
      <w:tr w14:paraId="0C68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712FA17C">
            <w:pPr>
              <w:widowControl/>
              <w:spacing w:line="380" w:lineRule="exact"/>
              <w:jc w:val="center"/>
              <w:rPr>
                <w:rFonts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合同期限</w:t>
            </w:r>
          </w:p>
        </w:tc>
        <w:tc>
          <w:tcPr>
            <w:tcW w:w="2977" w:type="dxa"/>
            <w:tcBorders>
              <w:top w:val="single" w:color="auto" w:sz="4" w:space="0"/>
              <w:left w:val="single" w:color="auto" w:sz="4" w:space="0"/>
              <w:bottom w:val="single" w:color="auto" w:sz="4" w:space="0"/>
              <w:right w:val="single" w:color="auto" w:sz="4" w:space="0"/>
            </w:tcBorders>
            <w:vAlign w:val="center"/>
          </w:tcPr>
          <w:p w14:paraId="3F4FE38A">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7AEE5F5A">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719D9E53">
            <w:pPr>
              <w:pStyle w:val="20"/>
              <w:jc w:val="left"/>
              <w:rPr>
                <w:rFonts w:hAnsi="宋体" w:cs="宋体"/>
                <w:color w:val="auto"/>
                <w:kern w:val="2"/>
                <w:sz w:val="24"/>
                <w:szCs w:val="24"/>
                <w:highlight w:val="none"/>
              </w:rPr>
            </w:pPr>
          </w:p>
        </w:tc>
      </w:tr>
      <w:tr w14:paraId="3C23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AD34561">
            <w:pPr>
              <w:widowControl/>
              <w:spacing w:line="360" w:lineRule="exact"/>
              <w:jc w:val="center"/>
              <w:textAlignment w:val="center"/>
              <w:rPr>
                <w:rFonts w:ascii="宋体" w:hAnsi="宋体"/>
                <w:color w:val="auto"/>
                <w:szCs w:val="21"/>
                <w:highlight w:val="none"/>
              </w:rPr>
            </w:pPr>
            <w:r>
              <w:rPr>
                <w:rFonts w:hint="eastAsia" w:ascii="宋体" w:hAnsi="宋体" w:cs="宋体"/>
                <w:color w:val="auto"/>
                <w:szCs w:val="21"/>
                <w:highlight w:val="none"/>
              </w:rPr>
              <w:t>▲交货时间及地点</w:t>
            </w:r>
          </w:p>
        </w:tc>
        <w:tc>
          <w:tcPr>
            <w:tcW w:w="2977" w:type="dxa"/>
            <w:tcBorders>
              <w:top w:val="single" w:color="auto" w:sz="4" w:space="0"/>
              <w:left w:val="single" w:color="auto" w:sz="4" w:space="0"/>
              <w:bottom w:val="single" w:color="auto" w:sz="4" w:space="0"/>
              <w:right w:val="single" w:color="auto" w:sz="4" w:space="0"/>
            </w:tcBorders>
            <w:vAlign w:val="center"/>
          </w:tcPr>
          <w:p w14:paraId="73403439">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3AEAFA68">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5931DCBB">
            <w:pPr>
              <w:pStyle w:val="20"/>
              <w:jc w:val="left"/>
              <w:rPr>
                <w:rFonts w:hAnsi="宋体" w:cs="宋体"/>
                <w:color w:val="auto"/>
                <w:kern w:val="2"/>
                <w:sz w:val="24"/>
                <w:szCs w:val="24"/>
                <w:highlight w:val="none"/>
              </w:rPr>
            </w:pPr>
          </w:p>
        </w:tc>
      </w:tr>
      <w:tr w14:paraId="6B968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57B442BC">
            <w:pPr>
              <w:widowControl/>
              <w:spacing w:line="380" w:lineRule="exact"/>
              <w:jc w:val="center"/>
              <w:rPr>
                <w:rFonts w:ascii="宋体" w:hAnsi="宋体"/>
                <w:color w:val="auto"/>
                <w:szCs w:val="21"/>
                <w:highlight w:val="none"/>
              </w:rPr>
            </w:pPr>
            <w:r>
              <w:rPr>
                <w:rFonts w:hint="eastAsia" w:ascii="宋体" w:hAnsi="宋体" w:cs="宋体"/>
                <w:color w:val="auto"/>
                <w:kern w:val="0"/>
                <w:szCs w:val="21"/>
                <w:highlight w:val="none"/>
              </w:rPr>
              <w:t>▲安装、调试、验收、培训等技术服务要求</w:t>
            </w:r>
          </w:p>
        </w:tc>
        <w:tc>
          <w:tcPr>
            <w:tcW w:w="2977" w:type="dxa"/>
            <w:tcBorders>
              <w:top w:val="single" w:color="auto" w:sz="4" w:space="0"/>
              <w:left w:val="single" w:color="auto" w:sz="4" w:space="0"/>
              <w:bottom w:val="single" w:color="auto" w:sz="4" w:space="0"/>
              <w:right w:val="single" w:color="auto" w:sz="4" w:space="0"/>
            </w:tcBorders>
            <w:vAlign w:val="center"/>
          </w:tcPr>
          <w:p w14:paraId="1DB4BAFC">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0E3000B7">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7EF45ADE">
            <w:pPr>
              <w:pStyle w:val="20"/>
              <w:jc w:val="left"/>
              <w:rPr>
                <w:rFonts w:hAnsi="宋体" w:cs="宋体"/>
                <w:color w:val="auto"/>
                <w:kern w:val="2"/>
                <w:sz w:val="24"/>
                <w:szCs w:val="24"/>
                <w:highlight w:val="none"/>
              </w:rPr>
            </w:pPr>
          </w:p>
        </w:tc>
      </w:tr>
      <w:tr w14:paraId="05C67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4CB4615D">
            <w:pPr>
              <w:widowControl/>
              <w:spacing w:line="380" w:lineRule="exact"/>
              <w:jc w:val="center"/>
              <w:rPr>
                <w:rFonts w:ascii="宋体" w:hAnsi="宋体"/>
                <w:color w:val="auto"/>
                <w:szCs w:val="22"/>
                <w:highlight w:val="none"/>
              </w:rPr>
            </w:pPr>
            <w:r>
              <w:rPr>
                <w:rFonts w:hint="eastAsia" w:ascii="宋体" w:hAnsi="宋体"/>
                <w:color w:val="auto"/>
                <w:szCs w:val="21"/>
                <w:highlight w:val="none"/>
              </w:rPr>
              <w:t>▲免费质保期</w:t>
            </w:r>
          </w:p>
        </w:tc>
        <w:tc>
          <w:tcPr>
            <w:tcW w:w="2977" w:type="dxa"/>
            <w:tcBorders>
              <w:top w:val="single" w:color="auto" w:sz="4" w:space="0"/>
              <w:left w:val="single" w:color="auto" w:sz="4" w:space="0"/>
              <w:bottom w:val="single" w:color="auto" w:sz="4" w:space="0"/>
              <w:right w:val="single" w:color="auto" w:sz="4" w:space="0"/>
            </w:tcBorders>
            <w:vAlign w:val="center"/>
          </w:tcPr>
          <w:p w14:paraId="079EE988">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1D89DEE0">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62822BFD">
            <w:pPr>
              <w:pStyle w:val="20"/>
              <w:jc w:val="left"/>
              <w:rPr>
                <w:rFonts w:hAnsi="宋体" w:cs="宋体"/>
                <w:color w:val="auto"/>
                <w:kern w:val="2"/>
                <w:sz w:val="24"/>
                <w:szCs w:val="24"/>
                <w:highlight w:val="none"/>
              </w:rPr>
            </w:pPr>
          </w:p>
        </w:tc>
      </w:tr>
      <w:tr w14:paraId="5D99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023FE272">
            <w:pPr>
              <w:widowControl/>
              <w:spacing w:line="380" w:lineRule="exact"/>
              <w:jc w:val="center"/>
              <w:rPr>
                <w:rFonts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olor w:val="auto"/>
                <w:szCs w:val="21"/>
                <w:highlight w:val="none"/>
              </w:rPr>
              <w:t>售后服务保障或维修响应时间要求</w:t>
            </w:r>
          </w:p>
        </w:tc>
        <w:tc>
          <w:tcPr>
            <w:tcW w:w="2977" w:type="dxa"/>
            <w:tcBorders>
              <w:top w:val="single" w:color="auto" w:sz="4" w:space="0"/>
              <w:left w:val="single" w:color="auto" w:sz="4" w:space="0"/>
              <w:bottom w:val="single" w:color="auto" w:sz="4" w:space="0"/>
              <w:right w:val="single" w:color="auto" w:sz="4" w:space="0"/>
            </w:tcBorders>
            <w:vAlign w:val="center"/>
          </w:tcPr>
          <w:p w14:paraId="5EB7CE99">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0B19440C">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6446D0DE">
            <w:pPr>
              <w:pStyle w:val="20"/>
              <w:jc w:val="left"/>
              <w:rPr>
                <w:rFonts w:hAnsi="宋体" w:cs="宋体"/>
                <w:color w:val="auto"/>
                <w:kern w:val="2"/>
                <w:sz w:val="24"/>
                <w:szCs w:val="24"/>
                <w:highlight w:val="none"/>
              </w:rPr>
            </w:pPr>
          </w:p>
        </w:tc>
      </w:tr>
      <w:tr w14:paraId="3367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093" w:type="dxa"/>
            <w:tcBorders>
              <w:top w:val="single" w:color="auto" w:sz="4" w:space="0"/>
              <w:left w:val="single" w:color="auto" w:sz="4" w:space="0"/>
              <w:bottom w:val="single" w:color="auto" w:sz="4" w:space="0"/>
              <w:right w:val="single" w:color="auto" w:sz="4" w:space="0"/>
            </w:tcBorders>
            <w:vAlign w:val="center"/>
          </w:tcPr>
          <w:p w14:paraId="390F93A4">
            <w:pPr>
              <w:widowControl/>
              <w:spacing w:line="380" w:lineRule="exact"/>
              <w:jc w:val="center"/>
              <w:rPr>
                <w:rFonts w:ascii="宋体" w:hAnsi="宋体"/>
                <w:color w:val="auto"/>
                <w:szCs w:val="21"/>
                <w:highlight w:val="none"/>
              </w:rPr>
            </w:pPr>
            <w:r>
              <w:rPr>
                <w:rFonts w:hint="eastAsia" w:ascii="宋体" w:hAnsi="宋体" w:cs="宋体"/>
                <w:color w:val="auto"/>
                <w:kern w:val="0"/>
                <w:sz w:val="20"/>
                <w:szCs w:val="20"/>
                <w:highlight w:val="none"/>
              </w:rPr>
              <w:t>▲</w:t>
            </w:r>
            <w:r>
              <w:rPr>
                <w:rFonts w:hint="eastAsia" w:ascii="宋体" w:hAnsi="宋体" w:cs="宋体"/>
                <w:color w:val="auto"/>
                <w:kern w:val="0"/>
                <w:szCs w:val="21"/>
                <w:highlight w:val="none"/>
              </w:rPr>
              <w:t>付款条件</w:t>
            </w:r>
          </w:p>
        </w:tc>
        <w:tc>
          <w:tcPr>
            <w:tcW w:w="2977" w:type="dxa"/>
            <w:tcBorders>
              <w:top w:val="single" w:color="auto" w:sz="4" w:space="0"/>
              <w:left w:val="single" w:color="auto" w:sz="4" w:space="0"/>
              <w:bottom w:val="single" w:color="auto" w:sz="4" w:space="0"/>
              <w:right w:val="single" w:color="auto" w:sz="4" w:space="0"/>
            </w:tcBorders>
            <w:vAlign w:val="center"/>
          </w:tcPr>
          <w:p w14:paraId="14D510A6">
            <w:pPr>
              <w:pStyle w:val="20"/>
              <w:jc w:val="left"/>
              <w:rPr>
                <w:rFonts w:hAnsi="宋体" w:cs="宋体"/>
                <w:color w:val="auto"/>
                <w:kern w:val="2"/>
                <w:sz w:val="24"/>
                <w:szCs w:val="24"/>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14644C4D">
            <w:pPr>
              <w:pStyle w:val="20"/>
              <w:jc w:val="left"/>
              <w:rPr>
                <w:rFonts w:hAnsi="宋体" w:cs="宋体"/>
                <w:color w:val="auto"/>
                <w:kern w:val="2"/>
                <w:sz w:val="24"/>
                <w:szCs w:val="24"/>
                <w:highlight w:val="none"/>
              </w:rPr>
            </w:pPr>
          </w:p>
        </w:tc>
        <w:tc>
          <w:tcPr>
            <w:tcW w:w="3119" w:type="dxa"/>
            <w:tcBorders>
              <w:top w:val="single" w:color="auto" w:sz="4" w:space="0"/>
              <w:left w:val="single" w:color="auto" w:sz="4" w:space="0"/>
              <w:bottom w:val="single" w:color="auto" w:sz="4" w:space="0"/>
              <w:right w:val="single" w:color="auto" w:sz="4" w:space="0"/>
            </w:tcBorders>
            <w:vAlign w:val="center"/>
          </w:tcPr>
          <w:p w14:paraId="740E77F6">
            <w:pPr>
              <w:pStyle w:val="20"/>
              <w:jc w:val="left"/>
              <w:rPr>
                <w:rFonts w:hAnsi="宋体" w:cs="宋体"/>
                <w:color w:val="auto"/>
                <w:kern w:val="2"/>
                <w:sz w:val="24"/>
                <w:szCs w:val="24"/>
                <w:highlight w:val="none"/>
              </w:rPr>
            </w:pPr>
          </w:p>
        </w:tc>
      </w:tr>
    </w:tbl>
    <w:p w14:paraId="7770C221">
      <w:pPr>
        <w:spacing w:line="360" w:lineRule="exact"/>
        <w:ind w:firstLine="6090" w:firstLineChars="2900"/>
        <w:rPr>
          <w:rFonts w:ascii="宋体" w:hAnsi="宋体"/>
          <w:color w:val="auto"/>
          <w:szCs w:val="21"/>
          <w:highlight w:val="none"/>
        </w:rPr>
      </w:pPr>
    </w:p>
    <w:p w14:paraId="4A470674">
      <w:pPr>
        <w:spacing w:line="360" w:lineRule="exact"/>
        <w:ind w:firstLine="6090" w:firstLineChars="2900"/>
        <w:rPr>
          <w:rFonts w:ascii="宋体" w:hAnsi="宋体"/>
          <w:color w:val="auto"/>
          <w:szCs w:val="21"/>
          <w:highlight w:val="none"/>
        </w:rPr>
      </w:pPr>
    </w:p>
    <w:p w14:paraId="75173986">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23480B7A">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70C013E4">
      <w:pPr>
        <w:rPr>
          <w:rFonts w:ascii="宋体" w:hAnsi="宋体" w:cs="宋体"/>
          <w:b/>
          <w:color w:val="auto"/>
          <w:szCs w:val="21"/>
          <w:highlight w:val="none"/>
        </w:rPr>
      </w:pPr>
    </w:p>
    <w:p w14:paraId="3F466194">
      <w:pPr>
        <w:rPr>
          <w:rFonts w:ascii="宋体" w:hAnsi="宋体" w:cs="宋体"/>
          <w:b/>
          <w:color w:val="auto"/>
          <w:szCs w:val="21"/>
          <w:highlight w:val="none"/>
        </w:rPr>
      </w:pPr>
    </w:p>
    <w:p w14:paraId="0E082E27">
      <w:pPr>
        <w:rPr>
          <w:rFonts w:ascii="宋体" w:hAnsi="宋体" w:cs="宋体"/>
          <w:b/>
          <w:color w:val="auto"/>
          <w:szCs w:val="21"/>
          <w:highlight w:val="none"/>
        </w:rPr>
      </w:pPr>
    </w:p>
    <w:p w14:paraId="3E1418D7">
      <w:pPr>
        <w:rPr>
          <w:rFonts w:ascii="宋体" w:hAnsi="宋体" w:cs="宋体"/>
          <w:b/>
          <w:color w:val="auto"/>
          <w:szCs w:val="21"/>
          <w:highlight w:val="none"/>
        </w:rPr>
      </w:pPr>
    </w:p>
    <w:p w14:paraId="32707282">
      <w:pPr>
        <w:rPr>
          <w:rFonts w:ascii="宋体" w:hAnsi="宋体" w:cs="宋体"/>
          <w:b/>
          <w:color w:val="auto"/>
          <w:szCs w:val="21"/>
          <w:highlight w:val="none"/>
        </w:rPr>
      </w:pPr>
    </w:p>
    <w:p w14:paraId="0F0B4497">
      <w:pPr>
        <w:rPr>
          <w:rFonts w:ascii="宋体" w:hAnsi="宋体" w:cs="宋体"/>
          <w:b/>
          <w:color w:val="auto"/>
          <w:szCs w:val="21"/>
          <w:highlight w:val="none"/>
        </w:rPr>
      </w:pPr>
    </w:p>
    <w:p w14:paraId="25B40251">
      <w:pPr>
        <w:rPr>
          <w:rFonts w:ascii="宋体" w:hAnsi="宋体" w:cs="宋体"/>
          <w:b/>
          <w:color w:val="auto"/>
          <w:szCs w:val="21"/>
          <w:highlight w:val="none"/>
        </w:rPr>
      </w:pPr>
    </w:p>
    <w:p w14:paraId="12032F9F">
      <w:pPr>
        <w:rPr>
          <w:rFonts w:ascii="宋体" w:hAnsi="宋体" w:cs="宋体"/>
          <w:b/>
          <w:color w:val="auto"/>
          <w:szCs w:val="21"/>
          <w:highlight w:val="none"/>
        </w:rPr>
      </w:pPr>
    </w:p>
    <w:p w14:paraId="5EE6503B">
      <w:pPr>
        <w:rPr>
          <w:rFonts w:ascii="宋体" w:hAnsi="宋体" w:cs="宋体"/>
          <w:b/>
          <w:color w:val="auto"/>
          <w:szCs w:val="21"/>
          <w:highlight w:val="none"/>
        </w:rPr>
      </w:pPr>
    </w:p>
    <w:p w14:paraId="069510E7">
      <w:pPr>
        <w:rPr>
          <w:rFonts w:ascii="宋体" w:hAnsi="宋体" w:cs="宋体"/>
          <w:b/>
          <w:color w:val="auto"/>
          <w:szCs w:val="21"/>
          <w:highlight w:val="none"/>
        </w:rPr>
      </w:pPr>
    </w:p>
    <w:p w14:paraId="40FBF3C4">
      <w:pPr>
        <w:rPr>
          <w:rFonts w:ascii="宋体" w:hAnsi="宋体" w:cs="宋体"/>
          <w:b/>
          <w:color w:val="auto"/>
          <w:szCs w:val="21"/>
          <w:highlight w:val="none"/>
        </w:rPr>
      </w:pPr>
    </w:p>
    <w:p w14:paraId="50C4E2BE">
      <w:pPr>
        <w:rPr>
          <w:rFonts w:ascii="宋体" w:hAnsi="宋体" w:cs="宋体"/>
          <w:b/>
          <w:color w:val="auto"/>
          <w:szCs w:val="21"/>
          <w:highlight w:val="none"/>
        </w:rPr>
      </w:pPr>
    </w:p>
    <w:p w14:paraId="32329113">
      <w:pPr>
        <w:rPr>
          <w:rFonts w:ascii="宋体" w:hAnsi="宋体" w:cs="宋体"/>
          <w:b/>
          <w:color w:val="auto"/>
          <w:szCs w:val="21"/>
          <w:highlight w:val="none"/>
        </w:rPr>
      </w:pPr>
    </w:p>
    <w:p w14:paraId="087FFA5A">
      <w:pPr>
        <w:pStyle w:val="47"/>
        <w:rPr>
          <w:rFonts w:ascii="宋体" w:hAnsi="宋体" w:cs="宋体"/>
          <w:b/>
          <w:color w:val="auto"/>
          <w:highlight w:val="none"/>
        </w:rPr>
      </w:pPr>
    </w:p>
    <w:p w14:paraId="4B87D852">
      <w:pPr>
        <w:pStyle w:val="47"/>
        <w:rPr>
          <w:rFonts w:ascii="宋体" w:hAnsi="宋体" w:cs="宋体"/>
          <w:b/>
          <w:color w:val="auto"/>
          <w:highlight w:val="none"/>
        </w:rPr>
      </w:pPr>
    </w:p>
    <w:p w14:paraId="6E965486">
      <w:pPr>
        <w:pStyle w:val="47"/>
        <w:rPr>
          <w:rFonts w:ascii="宋体" w:hAnsi="宋体" w:cs="宋体"/>
          <w:b/>
          <w:color w:val="auto"/>
          <w:highlight w:val="none"/>
        </w:rPr>
      </w:pPr>
    </w:p>
    <w:p w14:paraId="25FF20B7">
      <w:pPr>
        <w:pStyle w:val="47"/>
        <w:rPr>
          <w:rFonts w:ascii="宋体" w:hAnsi="宋体" w:cs="宋体"/>
          <w:b/>
          <w:color w:val="auto"/>
          <w:highlight w:val="none"/>
        </w:rPr>
      </w:pPr>
    </w:p>
    <w:p w14:paraId="4B8D5FF9">
      <w:pPr>
        <w:pStyle w:val="47"/>
        <w:rPr>
          <w:rFonts w:ascii="宋体" w:hAnsi="宋体" w:cs="宋体"/>
          <w:b/>
          <w:color w:val="auto"/>
          <w:highlight w:val="none"/>
        </w:rPr>
      </w:pPr>
    </w:p>
    <w:p w14:paraId="0E21DCEF">
      <w:pPr>
        <w:rPr>
          <w:rFonts w:ascii="宋体" w:hAnsi="宋体" w:cs="宋体"/>
          <w:b/>
          <w:color w:val="auto"/>
          <w:szCs w:val="21"/>
          <w:highlight w:val="none"/>
        </w:rPr>
      </w:pPr>
    </w:p>
    <w:p w14:paraId="6692DF56">
      <w:pPr>
        <w:spacing w:line="320" w:lineRule="exact"/>
        <w:rPr>
          <w:rFonts w:ascii="宋体" w:hAnsi="宋体" w:cs="宋体"/>
          <w:b/>
          <w:color w:val="auto"/>
          <w:sz w:val="24"/>
          <w:highlight w:val="none"/>
        </w:rPr>
      </w:pPr>
      <w:r>
        <w:rPr>
          <w:rFonts w:hint="eastAsia" w:ascii="宋体" w:hAnsi="宋体" w:cs="宋体"/>
          <w:b/>
          <w:color w:val="auto"/>
          <w:sz w:val="24"/>
          <w:highlight w:val="none"/>
        </w:rPr>
        <w:t>四、技术响应表格式</w:t>
      </w:r>
    </w:p>
    <w:p w14:paraId="089F884E">
      <w:pPr>
        <w:jc w:val="center"/>
        <w:rPr>
          <w:rFonts w:ascii="宋体" w:hAnsi="宋体" w:cs="宋体"/>
          <w:b/>
          <w:bCs/>
          <w:color w:val="auto"/>
          <w:kern w:val="0"/>
          <w:sz w:val="30"/>
          <w:highlight w:val="none"/>
        </w:rPr>
      </w:pPr>
      <w:r>
        <w:rPr>
          <w:rFonts w:hint="eastAsia" w:ascii="宋体" w:hAnsi="宋体" w:cs="宋体"/>
          <w:b/>
          <w:bCs/>
          <w:color w:val="auto"/>
          <w:kern w:val="0"/>
          <w:sz w:val="30"/>
          <w:highlight w:val="none"/>
        </w:rPr>
        <w:t>技术响应表</w:t>
      </w:r>
    </w:p>
    <w:tbl>
      <w:tblPr>
        <w:tblStyle w:val="36"/>
        <w:tblW w:w="8963" w:type="dxa"/>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6"/>
        <w:gridCol w:w="1363"/>
        <w:gridCol w:w="1680"/>
        <w:gridCol w:w="2118"/>
        <w:gridCol w:w="2976"/>
      </w:tblGrid>
      <w:tr w14:paraId="03111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exact"/>
        </w:trPr>
        <w:tc>
          <w:tcPr>
            <w:tcW w:w="826" w:type="dxa"/>
            <w:vAlign w:val="center"/>
          </w:tcPr>
          <w:p w14:paraId="0D3FA018">
            <w:pPr>
              <w:pStyle w:val="86"/>
              <w:ind w:left="174" w:right="181"/>
              <w:jc w:val="center"/>
              <w:rPr>
                <w:color w:val="auto"/>
                <w:sz w:val="21"/>
                <w:highlight w:val="none"/>
              </w:rPr>
            </w:pPr>
            <w:r>
              <w:rPr>
                <w:color w:val="auto"/>
                <w:sz w:val="21"/>
                <w:highlight w:val="none"/>
              </w:rPr>
              <w:t>项号</w:t>
            </w:r>
          </w:p>
        </w:tc>
        <w:tc>
          <w:tcPr>
            <w:tcW w:w="1363" w:type="dxa"/>
            <w:vAlign w:val="center"/>
          </w:tcPr>
          <w:p w14:paraId="6D130D8E">
            <w:pPr>
              <w:pStyle w:val="86"/>
              <w:ind w:left="174" w:right="181"/>
              <w:jc w:val="center"/>
              <w:rPr>
                <w:color w:val="auto"/>
                <w:sz w:val="21"/>
                <w:highlight w:val="none"/>
              </w:rPr>
            </w:pPr>
            <w:r>
              <w:rPr>
                <w:color w:val="auto"/>
                <w:sz w:val="21"/>
                <w:highlight w:val="none"/>
              </w:rPr>
              <w:t>货物名称</w:t>
            </w:r>
          </w:p>
        </w:tc>
        <w:tc>
          <w:tcPr>
            <w:tcW w:w="1680" w:type="dxa"/>
            <w:tcBorders>
              <w:right w:val="single" w:color="auto" w:sz="4" w:space="0"/>
            </w:tcBorders>
            <w:vAlign w:val="center"/>
          </w:tcPr>
          <w:p w14:paraId="5C12CA92">
            <w:pPr>
              <w:pStyle w:val="86"/>
              <w:ind w:left="174" w:right="181"/>
              <w:jc w:val="center"/>
              <w:rPr>
                <w:color w:val="auto"/>
                <w:sz w:val="21"/>
                <w:highlight w:val="none"/>
                <w:lang w:eastAsia="zh-CN"/>
              </w:rPr>
            </w:pPr>
            <w:r>
              <w:rPr>
                <w:rFonts w:hint="eastAsia"/>
                <w:color w:val="auto"/>
                <w:sz w:val="21"/>
                <w:highlight w:val="none"/>
                <w:lang w:eastAsia="zh-CN"/>
              </w:rPr>
              <w:t>竞争性谈判文件的要求</w:t>
            </w:r>
          </w:p>
        </w:tc>
        <w:tc>
          <w:tcPr>
            <w:tcW w:w="2118" w:type="dxa"/>
            <w:tcBorders>
              <w:left w:val="single" w:color="auto" w:sz="4" w:space="0"/>
            </w:tcBorders>
            <w:vAlign w:val="center"/>
          </w:tcPr>
          <w:p w14:paraId="630FB3FB">
            <w:pPr>
              <w:pStyle w:val="86"/>
              <w:ind w:left="174" w:right="181"/>
              <w:jc w:val="center"/>
              <w:rPr>
                <w:color w:val="auto"/>
                <w:sz w:val="21"/>
                <w:highlight w:val="none"/>
              </w:rPr>
            </w:pPr>
            <w:r>
              <w:rPr>
                <w:rFonts w:hint="eastAsia"/>
                <w:color w:val="auto"/>
                <w:sz w:val="21"/>
                <w:highlight w:val="none"/>
                <w:lang w:eastAsia="zh-CN"/>
              </w:rPr>
              <w:t>响应</w:t>
            </w:r>
            <w:r>
              <w:rPr>
                <w:rFonts w:hint="eastAsia"/>
                <w:color w:val="auto"/>
                <w:sz w:val="21"/>
                <w:highlight w:val="none"/>
              </w:rPr>
              <w:t>文件响应</w:t>
            </w:r>
          </w:p>
        </w:tc>
        <w:tc>
          <w:tcPr>
            <w:tcW w:w="2976" w:type="dxa"/>
            <w:vAlign w:val="center"/>
          </w:tcPr>
          <w:p w14:paraId="090B54B7">
            <w:pPr>
              <w:pStyle w:val="86"/>
              <w:ind w:left="174" w:right="181"/>
              <w:jc w:val="center"/>
              <w:rPr>
                <w:color w:val="auto"/>
                <w:sz w:val="21"/>
                <w:highlight w:val="none"/>
              </w:rPr>
            </w:pPr>
            <w:r>
              <w:rPr>
                <w:color w:val="auto"/>
                <w:sz w:val="21"/>
                <w:highlight w:val="none"/>
              </w:rPr>
              <w:t>偏离情况说明</w:t>
            </w:r>
          </w:p>
        </w:tc>
      </w:tr>
      <w:tr w14:paraId="21C17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trPr>
        <w:tc>
          <w:tcPr>
            <w:tcW w:w="826" w:type="dxa"/>
          </w:tcPr>
          <w:p w14:paraId="704BE9E3">
            <w:pPr>
              <w:pStyle w:val="86"/>
              <w:spacing w:before="167"/>
              <w:ind w:left="0" w:right="7"/>
              <w:jc w:val="center"/>
              <w:rPr>
                <w:color w:val="auto"/>
                <w:sz w:val="21"/>
                <w:highlight w:val="none"/>
              </w:rPr>
            </w:pPr>
            <w:r>
              <w:rPr>
                <w:color w:val="auto"/>
                <w:sz w:val="21"/>
                <w:highlight w:val="none"/>
              </w:rPr>
              <w:t>1</w:t>
            </w:r>
          </w:p>
        </w:tc>
        <w:tc>
          <w:tcPr>
            <w:tcW w:w="1363" w:type="dxa"/>
          </w:tcPr>
          <w:p w14:paraId="0D9510E7">
            <w:pPr>
              <w:rPr>
                <w:color w:val="auto"/>
                <w:highlight w:val="none"/>
              </w:rPr>
            </w:pPr>
          </w:p>
        </w:tc>
        <w:tc>
          <w:tcPr>
            <w:tcW w:w="1680" w:type="dxa"/>
            <w:tcBorders>
              <w:right w:val="single" w:color="auto" w:sz="4" w:space="0"/>
            </w:tcBorders>
          </w:tcPr>
          <w:p w14:paraId="0E927392">
            <w:pPr>
              <w:rPr>
                <w:color w:val="auto"/>
                <w:highlight w:val="none"/>
              </w:rPr>
            </w:pPr>
          </w:p>
        </w:tc>
        <w:tc>
          <w:tcPr>
            <w:tcW w:w="2118" w:type="dxa"/>
            <w:tcBorders>
              <w:left w:val="single" w:color="auto" w:sz="4" w:space="0"/>
            </w:tcBorders>
          </w:tcPr>
          <w:p w14:paraId="67687FDA">
            <w:pPr>
              <w:rPr>
                <w:color w:val="auto"/>
                <w:highlight w:val="none"/>
              </w:rPr>
            </w:pPr>
          </w:p>
        </w:tc>
        <w:tc>
          <w:tcPr>
            <w:tcW w:w="2976" w:type="dxa"/>
          </w:tcPr>
          <w:p w14:paraId="1762C4B0">
            <w:pPr>
              <w:rPr>
                <w:color w:val="auto"/>
                <w:highlight w:val="none"/>
              </w:rPr>
            </w:pPr>
          </w:p>
        </w:tc>
      </w:tr>
      <w:tr w14:paraId="52E5D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exact"/>
        </w:trPr>
        <w:tc>
          <w:tcPr>
            <w:tcW w:w="826" w:type="dxa"/>
          </w:tcPr>
          <w:p w14:paraId="1F55E997">
            <w:pPr>
              <w:pStyle w:val="86"/>
              <w:spacing w:before="167"/>
              <w:ind w:left="0" w:right="7"/>
              <w:jc w:val="center"/>
              <w:rPr>
                <w:color w:val="auto"/>
                <w:sz w:val="21"/>
                <w:highlight w:val="none"/>
              </w:rPr>
            </w:pPr>
            <w:r>
              <w:rPr>
                <w:color w:val="auto"/>
                <w:sz w:val="21"/>
                <w:highlight w:val="none"/>
              </w:rPr>
              <w:t>2</w:t>
            </w:r>
          </w:p>
        </w:tc>
        <w:tc>
          <w:tcPr>
            <w:tcW w:w="1363" w:type="dxa"/>
          </w:tcPr>
          <w:p w14:paraId="04AC7362">
            <w:pPr>
              <w:rPr>
                <w:color w:val="auto"/>
                <w:highlight w:val="none"/>
              </w:rPr>
            </w:pPr>
          </w:p>
        </w:tc>
        <w:tc>
          <w:tcPr>
            <w:tcW w:w="1680" w:type="dxa"/>
            <w:tcBorders>
              <w:right w:val="single" w:color="auto" w:sz="4" w:space="0"/>
            </w:tcBorders>
          </w:tcPr>
          <w:p w14:paraId="1D17FA94">
            <w:pPr>
              <w:rPr>
                <w:color w:val="auto"/>
                <w:highlight w:val="none"/>
              </w:rPr>
            </w:pPr>
          </w:p>
        </w:tc>
        <w:tc>
          <w:tcPr>
            <w:tcW w:w="2118" w:type="dxa"/>
            <w:tcBorders>
              <w:left w:val="single" w:color="auto" w:sz="4" w:space="0"/>
            </w:tcBorders>
          </w:tcPr>
          <w:p w14:paraId="3E3748C3">
            <w:pPr>
              <w:rPr>
                <w:color w:val="auto"/>
                <w:highlight w:val="none"/>
              </w:rPr>
            </w:pPr>
          </w:p>
        </w:tc>
        <w:tc>
          <w:tcPr>
            <w:tcW w:w="2976" w:type="dxa"/>
          </w:tcPr>
          <w:p w14:paraId="24304F68">
            <w:pPr>
              <w:rPr>
                <w:color w:val="auto"/>
                <w:highlight w:val="none"/>
              </w:rPr>
            </w:pPr>
          </w:p>
        </w:tc>
      </w:tr>
      <w:tr w14:paraId="74A80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exact"/>
        </w:trPr>
        <w:tc>
          <w:tcPr>
            <w:tcW w:w="826" w:type="dxa"/>
          </w:tcPr>
          <w:p w14:paraId="7EF47EA9">
            <w:pPr>
              <w:pStyle w:val="86"/>
              <w:spacing w:before="177"/>
              <w:ind w:left="0" w:right="7"/>
              <w:jc w:val="center"/>
              <w:rPr>
                <w:color w:val="auto"/>
                <w:sz w:val="21"/>
                <w:highlight w:val="none"/>
              </w:rPr>
            </w:pPr>
            <w:r>
              <w:rPr>
                <w:color w:val="auto"/>
                <w:sz w:val="21"/>
                <w:highlight w:val="none"/>
              </w:rPr>
              <w:t>…</w:t>
            </w:r>
          </w:p>
        </w:tc>
        <w:tc>
          <w:tcPr>
            <w:tcW w:w="1363" w:type="dxa"/>
          </w:tcPr>
          <w:p w14:paraId="5D5DBE15">
            <w:pPr>
              <w:rPr>
                <w:color w:val="auto"/>
                <w:highlight w:val="none"/>
              </w:rPr>
            </w:pPr>
          </w:p>
        </w:tc>
        <w:tc>
          <w:tcPr>
            <w:tcW w:w="1680" w:type="dxa"/>
            <w:tcBorders>
              <w:right w:val="single" w:color="auto" w:sz="4" w:space="0"/>
            </w:tcBorders>
          </w:tcPr>
          <w:p w14:paraId="71D6332F">
            <w:pPr>
              <w:rPr>
                <w:color w:val="auto"/>
                <w:highlight w:val="none"/>
              </w:rPr>
            </w:pPr>
          </w:p>
        </w:tc>
        <w:tc>
          <w:tcPr>
            <w:tcW w:w="2118" w:type="dxa"/>
            <w:tcBorders>
              <w:left w:val="single" w:color="auto" w:sz="4" w:space="0"/>
            </w:tcBorders>
          </w:tcPr>
          <w:p w14:paraId="1488BA36">
            <w:pPr>
              <w:rPr>
                <w:color w:val="auto"/>
                <w:highlight w:val="none"/>
              </w:rPr>
            </w:pPr>
          </w:p>
        </w:tc>
        <w:tc>
          <w:tcPr>
            <w:tcW w:w="2976" w:type="dxa"/>
          </w:tcPr>
          <w:p w14:paraId="331D9581">
            <w:pPr>
              <w:rPr>
                <w:color w:val="auto"/>
                <w:highlight w:val="none"/>
              </w:rPr>
            </w:pPr>
          </w:p>
        </w:tc>
      </w:tr>
      <w:tr w14:paraId="1D95A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trPr>
        <w:tc>
          <w:tcPr>
            <w:tcW w:w="826" w:type="dxa"/>
          </w:tcPr>
          <w:p w14:paraId="14A1762E">
            <w:pPr>
              <w:pStyle w:val="86"/>
              <w:spacing w:before="167"/>
              <w:ind w:left="0" w:right="7"/>
              <w:jc w:val="center"/>
              <w:rPr>
                <w:color w:val="auto"/>
                <w:sz w:val="21"/>
                <w:highlight w:val="none"/>
              </w:rPr>
            </w:pPr>
            <w:r>
              <w:rPr>
                <w:color w:val="auto"/>
                <w:sz w:val="21"/>
                <w:highlight w:val="none"/>
              </w:rPr>
              <w:t>N</w:t>
            </w:r>
          </w:p>
        </w:tc>
        <w:tc>
          <w:tcPr>
            <w:tcW w:w="1363" w:type="dxa"/>
          </w:tcPr>
          <w:p w14:paraId="26D7AD24">
            <w:pPr>
              <w:rPr>
                <w:color w:val="auto"/>
                <w:highlight w:val="none"/>
              </w:rPr>
            </w:pPr>
          </w:p>
        </w:tc>
        <w:tc>
          <w:tcPr>
            <w:tcW w:w="1680" w:type="dxa"/>
            <w:tcBorders>
              <w:right w:val="single" w:color="auto" w:sz="4" w:space="0"/>
            </w:tcBorders>
          </w:tcPr>
          <w:p w14:paraId="7D17457E">
            <w:pPr>
              <w:rPr>
                <w:color w:val="auto"/>
                <w:highlight w:val="none"/>
              </w:rPr>
            </w:pPr>
          </w:p>
        </w:tc>
        <w:tc>
          <w:tcPr>
            <w:tcW w:w="2118" w:type="dxa"/>
            <w:tcBorders>
              <w:left w:val="single" w:color="auto" w:sz="4" w:space="0"/>
            </w:tcBorders>
          </w:tcPr>
          <w:p w14:paraId="5D91A74E">
            <w:pPr>
              <w:rPr>
                <w:color w:val="auto"/>
                <w:highlight w:val="none"/>
              </w:rPr>
            </w:pPr>
          </w:p>
        </w:tc>
        <w:tc>
          <w:tcPr>
            <w:tcW w:w="2976" w:type="dxa"/>
          </w:tcPr>
          <w:p w14:paraId="1CAF133B">
            <w:pPr>
              <w:rPr>
                <w:color w:val="auto"/>
                <w:highlight w:val="none"/>
              </w:rPr>
            </w:pPr>
          </w:p>
        </w:tc>
      </w:tr>
    </w:tbl>
    <w:p w14:paraId="341B8DAC">
      <w:pPr>
        <w:pStyle w:val="15"/>
        <w:spacing w:line="360" w:lineRule="exact"/>
        <w:rPr>
          <w:rFonts w:ascii="宋体" w:hAnsi="宋体"/>
          <w:color w:val="auto"/>
          <w:sz w:val="21"/>
          <w:szCs w:val="21"/>
          <w:highlight w:val="none"/>
        </w:rPr>
      </w:pPr>
      <w:r>
        <w:rPr>
          <w:rFonts w:hint="eastAsia" w:ascii="宋体" w:hAnsi="宋体"/>
          <w:color w:val="auto"/>
          <w:sz w:val="21"/>
          <w:szCs w:val="21"/>
          <w:highlight w:val="none"/>
        </w:rPr>
        <w:t>注：1、供应商应根据投标设备的性能指标、对照招标文件要求在“偏离情况”栏注明“正偏离”、“负偏离”或“无偏离”。</w:t>
      </w:r>
    </w:p>
    <w:p w14:paraId="08F6A016">
      <w:pPr>
        <w:pStyle w:val="15"/>
        <w:spacing w:line="360" w:lineRule="exact"/>
        <w:rPr>
          <w:rFonts w:ascii="宋体" w:hAnsi="宋体"/>
          <w:color w:val="auto"/>
          <w:sz w:val="21"/>
          <w:szCs w:val="21"/>
          <w:highlight w:val="none"/>
        </w:rPr>
      </w:pPr>
      <w:r>
        <w:rPr>
          <w:rFonts w:hint="eastAsia" w:ascii="宋体" w:hAnsi="宋体"/>
          <w:color w:val="auto"/>
          <w:sz w:val="21"/>
          <w:szCs w:val="21"/>
          <w:highlight w:val="none"/>
        </w:rPr>
        <w:t xml:space="preserve">   2、供应商</w:t>
      </w:r>
      <w:r>
        <w:rPr>
          <w:rFonts w:ascii="宋体" w:hAnsi="宋体"/>
          <w:color w:val="auto"/>
          <w:sz w:val="21"/>
          <w:szCs w:val="21"/>
          <w:highlight w:val="none"/>
        </w:rPr>
        <w:t>应将投标货物的性能指标中与</w:t>
      </w:r>
      <w:r>
        <w:rPr>
          <w:rFonts w:hint="eastAsia" w:ascii="宋体" w:hAnsi="宋体" w:cs="宋体"/>
          <w:color w:val="auto"/>
          <w:sz w:val="21"/>
          <w:highlight w:val="none"/>
        </w:rPr>
        <w:t>竞争性谈判文件</w:t>
      </w:r>
      <w:r>
        <w:rPr>
          <w:rFonts w:ascii="宋体" w:hAnsi="宋体"/>
          <w:color w:val="auto"/>
          <w:sz w:val="21"/>
          <w:szCs w:val="21"/>
          <w:highlight w:val="none"/>
        </w:rPr>
        <w:t>要求的性能指标有偏离的地方用明显标识，以便于评委评审，否则如给评审造成困难，其可能导致评委作出不利于</w:t>
      </w:r>
      <w:r>
        <w:rPr>
          <w:rFonts w:hint="eastAsia" w:ascii="宋体" w:hAnsi="宋体"/>
          <w:color w:val="auto"/>
          <w:sz w:val="21"/>
          <w:szCs w:val="21"/>
          <w:highlight w:val="none"/>
        </w:rPr>
        <w:t>供应商</w:t>
      </w:r>
      <w:r>
        <w:rPr>
          <w:rFonts w:ascii="宋体" w:hAnsi="宋体"/>
          <w:color w:val="auto"/>
          <w:sz w:val="21"/>
          <w:szCs w:val="21"/>
          <w:highlight w:val="none"/>
        </w:rPr>
        <w:t>的评价，是</w:t>
      </w:r>
      <w:r>
        <w:rPr>
          <w:rFonts w:hint="eastAsia" w:ascii="宋体" w:hAnsi="宋体"/>
          <w:color w:val="auto"/>
          <w:sz w:val="21"/>
          <w:szCs w:val="21"/>
          <w:highlight w:val="none"/>
        </w:rPr>
        <w:t>供应商</w:t>
      </w:r>
      <w:r>
        <w:rPr>
          <w:rFonts w:ascii="宋体" w:hAnsi="宋体"/>
          <w:color w:val="auto"/>
          <w:sz w:val="21"/>
          <w:szCs w:val="21"/>
          <w:highlight w:val="none"/>
        </w:rPr>
        <w:t>的责任。</w:t>
      </w:r>
    </w:p>
    <w:p w14:paraId="699D1D34">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45B5BDE0">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w:t>
      </w:r>
      <w:r>
        <w:rPr>
          <w:rFonts w:ascii="宋体" w:hAnsi="宋体"/>
          <w:color w:val="auto"/>
          <w:szCs w:val="21"/>
          <w:highlight w:val="non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hint="eastAsia" w:ascii="宋体" w:hAnsi="宋体"/>
          <w:color w:val="auto"/>
          <w:szCs w:val="21"/>
          <w:highlight w:val="none"/>
        </w:rPr>
        <w:t>日</w:t>
      </w:r>
    </w:p>
    <w:p w14:paraId="27B3CF31">
      <w:pPr>
        <w:snapToGrid w:val="0"/>
        <w:spacing w:beforeLines="50" w:after="50" w:line="360" w:lineRule="exact"/>
        <w:jc w:val="left"/>
        <w:rPr>
          <w:rFonts w:ascii="宋体" w:hAnsi="宋体"/>
          <w:b/>
          <w:color w:val="auto"/>
          <w:szCs w:val="21"/>
          <w:highlight w:val="none"/>
        </w:rPr>
      </w:pPr>
      <w:r>
        <w:rPr>
          <w:rFonts w:hint="eastAsia" w:ascii="宋体" w:hAnsi="宋体"/>
          <w:b/>
          <w:color w:val="auto"/>
          <w:szCs w:val="21"/>
          <w:highlight w:val="none"/>
        </w:rPr>
        <w:t>注：此表后附“第三章采购需求”中要求必须提供的资料，也可附供应商认为需要提供的投标货物相关资料。</w:t>
      </w:r>
    </w:p>
    <w:p w14:paraId="5694E90F">
      <w:pPr>
        <w:spacing w:line="500" w:lineRule="exact"/>
        <w:jc w:val="center"/>
        <w:rPr>
          <w:rFonts w:ascii="宋体" w:hAnsi="宋体" w:cs="仿宋_GB2312"/>
          <w:b/>
          <w:color w:val="auto"/>
          <w:sz w:val="32"/>
          <w:szCs w:val="32"/>
          <w:highlight w:val="none"/>
        </w:rPr>
      </w:pPr>
    </w:p>
    <w:p w14:paraId="19A60BEE">
      <w:pPr>
        <w:spacing w:line="320" w:lineRule="exact"/>
        <w:rPr>
          <w:rFonts w:ascii="宋体" w:hAnsi="宋体" w:cs="宋体"/>
          <w:b/>
          <w:color w:val="auto"/>
          <w:sz w:val="24"/>
          <w:highlight w:val="none"/>
        </w:rPr>
      </w:pPr>
    </w:p>
    <w:p w14:paraId="6F4A3119">
      <w:pPr>
        <w:spacing w:line="320" w:lineRule="exact"/>
        <w:rPr>
          <w:rFonts w:ascii="宋体" w:hAnsi="宋体" w:cs="宋体"/>
          <w:b/>
          <w:color w:val="auto"/>
          <w:sz w:val="24"/>
          <w:highlight w:val="none"/>
        </w:rPr>
      </w:pPr>
    </w:p>
    <w:p w14:paraId="3AC5D942">
      <w:pPr>
        <w:spacing w:line="320" w:lineRule="exact"/>
        <w:rPr>
          <w:rFonts w:ascii="宋体" w:hAnsi="宋体" w:cs="宋体"/>
          <w:b/>
          <w:color w:val="auto"/>
          <w:sz w:val="24"/>
          <w:highlight w:val="none"/>
        </w:rPr>
      </w:pPr>
    </w:p>
    <w:p w14:paraId="44C29CEB">
      <w:pPr>
        <w:spacing w:line="320" w:lineRule="exact"/>
        <w:rPr>
          <w:rFonts w:ascii="宋体" w:hAnsi="宋体" w:cs="宋体"/>
          <w:b/>
          <w:color w:val="auto"/>
          <w:sz w:val="24"/>
          <w:highlight w:val="none"/>
        </w:rPr>
      </w:pPr>
    </w:p>
    <w:p w14:paraId="4D00039B">
      <w:pPr>
        <w:spacing w:line="320" w:lineRule="exact"/>
        <w:rPr>
          <w:rFonts w:ascii="宋体" w:hAnsi="宋体" w:cs="宋体"/>
          <w:b/>
          <w:color w:val="auto"/>
          <w:sz w:val="24"/>
          <w:highlight w:val="none"/>
        </w:rPr>
      </w:pPr>
    </w:p>
    <w:p w14:paraId="03D7F2C0">
      <w:pPr>
        <w:spacing w:line="320" w:lineRule="exact"/>
        <w:rPr>
          <w:rFonts w:ascii="宋体" w:hAnsi="宋体" w:cs="宋体"/>
          <w:b/>
          <w:color w:val="auto"/>
          <w:sz w:val="24"/>
          <w:highlight w:val="none"/>
        </w:rPr>
      </w:pPr>
    </w:p>
    <w:p w14:paraId="4B14E081">
      <w:pPr>
        <w:spacing w:line="320" w:lineRule="exact"/>
        <w:rPr>
          <w:rFonts w:ascii="宋体" w:hAnsi="宋体" w:cs="宋体"/>
          <w:b/>
          <w:color w:val="auto"/>
          <w:sz w:val="24"/>
          <w:highlight w:val="none"/>
        </w:rPr>
      </w:pPr>
    </w:p>
    <w:p w14:paraId="5D8D42E4">
      <w:pPr>
        <w:spacing w:line="320" w:lineRule="exact"/>
        <w:rPr>
          <w:rFonts w:ascii="宋体" w:hAnsi="宋体" w:cs="宋体"/>
          <w:b/>
          <w:color w:val="auto"/>
          <w:sz w:val="24"/>
          <w:highlight w:val="none"/>
        </w:rPr>
      </w:pPr>
    </w:p>
    <w:p w14:paraId="503BD437">
      <w:pPr>
        <w:spacing w:line="320" w:lineRule="exact"/>
        <w:rPr>
          <w:rFonts w:ascii="宋体" w:hAnsi="宋体" w:cs="宋体"/>
          <w:b/>
          <w:color w:val="auto"/>
          <w:sz w:val="24"/>
          <w:highlight w:val="none"/>
        </w:rPr>
      </w:pPr>
    </w:p>
    <w:p w14:paraId="5EFD1309">
      <w:pPr>
        <w:spacing w:line="320" w:lineRule="exact"/>
        <w:rPr>
          <w:rFonts w:ascii="宋体" w:hAnsi="宋体" w:cs="宋体"/>
          <w:b/>
          <w:color w:val="auto"/>
          <w:sz w:val="24"/>
          <w:highlight w:val="none"/>
        </w:rPr>
      </w:pPr>
    </w:p>
    <w:p w14:paraId="53EBBF5E">
      <w:pPr>
        <w:spacing w:line="320" w:lineRule="exact"/>
        <w:rPr>
          <w:rFonts w:ascii="宋体" w:hAnsi="宋体" w:cs="宋体"/>
          <w:b/>
          <w:color w:val="auto"/>
          <w:sz w:val="24"/>
          <w:highlight w:val="none"/>
        </w:rPr>
      </w:pPr>
    </w:p>
    <w:p w14:paraId="6B2C2CF5">
      <w:pPr>
        <w:spacing w:line="320" w:lineRule="exact"/>
        <w:rPr>
          <w:rFonts w:ascii="宋体" w:hAnsi="宋体" w:cs="宋体"/>
          <w:b/>
          <w:color w:val="auto"/>
          <w:sz w:val="24"/>
          <w:highlight w:val="none"/>
        </w:rPr>
      </w:pPr>
    </w:p>
    <w:p w14:paraId="0C30B5E6">
      <w:pPr>
        <w:spacing w:line="320" w:lineRule="exact"/>
        <w:rPr>
          <w:rFonts w:ascii="宋体" w:hAnsi="宋体" w:cs="宋体"/>
          <w:b/>
          <w:color w:val="auto"/>
          <w:sz w:val="24"/>
          <w:highlight w:val="none"/>
        </w:rPr>
      </w:pPr>
    </w:p>
    <w:p w14:paraId="10F50D40">
      <w:pPr>
        <w:spacing w:line="320" w:lineRule="exact"/>
        <w:rPr>
          <w:rFonts w:ascii="宋体" w:hAnsi="宋体" w:cs="宋体"/>
          <w:b/>
          <w:color w:val="auto"/>
          <w:sz w:val="24"/>
          <w:highlight w:val="none"/>
        </w:rPr>
      </w:pPr>
    </w:p>
    <w:p w14:paraId="4A4B726E">
      <w:pPr>
        <w:spacing w:line="320" w:lineRule="exact"/>
        <w:rPr>
          <w:rFonts w:ascii="宋体" w:hAnsi="宋体" w:cs="宋体"/>
          <w:b/>
          <w:color w:val="auto"/>
          <w:sz w:val="24"/>
          <w:highlight w:val="none"/>
        </w:rPr>
      </w:pPr>
    </w:p>
    <w:p w14:paraId="4C7A8055">
      <w:pPr>
        <w:spacing w:line="320" w:lineRule="exact"/>
        <w:rPr>
          <w:rFonts w:ascii="宋体" w:hAnsi="宋体" w:cs="宋体"/>
          <w:b/>
          <w:color w:val="auto"/>
          <w:sz w:val="24"/>
          <w:highlight w:val="none"/>
        </w:rPr>
      </w:pPr>
    </w:p>
    <w:p w14:paraId="7AA7A11F">
      <w:pPr>
        <w:spacing w:line="320" w:lineRule="exact"/>
        <w:rPr>
          <w:rFonts w:ascii="宋体" w:hAnsi="宋体" w:cs="宋体"/>
          <w:b/>
          <w:color w:val="auto"/>
          <w:sz w:val="24"/>
          <w:highlight w:val="none"/>
        </w:rPr>
      </w:pPr>
    </w:p>
    <w:p w14:paraId="60398636">
      <w:pPr>
        <w:spacing w:line="320" w:lineRule="exact"/>
        <w:rPr>
          <w:rFonts w:ascii="宋体" w:hAnsi="宋体" w:cs="宋体"/>
          <w:b/>
          <w:color w:val="auto"/>
          <w:sz w:val="24"/>
          <w:highlight w:val="none"/>
        </w:rPr>
      </w:pPr>
    </w:p>
    <w:p w14:paraId="73C4DC73">
      <w:pPr>
        <w:spacing w:line="320" w:lineRule="exact"/>
        <w:rPr>
          <w:rFonts w:ascii="宋体" w:hAnsi="宋体" w:cs="宋体"/>
          <w:b/>
          <w:color w:val="auto"/>
          <w:sz w:val="24"/>
          <w:highlight w:val="none"/>
        </w:rPr>
      </w:pPr>
    </w:p>
    <w:p w14:paraId="08437D1D">
      <w:pPr>
        <w:snapToGrid w:val="0"/>
        <w:spacing w:before="50" w:after="50" w:line="360" w:lineRule="exact"/>
        <w:rPr>
          <w:rFonts w:hAnsi="宋体" w:cs="宋体"/>
          <w:b/>
          <w:color w:val="auto"/>
          <w:highlight w:val="none"/>
        </w:rPr>
      </w:pPr>
      <w:r>
        <w:rPr>
          <w:rFonts w:hint="eastAsia" w:hAnsi="宋体" w:cs="宋体"/>
          <w:b/>
          <w:color w:val="auto"/>
          <w:highlight w:val="none"/>
          <w:lang w:eastAsia="zh-CN"/>
        </w:rPr>
        <w:t>五</w:t>
      </w:r>
      <w:r>
        <w:rPr>
          <w:rFonts w:hint="eastAsia" w:hAnsi="宋体" w:cs="宋体"/>
          <w:b/>
          <w:color w:val="auto"/>
          <w:highlight w:val="none"/>
        </w:rPr>
        <w:t>、售后服务方案及承诺书格式：</w:t>
      </w:r>
    </w:p>
    <w:p w14:paraId="67A0C5A9">
      <w:pPr>
        <w:snapToGrid w:val="0"/>
        <w:spacing w:before="50" w:after="50" w:line="360" w:lineRule="exact"/>
        <w:jc w:val="center"/>
        <w:rPr>
          <w:rFonts w:ascii="宋体" w:hAnsi="宋体"/>
          <w:color w:val="auto"/>
          <w:sz w:val="30"/>
          <w:szCs w:val="30"/>
          <w:highlight w:val="none"/>
        </w:rPr>
      </w:pPr>
      <w:r>
        <w:rPr>
          <w:rFonts w:hint="eastAsia" w:ascii="宋体" w:hAnsi="宋体"/>
          <w:color w:val="auto"/>
          <w:sz w:val="30"/>
          <w:szCs w:val="30"/>
          <w:highlight w:val="none"/>
        </w:rPr>
        <w:t>售后服务方案及承诺书</w:t>
      </w:r>
    </w:p>
    <w:p w14:paraId="035DA471">
      <w:pPr>
        <w:pStyle w:val="20"/>
        <w:spacing w:line="440" w:lineRule="exact"/>
        <w:rPr>
          <w:rFonts w:hAnsi="宋体" w:cs="宋体"/>
          <w:color w:val="auto"/>
          <w:sz w:val="21"/>
          <w:highlight w:val="none"/>
        </w:rPr>
      </w:pPr>
      <w:r>
        <w:rPr>
          <w:rFonts w:hint="eastAsia" w:hAnsi="宋体" w:cs="宋体"/>
          <w:color w:val="auto"/>
          <w:sz w:val="21"/>
          <w:highlight w:val="none"/>
        </w:rPr>
        <w:t xml:space="preserve">第1条 </w:t>
      </w:r>
      <w:r>
        <w:rPr>
          <w:rFonts w:hint="eastAsia" w:hAnsi="宋体" w:cs="宋体"/>
          <w:b/>
          <w:color w:val="auto"/>
          <w:sz w:val="21"/>
          <w:highlight w:val="none"/>
        </w:rPr>
        <w:t>对合同条款、付款方式全部予以响应。</w:t>
      </w:r>
    </w:p>
    <w:p w14:paraId="20833208">
      <w:pPr>
        <w:pStyle w:val="20"/>
        <w:jc w:val="left"/>
        <w:rPr>
          <w:rFonts w:hAnsi="宋体" w:cs="宋体"/>
          <w:color w:val="auto"/>
          <w:sz w:val="21"/>
          <w:highlight w:val="none"/>
        </w:rPr>
      </w:pPr>
      <w:r>
        <w:rPr>
          <w:rFonts w:hint="eastAsia" w:hAnsi="宋体"/>
          <w:color w:val="auto"/>
          <w:szCs w:val="21"/>
          <w:highlight w:val="none"/>
        </w:rPr>
        <w:t>第2条</w:t>
      </w:r>
      <w:r>
        <w:rPr>
          <w:rFonts w:hint="eastAsia" w:hAnsi="宋体"/>
          <w:b/>
          <w:color w:val="auto"/>
          <w:szCs w:val="21"/>
          <w:highlight w:val="none"/>
        </w:rPr>
        <w:t xml:space="preserve"> </w:t>
      </w:r>
      <w:r>
        <w:rPr>
          <w:rFonts w:hint="eastAsia" w:hAnsi="宋体"/>
          <w:color w:val="auto"/>
          <w:szCs w:val="21"/>
          <w:highlight w:val="none"/>
        </w:rPr>
        <w:t>（由供应商按第三章《采购需求》要求自行填写，所作的承诺作为构成合同不可分割的部分，必须真实、诚信，如提供虚假承诺或在中标、成交后不按其承诺履行的，将依法追究违约责任，并按《中华人民共和国政府采购法》规定予以处罚。）</w:t>
      </w:r>
    </w:p>
    <w:p w14:paraId="6B029443">
      <w:pPr>
        <w:pStyle w:val="20"/>
        <w:rPr>
          <w:rFonts w:hAnsi="宋体"/>
          <w:color w:val="auto"/>
          <w:szCs w:val="21"/>
          <w:highlight w:val="none"/>
        </w:rPr>
      </w:pPr>
      <w:r>
        <w:rPr>
          <w:rFonts w:hint="eastAsia" w:hAnsi="宋体"/>
          <w:color w:val="auto"/>
          <w:szCs w:val="21"/>
          <w:highlight w:val="none"/>
        </w:rPr>
        <w:t xml:space="preserve">第3条  </w:t>
      </w:r>
    </w:p>
    <w:p w14:paraId="72B827FF">
      <w:pPr>
        <w:pStyle w:val="20"/>
        <w:ind w:firstLine="480" w:firstLineChars="200"/>
        <w:jc w:val="left"/>
        <w:rPr>
          <w:rFonts w:hAnsi="宋体"/>
          <w:color w:val="auto"/>
          <w:sz w:val="24"/>
          <w:szCs w:val="24"/>
          <w:highlight w:val="none"/>
        </w:rPr>
      </w:pPr>
    </w:p>
    <w:p w14:paraId="2769CCA8">
      <w:pPr>
        <w:pStyle w:val="20"/>
        <w:ind w:firstLine="480" w:firstLineChars="200"/>
        <w:rPr>
          <w:rFonts w:hAnsi="宋体" w:cs="宋体"/>
          <w:color w:val="auto"/>
          <w:sz w:val="24"/>
          <w:szCs w:val="24"/>
          <w:highlight w:val="none"/>
        </w:rPr>
      </w:pPr>
    </w:p>
    <w:p w14:paraId="30D3917F">
      <w:pPr>
        <w:pStyle w:val="20"/>
        <w:ind w:firstLine="480" w:firstLineChars="200"/>
        <w:rPr>
          <w:rFonts w:hAnsi="宋体" w:cs="宋体"/>
          <w:color w:val="auto"/>
          <w:sz w:val="24"/>
          <w:szCs w:val="24"/>
          <w:highlight w:val="none"/>
        </w:rPr>
      </w:pPr>
    </w:p>
    <w:p w14:paraId="6BF29403">
      <w:pPr>
        <w:pStyle w:val="20"/>
        <w:ind w:firstLine="480" w:firstLineChars="200"/>
        <w:rPr>
          <w:rFonts w:hAnsi="宋体" w:cs="宋体"/>
          <w:color w:val="auto"/>
          <w:sz w:val="24"/>
          <w:szCs w:val="24"/>
          <w:highlight w:val="none"/>
        </w:rPr>
      </w:pPr>
    </w:p>
    <w:p w14:paraId="3069181C">
      <w:pPr>
        <w:pStyle w:val="20"/>
        <w:ind w:firstLine="480" w:firstLineChars="200"/>
        <w:rPr>
          <w:rFonts w:hAnsi="宋体" w:cs="宋体"/>
          <w:color w:val="auto"/>
          <w:sz w:val="24"/>
          <w:szCs w:val="24"/>
          <w:highlight w:val="none"/>
        </w:rPr>
      </w:pPr>
    </w:p>
    <w:p w14:paraId="327E3FB1">
      <w:pPr>
        <w:pStyle w:val="20"/>
        <w:ind w:firstLine="480" w:firstLineChars="200"/>
        <w:rPr>
          <w:rFonts w:hAnsi="宋体" w:cs="宋体"/>
          <w:color w:val="auto"/>
          <w:sz w:val="24"/>
          <w:szCs w:val="24"/>
          <w:highlight w:val="none"/>
        </w:rPr>
      </w:pPr>
    </w:p>
    <w:p w14:paraId="3518BB53">
      <w:pPr>
        <w:pStyle w:val="20"/>
        <w:ind w:firstLine="480" w:firstLineChars="200"/>
        <w:rPr>
          <w:rFonts w:hAnsi="宋体" w:cs="宋体"/>
          <w:color w:val="auto"/>
          <w:sz w:val="24"/>
          <w:szCs w:val="24"/>
          <w:highlight w:val="none"/>
        </w:rPr>
      </w:pPr>
    </w:p>
    <w:p w14:paraId="14618526">
      <w:pPr>
        <w:pStyle w:val="20"/>
        <w:ind w:firstLine="480" w:firstLineChars="200"/>
        <w:jc w:val="right"/>
        <w:rPr>
          <w:rFonts w:hAnsi="宋体" w:cs="宋体"/>
          <w:color w:val="auto"/>
          <w:sz w:val="24"/>
          <w:szCs w:val="24"/>
          <w:highlight w:val="none"/>
        </w:rPr>
      </w:pPr>
    </w:p>
    <w:p w14:paraId="77D6CEDE">
      <w:pPr>
        <w:spacing w:line="360" w:lineRule="exact"/>
        <w:ind w:firstLine="480" w:firstLineChars="200"/>
        <w:jc w:val="right"/>
        <w:rPr>
          <w:rFonts w:ascii="宋体" w:hAnsi="宋体"/>
          <w:color w:val="auto"/>
          <w:sz w:val="24"/>
          <w:highlight w:val="none"/>
        </w:rPr>
      </w:pPr>
      <w:r>
        <w:rPr>
          <w:rFonts w:hint="eastAsia" w:ascii="宋体" w:hAnsi="宋体"/>
          <w:color w:val="auto"/>
          <w:sz w:val="24"/>
          <w:highlight w:val="none"/>
        </w:rPr>
        <w:t>供应商名称(电子签章)：</w:t>
      </w:r>
    </w:p>
    <w:p w14:paraId="56428CB0">
      <w:pPr>
        <w:spacing w:line="360" w:lineRule="exact"/>
        <w:ind w:firstLine="480" w:firstLineChars="200"/>
        <w:jc w:val="right"/>
        <w:rPr>
          <w:rFonts w:ascii="宋体" w:hAnsi="宋体"/>
          <w:color w:val="auto"/>
          <w:sz w:val="24"/>
          <w:highlight w:val="none"/>
        </w:rPr>
      </w:pPr>
      <w:r>
        <w:rPr>
          <w:rFonts w:hint="eastAsia" w:ascii="宋体" w:hAnsi="宋体"/>
          <w:color w:val="auto"/>
          <w:sz w:val="24"/>
          <w:highlight w:val="none"/>
        </w:rPr>
        <w:t>日期： 年 月 日</w:t>
      </w:r>
    </w:p>
    <w:p w14:paraId="3C36321C">
      <w:pPr>
        <w:snapToGrid w:val="0"/>
        <w:spacing w:before="50"/>
        <w:jc w:val="right"/>
        <w:rPr>
          <w:rFonts w:ascii="宋体" w:hAnsi="宋体" w:cs="宋体"/>
          <w:color w:val="auto"/>
          <w:szCs w:val="21"/>
          <w:highlight w:val="none"/>
          <w:u w:val="single"/>
        </w:rPr>
      </w:pPr>
    </w:p>
    <w:p w14:paraId="743D68B6">
      <w:pPr>
        <w:spacing w:line="320" w:lineRule="exact"/>
        <w:rPr>
          <w:rFonts w:ascii="宋体" w:hAnsi="宋体"/>
          <w:color w:val="auto"/>
          <w:szCs w:val="21"/>
          <w:highlight w:val="none"/>
        </w:rPr>
      </w:pPr>
    </w:p>
    <w:p w14:paraId="6BFF50D7">
      <w:pPr>
        <w:spacing w:line="320" w:lineRule="exact"/>
        <w:rPr>
          <w:rFonts w:ascii="宋体" w:hAnsi="宋体"/>
          <w:color w:val="auto"/>
          <w:szCs w:val="21"/>
          <w:highlight w:val="none"/>
        </w:rPr>
      </w:pPr>
    </w:p>
    <w:p w14:paraId="438BEC6D">
      <w:pPr>
        <w:spacing w:line="320" w:lineRule="exact"/>
        <w:rPr>
          <w:rFonts w:ascii="宋体" w:hAnsi="宋体"/>
          <w:color w:val="auto"/>
          <w:szCs w:val="21"/>
          <w:highlight w:val="none"/>
        </w:rPr>
      </w:pPr>
    </w:p>
    <w:p w14:paraId="2BFEF80F">
      <w:pPr>
        <w:spacing w:line="320" w:lineRule="exact"/>
        <w:rPr>
          <w:rFonts w:ascii="宋体" w:hAnsi="宋体"/>
          <w:color w:val="auto"/>
          <w:szCs w:val="21"/>
          <w:highlight w:val="none"/>
        </w:rPr>
      </w:pPr>
    </w:p>
    <w:p w14:paraId="7452FFEE">
      <w:pPr>
        <w:spacing w:line="320" w:lineRule="exact"/>
        <w:rPr>
          <w:rFonts w:ascii="宋体" w:hAnsi="宋体"/>
          <w:color w:val="auto"/>
          <w:szCs w:val="21"/>
          <w:highlight w:val="none"/>
        </w:rPr>
      </w:pPr>
    </w:p>
    <w:p w14:paraId="669D433F">
      <w:pPr>
        <w:spacing w:line="320" w:lineRule="exact"/>
        <w:rPr>
          <w:rFonts w:ascii="宋体" w:hAnsi="宋体"/>
          <w:color w:val="auto"/>
          <w:szCs w:val="21"/>
          <w:highlight w:val="none"/>
        </w:rPr>
      </w:pPr>
    </w:p>
    <w:p w14:paraId="2FFBD8A0">
      <w:pPr>
        <w:spacing w:line="320" w:lineRule="exact"/>
        <w:rPr>
          <w:rFonts w:ascii="宋体" w:hAnsi="宋体"/>
          <w:color w:val="auto"/>
          <w:szCs w:val="21"/>
          <w:highlight w:val="none"/>
        </w:rPr>
      </w:pPr>
    </w:p>
    <w:p w14:paraId="5D047E2F">
      <w:pPr>
        <w:spacing w:line="320" w:lineRule="exact"/>
        <w:rPr>
          <w:rFonts w:ascii="宋体" w:hAnsi="宋体"/>
          <w:color w:val="auto"/>
          <w:szCs w:val="21"/>
          <w:highlight w:val="none"/>
        </w:rPr>
      </w:pPr>
    </w:p>
    <w:p w14:paraId="1DB5983A">
      <w:pPr>
        <w:spacing w:line="320" w:lineRule="exact"/>
        <w:rPr>
          <w:rFonts w:ascii="宋体" w:hAnsi="宋体"/>
          <w:color w:val="auto"/>
          <w:szCs w:val="21"/>
          <w:highlight w:val="none"/>
        </w:rPr>
      </w:pPr>
    </w:p>
    <w:p w14:paraId="1BF3637B">
      <w:pPr>
        <w:spacing w:line="320" w:lineRule="exact"/>
        <w:rPr>
          <w:rFonts w:ascii="宋体" w:hAnsi="宋体"/>
          <w:color w:val="auto"/>
          <w:szCs w:val="21"/>
          <w:highlight w:val="none"/>
        </w:rPr>
      </w:pPr>
    </w:p>
    <w:p w14:paraId="1F00880D">
      <w:pPr>
        <w:spacing w:line="320" w:lineRule="exact"/>
        <w:rPr>
          <w:rFonts w:ascii="宋体" w:hAnsi="宋体"/>
          <w:color w:val="auto"/>
          <w:szCs w:val="21"/>
          <w:highlight w:val="none"/>
        </w:rPr>
      </w:pPr>
    </w:p>
    <w:p w14:paraId="04D9203A">
      <w:pPr>
        <w:spacing w:line="320" w:lineRule="exact"/>
        <w:rPr>
          <w:rFonts w:ascii="宋体" w:hAnsi="宋体"/>
          <w:color w:val="auto"/>
          <w:szCs w:val="21"/>
          <w:highlight w:val="none"/>
        </w:rPr>
      </w:pPr>
    </w:p>
    <w:p w14:paraId="23B4CE96">
      <w:pPr>
        <w:spacing w:line="320" w:lineRule="exact"/>
        <w:rPr>
          <w:rFonts w:ascii="宋体" w:hAnsi="宋体"/>
          <w:color w:val="auto"/>
          <w:szCs w:val="21"/>
          <w:highlight w:val="none"/>
        </w:rPr>
      </w:pPr>
    </w:p>
    <w:p w14:paraId="53D73F6A">
      <w:pPr>
        <w:spacing w:line="320" w:lineRule="exact"/>
        <w:rPr>
          <w:rFonts w:ascii="宋体" w:hAnsi="宋体"/>
          <w:color w:val="auto"/>
          <w:szCs w:val="21"/>
          <w:highlight w:val="none"/>
        </w:rPr>
      </w:pPr>
    </w:p>
    <w:p w14:paraId="73AD1632">
      <w:pPr>
        <w:spacing w:line="320" w:lineRule="exact"/>
        <w:rPr>
          <w:rFonts w:ascii="宋体" w:hAnsi="宋体"/>
          <w:color w:val="auto"/>
          <w:szCs w:val="21"/>
          <w:highlight w:val="none"/>
        </w:rPr>
      </w:pPr>
    </w:p>
    <w:p w14:paraId="0ABAFA14">
      <w:pPr>
        <w:pStyle w:val="27"/>
        <w:rPr>
          <w:rFonts w:ascii="宋体" w:hAnsi="宋体"/>
          <w:color w:val="auto"/>
          <w:szCs w:val="21"/>
          <w:highlight w:val="none"/>
        </w:rPr>
      </w:pPr>
    </w:p>
    <w:p w14:paraId="2BAE5787">
      <w:pPr>
        <w:rPr>
          <w:rFonts w:ascii="宋体" w:hAnsi="宋体"/>
          <w:color w:val="auto"/>
          <w:szCs w:val="21"/>
          <w:highlight w:val="none"/>
        </w:rPr>
      </w:pPr>
    </w:p>
    <w:p w14:paraId="2F93D47E">
      <w:pPr>
        <w:pStyle w:val="27"/>
        <w:rPr>
          <w:rFonts w:ascii="宋体" w:hAnsi="宋体"/>
          <w:color w:val="auto"/>
          <w:szCs w:val="21"/>
          <w:highlight w:val="none"/>
        </w:rPr>
      </w:pPr>
    </w:p>
    <w:p w14:paraId="45EB5EF7">
      <w:pPr>
        <w:rPr>
          <w:rFonts w:ascii="宋体" w:hAnsi="宋体"/>
          <w:color w:val="auto"/>
          <w:szCs w:val="21"/>
          <w:highlight w:val="none"/>
        </w:rPr>
      </w:pPr>
    </w:p>
    <w:p w14:paraId="291EE4EE">
      <w:pPr>
        <w:pStyle w:val="27"/>
        <w:rPr>
          <w:rFonts w:ascii="宋体" w:hAnsi="宋体"/>
          <w:color w:val="auto"/>
          <w:szCs w:val="21"/>
          <w:highlight w:val="none"/>
        </w:rPr>
      </w:pPr>
    </w:p>
    <w:p w14:paraId="66CEAA84">
      <w:pPr>
        <w:rPr>
          <w:rFonts w:ascii="宋体" w:hAnsi="宋体"/>
          <w:color w:val="auto"/>
          <w:szCs w:val="21"/>
          <w:highlight w:val="none"/>
        </w:rPr>
      </w:pPr>
    </w:p>
    <w:p w14:paraId="62013E56">
      <w:pPr>
        <w:pStyle w:val="27"/>
        <w:rPr>
          <w:rFonts w:ascii="宋体" w:hAnsi="宋体"/>
          <w:color w:val="auto"/>
          <w:szCs w:val="21"/>
          <w:highlight w:val="none"/>
        </w:rPr>
      </w:pPr>
    </w:p>
    <w:p w14:paraId="055E0E72">
      <w:pPr>
        <w:rPr>
          <w:color w:val="auto"/>
          <w:highlight w:val="none"/>
        </w:rPr>
      </w:pPr>
    </w:p>
    <w:p w14:paraId="37C0D818">
      <w:pPr>
        <w:spacing w:line="320" w:lineRule="exact"/>
        <w:rPr>
          <w:rFonts w:ascii="宋体" w:hAnsi="宋体"/>
          <w:color w:val="auto"/>
          <w:szCs w:val="21"/>
          <w:highlight w:val="none"/>
        </w:rPr>
      </w:pPr>
    </w:p>
    <w:p w14:paraId="41F2C57A">
      <w:pPr>
        <w:snapToGrid w:val="0"/>
        <w:spacing w:before="50" w:line="360" w:lineRule="exact"/>
        <w:jc w:val="left"/>
        <w:rPr>
          <w:rFonts w:ascii="宋体" w:hAnsi="宋体"/>
          <w:b/>
          <w:color w:val="auto"/>
          <w:sz w:val="24"/>
          <w:highlight w:val="none"/>
        </w:rPr>
      </w:pPr>
      <w:r>
        <w:rPr>
          <w:rFonts w:hint="eastAsia" w:ascii="宋体" w:hAnsi="宋体"/>
          <w:b/>
          <w:color w:val="auto"/>
          <w:sz w:val="24"/>
          <w:highlight w:val="none"/>
          <w:lang w:eastAsia="zh-CN"/>
        </w:rPr>
        <w:t>六</w:t>
      </w:r>
      <w:r>
        <w:rPr>
          <w:rFonts w:hint="eastAsia" w:ascii="宋体" w:hAnsi="宋体"/>
          <w:b/>
          <w:color w:val="auto"/>
          <w:sz w:val="24"/>
          <w:highlight w:val="none"/>
        </w:rPr>
        <w:t>、 代理服务费承诺书格式</w:t>
      </w:r>
    </w:p>
    <w:p w14:paraId="42890E7F">
      <w:pPr>
        <w:snapToGrid w:val="0"/>
        <w:spacing w:beforeLines="50" w:after="50" w:line="360" w:lineRule="exact"/>
        <w:jc w:val="center"/>
        <w:rPr>
          <w:rFonts w:ascii="宋体" w:hAnsi="宋体"/>
          <w:color w:val="auto"/>
          <w:szCs w:val="21"/>
          <w:highlight w:val="none"/>
        </w:rPr>
      </w:pPr>
      <w:r>
        <w:rPr>
          <w:rFonts w:hint="eastAsia" w:ascii="宋体" w:hAnsi="宋体"/>
          <w:b/>
          <w:color w:val="auto"/>
          <w:sz w:val="24"/>
          <w:highlight w:val="none"/>
        </w:rPr>
        <w:t>代理服务费承诺书</w:t>
      </w:r>
    </w:p>
    <w:p w14:paraId="2C3AF6AE">
      <w:pPr>
        <w:snapToGrid w:val="0"/>
        <w:spacing w:beforeLines="50" w:after="50" w:line="360" w:lineRule="exact"/>
        <w:rPr>
          <w:rFonts w:ascii="宋体" w:hAnsi="宋体"/>
          <w:color w:val="auto"/>
          <w:szCs w:val="21"/>
          <w:highlight w:val="none"/>
        </w:rPr>
      </w:pPr>
      <w:r>
        <w:rPr>
          <w:rFonts w:hint="eastAsia" w:ascii="宋体" w:hAnsi="宋体"/>
          <w:color w:val="auto"/>
          <w:szCs w:val="21"/>
          <w:highlight w:val="none"/>
        </w:rPr>
        <w:t>致：广西德元工程项目管理有限责任公司</w:t>
      </w:r>
    </w:p>
    <w:p w14:paraId="350AF16B">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我单位参加了贵方组织的采购项目编号为（</w:t>
      </w:r>
      <w:r>
        <w:rPr>
          <w:rFonts w:hint="eastAsia" w:ascii="宋体" w:hAnsi="宋体"/>
          <w:color w:val="auto"/>
          <w:szCs w:val="21"/>
          <w:highlight w:val="none"/>
          <w:u w:val="single"/>
        </w:rPr>
        <w:t xml:space="preserve">                        </w:t>
      </w:r>
      <w:r>
        <w:rPr>
          <w:rFonts w:hint="eastAsia" w:ascii="宋体" w:hAnsi="宋体"/>
          <w:color w:val="auto"/>
          <w:szCs w:val="21"/>
          <w:highlight w:val="none"/>
        </w:rPr>
        <w:t>）的谈判，并递交了</w:t>
      </w:r>
      <w:r>
        <w:rPr>
          <w:rFonts w:hint="eastAsia" w:ascii="宋体" w:hAnsi="宋体" w:cs="宋体"/>
          <w:color w:val="auto"/>
          <w:szCs w:val="21"/>
          <w:highlight w:val="none"/>
        </w:rPr>
        <w:t>竞标</w:t>
      </w:r>
      <w:r>
        <w:rPr>
          <w:rFonts w:hint="eastAsia" w:ascii="宋体" w:hAnsi="宋体"/>
          <w:color w:val="auto"/>
          <w:szCs w:val="21"/>
          <w:highlight w:val="none"/>
        </w:rPr>
        <w:t>保证金（¥</w:t>
      </w:r>
      <w:r>
        <w:rPr>
          <w:rFonts w:hint="eastAsia" w:ascii="宋体" w:hAnsi="宋体"/>
          <w:color w:val="auto"/>
          <w:szCs w:val="21"/>
          <w:highlight w:val="none"/>
          <w:u w:val="single"/>
        </w:rPr>
        <w:t xml:space="preserve">           </w:t>
      </w:r>
      <w:r>
        <w:rPr>
          <w:rFonts w:hint="eastAsia" w:ascii="宋体" w:hAnsi="宋体"/>
          <w:color w:val="auto"/>
          <w:szCs w:val="21"/>
          <w:highlight w:val="none"/>
        </w:rPr>
        <w:t>），在此我方说明如下：</w:t>
      </w:r>
    </w:p>
    <w:p w14:paraId="14CBF0A2">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1．我方承诺，若我单位中标，保证在领取成交通知书之前，按本项目谈判文件的规定标准向贵单位支付代理服务费。如我单位未按规定缴纳代理服务费，贵方可不退还我单位提交的</w:t>
      </w:r>
      <w:r>
        <w:rPr>
          <w:rFonts w:hint="eastAsia" w:ascii="宋体" w:hAnsi="宋体" w:cs="宋体"/>
          <w:color w:val="auto"/>
          <w:szCs w:val="21"/>
          <w:highlight w:val="none"/>
        </w:rPr>
        <w:t>竞标</w:t>
      </w:r>
      <w:r>
        <w:rPr>
          <w:rFonts w:hint="eastAsia" w:ascii="宋体" w:hAnsi="宋体"/>
          <w:color w:val="auto"/>
          <w:szCs w:val="21"/>
          <w:highlight w:val="none"/>
        </w:rPr>
        <w:t>保证金，并从中扣除代理服务费，余款按下列账户退回。</w:t>
      </w:r>
    </w:p>
    <w:p w14:paraId="02E88C4A">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我公司选择第</w:t>
      </w:r>
      <w:r>
        <w:rPr>
          <w:rFonts w:hint="eastAsia" w:ascii="宋体" w:hAnsi="宋体"/>
          <w:color w:val="auto"/>
          <w:szCs w:val="21"/>
          <w:highlight w:val="none"/>
          <w:u w:val="single"/>
        </w:rPr>
        <w:t xml:space="preserve">    </w:t>
      </w:r>
      <w:r>
        <w:rPr>
          <w:rFonts w:hint="eastAsia" w:ascii="宋体" w:hAnsi="宋体"/>
          <w:color w:val="auto"/>
          <w:szCs w:val="21"/>
          <w:highlight w:val="none"/>
        </w:rPr>
        <w:t>种方式缴纳代理服务费。</w:t>
      </w:r>
    </w:p>
    <w:p w14:paraId="66BAD9B2">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第一种方式：一次性足额缴纳代理服务费。</w:t>
      </w:r>
    </w:p>
    <w:p w14:paraId="5EC9F2C1">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第二种方式：从响应保证金中抵扣代理服务费，不足部分补交。</w:t>
      </w:r>
    </w:p>
    <w:p w14:paraId="66580CFA">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2.如我单位</w:t>
      </w:r>
      <w:r>
        <w:rPr>
          <w:rFonts w:hint="eastAsia" w:ascii="宋体" w:hAnsi="宋体" w:cs="宋体"/>
          <w:color w:val="auto"/>
          <w:szCs w:val="21"/>
          <w:highlight w:val="none"/>
        </w:rPr>
        <w:t>竞标</w:t>
      </w:r>
      <w:r>
        <w:rPr>
          <w:rFonts w:hint="eastAsia" w:ascii="宋体" w:hAnsi="宋体"/>
          <w:color w:val="auto"/>
          <w:szCs w:val="21"/>
          <w:highlight w:val="none"/>
        </w:rPr>
        <w:t>保证金无法原路返回，请按下表账户信息无息退还。</w:t>
      </w:r>
    </w:p>
    <w:tbl>
      <w:tblPr>
        <w:tblStyle w:val="37"/>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93"/>
        <w:gridCol w:w="4814"/>
      </w:tblGrid>
      <w:tr w14:paraId="18E53B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D5E3CEF">
            <w:pPr>
              <w:snapToGrid w:val="0"/>
              <w:spacing w:before="50" w:afterLines="50" w:line="360" w:lineRule="exact"/>
              <w:jc w:val="center"/>
              <w:rPr>
                <w:rFonts w:ascii="宋体" w:hAnsi="宋体"/>
                <w:color w:val="auto"/>
                <w:szCs w:val="21"/>
                <w:highlight w:val="none"/>
              </w:rPr>
            </w:pPr>
            <w:r>
              <w:rPr>
                <w:rFonts w:hint="eastAsia" w:ascii="宋体" w:hAnsi="宋体"/>
                <w:color w:val="auto"/>
                <w:szCs w:val="21"/>
                <w:highlight w:val="none"/>
              </w:rPr>
              <w:t>收款户名</w:t>
            </w:r>
          </w:p>
        </w:tc>
        <w:tc>
          <w:tcPr>
            <w:tcW w:w="4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EE54013">
            <w:pPr>
              <w:snapToGrid w:val="0"/>
              <w:spacing w:before="50" w:afterLines="50" w:line="360" w:lineRule="exact"/>
              <w:jc w:val="left"/>
              <w:rPr>
                <w:rFonts w:ascii="宋体" w:hAnsi="宋体"/>
                <w:b/>
                <w:color w:val="auto"/>
                <w:szCs w:val="21"/>
                <w:highlight w:val="none"/>
              </w:rPr>
            </w:pPr>
          </w:p>
        </w:tc>
      </w:tr>
      <w:tr w14:paraId="196378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D9C9CF">
            <w:pPr>
              <w:snapToGrid w:val="0"/>
              <w:spacing w:before="50" w:afterLines="50" w:line="360" w:lineRule="exact"/>
              <w:jc w:val="center"/>
              <w:rPr>
                <w:rFonts w:ascii="宋体" w:hAnsi="宋体"/>
                <w:color w:val="auto"/>
                <w:szCs w:val="21"/>
                <w:highlight w:val="none"/>
              </w:rPr>
            </w:pPr>
            <w:r>
              <w:rPr>
                <w:rFonts w:hint="eastAsia" w:ascii="宋体" w:hAnsi="宋体"/>
                <w:color w:val="auto"/>
                <w:szCs w:val="21"/>
                <w:highlight w:val="none"/>
              </w:rPr>
              <w:t>账    号</w:t>
            </w:r>
          </w:p>
        </w:tc>
        <w:tc>
          <w:tcPr>
            <w:tcW w:w="4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3883448">
            <w:pPr>
              <w:snapToGrid w:val="0"/>
              <w:spacing w:before="50" w:afterLines="50" w:line="360" w:lineRule="exact"/>
              <w:jc w:val="left"/>
              <w:rPr>
                <w:rFonts w:ascii="宋体" w:hAnsi="宋体"/>
                <w:b/>
                <w:color w:val="auto"/>
                <w:szCs w:val="21"/>
                <w:highlight w:val="none"/>
              </w:rPr>
            </w:pPr>
          </w:p>
        </w:tc>
      </w:tr>
      <w:tr w14:paraId="51DDA0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FC9FA55">
            <w:pPr>
              <w:snapToGrid w:val="0"/>
              <w:spacing w:before="50" w:afterLines="50" w:line="360" w:lineRule="exact"/>
              <w:jc w:val="center"/>
              <w:rPr>
                <w:rFonts w:ascii="宋体" w:hAnsi="宋体"/>
                <w:color w:val="auto"/>
                <w:szCs w:val="21"/>
                <w:highlight w:val="none"/>
              </w:rPr>
            </w:pPr>
            <w:r>
              <w:rPr>
                <w:rFonts w:hint="eastAsia" w:ascii="宋体" w:hAnsi="宋体"/>
                <w:color w:val="auto"/>
                <w:szCs w:val="21"/>
                <w:highlight w:val="none"/>
              </w:rPr>
              <w:t>开户银行</w:t>
            </w:r>
          </w:p>
        </w:tc>
        <w:tc>
          <w:tcPr>
            <w:tcW w:w="4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A3B6991">
            <w:pPr>
              <w:snapToGrid w:val="0"/>
              <w:spacing w:before="50" w:afterLines="50" w:line="360" w:lineRule="exact"/>
              <w:jc w:val="left"/>
              <w:rPr>
                <w:rFonts w:ascii="宋体" w:hAnsi="宋体"/>
                <w:b/>
                <w:color w:val="auto"/>
                <w:szCs w:val="21"/>
                <w:highlight w:val="none"/>
              </w:rPr>
            </w:pPr>
          </w:p>
        </w:tc>
      </w:tr>
      <w:tr w14:paraId="306786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09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27B54D">
            <w:pPr>
              <w:snapToGrid w:val="0"/>
              <w:spacing w:before="50" w:afterLines="50" w:line="360" w:lineRule="exact"/>
              <w:jc w:val="center"/>
              <w:rPr>
                <w:rFonts w:ascii="宋体" w:hAnsi="宋体"/>
                <w:color w:val="auto"/>
                <w:szCs w:val="21"/>
                <w:highlight w:val="none"/>
              </w:rPr>
            </w:pPr>
            <w:r>
              <w:rPr>
                <w:rFonts w:hint="eastAsia" w:ascii="宋体" w:hAnsi="宋体"/>
                <w:color w:val="auto"/>
                <w:szCs w:val="21"/>
                <w:highlight w:val="none"/>
              </w:rPr>
              <w:t>银行行号</w:t>
            </w:r>
          </w:p>
        </w:tc>
        <w:tc>
          <w:tcPr>
            <w:tcW w:w="481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BFD2B90">
            <w:pPr>
              <w:snapToGrid w:val="0"/>
              <w:spacing w:before="50" w:afterLines="50" w:line="360" w:lineRule="exact"/>
              <w:jc w:val="left"/>
              <w:rPr>
                <w:rFonts w:ascii="宋体" w:hAnsi="宋体"/>
                <w:b/>
                <w:color w:val="auto"/>
                <w:szCs w:val="21"/>
                <w:highlight w:val="none"/>
              </w:rPr>
            </w:pPr>
          </w:p>
        </w:tc>
      </w:tr>
    </w:tbl>
    <w:p w14:paraId="38652BC5">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3．如果我单位未遵守有关竞争性谈判文件关于</w:t>
      </w:r>
      <w:r>
        <w:rPr>
          <w:rFonts w:hint="eastAsia" w:ascii="宋体" w:hAnsi="宋体" w:cs="宋体"/>
          <w:color w:val="auto"/>
          <w:szCs w:val="21"/>
          <w:highlight w:val="none"/>
        </w:rPr>
        <w:t>竞标</w:t>
      </w:r>
      <w:r>
        <w:rPr>
          <w:rFonts w:hint="eastAsia" w:ascii="宋体" w:hAnsi="宋体"/>
          <w:color w:val="auto"/>
          <w:szCs w:val="21"/>
          <w:highlight w:val="none"/>
        </w:rPr>
        <w:t>保证金的规定，贵方可以没收我单位</w:t>
      </w:r>
      <w:r>
        <w:rPr>
          <w:rFonts w:hint="eastAsia" w:ascii="宋体" w:hAnsi="宋体" w:cs="宋体"/>
          <w:color w:val="auto"/>
          <w:szCs w:val="21"/>
          <w:highlight w:val="none"/>
        </w:rPr>
        <w:t>竞标</w:t>
      </w:r>
      <w:r>
        <w:rPr>
          <w:rFonts w:hint="eastAsia" w:ascii="宋体" w:hAnsi="宋体"/>
          <w:color w:val="auto"/>
          <w:szCs w:val="21"/>
          <w:highlight w:val="none"/>
        </w:rPr>
        <w:t>保证金。</w:t>
      </w:r>
    </w:p>
    <w:p w14:paraId="3C020C49">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4. 我单位选择第</w:t>
      </w:r>
      <w:r>
        <w:rPr>
          <w:rFonts w:hint="eastAsia" w:ascii="宋体" w:hAnsi="宋体"/>
          <w:color w:val="auto"/>
          <w:szCs w:val="21"/>
          <w:highlight w:val="none"/>
          <w:u w:val="single"/>
        </w:rPr>
        <w:t xml:space="preserve">   </w:t>
      </w:r>
      <w:r>
        <w:rPr>
          <w:rFonts w:hint="eastAsia" w:ascii="宋体" w:hAnsi="宋体"/>
          <w:color w:val="auto"/>
          <w:szCs w:val="21"/>
          <w:highlight w:val="none"/>
        </w:rPr>
        <w:t>种方式作为代理服务费开票类型：</w:t>
      </w:r>
    </w:p>
    <w:p w14:paraId="52CFC774">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第一种方式：开具收据。</w:t>
      </w:r>
    </w:p>
    <w:p w14:paraId="55F7DF6D">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第二种方式：开具增值税普通发票。开票信息如下：1.公司名称</w:t>
      </w:r>
      <w:r>
        <w:rPr>
          <w:rFonts w:hint="eastAsia" w:ascii="宋体" w:hAnsi="宋体"/>
          <w:color w:val="auto"/>
          <w:szCs w:val="21"/>
          <w:highlight w:val="none"/>
          <w:u w:val="single"/>
        </w:rPr>
        <w:t xml:space="preserve">                  </w:t>
      </w:r>
      <w:r>
        <w:rPr>
          <w:rFonts w:hint="eastAsia" w:ascii="宋体" w:hAnsi="宋体"/>
          <w:color w:val="auto"/>
          <w:szCs w:val="21"/>
          <w:highlight w:val="none"/>
        </w:rPr>
        <w:t>；2.纳税人识别号</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0179C47">
      <w:pPr>
        <w:snapToGrid w:val="0"/>
        <w:spacing w:beforeLines="50" w:after="50" w:line="360" w:lineRule="exact"/>
        <w:ind w:firstLine="420" w:firstLineChars="200"/>
        <w:rPr>
          <w:rFonts w:ascii="宋体" w:hAnsi="宋体"/>
          <w:color w:val="auto"/>
          <w:szCs w:val="21"/>
          <w:highlight w:val="none"/>
        </w:rPr>
      </w:pPr>
      <w:r>
        <w:rPr>
          <w:rFonts w:hint="eastAsia" w:ascii="宋体" w:hAnsi="宋体"/>
          <w:color w:val="auto"/>
          <w:szCs w:val="21"/>
          <w:highlight w:val="none"/>
        </w:rPr>
        <w:t>第三种方式：开具增值税专用发票，开票信息如下：1.公司名称</w:t>
      </w:r>
      <w:r>
        <w:rPr>
          <w:rFonts w:hint="eastAsia" w:ascii="宋体" w:hAnsi="宋体"/>
          <w:color w:val="auto"/>
          <w:szCs w:val="21"/>
          <w:highlight w:val="none"/>
          <w:u w:val="single"/>
        </w:rPr>
        <w:t xml:space="preserve">                  </w:t>
      </w:r>
      <w:r>
        <w:rPr>
          <w:rFonts w:hint="eastAsia" w:ascii="宋体" w:hAnsi="宋体"/>
          <w:color w:val="auto"/>
          <w:szCs w:val="21"/>
          <w:highlight w:val="none"/>
        </w:rPr>
        <w:t>；2.纳税人识别号</w:t>
      </w:r>
      <w:r>
        <w:rPr>
          <w:rFonts w:hint="eastAsia" w:ascii="宋体" w:hAnsi="宋体"/>
          <w:color w:val="auto"/>
          <w:szCs w:val="21"/>
          <w:highlight w:val="none"/>
          <w:u w:val="single"/>
        </w:rPr>
        <w:t xml:space="preserve">                  </w:t>
      </w:r>
      <w:r>
        <w:rPr>
          <w:rFonts w:hint="eastAsia" w:ascii="宋体" w:hAnsi="宋体"/>
          <w:color w:val="auto"/>
          <w:szCs w:val="21"/>
          <w:highlight w:val="none"/>
        </w:rPr>
        <w:t>；3.税局登记地址</w:t>
      </w:r>
      <w:r>
        <w:rPr>
          <w:rFonts w:hint="eastAsia" w:ascii="宋体" w:hAnsi="宋体"/>
          <w:color w:val="auto"/>
          <w:szCs w:val="21"/>
          <w:highlight w:val="none"/>
          <w:u w:val="single"/>
        </w:rPr>
        <w:t xml:space="preserve">                  </w:t>
      </w:r>
      <w:r>
        <w:rPr>
          <w:rFonts w:hint="eastAsia" w:ascii="宋体" w:hAnsi="宋体"/>
          <w:color w:val="auto"/>
          <w:szCs w:val="21"/>
          <w:highlight w:val="none"/>
        </w:rPr>
        <w:t>；4.税局登记电话</w:t>
      </w:r>
      <w:r>
        <w:rPr>
          <w:rFonts w:hint="eastAsia" w:ascii="宋体" w:hAnsi="宋体"/>
          <w:color w:val="auto"/>
          <w:szCs w:val="21"/>
          <w:highlight w:val="none"/>
          <w:u w:val="single"/>
        </w:rPr>
        <w:t xml:space="preserve">                  </w:t>
      </w:r>
      <w:r>
        <w:rPr>
          <w:rFonts w:hint="eastAsia" w:ascii="宋体" w:hAnsi="宋体"/>
          <w:color w:val="auto"/>
          <w:szCs w:val="21"/>
          <w:highlight w:val="none"/>
        </w:rPr>
        <w:t>；5.开户银行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；6.银行账户</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7C11424">
      <w:pPr>
        <w:snapToGrid w:val="0"/>
        <w:spacing w:before="50" w:afterLines="50" w:line="360" w:lineRule="exact"/>
        <w:jc w:val="left"/>
        <w:rPr>
          <w:rFonts w:ascii="宋体" w:hAnsi="宋体"/>
          <w:b/>
          <w:color w:val="auto"/>
          <w:sz w:val="24"/>
          <w:highlight w:val="none"/>
        </w:rPr>
      </w:pPr>
    </w:p>
    <w:p w14:paraId="57DC98C9">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50D22933">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6EE65B5A">
      <w:pPr>
        <w:spacing w:line="320" w:lineRule="exact"/>
        <w:rPr>
          <w:rFonts w:ascii="宋体" w:hAnsi="宋体"/>
          <w:color w:val="auto"/>
          <w:szCs w:val="21"/>
          <w:highlight w:val="none"/>
        </w:rPr>
      </w:pPr>
    </w:p>
    <w:p w14:paraId="2A718648">
      <w:pPr>
        <w:tabs>
          <w:tab w:val="left" w:pos="1427"/>
        </w:tabs>
        <w:spacing w:line="320" w:lineRule="exact"/>
        <w:rPr>
          <w:rFonts w:ascii="宋体" w:hAnsi="宋体"/>
          <w:color w:val="auto"/>
          <w:szCs w:val="21"/>
          <w:highlight w:val="none"/>
        </w:rPr>
      </w:pPr>
      <w:r>
        <w:rPr>
          <w:rFonts w:hint="eastAsia" w:ascii="宋体" w:hAnsi="宋体"/>
          <w:color w:val="auto"/>
          <w:szCs w:val="21"/>
          <w:highlight w:val="none"/>
        </w:rPr>
        <w:tab/>
      </w:r>
    </w:p>
    <w:p w14:paraId="0715D094">
      <w:pPr>
        <w:spacing w:line="320" w:lineRule="exact"/>
        <w:rPr>
          <w:rFonts w:ascii="宋体" w:hAnsi="宋体"/>
          <w:color w:val="auto"/>
          <w:szCs w:val="21"/>
          <w:highlight w:val="none"/>
        </w:rPr>
      </w:pPr>
    </w:p>
    <w:p w14:paraId="70462D4E">
      <w:pPr>
        <w:spacing w:line="320" w:lineRule="exact"/>
        <w:rPr>
          <w:rFonts w:ascii="宋体" w:hAnsi="宋体"/>
          <w:color w:val="auto"/>
          <w:szCs w:val="21"/>
          <w:highlight w:val="none"/>
        </w:rPr>
      </w:pPr>
    </w:p>
    <w:p w14:paraId="5D746167">
      <w:pPr>
        <w:spacing w:line="320" w:lineRule="exact"/>
        <w:rPr>
          <w:rFonts w:ascii="宋体" w:hAnsi="宋体"/>
          <w:color w:val="auto"/>
          <w:szCs w:val="21"/>
          <w:highlight w:val="none"/>
        </w:rPr>
      </w:pPr>
    </w:p>
    <w:p w14:paraId="1EE8C4B0">
      <w:pPr>
        <w:snapToGrid w:val="0"/>
        <w:spacing w:before="50" w:line="340" w:lineRule="exact"/>
        <w:jc w:val="left"/>
        <w:rPr>
          <w:rFonts w:ascii="宋体" w:hAnsi="宋体" w:cs="宋体"/>
          <w:b/>
          <w:color w:val="auto"/>
          <w:szCs w:val="21"/>
          <w:highlight w:val="none"/>
        </w:rPr>
      </w:pPr>
      <w:r>
        <w:rPr>
          <w:rFonts w:hint="eastAsia" w:ascii="宋体" w:hAnsi="宋体" w:cs="宋体"/>
          <w:b/>
          <w:color w:val="auto"/>
          <w:szCs w:val="21"/>
          <w:highlight w:val="none"/>
          <w:lang w:eastAsia="zh-CN"/>
        </w:rPr>
        <w:t>七</w:t>
      </w:r>
      <w:r>
        <w:rPr>
          <w:rFonts w:hint="eastAsia" w:ascii="宋体" w:hAnsi="宋体" w:cs="宋体"/>
          <w:b/>
          <w:color w:val="auto"/>
          <w:szCs w:val="21"/>
          <w:highlight w:val="none"/>
        </w:rPr>
        <w:t>、供应商同类项目业绩证明一览表（格式）</w:t>
      </w:r>
    </w:p>
    <w:p w14:paraId="6D6E43C5">
      <w:pPr>
        <w:pStyle w:val="28"/>
        <w:snapToGrid w:val="0"/>
        <w:spacing w:line="360" w:lineRule="exact"/>
        <w:ind w:left="643" w:hanging="643"/>
        <w:jc w:val="center"/>
        <w:rPr>
          <w:rFonts w:ascii="宋体" w:hAnsi="宋体"/>
          <w:b/>
          <w:bCs/>
          <w:color w:val="auto"/>
          <w:sz w:val="32"/>
          <w:szCs w:val="32"/>
          <w:highlight w:val="none"/>
        </w:rPr>
      </w:pPr>
    </w:p>
    <w:p w14:paraId="4B97E174">
      <w:pPr>
        <w:pStyle w:val="28"/>
        <w:snapToGrid w:val="0"/>
        <w:spacing w:line="360" w:lineRule="exact"/>
        <w:ind w:left="643" w:hanging="643"/>
        <w:jc w:val="center"/>
        <w:rPr>
          <w:rFonts w:ascii="宋体" w:hAnsi="宋体"/>
          <w:b/>
          <w:bCs/>
          <w:color w:val="auto"/>
          <w:sz w:val="32"/>
          <w:szCs w:val="32"/>
          <w:highlight w:val="none"/>
        </w:rPr>
      </w:pPr>
      <w:r>
        <w:rPr>
          <w:rFonts w:hint="eastAsia" w:ascii="宋体" w:hAnsi="宋体"/>
          <w:b/>
          <w:bCs/>
          <w:color w:val="auto"/>
          <w:sz w:val="32"/>
          <w:szCs w:val="32"/>
          <w:highlight w:val="none"/>
        </w:rPr>
        <w:t>供应商同类项目业绩一览表</w:t>
      </w:r>
    </w:p>
    <w:tbl>
      <w:tblPr>
        <w:tblStyle w:val="36"/>
        <w:tblW w:w="49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591"/>
        <w:gridCol w:w="1843"/>
        <w:gridCol w:w="1382"/>
        <w:gridCol w:w="1039"/>
        <w:gridCol w:w="1039"/>
        <w:gridCol w:w="1041"/>
        <w:gridCol w:w="1917"/>
      </w:tblGrid>
      <w:tr w14:paraId="3F8C93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jc w:val="center"/>
        </w:trPr>
        <w:tc>
          <w:tcPr>
            <w:tcW w:w="807" w:type="pct"/>
            <w:vMerge w:val="restart"/>
            <w:tcBorders>
              <w:top w:val="single" w:color="auto" w:sz="4" w:space="0"/>
              <w:left w:val="single" w:color="auto" w:sz="4" w:space="0"/>
              <w:bottom w:val="single" w:color="auto" w:sz="4" w:space="0"/>
              <w:right w:val="single" w:color="auto" w:sz="4" w:space="0"/>
            </w:tcBorders>
            <w:vAlign w:val="center"/>
          </w:tcPr>
          <w:p w14:paraId="001B40E0">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采购单位名称</w:t>
            </w:r>
          </w:p>
        </w:tc>
        <w:tc>
          <w:tcPr>
            <w:tcW w:w="935" w:type="pct"/>
            <w:vMerge w:val="restart"/>
            <w:tcBorders>
              <w:top w:val="single" w:color="auto" w:sz="4" w:space="0"/>
              <w:left w:val="single" w:color="auto" w:sz="4" w:space="0"/>
              <w:bottom w:val="single" w:color="auto" w:sz="4" w:space="0"/>
              <w:right w:val="single" w:color="auto" w:sz="4" w:space="0"/>
            </w:tcBorders>
            <w:vAlign w:val="center"/>
          </w:tcPr>
          <w:p w14:paraId="2D157B3D">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设备或项目名称</w:t>
            </w:r>
          </w:p>
        </w:tc>
        <w:tc>
          <w:tcPr>
            <w:tcW w:w="701" w:type="pct"/>
            <w:vMerge w:val="restart"/>
            <w:tcBorders>
              <w:top w:val="single" w:color="auto" w:sz="4" w:space="0"/>
              <w:left w:val="single" w:color="auto" w:sz="4" w:space="0"/>
              <w:bottom w:val="single" w:color="auto" w:sz="4" w:space="0"/>
              <w:right w:val="single" w:color="auto" w:sz="4" w:space="0"/>
            </w:tcBorders>
            <w:vAlign w:val="center"/>
          </w:tcPr>
          <w:p w14:paraId="5D6DB31A">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合同</w:t>
            </w:r>
          </w:p>
          <w:p w14:paraId="1B4A2D74">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金额</w:t>
            </w:r>
          </w:p>
          <w:p w14:paraId="4C0B79AA">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（万元）</w:t>
            </w:r>
          </w:p>
        </w:tc>
        <w:tc>
          <w:tcPr>
            <w:tcW w:w="1582" w:type="pct"/>
            <w:gridSpan w:val="3"/>
            <w:tcBorders>
              <w:top w:val="single" w:color="auto" w:sz="4" w:space="0"/>
              <w:left w:val="single" w:color="auto" w:sz="4" w:space="0"/>
              <w:bottom w:val="single" w:color="auto" w:sz="4" w:space="0"/>
              <w:right w:val="single" w:color="auto" w:sz="4" w:space="0"/>
            </w:tcBorders>
            <w:vAlign w:val="center"/>
          </w:tcPr>
          <w:p w14:paraId="0364E3E8">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附件页码</w:t>
            </w:r>
          </w:p>
        </w:tc>
        <w:tc>
          <w:tcPr>
            <w:tcW w:w="972" w:type="pct"/>
            <w:vMerge w:val="restart"/>
            <w:tcBorders>
              <w:top w:val="single" w:color="auto" w:sz="4" w:space="0"/>
              <w:left w:val="single" w:color="auto" w:sz="4" w:space="0"/>
              <w:bottom w:val="single" w:color="auto" w:sz="4" w:space="0"/>
              <w:right w:val="single" w:color="auto" w:sz="4" w:space="0"/>
            </w:tcBorders>
            <w:vAlign w:val="center"/>
          </w:tcPr>
          <w:p w14:paraId="227E8F03">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采购单位联系人及</w:t>
            </w:r>
          </w:p>
          <w:p w14:paraId="597EE179">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联系电话</w:t>
            </w:r>
          </w:p>
        </w:tc>
      </w:tr>
      <w:tr w14:paraId="75B980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jc w:val="center"/>
        </w:trPr>
        <w:tc>
          <w:tcPr>
            <w:tcW w:w="807" w:type="pct"/>
            <w:vMerge w:val="continue"/>
            <w:tcBorders>
              <w:top w:val="single" w:color="auto" w:sz="4" w:space="0"/>
              <w:left w:val="single" w:color="auto" w:sz="4" w:space="0"/>
              <w:bottom w:val="single" w:color="auto" w:sz="4" w:space="0"/>
              <w:right w:val="single" w:color="auto" w:sz="4" w:space="0"/>
            </w:tcBorders>
            <w:vAlign w:val="center"/>
          </w:tcPr>
          <w:p w14:paraId="06AB40A2">
            <w:pPr>
              <w:widowControl/>
              <w:jc w:val="left"/>
              <w:rPr>
                <w:rFonts w:ascii="宋体" w:hAnsi="宋体"/>
                <w:color w:val="auto"/>
                <w:szCs w:val="21"/>
                <w:highlight w:val="none"/>
              </w:rPr>
            </w:pPr>
          </w:p>
        </w:tc>
        <w:tc>
          <w:tcPr>
            <w:tcW w:w="935" w:type="pct"/>
            <w:vMerge w:val="continue"/>
            <w:tcBorders>
              <w:top w:val="single" w:color="auto" w:sz="4" w:space="0"/>
              <w:left w:val="single" w:color="auto" w:sz="4" w:space="0"/>
              <w:bottom w:val="single" w:color="auto" w:sz="4" w:space="0"/>
              <w:right w:val="single" w:color="auto" w:sz="4" w:space="0"/>
            </w:tcBorders>
            <w:vAlign w:val="center"/>
          </w:tcPr>
          <w:p w14:paraId="53D1E448">
            <w:pPr>
              <w:widowControl/>
              <w:jc w:val="left"/>
              <w:rPr>
                <w:rFonts w:ascii="宋体" w:hAnsi="宋体"/>
                <w:color w:val="auto"/>
                <w:szCs w:val="21"/>
                <w:highlight w:val="none"/>
              </w:rPr>
            </w:pPr>
          </w:p>
        </w:tc>
        <w:tc>
          <w:tcPr>
            <w:tcW w:w="701" w:type="pct"/>
            <w:vMerge w:val="continue"/>
            <w:tcBorders>
              <w:top w:val="single" w:color="auto" w:sz="4" w:space="0"/>
              <w:left w:val="single" w:color="auto" w:sz="4" w:space="0"/>
              <w:bottom w:val="single" w:color="auto" w:sz="4" w:space="0"/>
              <w:right w:val="single" w:color="auto" w:sz="4" w:space="0"/>
            </w:tcBorders>
            <w:vAlign w:val="center"/>
          </w:tcPr>
          <w:p w14:paraId="69A7509B">
            <w:pPr>
              <w:widowControl/>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vAlign w:val="center"/>
          </w:tcPr>
          <w:p w14:paraId="4891A7B9">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合同</w:t>
            </w:r>
          </w:p>
        </w:tc>
        <w:tc>
          <w:tcPr>
            <w:tcW w:w="527" w:type="pct"/>
            <w:tcBorders>
              <w:top w:val="single" w:color="auto" w:sz="4" w:space="0"/>
              <w:left w:val="single" w:color="auto" w:sz="4" w:space="0"/>
              <w:bottom w:val="single" w:color="auto" w:sz="4" w:space="0"/>
              <w:right w:val="single" w:color="auto" w:sz="4" w:space="0"/>
            </w:tcBorders>
            <w:vAlign w:val="center"/>
          </w:tcPr>
          <w:p w14:paraId="1272D72A">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验收报告</w:t>
            </w:r>
          </w:p>
        </w:tc>
        <w:tc>
          <w:tcPr>
            <w:tcW w:w="528" w:type="pct"/>
            <w:tcBorders>
              <w:top w:val="single" w:color="auto" w:sz="4" w:space="0"/>
              <w:left w:val="single" w:color="auto" w:sz="4" w:space="0"/>
              <w:bottom w:val="single" w:color="auto" w:sz="4" w:space="0"/>
              <w:right w:val="single" w:color="auto" w:sz="4" w:space="0"/>
            </w:tcBorders>
            <w:vAlign w:val="center"/>
          </w:tcPr>
          <w:p w14:paraId="7A0FF4A0">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用户评价</w:t>
            </w:r>
          </w:p>
        </w:tc>
        <w:tc>
          <w:tcPr>
            <w:tcW w:w="972" w:type="pct"/>
            <w:vMerge w:val="continue"/>
            <w:tcBorders>
              <w:top w:val="single" w:color="auto" w:sz="4" w:space="0"/>
              <w:left w:val="single" w:color="auto" w:sz="4" w:space="0"/>
              <w:bottom w:val="single" w:color="auto" w:sz="4" w:space="0"/>
              <w:right w:val="single" w:color="auto" w:sz="4" w:space="0"/>
            </w:tcBorders>
            <w:vAlign w:val="center"/>
          </w:tcPr>
          <w:p w14:paraId="4D048038">
            <w:pPr>
              <w:widowControl/>
              <w:jc w:val="left"/>
              <w:rPr>
                <w:rFonts w:ascii="宋体" w:hAnsi="宋体"/>
                <w:color w:val="auto"/>
                <w:szCs w:val="21"/>
                <w:highlight w:val="none"/>
              </w:rPr>
            </w:pPr>
          </w:p>
        </w:tc>
      </w:tr>
      <w:tr w14:paraId="0F4812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807" w:type="pct"/>
            <w:tcBorders>
              <w:top w:val="single" w:color="auto" w:sz="4" w:space="0"/>
              <w:left w:val="single" w:color="auto" w:sz="4" w:space="0"/>
              <w:bottom w:val="single" w:color="auto" w:sz="4" w:space="0"/>
              <w:right w:val="single" w:color="auto" w:sz="4" w:space="0"/>
            </w:tcBorders>
          </w:tcPr>
          <w:p w14:paraId="69A290EA">
            <w:pPr>
              <w:snapToGrid w:val="0"/>
              <w:spacing w:line="360" w:lineRule="exact"/>
              <w:jc w:val="left"/>
              <w:rPr>
                <w:rFonts w:ascii="宋体" w:hAnsi="宋体"/>
                <w:color w:val="auto"/>
                <w:szCs w:val="21"/>
                <w:highlight w:val="none"/>
              </w:rPr>
            </w:pPr>
          </w:p>
        </w:tc>
        <w:tc>
          <w:tcPr>
            <w:tcW w:w="935" w:type="pct"/>
            <w:tcBorders>
              <w:top w:val="single" w:color="auto" w:sz="4" w:space="0"/>
              <w:left w:val="single" w:color="auto" w:sz="4" w:space="0"/>
              <w:bottom w:val="single" w:color="auto" w:sz="4" w:space="0"/>
              <w:right w:val="single" w:color="auto" w:sz="4" w:space="0"/>
            </w:tcBorders>
          </w:tcPr>
          <w:p w14:paraId="1F131C03">
            <w:pPr>
              <w:snapToGrid w:val="0"/>
              <w:spacing w:line="360" w:lineRule="exact"/>
              <w:jc w:val="left"/>
              <w:rPr>
                <w:rFonts w:ascii="宋体" w:hAnsi="宋体"/>
                <w:color w:val="auto"/>
                <w:szCs w:val="21"/>
                <w:highlight w:val="none"/>
              </w:rPr>
            </w:pPr>
          </w:p>
        </w:tc>
        <w:tc>
          <w:tcPr>
            <w:tcW w:w="701" w:type="pct"/>
            <w:tcBorders>
              <w:top w:val="single" w:color="auto" w:sz="4" w:space="0"/>
              <w:left w:val="single" w:color="auto" w:sz="4" w:space="0"/>
              <w:bottom w:val="single" w:color="auto" w:sz="4" w:space="0"/>
              <w:right w:val="single" w:color="auto" w:sz="4" w:space="0"/>
            </w:tcBorders>
          </w:tcPr>
          <w:p w14:paraId="6524BB57">
            <w:pPr>
              <w:snapToGrid w:val="0"/>
              <w:spacing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0C341829">
            <w:pPr>
              <w:snapToGrid w:val="0"/>
              <w:spacing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39719429">
            <w:pPr>
              <w:snapToGrid w:val="0"/>
              <w:spacing w:line="360" w:lineRule="exact"/>
              <w:jc w:val="left"/>
              <w:rPr>
                <w:rFonts w:ascii="宋体" w:hAnsi="宋体"/>
                <w:color w:val="auto"/>
                <w:szCs w:val="21"/>
                <w:highlight w:val="none"/>
              </w:rPr>
            </w:pPr>
          </w:p>
        </w:tc>
        <w:tc>
          <w:tcPr>
            <w:tcW w:w="528" w:type="pct"/>
            <w:tcBorders>
              <w:top w:val="single" w:color="auto" w:sz="4" w:space="0"/>
              <w:left w:val="single" w:color="auto" w:sz="4" w:space="0"/>
              <w:bottom w:val="single" w:color="auto" w:sz="4" w:space="0"/>
              <w:right w:val="single" w:color="auto" w:sz="4" w:space="0"/>
            </w:tcBorders>
          </w:tcPr>
          <w:p w14:paraId="12D592F3">
            <w:pPr>
              <w:snapToGrid w:val="0"/>
              <w:spacing w:line="360" w:lineRule="exact"/>
              <w:jc w:val="left"/>
              <w:rPr>
                <w:rFonts w:ascii="宋体" w:hAnsi="宋体"/>
                <w:color w:val="auto"/>
                <w:szCs w:val="21"/>
                <w:highlight w:val="none"/>
              </w:rPr>
            </w:pPr>
          </w:p>
        </w:tc>
        <w:tc>
          <w:tcPr>
            <w:tcW w:w="972" w:type="pct"/>
            <w:tcBorders>
              <w:top w:val="single" w:color="auto" w:sz="4" w:space="0"/>
              <w:left w:val="single" w:color="auto" w:sz="4" w:space="0"/>
              <w:bottom w:val="single" w:color="auto" w:sz="4" w:space="0"/>
              <w:right w:val="single" w:color="auto" w:sz="4" w:space="0"/>
            </w:tcBorders>
          </w:tcPr>
          <w:p w14:paraId="4207BE19">
            <w:pPr>
              <w:snapToGrid w:val="0"/>
              <w:spacing w:line="360" w:lineRule="exact"/>
              <w:jc w:val="left"/>
              <w:rPr>
                <w:rFonts w:ascii="宋体" w:hAnsi="宋体"/>
                <w:color w:val="auto"/>
                <w:szCs w:val="21"/>
                <w:highlight w:val="none"/>
              </w:rPr>
            </w:pPr>
          </w:p>
        </w:tc>
      </w:tr>
      <w:tr w14:paraId="7D959B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7" w:type="pct"/>
            <w:tcBorders>
              <w:top w:val="single" w:color="auto" w:sz="4" w:space="0"/>
              <w:left w:val="single" w:color="auto" w:sz="4" w:space="0"/>
              <w:bottom w:val="single" w:color="auto" w:sz="4" w:space="0"/>
              <w:right w:val="single" w:color="auto" w:sz="4" w:space="0"/>
            </w:tcBorders>
          </w:tcPr>
          <w:p w14:paraId="24CB0CD1">
            <w:pPr>
              <w:snapToGrid w:val="0"/>
              <w:spacing w:before="50" w:afterLines="50" w:line="360" w:lineRule="exact"/>
              <w:jc w:val="left"/>
              <w:rPr>
                <w:rFonts w:ascii="宋体" w:hAnsi="宋体"/>
                <w:color w:val="auto"/>
                <w:szCs w:val="21"/>
                <w:highlight w:val="none"/>
              </w:rPr>
            </w:pPr>
          </w:p>
        </w:tc>
        <w:tc>
          <w:tcPr>
            <w:tcW w:w="935" w:type="pct"/>
            <w:tcBorders>
              <w:top w:val="single" w:color="auto" w:sz="4" w:space="0"/>
              <w:left w:val="single" w:color="auto" w:sz="4" w:space="0"/>
              <w:bottom w:val="single" w:color="auto" w:sz="4" w:space="0"/>
              <w:right w:val="single" w:color="auto" w:sz="4" w:space="0"/>
            </w:tcBorders>
          </w:tcPr>
          <w:p w14:paraId="068B7D66">
            <w:pPr>
              <w:snapToGrid w:val="0"/>
              <w:spacing w:before="50" w:afterLines="50" w:line="360" w:lineRule="exact"/>
              <w:jc w:val="left"/>
              <w:rPr>
                <w:rFonts w:ascii="宋体" w:hAnsi="宋体"/>
                <w:color w:val="auto"/>
                <w:szCs w:val="21"/>
                <w:highlight w:val="none"/>
              </w:rPr>
            </w:pPr>
          </w:p>
        </w:tc>
        <w:tc>
          <w:tcPr>
            <w:tcW w:w="701" w:type="pct"/>
            <w:tcBorders>
              <w:top w:val="single" w:color="auto" w:sz="4" w:space="0"/>
              <w:left w:val="single" w:color="auto" w:sz="4" w:space="0"/>
              <w:bottom w:val="single" w:color="auto" w:sz="4" w:space="0"/>
              <w:right w:val="single" w:color="auto" w:sz="4" w:space="0"/>
            </w:tcBorders>
          </w:tcPr>
          <w:p w14:paraId="0379B0DD">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5B31E813">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46D1DDF1">
            <w:pPr>
              <w:snapToGrid w:val="0"/>
              <w:spacing w:before="50" w:afterLines="50" w:line="360" w:lineRule="exact"/>
              <w:jc w:val="left"/>
              <w:rPr>
                <w:rFonts w:ascii="宋体" w:hAnsi="宋体"/>
                <w:color w:val="auto"/>
                <w:szCs w:val="21"/>
                <w:highlight w:val="none"/>
              </w:rPr>
            </w:pPr>
          </w:p>
        </w:tc>
        <w:tc>
          <w:tcPr>
            <w:tcW w:w="528" w:type="pct"/>
            <w:tcBorders>
              <w:top w:val="single" w:color="auto" w:sz="4" w:space="0"/>
              <w:left w:val="single" w:color="auto" w:sz="4" w:space="0"/>
              <w:bottom w:val="single" w:color="auto" w:sz="4" w:space="0"/>
              <w:right w:val="single" w:color="auto" w:sz="4" w:space="0"/>
            </w:tcBorders>
          </w:tcPr>
          <w:p w14:paraId="7E688D9B">
            <w:pPr>
              <w:snapToGrid w:val="0"/>
              <w:spacing w:before="50" w:afterLines="50" w:line="360" w:lineRule="exact"/>
              <w:jc w:val="left"/>
              <w:rPr>
                <w:rFonts w:ascii="宋体" w:hAnsi="宋体"/>
                <w:color w:val="auto"/>
                <w:szCs w:val="21"/>
                <w:highlight w:val="none"/>
              </w:rPr>
            </w:pPr>
          </w:p>
        </w:tc>
        <w:tc>
          <w:tcPr>
            <w:tcW w:w="972" w:type="pct"/>
            <w:tcBorders>
              <w:top w:val="single" w:color="auto" w:sz="4" w:space="0"/>
              <w:left w:val="single" w:color="auto" w:sz="4" w:space="0"/>
              <w:bottom w:val="single" w:color="auto" w:sz="4" w:space="0"/>
              <w:right w:val="single" w:color="auto" w:sz="4" w:space="0"/>
            </w:tcBorders>
          </w:tcPr>
          <w:p w14:paraId="5C990CC4">
            <w:pPr>
              <w:snapToGrid w:val="0"/>
              <w:spacing w:before="50" w:afterLines="50" w:line="360" w:lineRule="exact"/>
              <w:jc w:val="left"/>
              <w:rPr>
                <w:rFonts w:ascii="宋体" w:hAnsi="宋体"/>
                <w:color w:val="auto"/>
                <w:szCs w:val="21"/>
                <w:highlight w:val="none"/>
              </w:rPr>
            </w:pPr>
          </w:p>
        </w:tc>
      </w:tr>
      <w:tr w14:paraId="2F4E1B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807" w:type="pct"/>
            <w:tcBorders>
              <w:top w:val="single" w:color="auto" w:sz="4" w:space="0"/>
              <w:left w:val="single" w:color="auto" w:sz="4" w:space="0"/>
              <w:bottom w:val="single" w:color="auto" w:sz="4" w:space="0"/>
              <w:right w:val="single" w:color="auto" w:sz="4" w:space="0"/>
            </w:tcBorders>
          </w:tcPr>
          <w:p w14:paraId="47DC0F46">
            <w:pPr>
              <w:snapToGrid w:val="0"/>
              <w:spacing w:before="50" w:afterLines="50" w:line="360" w:lineRule="exact"/>
              <w:jc w:val="left"/>
              <w:rPr>
                <w:rFonts w:ascii="宋体" w:hAnsi="宋体"/>
                <w:color w:val="auto"/>
                <w:szCs w:val="21"/>
                <w:highlight w:val="none"/>
              </w:rPr>
            </w:pPr>
          </w:p>
        </w:tc>
        <w:tc>
          <w:tcPr>
            <w:tcW w:w="935" w:type="pct"/>
            <w:tcBorders>
              <w:top w:val="single" w:color="auto" w:sz="4" w:space="0"/>
              <w:left w:val="single" w:color="auto" w:sz="4" w:space="0"/>
              <w:bottom w:val="single" w:color="auto" w:sz="4" w:space="0"/>
              <w:right w:val="single" w:color="auto" w:sz="4" w:space="0"/>
            </w:tcBorders>
          </w:tcPr>
          <w:p w14:paraId="55188D88">
            <w:pPr>
              <w:snapToGrid w:val="0"/>
              <w:spacing w:before="50" w:afterLines="50" w:line="360" w:lineRule="exact"/>
              <w:jc w:val="left"/>
              <w:rPr>
                <w:rFonts w:ascii="宋体" w:hAnsi="宋体"/>
                <w:color w:val="auto"/>
                <w:szCs w:val="21"/>
                <w:highlight w:val="none"/>
              </w:rPr>
            </w:pPr>
          </w:p>
        </w:tc>
        <w:tc>
          <w:tcPr>
            <w:tcW w:w="701" w:type="pct"/>
            <w:tcBorders>
              <w:top w:val="single" w:color="auto" w:sz="4" w:space="0"/>
              <w:left w:val="single" w:color="auto" w:sz="4" w:space="0"/>
              <w:bottom w:val="single" w:color="auto" w:sz="4" w:space="0"/>
              <w:right w:val="single" w:color="auto" w:sz="4" w:space="0"/>
            </w:tcBorders>
          </w:tcPr>
          <w:p w14:paraId="32DC052E">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75B35420">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67D9AE87">
            <w:pPr>
              <w:snapToGrid w:val="0"/>
              <w:spacing w:before="50" w:afterLines="50" w:line="360" w:lineRule="exact"/>
              <w:jc w:val="left"/>
              <w:rPr>
                <w:rFonts w:ascii="宋体" w:hAnsi="宋体"/>
                <w:color w:val="auto"/>
                <w:szCs w:val="21"/>
                <w:highlight w:val="none"/>
              </w:rPr>
            </w:pPr>
          </w:p>
        </w:tc>
        <w:tc>
          <w:tcPr>
            <w:tcW w:w="528" w:type="pct"/>
            <w:tcBorders>
              <w:top w:val="single" w:color="auto" w:sz="4" w:space="0"/>
              <w:left w:val="single" w:color="auto" w:sz="4" w:space="0"/>
              <w:bottom w:val="single" w:color="auto" w:sz="4" w:space="0"/>
              <w:right w:val="single" w:color="auto" w:sz="4" w:space="0"/>
            </w:tcBorders>
          </w:tcPr>
          <w:p w14:paraId="4755DBC1">
            <w:pPr>
              <w:snapToGrid w:val="0"/>
              <w:spacing w:before="50" w:afterLines="50" w:line="360" w:lineRule="exact"/>
              <w:jc w:val="left"/>
              <w:rPr>
                <w:rFonts w:ascii="宋体" w:hAnsi="宋体"/>
                <w:color w:val="auto"/>
                <w:szCs w:val="21"/>
                <w:highlight w:val="none"/>
              </w:rPr>
            </w:pPr>
          </w:p>
        </w:tc>
        <w:tc>
          <w:tcPr>
            <w:tcW w:w="972" w:type="pct"/>
            <w:tcBorders>
              <w:top w:val="single" w:color="auto" w:sz="4" w:space="0"/>
              <w:left w:val="single" w:color="auto" w:sz="4" w:space="0"/>
              <w:bottom w:val="single" w:color="auto" w:sz="4" w:space="0"/>
              <w:right w:val="single" w:color="auto" w:sz="4" w:space="0"/>
            </w:tcBorders>
          </w:tcPr>
          <w:p w14:paraId="7DFE5E99">
            <w:pPr>
              <w:snapToGrid w:val="0"/>
              <w:spacing w:before="50" w:afterLines="50" w:line="360" w:lineRule="exact"/>
              <w:jc w:val="left"/>
              <w:rPr>
                <w:rFonts w:ascii="宋体" w:hAnsi="宋体"/>
                <w:color w:val="auto"/>
                <w:szCs w:val="21"/>
                <w:highlight w:val="none"/>
              </w:rPr>
            </w:pPr>
          </w:p>
        </w:tc>
      </w:tr>
      <w:tr w14:paraId="4D8D52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7" w:type="pct"/>
            <w:tcBorders>
              <w:top w:val="single" w:color="auto" w:sz="4" w:space="0"/>
              <w:left w:val="single" w:color="auto" w:sz="4" w:space="0"/>
              <w:bottom w:val="single" w:color="auto" w:sz="4" w:space="0"/>
              <w:right w:val="single" w:color="auto" w:sz="4" w:space="0"/>
            </w:tcBorders>
          </w:tcPr>
          <w:p w14:paraId="639500C2">
            <w:pPr>
              <w:snapToGrid w:val="0"/>
              <w:spacing w:before="50" w:afterLines="50" w:line="360" w:lineRule="exact"/>
              <w:jc w:val="left"/>
              <w:rPr>
                <w:rFonts w:ascii="宋体" w:hAnsi="宋体"/>
                <w:color w:val="auto"/>
                <w:szCs w:val="21"/>
                <w:highlight w:val="none"/>
              </w:rPr>
            </w:pPr>
          </w:p>
        </w:tc>
        <w:tc>
          <w:tcPr>
            <w:tcW w:w="935" w:type="pct"/>
            <w:tcBorders>
              <w:top w:val="single" w:color="auto" w:sz="4" w:space="0"/>
              <w:left w:val="single" w:color="auto" w:sz="4" w:space="0"/>
              <w:bottom w:val="single" w:color="auto" w:sz="4" w:space="0"/>
              <w:right w:val="single" w:color="auto" w:sz="4" w:space="0"/>
            </w:tcBorders>
          </w:tcPr>
          <w:p w14:paraId="4AAF4B27">
            <w:pPr>
              <w:snapToGrid w:val="0"/>
              <w:spacing w:before="50" w:afterLines="50" w:line="360" w:lineRule="exact"/>
              <w:jc w:val="left"/>
              <w:rPr>
                <w:rFonts w:ascii="宋体" w:hAnsi="宋体"/>
                <w:color w:val="auto"/>
                <w:szCs w:val="21"/>
                <w:highlight w:val="none"/>
              </w:rPr>
            </w:pPr>
          </w:p>
        </w:tc>
        <w:tc>
          <w:tcPr>
            <w:tcW w:w="701" w:type="pct"/>
            <w:tcBorders>
              <w:top w:val="single" w:color="auto" w:sz="4" w:space="0"/>
              <w:left w:val="single" w:color="auto" w:sz="4" w:space="0"/>
              <w:bottom w:val="single" w:color="auto" w:sz="4" w:space="0"/>
              <w:right w:val="single" w:color="auto" w:sz="4" w:space="0"/>
            </w:tcBorders>
          </w:tcPr>
          <w:p w14:paraId="472FC7A5">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2367BD67">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28839CFA">
            <w:pPr>
              <w:snapToGrid w:val="0"/>
              <w:spacing w:before="50" w:afterLines="50" w:line="360" w:lineRule="exact"/>
              <w:jc w:val="left"/>
              <w:rPr>
                <w:rFonts w:ascii="宋体" w:hAnsi="宋体"/>
                <w:color w:val="auto"/>
                <w:szCs w:val="21"/>
                <w:highlight w:val="none"/>
              </w:rPr>
            </w:pPr>
          </w:p>
        </w:tc>
        <w:tc>
          <w:tcPr>
            <w:tcW w:w="528" w:type="pct"/>
            <w:tcBorders>
              <w:top w:val="single" w:color="auto" w:sz="4" w:space="0"/>
              <w:left w:val="single" w:color="auto" w:sz="4" w:space="0"/>
              <w:bottom w:val="single" w:color="auto" w:sz="4" w:space="0"/>
              <w:right w:val="single" w:color="auto" w:sz="4" w:space="0"/>
            </w:tcBorders>
          </w:tcPr>
          <w:p w14:paraId="7145E543">
            <w:pPr>
              <w:snapToGrid w:val="0"/>
              <w:spacing w:before="50" w:afterLines="50" w:line="360" w:lineRule="exact"/>
              <w:jc w:val="left"/>
              <w:rPr>
                <w:rFonts w:ascii="宋体" w:hAnsi="宋体"/>
                <w:color w:val="auto"/>
                <w:szCs w:val="21"/>
                <w:highlight w:val="none"/>
              </w:rPr>
            </w:pPr>
          </w:p>
        </w:tc>
        <w:tc>
          <w:tcPr>
            <w:tcW w:w="972" w:type="pct"/>
            <w:tcBorders>
              <w:top w:val="single" w:color="auto" w:sz="4" w:space="0"/>
              <w:left w:val="single" w:color="auto" w:sz="4" w:space="0"/>
              <w:bottom w:val="single" w:color="auto" w:sz="4" w:space="0"/>
              <w:right w:val="single" w:color="auto" w:sz="4" w:space="0"/>
            </w:tcBorders>
          </w:tcPr>
          <w:p w14:paraId="7D0BD421">
            <w:pPr>
              <w:snapToGrid w:val="0"/>
              <w:spacing w:before="50" w:afterLines="50" w:line="360" w:lineRule="exact"/>
              <w:jc w:val="left"/>
              <w:rPr>
                <w:rFonts w:ascii="宋体" w:hAnsi="宋体"/>
                <w:color w:val="auto"/>
                <w:szCs w:val="21"/>
                <w:highlight w:val="none"/>
              </w:rPr>
            </w:pPr>
          </w:p>
        </w:tc>
      </w:tr>
      <w:tr w14:paraId="347B3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7" w:type="pct"/>
            <w:tcBorders>
              <w:top w:val="single" w:color="auto" w:sz="4" w:space="0"/>
              <w:left w:val="single" w:color="auto" w:sz="4" w:space="0"/>
              <w:bottom w:val="single" w:color="auto" w:sz="4" w:space="0"/>
              <w:right w:val="single" w:color="auto" w:sz="4" w:space="0"/>
            </w:tcBorders>
          </w:tcPr>
          <w:p w14:paraId="534AB277">
            <w:pPr>
              <w:snapToGrid w:val="0"/>
              <w:spacing w:before="50" w:afterLines="50" w:line="360" w:lineRule="exact"/>
              <w:jc w:val="left"/>
              <w:rPr>
                <w:rFonts w:ascii="宋体" w:hAnsi="宋体"/>
                <w:color w:val="auto"/>
                <w:szCs w:val="21"/>
                <w:highlight w:val="none"/>
              </w:rPr>
            </w:pPr>
          </w:p>
        </w:tc>
        <w:tc>
          <w:tcPr>
            <w:tcW w:w="935" w:type="pct"/>
            <w:tcBorders>
              <w:top w:val="single" w:color="auto" w:sz="4" w:space="0"/>
              <w:left w:val="single" w:color="auto" w:sz="4" w:space="0"/>
              <w:bottom w:val="single" w:color="auto" w:sz="4" w:space="0"/>
              <w:right w:val="single" w:color="auto" w:sz="4" w:space="0"/>
            </w:tcBorders>
          </w:tcPr>
          <w:p w14:paraId="43FC3FF3">
            <w:pPr>
              <w:snapToGrid w:val="0"/>
              <w:spacing w:before="50" w:afterLines="50" w:line="360" w:lineRule="exact"/>
              <w:jc w:val="left"/>
              <w:rPr>
                <w:rFonts w:ascii="宋体" w:hAnsi="宋体"/>
                <w:color w:val="auto"/>
                <w:szCs w:val="21"/>
                <w:highlight w:val="none"/>
              </w:rPr>
            </w:pPr>
          </w:p>
        </w:tc>
        <w:tc>
          <w:tcPr>
            <w:tcW w:w="701" w:type="pct"/>
            <w:tcBorders>
              <w:top w:val="single" w:color="auto" w:sz="4" w:space="0"/>
              <w:left w:val="single" w:color="auto" w:sz="4" w:space="0"/>
              <w:bottom w:val="single" w:color="auto" w:sz="4" w:space="0"/>
              <w:right w:val="single" w:color="auto" w:sz="4" w:space="0"/>
            </w:tcBorders>
          </w:tcPr>
          <w:p w14:paraId="3272314E">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20A21697">
            <w:pPr>
              <w:snapToGrid w:val="0"/>
              <w:spacing w:before="50" w:afterLines="50" w:line="360" w:lineRule="exact"/>
              <w:jc w:val="left"/>
              <w:rPr>
                <w:rFonts w:ascii="宋体" w:hAnsi="宋体"/>
                <w:color w:val="auto"/>
                <w:szCs w:val="21"/>
                <w:highlight w:val="none"/>
              </w:rPr>
            </w:pPr>
          </w:p>
        </w:tc>
        <w:tc>
          <w:tcPr>
            <w:tcW w:w="527" w:type="pct"/>
            <w:tcBorders>
              <w:top w:val="single" w:color="auto" w:sz="4" w:space="0"/>
              <w:left w:val="single" w:color="auto" w:sz="4" w:space="0"/>
              <w:bottom w:val="single" w:color="auto" w:sz="4" w:space="0"/>
              <w:right w:val="single" w:color="auto" w:sz="4" w:space="0"/>
            </w:tcBorders>
          </w:tcPr>
          <w:p w14:paraId="42FADBE4">
            <w:pPr>
              <w:snapToGrid w:val="0"/>
              <w:spacing w:before="50" w:afterLines="50" w:line="360" w:lineRule="exact"/>
              <w:jc w:val="left"/>
              <w:rPr>
                <w:rFonts w:ascii="宋体" w:hAnsi="宋体"/>
                <w:color w:val="auto"/>
                <w:szCs w:val="21"/>
                <w:highlight w:val="none"/>
              </w:rPr>
            </w:pPr>
          </w:p>
        </w:tc>
        <w:tc>
          <w:tcPr>
            <w:tcW w:w="528" w:type="pct"/>
            <w:tcBorders>
              <w:top w:val="single" w:color="auto" w:sz="4" w:space="0"/>
              <w:left w:val="single" w:color="auto" w:sz="4" w:space="0"/>
              <w:bottom w:val="single" w:color="auto" w:sz="4" w:space="0"/>
              <w:right w:val="single" w:color="auto" w:sz="4" w:space="0"/>
            </w:tcBorders>
          </w:tcPr>
          <w:p w14:paraId="03CBF420">
            <w:pPr>
              <w:snapToGrid w:val="0"/>
              <w:spacing w:before="50" w:afterLines="50" w:line="360" w:lineRule="exact"/>
              <w:jc w:val="left"/>
              <w:rPr>
                <w:rFonts w:ascii="宋体" w:hAnsi="宋体"/>
                <w:color w:val="auto"/>
                <w:szCs w:val="21"/>
                <w:highlight w:val="none"/>
              </w:rPr>
            </w:pPr>
          </w:p>
        </w:tc>
        <w:tc>
          <w:tcPr>
            <w:tcW w:w="972" w:type="pct"/>
            <w:tcBorders>
              <w:top w:val="single" w:color="auto" w:sz="4" w:space="0"/>
              <w:left w:val="single" w:color="auto" w:sz="4" w:space="0"/>
              <w:bottom w:val="single" w:color="auto" w:sz="4" w:space="0"/>
              <w:right w:val="single" w:color="auto" w:sz="4" w:space="0"/>
            </w:tcBorders>
          </w:tcPr>
          <w:p w14:paraId="1A68B79F">
            <w:pPr>
              <w:snapToGrid w:val="0"/>
              <w:spacing w:before="50" w:afterLines="50" w:line="360" w:lineRule="exact"/>
              <w:jc w:val="left"/>
              <w:rPr>
                <w:rFonts w:ascii="宋体" w:hAnsi="宋体"/>
                <w:color w:val="auto"/>
                <w:szCs w:val="21"/>
                <w:highlight w:val="none"/>
              </w:rPr>
            </w:pPr>
          </w:p>
        </w:tc>
      </w:tr>
    </w:tbl>
    <w:p w14:paraId="625C718A">
      <w:pPr>
        <w:pStyle w:val="28"/>
        <w:snapToGrid w:val="0"/>
        <w:spacing w:line="360" w:lineRule="exact"/>
        <w:ind w:left="420" w:leftChars="200" w:firstLine="0" w:firstLineChars="0"/>
        <w:jc w:val="left"/>
        <w:rPr>
          <w:rFonts w:ascii="宋体" w:hAnsi="宋体"/>
          <w:color w:val="auto"/>
          <w:sz w:val="21"/>
          <w:szCs w:val="21"/>
          <w:highlight w:val="none"/>
        </w:rPr>
      </w:pPr>
      <w:r>
        <w:rPr>
          <w:rFonts w:hint="eastAsia" w:ascii="宋体" w:hAnsi="宋体"/>
          <w:color w:val="auto"/>
          <w:sz w:val="21"/>
          <w:szCs w:val="21"/>
          <w:highlight w:val="none"/>
        </w:rPr>
        <w:t>注：供应商同类项目合同复印件、用户验收报告、用户评价意见格式自拟，请提供相关证明材料扫描件并加盖供应商电子公章（如有）</w:t>
      </w:r>
    </w:p>
    <w:p w14:paraId="7C036E6B">
      <w:pPr>
        <w:pStyle w:val="12"/>
        <w:snapToGrid w:val="0"/>
        <w:spacing w:line="360" w:lineRule="exact"/>
        <w:rPr>
          <w:rFonts w:ascii="宋体" w:hAnsi="宋体" w:eastAsia="宋体"/>
          <w:color w:val="auto"/>
          <w:sz w:val="21"/>
          <w:szCs w:val="21"/>
          <w:highlight w:val="none"/>
        </w:rPr>
      </w:pPr>
    </w:p>
    <w:p w14:paraId="25304ECB">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3F526C5F">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2D5B40D6">
      <w:pPr>
        <w:snapToGrid w:val="0"/>
        <w:spacing w:beforeLines="50" w:after="50"/>
        <w:rPr>
          <w:rFonts w:ascii="宋体" w:hAnsi="宋体" w:cs="宋体"/>
          <w:b/>
          <w:bCs/>
          <w:color w:val="auto"/>
          <w:szCs w:val="21"/>
          <w:highlight w:val="none"/>
        </w:rPr>
      </w:pPr>
    </w:p>
    <w:p w14:paraId="170C873C">
      <w:pPr>
        <w:snapToGrid w:val="0"/>
        <w:spacing w:beforeLines="50" w:after="50"/>
        <w:rPr>
          <w:rFonts w:ascii="宋体" w:hAnsi="宋体" w:cs="宋体"/>
          <w:b/>
          <w:bCs/>
          <w:color w:val="auto"/>
          <w:szCs w:val="21"/>
          <w:highlight w:val="none"/>
        </w:rPr>
      </w:pPr>
    </w:p>
    <w:p w14:paraId="3EADFE49">
      <w:pPr>
        <w:snapToGrid w:val="0"/>
        <w:spacing w:beforeLines="50" w:after="50"/>
        <w:rPr>
          <w:rFonts w:ascii="宋体" w:hAnsi="宋体" w:cs="宋体"/>
          <w:b/>
          <w:bCs/>
          <w:color w:val="auto"/>
          <w:szCs w:val="21"/>
          <w:highlight w:val="none"/>
        </w:rPr>
      </w:pPr>
    </w:p>
    <w:p w14:paraId="5F78C58C">
      <w:pPr>
        <w:snapToGrid w:val="0"/>
        <w:spacing w:beforeLines="50" w:after="50"/>
        <w:rPr>
          <w:rFonts w:ascii="宋体" w:hAnsi="宋体" w:cs="宋体"/>
          <w:b/>
          <w:bCs/>
          <w:color w:val="auto"/>
          <w:szCs w:val="21"/>
          <w:highlight w:val="none"/>
        </w:rPr>
      </w:pPr>
    </w:p>
    <w:p w14:paraId="31F61685">
      <w:pPr>
        <w:snapToGrid w:val="0"/>
        <w:spacing w:beforeLines="50" w:after="50"/>
        <w:rPr>
          <w:rFonts w:ascii="宋体" w:hAnsi="宋体" w:cs="宋体"/>
          <w:b/>
          <w:bCs/>
          <w:color w:val="auto"/>
          <w:szCs w:val="21"/>
          <w:highlight w:val="none"/>
        </w:rPr>
      </w:pPr>
    </w:p>
    <w:p w14:paraId="0F865820">
      <w:pPr>
        <w:snapToGrid w:val="0"/>
        <w:spacing w:beforeLines="50" w:after="50"/>
        <w:rPr>
          <w:rFonts w:ascii="宋体" w:hAnsi="宋体" w:cs="宋体"/>
          <w:b/>
          <w:bCs/>
          <w:color w:val="auto"/>
          <w:szCs w:val="21"/>
          <w:highlight w:val="none"/>
        </w:rPr>
      </w:pPr>
    </w:p>
    <w:p w14:paraId="6A1057E7">
      <w:pPr>
        <w:snapToGrid w:val="0"/>
        <w:spacing w:beforeLines="50" w:after="50"/>
        <w:rPr>
          <w:rFonts w:ascii="宋体" w:hAnsi="宋体" w:cs="宋体"/>
          <w:b/>
          <w:bCs/>
          <w:color w:val="auto"/>
          <w:szCs w:val="21"/>
          <w:highlight w:val="none"/>
        </w:rPr>
      </w:pPr>
    </w:p>
    <w:p w14:paraId="6E5A130E">
      <w:pPr>
        <w:snapToGrid w:val="0"/>
        <w:spacing w:beforeLines="50" w:after="50"/>
        <w:rPr>
          <w:rFonts w:ascii="宋体" w:hAnsi="宋体" w:cs="宋体"/>
          <w:b/>
          <w:bCs/>
          <w:color w:val="auto"/>
          <w:szCs w:val="21"/>
          <w:highlight w:val="none"/>
        </w:rPr>
      </w:pPr>
    </w:p>
    <w:p w14:paraId="037DF4EC">
      <w:pPr>
        <w:snapToGrid w:val="0"/>
        <w:spacing w:beforeLines="50" w:after="50"/>
        <w:rPr>
          <w:rFonts w:ascii="宋体" w:hAnsi="宋体" w:cs="宋体"/>
          <w:b/>
          <w:bCs/>
          <w:color w:val="auto"/>
          <w:szCs w:val="21"/>
          <w:highlight w:val="none"/>
        </w:rPr>
      </w:pPr>
    </w:p>
    <w:p w14:paraId="3139FF7B">
      <w:pPr>
        <w:snapToGrid w:val="0"/>
        <w:spacing w:beforeLines="50" w:after="50"/>
        <w:rPr>
          <w:rFonts w:ascii="宋体" w:hAnsi="宋体" w:cs="宋体"/>
          <w:b/>
          <w:bCs/>
          <w:color w:val="auto"/>
          <w:szCs w:val="21"/>
          <w:highlight w:val="none"/>
        </w:rPr>
      </w:pPr>
    </w:p>
    <w:p w14:paraId="329C39F8">
      <w:pPr>
        <w:snapToGrid w:val="0"/>
        <w:spacing w:beforeLines="50" w:after="50"/>
        <w:rPr>
          <w:rFonts w:ascii="宋体" w:hAnsi="宋体" w:cs="宋体"/>
          <w:b/>
          <w:bCs/>
          <w:color w:val="auto"/>
          <w:szCs w:val="21"/>
          <w:highlight w:val="none"/>
        </w:rPr>
      </w:pPr>
    </w:p>
    <w:p w14:paraId="7529E728">
      <w:pPr>
        <w:snapToGrid w:val="0"/>
        <w:spacing w:beforeLines="50" w:after="50"/>
        <w:rPr>
          <w:rFonts w:ascii="宋体" w:hAnsi="宋体" w:cs="宋体"/>
          <w:b/>
          <w:bCs/>
          <w:color w:val="auto"/>
          <w:szCs w:val="21"/>
          <w:highlight w:val="none"/>
        </w:rPr>
      </w:pPr>
    </w:p>
    <w:p w14:paraId="28745F01">
      <w:pPr>
        <w:snapToGrid w:val="0"/>
        <w:spacing w:beforeLines="50" w:after="50"/>
        <w:rPr>
          <w:rFonts w:ascii="宋体" w:hAnsi="宋体" w:cs="宋体"/>
          <w:b/>
          <w:bCs/>
          <w:color w:val="auto"/>
          <w:szCs w:val="21"/>
          <w:highlight w:val="none"/>
        </w:rPr>
      </w:pPr>
    </w:p>
    <w:p w14:paraId="16F33E76">
      <w:pPr>
        <w:snapToGrid w:val="0"/>
        <w:spacing w:beforeLines="50" w:after="50"/>
        <w:rPr>
          <w:rFonts w:ascii="宋体" w:hAnsi="宋体" w:cs="宋体"/>
          <w:b/>
          <w:bCs/>
          <w:color w:val="auto"/>
          <w:szCs w:val="21"/>
          <w:highlight w:val="none"/>
        </w:rPr>
      </w:pPr>
    </w:p>
    <w:p w14:paraId="46C93E6A">
      <w:pPr>
        <w:snapToGrid w:val="0"/>
        <w:spacing w:beforeLines="50" w:after="50"/>
        <w:rPr>
          <w:rFonts w:ascii="宋体" w:hAnsi="宋体" w:cs="宋体"/>
          <w:b/>
          <w:bCs/>
          <w:color w:val="auto"/>
          <w:szCs w:val="21"/>
          <w:highlight w:val="none"/>
        </w:rPr>
      </w:pPr>
    </w:p>
    <w:p w14:paraId="614E0500">
      <w:pPr>
        <w:snapToGrid w:val="0"/>
        <w:spacing w:beforeLines="50" w:after="50"/>
        <w:rPr>
          <w:rFonts w:ascii="宋体" w:hAnsi="宋体" w:cs="宋体"/>
          <w:b/>
          <w:bCs/>
          <w:color w:val="auto"/>
          <w:szCs w:val="21"/>
          <w:highlight w:val="none"/>
        </w:rPr>
      </w:pPr>
    </w:p>
    <w:p w14:paraId="4A62FFA2">
      <w:pPr>
        <w:snapToGrid w:val="0"/>
        <w:spacing w:beforeLines="50" w:after="50"/>
        <w:rPr>
          <w:rFonts w:ascii="宋体" w:hAnsi="宋体" w:cs="宋体"/>
          <w:b/>
          <w:bCs/>
          <w:color w:val="auto"/>
          <w:szCs w:val="21"/>
          <w:highlight w:val="none"/>
        </w:rPr>
      </w:pPr>
    </w:p>
    <w:p w14:paraId="4DE0B687">
      <w:pPr>
        <w:snapToGrid w:val="0"/>
        <w:spacing w:beforeLines="50" w:after="50"/>
        <w:rPr>
          <w:rFonts w:ascii="宋体" w:hAnsi="宋体" w:cs="宋体"/>
          <w:b/>
          <w:bCs/>
          <w:color w:val="auto"/>
          <w:szCs w:val="21"/>
          <w:highlight w:val="none"/>
        </w:rPr>
      </w:pPr>
      <w:r>
        <w:rPr>
          <w:rFonts w:hint="eastAsia" w:ascii="宋体" w:hAnsi="宋体" w:cs="宋体"/>
          <w:b/>
          <w:bCs/>
          <w:color w:val="auto"/>
          <w:szCs w:val="21"/>
          <w:highlight w:val="none"/>
        </w:rPr>
        <w:t>3、报价文件格式：</w:t>
      </w:r>
    </w:p>
    <w:p w14:paraId="76DB0763">
      <w:pPr>
        <w:spacing w:line="240" w:lineRule="atLeast"/>
        <w:jc w:val="center"/>
        <w:rPr>
          <w:rFonts w:ascii="宋体" w:hAnsi="宋体" w:cs="宋体"/>
          <w:b/>
          <w:color w:val="auto"/>
          <w:sz w:val="32"/>
          <w:szCs w:val="32"/>
          <w:highlight w:val="none"/>
        </w:rPr>
      </w:pPr>
    </w:p>
    <w:p w14:paraId="5628AF5A">
      <w:pPr>
        <w:spacing w:line="240" w:lineRule="atLeast"/>
        <w:jc w:val="center"/>
        <w:rPr>
          <w:rFonts w:ascii="宋体" w:hAnsi="宋体" w:cs="宋体"/>
          <w:b/>
          <w:color w:val="auto"/>
          <w:sz w:val="32"/>
          <w:szCs w:val="32"/>
          <w:highlight w:val="none"/>
        </w:rPr>
      </w:pPr>
    </w:p>
    <w:p w14:paraId="4BBA14F7">
      <w:pPr>
        <w:snapToGrid w:val="0"/>
        <w:spacing w:beforeLines="50" w:after="50" w:line="280" w:lineRule="exact"/>
        <w:ind w:firstLine="8" w:firstLineChars="3"/>
        <w:jc w:val="right"/>
        <w:rPr>
          <w:rFonts w:ascii="宋体" w:hAnsi="宋体" w:cs="宋体"/>
          <w:bCs/>
          <w:color w:val="auto"/>
          <w:sz w:val="28"/>
          <w:szCs w:val="28"/>
          <w:highlight w:val="none"/>
        </w:rPr>
      </w:pPr>
      <w:r>
        <w:rPr>
          <w:rFonts w:hint="eastAsia" w:ascii="宋体" w:hAnsi="宋体" w:cs="宋体"/>
          <w:bCs/>
          <w:color w:val="auto"/>
          <w:sz w:val="28"/>
          <w:szCs w:val="28"/>
          <w:highlight w:val="none"/>
        </w:rPr>
        <w:t>电子响应文件</w:t>
      </w:r>
    </w:p>
    <w:p w14:paraId="4E015DBC">
      <w:pPr>
        <w:snapToGrid w:val="0"/>
        <w:spacing w:beforeLines="50" w:after="50" w:line="280" w:lineRule="exact"/>
        <w:ind w:firstLine="9" w:firstLineChars="3"/>
        <w:jc w:val="center"/>
        <w:rPr>
          <w:rFonts w:ascii="宋体" w:hAnsi="宋体" w:cs="宋体"/>
          <w:bCs/>
          <w:color w:val="auto"/>
          <w:sz w:val="32"/>
          <w:szCs w:val="32"/>
          <w:highlight w:val="none"/>
        </w:rPr>
      </w:pPr>
    </w:p>
    <w:p w14:paraId="51D41F52">
      <w:pPr>
        <w:snapToGrid w:val="0"/>
        <w:spacing w:beforeLines="50" w:after="50" w:line="280" w:lineRule="exact"/>
        <w:ind w:firstLine="9" w:firstLineChars="3"/>
        <w:jc w:val="center"/>
        <w:rPr>
          <w:rFonts w:ascii="宋体" w:hAnsi="宋体" w:cs="宋体"/>
          <w:bCs/>
          <w:color w:val="auto"/>
          <w:sz w:val="32"/>
          <w:szCs w:val="32"/>
          <w:highlight w:val="none"/>
        </w:rPr>
      </w:pPr>
    </w:p>
    <w:p w14:paraId="3F01E696">
      <w:pPr>
        <w:snapToGrid w:val="0"/>
        <w:spacing w:beforeLines="50" w:after="50" w:line="280" w:lineRule="exact"/>
        <w:ind w:firstLine="9" w:firstLineChars="3"/>
        <w:jc w:val="center"/>
        <w:rPr>
          <w:rFonts w:ascii="宋体" w:hAnsi="宋体" w:cs="宋体"/>
          <w:bCs/>
          <w:color w:val="auto"/>
          <w:sz w:val="32"/>
          <w:szCs w:val="32"/>
          <w:highlight w:val="none"/>
        </w:rPr>
      </w:pPr>
    </w:p>
    <w:p w14:paraId="7B566ABB">
      <w:pPr>
        <w:snapToGrid w:val="0"/>
        <w:spacing w:beforeLines="50" w:after="50"/>
        <w:ind w:firstLine="13" w:firstLineChars="3"/>
        <w:jc w:val="center"/>
        <w:rPr>
          <w:rFonts w:ascii="宋体" w:hAnsi="宋体" w:cs="宋体"/>
          <w:bCs/>
          <w:color w:val="auto"/>
          <w:sz w:val="44"/>
          <w:szCs w:val="44"/>
          <w:highlight w:val="none"/>
        </w:rPr>
      </w:pPr>
      <w:r>
        <w:rPr>
          <w:rFonts w:hint="eastAsia" w:ascii="宋体" w:hAnsi="宋体" w:cs="宋体"/>
          <w:bCs/>
          <w:color w:val="auto"/>
          <w:sz w:val="44"/>
          <w:szCs w:val="44"/>
          <w:highlight w:val="none"/>
        </w:rPr>
        <w:t>响应文件</w:t>
      </w:r>
    </w:p>
    <w:p w14:paraId="1F76489E">
      <w:pPr>
        <w:snapToGrid w:val="0"/>
        <w:spacing w:beforeLines="50" w:after="50"/>
        <w:ind w:firstLine="9" w:firstLineChars="3"/>
        <w:jc w:val="center"/>
        <w:rPr>
          <w:rFonts w:ascii="宋体" w:hAnsi="宋体" w:cs="宋体"/>
          <w:bCs/>
          <w:color w:val="auto"/>
          <w:sz w:val="32"/>
          <w:szCs w:val="32"/>
          <w:highlight w:val="none"/>
        </w:rPr>
      </w:pPr>
      <w:r>
        <w:rPr>
          <w:rFonts w:hint="eastAsia" w:ascii="宋体" w:hAnsi="宋体" w:cs="宋体"/>
          <w:bCs/>
          <w:color w:val="auto"/>
          <w:sz w:val="32"/>
          <w:szCs w:val="32"/>
          <w:highlight w:val="none"/>
        </w:rPr>
        <w:t>（报价文件）</w:t>
      </w:r>
    </w:p>
    <w:p w14:paraId="71E4CE95">
      <w:pPr>
        <w:snapToGrid w:val="0"/>
        <w:spacing w:beforeLines="50" w:after="50"/>
        <w:rPr>
          <w:rFonts w:ascii="宋体" w:hAnsi="宋体" w:cs="宋体"/>
          <w:bCs/>
          <w:color w:val="auto"/>
          <w:szCs w:val="21"/>
          <w:highlight w:val="none"/>
        </w:rPr>
      </w:pPr>
    </w:p>
    <w:p w14:paraId="331B552B">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项目名称：</w:t>
      </w:r>
    </w:p>
    <w:p w14:paraId="612BEB9F">
      <w:pPr>
        <w:snapToGrid w:val="0"/>
        <w:spacing w:beforeLines="50" w:after="50" w:line="280" w:lineRule="exact"/>
        <w:ind w:firstLine="675" w:firstLineChars="225"/>
        <w:rPr>
          <w:rFonts w:ascii="宋体" w:hAnsi="宋体" w:cs="宋体"/>
          <w:bCs/>
          <w:color w:val="auto"/>
          <w:sz w:val="30"/>
          <w:szCs w:val="30"/>
          <w:highlight w:val="none"/>
        </w:rPr>
      </w:pPr>
    </w:p>
    <w:p w14:paraId="26AC2B55">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项目编号：</w:t>
      </w:r>
    </w:p>
    <w:p w14:paraId="01D63676">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 xml:space="preserve"> </w:t>
      </w:r>
    </w:p>
    <w:p w14:paraId="0E860B13">
      <w:pPr>
        <w:snapToGrid w:val="0"/>
        <w:spacing w:beforeLines="50" w:after="50"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标    项：（如有则填写，无分标时填写“无”或者留空）</w:t>
      </w:r>
    </w:p>
    <w:p w14:paraId="2CB4893B">
      <w:pPr>
        <w:snapToGrid w:val="0"/>
        <w:spacing w:beforeLines="50" w:after="50" w:line="280" w:lineRule="exact"/>
        <w:ind w:firstLine="675" w:firstLineChars="225"/>
        <w:rPr>
          <w:rFonts w:ascii="宋体" w:hAnsi="宋体" w:cs="宋体"/>
          <w:bCs/>
          <w:color w:val="auto"/>
          <w:sz w:val="30"/>
          <w:szCs w:val="30"/>
          <w:highlight w:val="none"/>
        </w:rPr>
      </w:pPr>
    </w:p>
    <w:p w14:paraId="53C10AFB">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供应商名称：</w:t>
      </w:r>
      <w:r>
        <w:rPr>
          <w:rFonts w:hint="eastAsia" w:ascii="宋体" w:hAnsi="宋体"/>
          <w:bCs/>
          <w:color w:val="auto"/>
          <w:sz w:val="24"/>
          <w:highlight w:val="none"/>
          <w:u w:val="single"/>
        </w:rPr>
        <w:t xml:space="preserve">                       </w:t>
      </w:r>
      <w:r>
        <w:rPr>
          <w:rFonts w:hint="eastAsia" w:ascii="宋体" w:hAnsi="宋体" w:cs="宋体"/>
          <w:bCs/>
          <w:color w:val="auto"/>
          <w:sz w:val="30"/>
          <w:szCs w:val="30"/>
          <w:highlight w:val="none"/>
        </w:rPr>
        <w:t>（加盖单位电子公章）</w:t>
      </w:r>
    </w:p>
    <w:p w14:paraId="3BC03F20">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p>
    <w:p w14:paraId="0FCD8ADE">
      <w:pPr>
        <w:pStyle w:val="7"/>
        <w:snapToGrid w:val="0"/>
        <w:spacing w:before="100" w:beforeAutospacing="1" w:after="100" w:afterAutospacing="1" w:line="280" w:lineRule="exact"/>
        <w:ind w:firstLine="675" w:firstLineChars="225"/>
        <w:rPr>
          <w:rFonts w:ascii="宋体" w:hAnsi="宋体" w:cs="宋体"/>
          <w:bCs/>
          <w:color w:val="auto"/>
          <w:sz w:val="30"/>
          <w:szCs w:val="30"/>
          <w:highlight w:val="none"/>
        </w:rPr>
      </w:pPr>
      <w:r>
        <w:rPr>
          <w:rFonts w:hint="eastAsia" w:ascii="宋体" w:hAnsi="宋体" w:cs="宋体"/>
          <w:bCs/>
          <w:color w:val="auto"/>
          <w:sz w:val="30"/>
          <w:szCs w:val="30"/>
          <w:highlight w:val="none"/>
        </w:rPr>
        <w:t>供应商地址：</w:t>
      </w:r>
    </w:p>
    <w:p w14:paraId="6BFD9785">
      <w:pPr>
        <w:pStyle w:val="7"/>
        <w:snapToGrid w:val="0"/>
        <w:spacing w:before="50" w:after="50" w:line="280" w:lineRule="exact"/>
        <w:ind w:firstLine="675" w:firstLineChars="225"/>
        <w:rPr>
          <w:rFonts w:ascii="宋体" w:hAnsi="宋体" w:cs="宋体"/>
          <w:bCs/>
          <w:color w:val="auto"/>
          <w:sz w:val="30"/>
          <w:szCs w:val="30"/>
          <w:highlight w:val="none"/>
        </w:rPr>
      </w:pPr>
    </w:p>
    <w:p w14:paraId="792231A2">
      <w:pPr>
        <w:snapToGrid w:val="0"/>
        <w:spacing w:beforeLines="50" w:after="50"/>
        <w:ind w:firstLine="10"/>
        <w:jc w:val="center"/>
        <w:rPr>
          <w:rFonts w:ascii="宋体" w:hAnsi="宋体" w:cs="宋体"/>
          <w:color w:val="auto"/>
          <w:sz w:val="30"/>
          <w:szCs w:val="30"/>
          <w:highlight w:val="none"/>
        </w:rPr>
      </w:pPr>
    </w:p>
    <w:p w14:paraId="09618B23">
      <w:pPr>
        <w:snapToGrid w:val="0"/>
        <w:spacing w:beforeLines="50" w:after="50"/>
        <w:ind w:firstLine="10"/>
        <w:jc w:val="center"/>
        <w:rPr>
          <w:rFonts w:ascii="宋体" w:hAnsi="宋体" w:cs="宋体"/>
          <w:color w:val="auto"/>
          <w:sz w:val="30"/>
          <w:szCs w:val="30"/>
          <w:highlight w:val="none"/>
        </w:rPr>
      </w:pPr>
    </w:p>
    <w:p w14:paraId="72B7F523">
      <w:pPr>
        <w:snapToGrid w:val="0"/>
        <w:spacing w:beforeLines="50" w:after="50"/>
        <w:ind w:firstLine="10"/>
        <w:jc w:val="center"/>
        <w:rPr>
          <w:rFonts w:ascii="宋体" w:hAnsi="宋体" w:cs="宋体"/>
          <w:color w:val="auto"/>
          <w:sz w:val="30"/>
          <w:szCs w:val="30"/>
          <w:highlight w:val="none"/>
        </w:rPr>
      </w:pPr>
    </w:p>
    <w:p w14:paraId="3BA818E6">
      <w:pPr>
        <w:snapToGrid w:val="0"/>
        <w:spacing w:beforeLines="50" w:after="50"/>
        <w:ind w:firstLine="10"/>
        <w:jc w:val="center"/>
        <w:rPr>
          <w:rFonts w:ascii="宋体" w:hAnsi="宋体" w:cs="宋体"/>
          <w:color w:val="auto"/>
          <w:sz w:val="30"/>
          <w:szCs w:val="30"/>
          <w:highlight w:val="none"/>
        </w:rPr>
      </w:pPr>
      <w:r>
        <w:rPr>
          <w:rFonts w:hint="eastAsia" w:ascii="宋体" w:hAnsi="宋体" w:cs="宋体"/>
          <w:color w:val="auto"/>
          <w:sz w:val="30"/>
          <w:szCs w:val="30"/>
          <w:highlight w:val="none"/>
        </w:rPr>
        <w:t>年   月   日</w:t>
      </w:r>
    </w:p>
    <w:p w14:paraId="46F4FE44">
      <w:pPr>
        <w:spacing w:line="320" w:lineRule="exact"/>
        <w:rPr>
          <w:rFonts w:ascii="宋体" w:hAnsi="宋体" w:cs="宋体"/>
          <w:b/>
          <w:color w:val="auto"/>
          <w:szCs w:val="21"/>
          <w:highlight w:val="none"/>
        </w:rPr>
      </w:pPr>
    </w:p>
    <w:p w14:paraId="48852A30">
      <w:pPr>
        <w:spacing w:line="320" w:lineRule="exact"/>
        <w:rPr>
          <w:rFonts w:ascii="宋体" w:hAnsi="宋体" w:cs="宋体"/>
          <w:b/>
          <w:color w:val="auto"/>
          <w:szCs w:val="21"/>
          <w:highlight w:val="none"/>
        </w:rPr>
      </w:pPr>
    </w:p>
    <w:p w14:paraId="3AC88615">
      <w:pPr>
        <w:spacing w:line="320" w:lineRule="exact"/>
        <w:rPr>
          <w:rFonts w:ascii="宋体" w:hAnsi="宋体" w:cs="宋体"/>
          <w:b/>
          <w:color w:val="auto"/>
          <w:szCs w:val="21"/>
          <w:highlight w:val="none"/>
        </w:rPr>
      </w:pPr>
    </w:p>
    <w:p w14:paraId="2D3AFA35">
      <w:pPr>
        <w:pStyle w:val="27"/>
        <w:rPr>
          <w:color w:val="auto"/>
          <w:highlight w:val="none"/>
        </w:rPr>
      </w:pPr>
    </w:p>
    <w:p w14:paraId="4056B83D">
      <w:pPr>
        <w:spacing w:line="320" w:lineRule="exact"/>
        <w:rPr>
          <w:rFonts w:ascii="宋体" w:hAnsi="宋体" w:cs="宋体"/>
          <w:b/>
          <w:color w:val="auto"/>
          <w:szCs w:val="21"/>
          <w:highlight w:val="none"/>
        </w:rPr>
      </w:pPr>
    </w:p>
    <w:p w14:paraId="28CE226B">
      <w:pPr>
        <w:spacing w:line="320" w:lineRule="exact"/>
        <w:rPr>
          <w:rFonts w:ascii="宋体" w:hAnsi="宋体" w:cs="宋体"/>
          <w:b/>
          <w:color w:val="auto"/>
          <w:szCs w:val="21"/>
          <w:highlight w:val="none"/>
        </w:rPr>
      </w:pPr>
    </w:p>
    <w:p w14:paraId="62216940">
      <w:pPr>
        <w:spacing w:line="320" w:lineRule="exact"/>
        <w:rPr>
          <w:rFonts w:ascii="宋体" w:hAnsi="宋体" w:cs="宋体"/>
          <w:b/>
          <w:color w:val="auto"/>
          <w:szCs w:val="21"/>
          <w:highlight w:val="none"/>
        </w:rPr>
      </w:pPr>
    </w:p>
    <w:p w14:paraId="12240985">
      <w:pPr>
        <w:tabs>
          <w:tab w:val="left" w:pos="1418"/>
        </w:tabs>
        <w:snapToGrid w:val="0"/>
        <w:spacing w:before="50" w:after="50" w:line="320" w:lineRule="exact"/>
        <w:jc w:val="center"/>
        <w:rPr>
          <w:rFonts w:ascii="宋体" w:hAnsi="宋体"/>
          <w:bCs/>
          <w:color w:val="auto"/>
          <w:sz w:val="32"/>
          <w:szCs w:val="32"/>
          <w:highlight w:val="none"/>
        </w:rPr>
      </w:pPr>
      <w:r>
        <w:rPr>
          <w:rFonts w:hint="eastAsia" w:ascii="宋体" w:hAnsi="宋体"/>
          <w:bCs/>
          <w:color w:val="auto"/>
          <w:sz w:val="32"/>
          <w:szCs w:val="32"/>
          <w:highlight w:val="none"/>
        </w:rPr>
        <w:t>目   录</w:t>
      </w:r>
    </w:p>
    <w:p w14:paraId="6E6FD1B9">
      <w:pPr>
        <w:tabs>
          <w:tab w:val="left" w:pos="2625"/>
        </w:tabs>
        <w:spacing w:line="360" w:lineRule="auto"/>
        <w:jc w:val="center"/>
        <w:rPr>
          <w:rFonts w:ascii="宋体" w:hAnsi="宋体" w:cs="宋体"/>
          <w:color w:val="auto"/>
          <w:sz w:val="28"/>
          <w:szCs w:val="28"/>
          <w:highlight w:val="none"/>
        </w:rPr>
      </w:pPr>
      <w:r>
        <w:rPr>
          <w:rFonts w:hint="eastAsia" w:ascii="宋体" w:hAnsi="宋体" w:cs="宋体"/>
          <w:color w:val="auto"/>
          <w:sz w:val="28"/>
          <w:szCs w:val="28"/>
          <w:highlight w:val="none"/>
        </w:rPr>
        <w:t>(供应商需根据响应文件自行编制目录及页码)</w:t>
      </w:r>
    </w:p>
    <w:p w14:paraId="33C5B60C">
      <w:pPr>
        <w:spacing w:line="320" w:lineRule="exact"/>
        <w:rPr>
          <w:rFonts w:ascii="宋体" w:hAnsi="宋体"/>
          <w:bCs/>
          <w:color w:val="auto"/>
          <w:szCs w:val="21"/>
          <w:highlight w:val="none"/>
        </w:rPr>
      </w:pPr>
    </w:p>
    <w:p w14:paraId="545502A4">
      <w:pPr>
        <w:spacing w:line="320" w:lineRule="exact"/>
        <w:rPr>
          <w:rFonts w:ascii="宋体" w:hAnsi="宋体"/>
          <w:bCs/>
          <w:color w:val="auto"/>
          <w:szCs w:val="21"/>
          <w:highlight w:val="none"/>
        </w:rPr>
      </w:pPr>
    </w:p>
    <w:p w14:paraId="25EE34CC">
      <w:pPr>
        <w:spacing w:line="320" w:lineRule="exact"/>
        <w:rPr>
          <w:rFonts w:ascii="宋体" w:hAnsi="宋体"/>
          <w:bCs/>
          <w:color w:val="auto"/>
          <w:szCs w:val="21"/>
          <w:highlight w:val="none"/>
        </w:rPr>
      </w:pPr>
    </w:p>
    <w:p w14:paraId="28B6EB4E">
      <w:pPr>
        <w:spacing w:line="320" w:lineRule="exact"/>
        <w:rPr>
          <w:rFonts w:ascii="宋体" w:hAnsi="宋体"/>
          <w:bCs/>
          <w:color w:val="auto"/>
          <w:szCs w:val="21"/>
          <w:highlight w:val="none"/>
        </w:rPr>
      </w:pPr>
    </w:p>
    <w:p w14:paraId="6A70080A">
      <w:pPr>
        <w:spacing w:line="320" w:lineRule="exact"/>
        <w:rPr>
          <w:rFonts w:ascii="宋体" w:hAnsi="宋体"/>
          <w:bCs/>
          <w:color w:val="auto"/>
          <w:szCs w:val="21"/>
          <w:highlight w:val="none"/>
        </w:rPr>
      </w:pPr>
    </w:p>
    <w:p w14:paraId="1AAEA7C7">
      <w:pPr>
        <w:spacing w:line="320" w:lineRule="exact"/>
        <w:rPr>
          <w:rFonts w:ascii="宋体" w:hAnsi="宋体"/>
          <w:bCs/>
          <w:color w:val="auto"/>
          <w:szCs w:val="21"/>
          <w:highlight w:val="none"/>
        </w:rPr>
      </w:pPr>
    </w:p>
    <w:p w14:paraId="05E290FB">
      <w:pPr>
        <w:spacing w:line="320" w:lineRule="exact"/>
        <w:rPr>
          <w:rFonts w:ascii="宋体" w:hAnsi="宋体"/>
          <w:bCs/>
          <w:color w:val="auto"/>
          <w:szCs w:val="21"/>
          <w:highlight w:val="none"/>
        </w:rPr>
      </w:pPr>
    </w:p>
    <w:p w14:paraId="4557ED0D">
      <w:pPr>
        <w:spacing w:line="320" w:lineRule="exact"/>
        <w:rPr>
          <w:rFonts w:ascii="宋体" w:hAnsi="宋体"/>
          <w:bCs/>
          <w:color w:val="auto"/>
          <w:szCs w:val="21"/>
          <w:highlight w:val="none"/>
        </w:rPr>
      </w:pPr>
    </w:p>
    <w:p w14:paraId="50AFE602">
      <w:pPr>
        <w:spacing w:line="320" w:lineRule="exact"/>
        <w:rPr>
          <w:rFonts w:ascii="宋体" w:hAnsi="宋体"/>
          <w:bCs/>
          <w:color w:val="auto"/>
          <w:szCs w:val="21"/>
          <w:highlight w:val="none"/>
        </w:rPr>
      </w:pPr>
    </w:p>
    <w:p w14:paraId="274F170F">
      <w:pPr>
        <w:spacing w:line="320" w:lineRule="exact"/>
        <w:rPr>
          <w:rFonts w:ascii="宋体" w:hAnsi="宋体"/>
          <w:bCs/>
          <w:color w:val="auto"/>
          <w:szCs w:val="21"/>
          <w:highlight w:val="none"/>
        </w:rPr>
      </w:pPr>
    </w:p>
    <w:p w14:paraId="42E145F2">
      <w:pPr>
        <w:spacing w:line="320" w:lineRule="exact"/>
        <w:rPr>
          <w:rFonts w:ascii="宋体" w:hAnsi="宋体"/>
          <w:bCs/>
          <w:color w:val="auto"/>
          <w:szCs w:val="21"/>
          <w:highlight w:val="none"/>
        </w:rPr>
      </w:pPr>
    </w:p>
    <w:p w14:paraId="6DDE9AFA">
      <w:pPr>
        <w:spacing w:line="320" w:lineRule="exact"/>
        <w:rPr>
          <w:rFonts w:ascii="宋体" w:hAnsi="宋体"/>
          <w:bCs/>
          <w:color w:val="auto"/>
          <w:szCs w:val="21"/>
          <w:highlight w:val="none"/>
        </w:rPr>
      </w:pPr>
    </w:p>
    <w:p w14:paraId="38411B33">
      <w:pPr>
        <w:spacing w:line="320" w:lineRule="exact"/>
        <w:rPr>
          <w:rFonts w:ascii="宋体" w:hAnsi="宋体"/>
          <w:bCs/>
          <w:color w:val="auto"/>
          <w:szCs w:val="21"/>
          <w:highlight w:val="none"/>
        </w:rPr>
      </w:pPr>
    </w:p>
    <w:p w14:paraId="06F2E1DB">
      <w:pPr>
        <w:spacing w:line="320" w:lineRule="exact"/>
        <w:rPr>
          <w:rFonts w:ascii="宋体" w:hAnsi="宋体"/>
          <w:bCs/>
          <w:color w:val="auto"/>
          <w:szCs w:val="21"/>
          <w:highlight w:val="none"/>
        </w:rPr>
      </w:pPr>
    </w:p>
    <w:p w14:paraId="45A0A53B">
      <w:pPr>
        <w:spacing w:line="320" w:lineRule="exact"/>
        <w:rPr>
          <w:rFonts w:ascii="宋体" w:hAnsi="宋体"/>
          <w:bCs/>
          <w:color w:val="auto"/>
          <w:szCs w:val="21"/>
          <w:highlight w:val="none"/>
        </w:rPr>
      </w:pPr>
    </w:p>
    <w:p w14:paraId="461CD7B6">
      <w:pPr>
        <w:spacing w:line="320" w:lineRule="exact"/>
        <w:rPr>
          <w:rFonts w:ascii="宋体" w:hAnsi="宋体"/>
          <w:bCs/>
          <w:color w:val="auto"/>
          <w:szCs w:val="21"/>
          <w:highlight w:val="none"/>
        </w:rPr>
      </w:pPr>
    </w:p>
    <w:p w14:paraId="64892516">
      <w:pPr>
        <w:spacing w:line="320" w:lineRule="exact"/>
        <w:rPr>
          <w:rFonts w:ascii="宋体" w:hAnsi="宋体"/>
          <w:bCs/>
          <w:color w:val="auto"/>
          <w:szCs w:val="21"/>
          <w:highlight w:val="none"/>
        </w:rPr>
      </w:pPr>
    </w:p>
    <w:p w14:paraId="09F22F9E">
      <w:pPr>
        <w:pStyle w:val="27"/>
        <w:rPr>
          <w:rFonts w:ascii="宋体" w:hAnsi="宋体"/>
          <w:bCs/>
          <w:color w:val="auto"/>
          <w:szCs w:val="21"/>
          <w:highlight w:val="none"/>
        </w:rPr>
      </w:pPr>
    </w:p>
    <w:p w14:paraId="69E2DEFD">
      <w:pPr>
        <w:rPr>
          <w:rFonts w:ascii="宋体" w:hAnsi="宋体"/>
          <w:bCs/>
          <w:color w:val="auto"/>
          <w:szCs w:val="21"/>
          <w:highlight w:val="none"/>
        </w:rPr>
      </w:pPr>
    </w:p>
    <w:p w14:paraId="16FE7E01">
      <w:pPr>
        <w:pStyle w:val="27"/>
        <w:rPr>
          <w:rFonts w:ascii="宋体" w:hAnsi="宋体"/>
          <w:bCs/>
          <w:color w:val="auto"/>
          <w:szCs w:val="21"/>
          <w:highlight w:val="none"/>
        </w:rPr>
      </w:pPr>
    </w:p>
    <w:p w14:paraId="46C24DF9">
      <w:pPr>
        <w:rPr>
          <w:rFonts w:ascii="宋体" w:hAnsi="宋体"/>
          <w:bCs/>
          <w:color w:val="auto"/>
          <w:szCs w:val="21"/>
          <w:highlight w:val="none"/>
        </w:rPr>
      </w:pPr>
    </w:p>
    <w:p w14:paraId="0EC0388F">
      <w:pPr>
        <w:pStyle w:val="27"/>
        <w:rPr>
          <w:rFonts w:ascii="宋体" w:hAnsi="宋体"/>
          <w:bCs/>
          <w:color w:val="auto"/>
          <w:szCs w:val="21"/>
          <w:highlight w:val="none"/>
        </w:rPr>
      </w:pPr>
    </w:p>
    <w:p w14:paraId="4210985F">
      <w:pPr>
        <w:rPr>
          <w:rFonts w:ascii="宋体" w:hAnsi="宋体"/>
          <w:bCs/>
          <w:color w:val="auto"/>
          <w:szCs w:val="21"/>
          <w:highlight w:val="none"/>
        </w:rPr>
      </w:pPr>
    </w:p>
    <w:p w14:paraId="53ED7B53">
      <w:pPr>
        <w:pStyle w:val="27"/>
        <w:rPr>
          <w:rFonts w:ascii="宋体" w:hAnsi="宋体"/>
          <w:bCs/>
          <w:color w:val="auto"/>
          <w:szCs w:val="21"/>
          <w:highlight w:val="none"/>
        </w:rPr>
      </w:pPr>
    </w:p>
    <w:p w14:paraId="2AF66122">
      <w:pPr>
        <w:rPr>
          <w:rFonts w:ascii="宋体" w:hAnsi="宋体"/>
          <w:bCs/>
          <w:color w:val="auto"/>
          <w:szCs w:val="21"/>
          <w:highlight w:val="none"/>
        </w:rPr>
      </w:pPr>
    </w:p>
    <w:p w14:paraId="43EE47F9">
      <w:pPr>
        <w:pStyle w:val="27"/>
        <w:rPr>
          <w:rFonts w:ascii="宋体" w:hAnsi="宋体"/>
          <w:bCs/>
          <w:color w:val="auto"/>
          <w:szCs w:val="21"/>
          <w:highlight w:val="none"/>
        </w:rPr>
      </w:pPr>
    </w:p>
    <w:p w14:paraId="11960284">
      <w:pPr>
        <w:rPr>
          <w:rFonts w:ascii="宋体" w:hAnsi="宋体"/>
          <w:bCs/>
          <w:color w:val="auto"/>
          <w:szCs w:val="21"/>
          <w:highlight w:val="none"/>
        </w:rPr>
      </w:pPr>
    </w:p>
    <w:p w14:paraId="1559D844">
      <w:pPr>
        <w:pStyle w:val="27"/>
        <w:rPr>
          <w:color w:val="auto"/>
          <w:highlight w:val="none"/>
        </w:rPr>
      </w:pPr>
    </w:p>
    <w:p w14:paraId="03202C70">
      <w:pPr>
        <w:spacing w:line="320" w:lineRule="exact"/>
        <w:rPr>
          <w:rFonts w:ascii="宋体" w:hAnsi="宋体"/>
          <w:bCs/>
          <w:color w:val="auto"/>
          <w:szCs w:val="21"/>
          <w:highlight w:val="none"/>
        </w:rPr>
      </w:pPr>
    </w:p>
    <w:p w14:paraId="028E4C36">
      <w:pPr>
        <w:spacing w:line="320" w:lineRule="exact"/>
        <w:rPr>
          <w:rFonts w:ascii="宋体" w:hAnsi="宋体"/>
          <w:bCs/>
          <w:color w:val="auto"/>
          <w:szCs w:val="21"/>
          <w:highlight w:val="none"/>
        </w:rPr>
      </w:pPr>
    </w:p>
    <w:p w14:paraId="4E08F385">
      <w:pPr>
        <w:spacing w:line="320" w:lineRule="exact"/>
        <w:rPr>
          <w:rFonts w:ascii="宋体" w:hAnsi="宋体"/>
          <w:bCs/>
          <w:color w:val="auto"/>
          <w:szCs w:val="21"/>
          <w:highlight w:val="none"/>
        </w:rPr>
      </w:pPr>
    </w:p>
    <w:p w14:paraId="13A53D38">
      <w:pPr>
        <w:spacing w:line="320" w:lineRule="exact"/>
        <w:rPr>
          <w:rFonts w:ascii="宋体" w:hAnsi="宋体"/>
          <w:bCs/>
          <w:color w:val="auto"/>
          <w:szCs w:val="21"/>
          <w:highlight w:val="none"/>
        </w:rPr>
      </w:pPr>
    </w:p>
    <w:p w14:paraId="01009570">
      <w:pPr>
        <w:spacing w:line="320" w:lineRule="exact"/>
        <w:rPr>
          <w:rFonts w:ascii="宋体" w:hAnsi="宋体"/>
          <w:bCs/>
          <w:color w:val="auto"/>
          <w:szCs w:val="21"/>
          <w:highlight w:val="none"/>
        </w:rPr>
      </w:pPr>
    </w:p>
    <w:p w14:paraId="401BE0A9">
      <w:pPr>
        <w:spacing w:line="320" w:lineRule="exact"/>
        <w:rPr>
          <w:rFonts w:ascii="宋体" w:hAnsi="宋体"/>
          <w:bCs/>
          <w:color w:val="auto"/>
          <w:szCs w:val="21"/>
          <w:highlight w:val="none"/>
        </w:rPr>
      </w:pPr>
    </w:p>
    <w:p w14:paraId="2D26BD89">
      <w:pPr>
        <w:spacing w:line="320" w:lineRule="exact"/>
        <w:rPr>
          <w:rFonts w:ascii="宋体" w:hAnsi="宋体"/>
          <w:bCs/>
          <w:color w:val="auto"/>
          <w:szCs w:val="21"/>
          <w:highlight w:val="none"/>
        </w:rPr>
      </w:pPr>
    </w:p>
    <w:p w14:paraId="6944CC22">
      <w:pPr>
        <w:spacing w:line="320" w:lineRule="exact"/>
        <w:rPr>
          <w:rFonts w:ascii="宋体" w:hAnsi="宋体"/>
          <w:bCs/>
          <w:color w:val="auto"/>
          <w:szCs w:val="21"/>
          <w:highlight w:val="none"/>
        </w:rPr>
      </w:pPr>
    </w:p>
    <w:p w14:paraId="3F47D237">
      <w:pPr>
        <w:spacing w:line="320" w:lineRule="exact"/>
        <w:rPr>
          <w:rFonts w:ascii="宋体" w:hAnsi="宋体"/>
          <w:bCs/>
          <w:color w:val="auto"/>
          <w:szCs w:val="21"/>
          <w:highlight w:val="none"/>
        </w:rPr>
      </w:pPr>
    </w:p>
    <w:p w14:paraId="52024F49">
      <w:pPr>
        <w:spacing w:line="320" w:lineRule="exact"/>
        <w:rPr>
          <w:rFonts w:ascii="宋体" w:hAnsi="宋体"/>
          <w:bCs/>
          <w:color w:val="auto"/>
          <w:szCs w:val="21"/>
          <w:highlight w:val="none"/>
        </w:rPr>
      </w:pPr>
    </w:p>
    <w:p w14:paraId="0CC0674D">
      <w:pPr>
        <w:spacing w:line="320" w:lineRule="exact"/>
        <w:rPr>
          <w:rFonts w:ascii="宋体" w:hAnsi="宋体"/>
          <w:bCs/>
          <w:color w:val="auto"/>
          <w:szCs w:val="21"/>
          <w:highlight w:val="none"/>
        </w:rPr>
      </w:pPr>
    </w:p>
    <w:p w14:paraId="0074B300">
      <w:pPr>
        <w:spacing w:line="320" w:lineRule="exact"/>
        <w:rPr>
          <w:rFonts w:ascii="宋体" w:hAnsi="宋体" w:cs="宋体"/>
          <w:b/>
          <w:color w:val="auto"/>
          <w:szCs w:val="21"/>
          <w:highlight w:val="none"/>
        </w:rPr>
      </w:pPr>
      <w:r>
        <w:rPr>
          <w:rFonts w:hint="eastAsia" w:ascii="宋体" w:hAnsi="宋体" w:cs="宋体"/>
          <w:b/>
          <w:color w:val="auto"/>
          <w:szCs w:val="21"/>
          <w:highlight w:val="none"/>
        </w:rPr>
        <w:t>一、竞标函格式</w:t>
      </w:r>
    </w:p>
    <w:p w14:paraId="1ECF7FBB">
      <w:pPr>
        <w:snapToGrid w:val="0"/>
        <w:spacing w:beforeLines="50" w:after="50" w:line="360" w:lineRule="exact"/>
        <w:jc w:val="center"/>
        <w:rPr>
          <w:rFonts w:ascii="宋体" w:hAnsi="宋体"/>
          <w:b/>
          <w:color w:val="auto"/>
          <w:sz w:val="32"/>
          <w:szCs w:val="32"/>
          <w:highlight w:val="none"/>
        </w:rPr>
      </w:pPr>
      <w:r>
        <w:rPr>
          <w:rFonts w:hint="eastAsia" w:ascii="宋体" w:hAnsi="宋体"/>
          <w:b/>
          <w:color w:val="auto"/>
          <w:sz w:val="32"/>
          <w:szCs w:val="32"/>
          <w:highlight w:val="none"/>
        </w:rPr>
        <w:t>竞 标 函</w:t>
      </w:r>
    </w:p>
    <w:p w14:paraId="205F9F1B">
      <w:pPr>
        <w:snapToGrid w:val="0"/>
        <w:spacing w:line="360" w:lineRule="exact"/>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w:t>
      </w:r>
      <w:r>
        <w:rPr>
          <w:rFonts w:hint="eastAsia" w:ascii="宋体" w:hAnsi="宋体"/>
          <w:color w:val="auto"/>
          <w:szCs w:val="21"/>
          <w:highlight w:val="none"/>
        </w:rPr>
        <w:t>（采购人名称）：</w:t>
      </w:r>
    </w:p>
    <w:p w14:paraId="5A5F6E46">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根据贵方为</w:t>
      </w:r>
      <w:r>
        <w:rPr>
          <w:rFonts w:hint="eastAsia" w:ascii="宋体" w:hAnsi="宋体"/>
          <w:color w:val="auto"/>
          <w:szCs w:val="21"/>
          <w:highlight w:val="none"/>
          <w:u w:val="single"/>
        </w:rPr>
        <w:t xml:space="preserve">                             </w:t>
      </w:r>
      <w:r>
        <w:rPr>
          <w:rFonts w:hint="eastAsia" w:ascii="宋体" w:hAnsi="宋体"/>
          <w:color w:val="auto"/>
          <w:szCs w:val="21"/>
          <w:highlight w:val="none"/>
        </w:rPr>
        <w:t>项目的招标公告（项目编号：     ），签字代表</w:t>
      </w:r>
      <w:r>
        <w:rPr>
          <w:rFonts w:hint="eastAsia" w:ascii="宋体" w:hAnsi="宋体"/>
          <w:color w:val="auto"/>
          <w:szCs w:val="21"/>
          <w:highlight w:val="none"/>
          <w:u w:val="single"/>
        </w:rPr>
        <w:t xml:space="preserve">     （全名）</w:t>
      </w:r>
      <w:r>
        <w:rPr>
          <w:rFonts w:hint="eastAsia" w:ascii="宋体" w:hAnsi="宋体"/>
          <w:color w:val="auto"/>
          <w:szCs w:val="21"/>
          <w:highlight w:val="none"/>
        </w:rPr>
        <w:t>经正式授权并代表供应商</w:t>
      </w:r>
      <w:r>
        <w:rPr>
          <w:rFonts w:hint="eastAsia" w:ascii="宋体" w:hAnsi="宋体"/>
          <w:color w:val="auto"/>
          <w:szCs w:val="21"/>
          <w:highlight w:val="none"/>
          <w:u w:val="single"/>
        </w:rPr>
        <w:t xml:space="preserve">                    （供应商名称）</w:t>
      </w:r>
      <w:r>
        <w:rPr>
          <w:rFonts w:hint="eastAsia" w:ascii="宋体" w:hAnsi="宋体"/>
          <w:color w:val="auto"/>
          <w:szCs w:val="21"/>
          <w:highlight w:val="none"/>
        </w:rPr>
        <w:t>现正式递交下述文件参加贵方组织的本次政府采购活动：</w:t>
      </w:r>
    </w:p>
    <w:p w14:paraId="28F4169C">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一、报价文件电子版一份；</w:t>
      </w:r>
    </w:p>
    <w:p w14:paraId="6A5A2167">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二、资格文件电子版一份；</w:t>
      </w:r>
    </w:p>
    <w:p w14:paraId="711ADC3E">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三、商务和技术文件电子版一份；</w:t>
      </w:r>
    </w:p>
    <w:p w14:paraId="5A2AE823">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据此函，签字代表宣布同意如下：</w:t>
      </w:r>
    </w:p>
    <w:p w14:paraId="1B8BD698">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1.我方已详细审查全部“竞争性谈判文件”，包括修改文件（如有的话）以及全部参考资料和有关附件，已经了解我方对于谈判文件、采购过程、采购结果有依法进行询问、质疑、投诉的权利及相关渠道和要求。</w:t>
      </w:r>
    </w:p>
    <w:p w14:paraId="593D8692">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2.我方在投标之前已经与贵方进行了充分的沟通，完全理解并接受竞争性谈判文件的各项规定和要求，对竞争性谈判文件的合理性、合法性不再有异议。</w:t>
      </w:r>
    </w:p>
    <w:p w14:paraId="320A6690">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3.本投标有效期自开标日起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个</w:t>
      </w:r>
      <w:r>
        <w:rPr>
          <w:rFonts w:hint="eastAsia" w:ascii="宋体" w:hAnsi="宋体"/>
          <w:color w:val="auto"/>
          <w:szCs w:val="21"/>
          <w:highlight w:val="none"/>
          <w:u w:val="single"/>
        </w:rPr>
        <w:t xml:space="preserve">    </w:t>
      </w:r>
      <w:r>
        <w:rPr>
          <w:rFonts w:hint="eastAsia" w:ascii="宋体" w:hAnsi="宋体"/>
          <w:color w:val="auto"/>
          <w:szCs w:val="21"/>
          <w:highlight w:val="none"/>
        </w:rPr>
        <w:t>日（自然日）。</w:t>
      </w:r>
    </w:p>
    <w:p w14:paraId="744D5D52">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4.如中标，本响应文件至本项目合同履行完毕止均保持有效，我方将按“竞争性谈判文件”及政府采购法律、法规的规定履行合同责任和义务。</w:t>
      </w:r>
    </w:p>
    <w:p w14:paraId="696565D5">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5.我方同意按照贵方要求提供与投标有关的一切数据或资料。</w:t>
      </w:r>
    </w:p>
    <w:p w14:paraId="041561BC">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6.与本投标有关的一切正式往来信函请寄：</w:t>
      </w:r>
    </w:p>
    <w:p w14:paraId="23686EE7">
      <w:pPr>
        <w:snapToGrid w:val="0"/>
        <w:spacing w:line="360" w:lineRule="exact"/>
        <w:rPr>
          <w:rFonts w:ascii="宋体" w:hAnsi="宋体"/>
          <w:color w:val="auto"/>
          <w:szCs w:val="21"/>
          <w:highlight w:val="none"/>
          <w:u w:val="single"/>
        </w:rPr>
      </w:pPr>
      <w:r>
        <w:rPr>
          <w:rFonts w:hint="eastAsia" w:ascii="宋体" w:hAnsi="宋体"/>
          <w:color w:val="auto"/>
          <w:szCs w:val="21"/>
          <w:highlight w:val="none"/>
        </w:rPr>
        <w:t>地址：</w:t>
      </w:r>
      <w:r>
        <w:rPr>
          <w:rFonts w:hint="eastAsia" w:ascii="宋体" w:hAnsi="宋体"/>
          <w:color w:val="auto"/>
          <w:szCs w:val="21"/>
          <w:highlight w:val="none"/>
          <w:u w:val="single"/>
        </w:rPr>
        <w:t xml:space="preserve">                    </w:t>
      </w:r>
      <w:r>
        <w:rPr>
          <w:rFonts w:hint="eastAsia" w:ascii="宋体" w:hAnsi="宋体"/>
          <w:color w:val="auto"/>
          <w:szCs w:val="21"/>
          <w:highlight w:val="none"/>
        </w:rPr>
        <w:t>邮编：</w:t>
      </w:r>
      <w:r>
        <w:rPr>
          <w:rFonts w:hint="eastAsia" w:ascii="宋体" w:hAnsi="宋体"/>
          <w:color w:val="auto"/>
          <w:szCs w:val="21"/>
          <w:highlight w:val="none"/>
          <w:u w:val="single"/>
        </w:rPr>
        <w:t xml:space="preserve">               </w:t>
      </w:r>
      <w:r>
        <w:rPr>
          <w:rFonts w:hint="eastAsia" w:ascii="宋体" w:hAnsi="宋体"/>
          <w:color w:val="auto"/>
          <w:szCs w:val="21"/>
          <w:highlight w:val="none"/>
        </w:rPr>
        <w:t>电话：</w:t>
      </w:r>
      <w:r>
        <w:rPr>
          <w:rFonts w:hint="eastAsia" w:ascii="宋体" w:hAnsi="宋体"/>
          <w:color w:val="auto"/>
          <w:szCs w:val="21"/>
          <w:highlight w:val="none"/>
          <w:u w:val="single"/>
        </w:rPr>
        <w:t xml:space="preserve">               </w:t>
      </w:r>
    </w:p>
    <w:p w14:paraId="17E3E665">
      <w:pPr>
        <w:snapToGrid w:val="0"/>
        <w:spacing w:line="360" w:lineRule="exact"/>
        <w:rPr>
          <w:rFonts w:ascii="宋体" w:hAnsi="宋体"/>
          <w:color w:val="auto"/>
          <w:szCs w:val="21"/>
          <w:highlight w:val="none"/>
        </w:rPr>
      </w:pPr>
      <w:r>
        <w:rPr>
          <w:rFonts w:hint="eastAsia" w:ascii="宋体" w:hAnsi="宋体"/>
          <w:color w:val="auto"/>
          <w:szCs w:val="21"/>
          <w:highlight w:val="none"/>
        </w:rPr>
        <w:t>传真：</w:t>
      </w:r>
      <w:r>
        <w:rPr>
          <w:rFonts w:hint="eastAsia" w:ascii="宋体" w:hAnsi="宋体"/>
          <w:color w:val="auto"/>
          <w:szCs w:val="21"/>
          <w:highlight w:val="none"/>
          <w:u w:val="single"/>
        </w:rPr>
        <w:t xml:space="preserve">                   </w:t>
      </w:r>
      <w:r>
        <w:rPr>
          <w:rFonts w:hint="eastAsia" w:ascii="宋体" w:hAnsi="宋体"/>
          <w:color w:val="auto"/>
          <w:szCs w:val="21"/>
          <w:highlight w:val="none"/>
        </w:rPr>
        <w:t>供应商代表姓名</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职务：</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C29EF56">
      <w:pPr>
        <w:snapToGrid w:val="0"/>
        <w:spacing w:line="360" w:lineRule="exact"/>
        <w:rPr>
          <w:rFonts w:ascii="宋体" w:hAnsi="宋体"/>
          <w:color w:val="auto"/>
          <w:szCs w:val="21"/>
          <w:highlight w:val="none"/>
        </w:rPr>
      </w:pPr>
      <w:r>
        <w:rPr>
          <w:rFonts w:hint="eastAsia" w:ascii="宋体" w:hAnsi="宋体"/>
          <w:color w:val="auto"/>
          <w:szCs w:val="21"/>
          <w:highlight w:val="none"/>
        </w:rPr>
        <w:t>供应商名称:</w:t>
      </w:r>
      <w:r>
        <w:rPr>
          <w:rFonts w:hint="eastAsia" w:ascii="宋体" w:hAnsi="宋体"/>
          <w:color w:val="auto"/>
          <w:szCs w:val="21"/>
          <w:highlight w:val="none"/>
          <w:u w:val="single"/>
        </w:rPr>
        <w:t xml:space="preserve">                    </w:t>
      </w:r>
    </w:p>
    <w:p w14:paraId="22DAB576">
      <w:pPr>
        <w:snapToGrid w:val="0"/>
        <w:spacing w:line="360" w:lineRule="exact"/>
        <w:rPr>
          <w:rFonts w:ascii="宋体" w:hAnsi="宋体"/>
          <w:color w:val="auto"/>
          <w:szCs w:val="21"/>
          <w:highlight w:val="none"/>
        </w:rPr>
      </w:pPr>
      <w:r>
        <w:rPr>
          <w:rFonts w:hint="eastAsia" w:ascii="宋体" w:hAnsi="宋体"/>
          <w:color w:val="auto"/>
          <w:szCs w:val="21"/>
          <w:highlight w:val="none"/>
        </w:rPr>
        <w:t>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银行帐号：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10B5110">
      <w:pPr>
        <w:snapToGrid w:val="0"/>
        <w:spacing w:line="360" w:lineRule="exact"/>
        <w:rPr>
          <w:rFonts w:ascii="宋体" w:hAnsi="宋体"/>
          <w:color w:val="auto"/>
          <w:szCs w:val="21"/>
          <w:highlight w:val="none"/>
        </w:rPr>
      </w:pPr>
    </w:p>
    <w:p w14:paraId="7E8A0516">
      <w:pPr>
        <w:snapToGrid w:val="0"/>
        <w:spacing w:line="360" w:lineRule="exact"/>
        <w:rPr>
          <w:rFonts w:ascii="宋体" w:hAnsi="宋体"/>
          <w:color w:val="auto"/>
          <w:szCs w:val="21"/>
          <w:highlight w:val="none"/>
        </w:rPr>
      </w:pPr>
    </w:p>
    <w:p w14:paraId="1E689396">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4E9FD6E2">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2B8723B4">
      <w:pPr>
        <w:pStyle w:val="20"/>
        <w:spacing w:line="360" w:lineRule="exact"/>
        <w:rPr>
          <w:rFonts w:hAnsi="宋体"/>
          <w:color w:val="auto"/>
          <w:sz w:val="44"/>
          <w:szCs w:val="21"/>
          <w:highlight w:val="none"/>
        </w:rPr>
      </w:pPr>
    </w:p>
    <w:p w14:paraId="293B39B3">
      <w:pPr>
        <w:pStyle w:val="20"/>
        <w:spacing w:line="360" w:lineRule="exact"/>
        <w:rPr>
          <w:rFonts w:hAnsi="宋体"/>
          <w:color w:val="auto"/>
          <w:sz w:val="44"/>
          <w:highlight w:val="none"/>
        </w:rPr>
      </w:pPr>
    </w:p>
    <w:p w14:paraId="1C503403">
      <w:pPr>
        <w:pStyle w:val="20"/>
        <w:spacing w:line="360" w:lineRule="exact"/>
        <w:rPr>
          <w:rFonts w:hAnsi="宋体"/>
          <w:color w:val="auto"/>
          <w:sz w:val="44"/>
          <w:highlight w:val="none"/>
        </w:rPr>
      </w:pPr>
    </w:p>
    <w:p w14:paraId="1010C5BF">
      <w:pPr>
        <w:pStyle w:val="20"/>
        <w:spacing w:line="360" w:lineRule="exact"/>
        <w:rPr>
          <w:rFonts w:hAnsi="宋体"/>
          <w:color w:val="auto"/>
          <w:sz w:val="44"/>
          <w:highlight w:val="none"/>
        </w:rPr>
      </w:pPr>
    </w:p>
    <w:p w14:paraId="021D6D9A">
      <w:pPr>
        <w:pStyle w:val="20"/>
        <w:spacing w:line="360" w:lineRule="exact"/>
        <w:rPr>
          <w:rFonts w:hAnsi="宋体"/>
          <w:color w:val="auto"/>
          <w:sz w:val="44"/>
          <w:highlight w:val="none"/>
        </w:rPr>
      </w:pPr>
    </w:p>
    <w:p w14:paraId="0EC9791D">
      <w:pPr>
        <w:pStyle w:val="20"/>
        <w:spacing w:line="360" w:lineRule="exact"/>
        <w:rPr>
          <w:rFonts w:hAnsi="宋体"/>
          <w:color w:val="auto"/>
          <w:sz w:val="44"/>
          <w:highlight w:val="none"/>
        </w:rPr>
      </w:pPr>
    </w:p>
    <w:p w14:paraId="3BB37CBE">
      <w:pPr>
        <w:pStyle w:val="20"/>
        <w:spacing w:line="360" w:lineRule="exact"/>
        <w:rPr>
          <w:rFonts w:hAnsi="宋体"/>
          <w:color w:val="auto"/>
          <w:sz w:val="44"/>
          <w:highlight w:val="none"/>
        </w:rPr>
      </w:pPr>
    </w:p>
    <w:p w14:paraId="32AA4304">
      <w:pPr>
        <w:pStyle w:val="20"/>
        <w:spacing w:line="360" w:lineRule="exact"/>
        <w:rPr>
          <w:rFonts w:hAnsi="宋体"/>
          <w:color w:val="auto"/>
          <w:sz w:val="44"/>
          <w:highlight w:val="none"/>
        </w:rPr>
      </w:pPr>
    </w:p>
    <w:p w14:paraId="458E7413">
      <w:pPr>
        <w:pStyle w:val="20"/>
        <w:spacing w:line="360" w:lineRule="exact"/>
        <w:rPr>
          <w:rFonts w:hAnsi="宋体"/>
          <w:color w:val="auto"/>
          <w:sz w:val="44"/>
          <w:highlight w:val="none"/>
        </w:rPr>
      </w:pPr>
    </w:p>
    <w:p w14:paraId="224F04C4">
      <w:pPr>
        <w:spacing w:line="320" w:lineRule="exact"/>
        <w:rPr>
          <w:rFonts w:ascii="宋体" w:hAnsi="宋体" w:cs="宋体"/>
          <w:b/>
          <w:color w:val="auto"/>
          <w:szCs w:val="21"/>
          <w:highlight w:val="none"/>
        </w:rPr>
      </w:pPr>
    </w:p>
    <w:p w14:paraId="212A2EDB">
      <w:pPr>
        <w:spacing w:line="320" w:lineRule="exact"/>
        <w:rPr>
          <w:rFonts w:ascii="宋体" w:hAnsi="宋体" w:cs="宋体"/>
          <w:b/>
          <w:color w:val="auto"/>
          <w:szCs w:val="21"/>
          <w:highlight w:val="none"/>
        </w:rPr>
      </w:pPr>
    </w:p>
    <w:p w14:paraId="173DCBD6">
      <w:pPr>
        <w:spacing w:line="320" w:lineRule="exact"/>
        <w:rPr>
          <w:rFonts w:ascii="宋体" w:hAnsi="宋体" w:cs="宋体"/>
          <w:b/>
          <w:color w:val="auto"/>
          <w:szCs w:val="21"/>
          <w:highlight w:val="none"/>
        </w:rPr>
      </w:pPr>
    </w:p>
    <w:p w14:paraId="69F2CD0F">
      <w:pPr>
        <w:spacing w:line="320" w:lineRule="exact"/>
        <w:rPr>
          <w:rFonts w:ascii="宋体" w:hAnsi="宋体" w:cs="宋体"/>
          <w:b/>
          <w:color w:val="auto"/>
          <w:szCs w:val="21"/>
          <w:highlight w:val="none"/>
        </w:rPr>
      </w:pPr>
      <w:r>
        <w:rPr>
          <w:rFonts w:hint="eastAsia" w:ascii="宋体" w:hAnsi="宋体" w:cs="宋体"/>
          <w:b/>
          <w:color w:val="auto"/>
          <w:szCs w:val="21"/>
          <w:highlight w:val="none"/>
        </w:rPr>
        <w:t>二、报价表和最后报价明细表格式</w:t>
      </w:r>
    </w:p>
    <w:p w14:paraId="57E8627A">
      <w:pPr>
        <w:spacing w:line="300" w:lineRule="auto"/>
        <w:jc w:val="center"/>
        <w:rPr>
          <w:rFonts w:ascii="宋体" w:hAnsi="宋体" w:cs="宋体"/>
          <w:b/>
          <w:color w:val="auto"/>
          <w:sz w:val="32"/>
          <w:szCs w:val="32"/>
          <w:highlight w:val="none"/>
        </w:rPr>
      </w:pPr>
      <w:r>
        <w:rPr>
          <w:rFonts w:hint="eastAsia" w:ascii="宋体" w:hAnsi="宋体" w:cs="宋体"/>
          <w:b/>
          <w:color w:val="auto"/>
          <w:sz w:val="32"/>
          <w:szCs w:val="32"/>
          <w:highlight w:val="none"/>
        </w:rPr>
        <w:t>报  价  表</w:t>
      </w:r>
    </w:p>
    <w:p w14:paraId="2FFCEBEC">
      <w:pPr>
        <w:spacing w:line="300" w:lineRule="auto"/>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highlight w:val="none"/>
          <w:u w:val="single"/>
        </w:rPr>
        <w:t xml:space="preserve">                              </w:t>
      </w:r>
    </w:p>
    <w:p w14:paraId="5574741A">
      <w:pPr>
        <w:snapToGrid w:val="0"/>
        <w:spacing w:before="50" w:after="50"/>
        <w:rPr>
          <w:rFonts w:ascii="宋体" w:hAnsi="宋体" w:cs="宋体"/>
          <w:color w:val="auto"/>
          <w:highlight w:val="none"/>
          <w:u w:val="single"/>
        </w:rPr>
      </w:pPr>
      <w:r>
        <w:rPr>
          <w:rFonts w:hint="eastAsia" w:ascii="宋体" w:hAnsi="宋体" w:cs="宋体"/>
          <w:color w:val="auto"/>
          <w:szCs w:val="21"/>
          <w:highlight w:val="none"/>
        </w:rPr>
        <w:t>项目编号:</w:t>
      </w:r>
      <w:r>
        <w:rPr>
          <w:rFonts w:hint="eastAsia" w:ascii="宋体" w:hAnsi="宋体" w:cs="宋体"/>
          <w:color w:val="auto"/>
          <w:highlight w:val="none"/>
          <w:u w:val="single"/>
        </w:rPr>
        <w:t xml:space="preserve">                                   </w:t>
      </w:r>
    </w:p>
    <w:tbl>
      <w:tblPr>
        <w:tblStyle w:val="36"/>
        <w:tblW w:w="97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2"/>
        <w:gridCol w:w="1603"/>
        <w:gridCol w:w="1218"/>
        <w:gridCol w:w="1650"/>
        <w:gridCol w:w="1051"/>
        <w:gridCol w:w="878"/>
        <w:gridCol w:w="1066"/>
        <w:gridCol w:w="1404"/>
      </w:tblGrid>
      <w:tr w14:paraId="5F4A0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exact"/>
          <w:jc w:val="center"/>
        </w:trPr>
        <w:tc>
          <w:tcPr>
            <w:tcW w:w="912" w:type="dxa"/>
          </w:tcPr>
          <w:p w14:paraId="4E493AAE">
            <w:pPr>
              <w:pStyle w:val="86"/>
              <w:spacing w:before="110"/>
              <w:ind w:right="224"/>
              <w:jc w:val="center"/>
              <w:rPr>
                <w:b/>
                <w:color w:val="auto"/>
                <w:sz w:val="21"/>
                <w:highlight w:val="none"/>
              </w:rPr>
            </w:pPr>
            <w:r>
              <w:rPr>
                <w:rFonts w:hint="eastAsia"/>
                <w:b/>
                <w:color w:val="auto"/>
                <w:sz w:val="21"/>
                <w:highlight w:val="none"/>
              </w:rPr>
              <w:t>项号</w:t>
            </w:r>
          </w:p>
        </w:tc>
        <w:tc>
          <w:tcPr>
            <w:tcW w:w="1603" w:type="dxa"/>
          </w:tcPr>
          <w:p w14:paraId="4942D6FE">
            <w:pPr>
              <w:pStyle w:val="86"/>
              <w:spacing w:before="110"/>
              <w:ind w:left="0" w:leftChars="0" w:right="0" w:firstLine="0" w:firstLineChars="0"/>
              <w:jc w:val="center"/>
              <w:rPr>
                <w:b/>
                <w:color w:val="auto"/>
                <w:sz w:val="21"/>
                <w:highlight w:val="none"/>
              </w:rPr>
            </w:pPr>
            <w:r>
              <w:rPr>
                <w:rFonts w:hint="eastAsia"/>
                <w:b/>
                <w:color w:val="auto"/>
                <w:sz w:val="21"/>
                <w:highlight w:val="none"/>
              </w:rPr>
              <w:t>货物名称</w:t>
            </w:r>
          </w:p>
        </w:tc>
        <w:tc>
          <w:tcPr>
            <w:tcW w:w="1218" w:type="dxa"/>
            <w:vAlign w:val="top"/>
          </w:tcPr>
          <w:p w14:paraId="33A68B2D">
            <w:pPr>
              <w:pStyle w:val="86"/>
              <w:spacing w:before="110"/>
              <w:ind w:left="0" w:leftChars="0" w:right="0" w:rightChars="0" w:firstLine="0" w:firstLineChars="0"/>
              <w:jc w:val="center"/>
              <w:rPr>
                <w:b/>
                <w:color w:val="auto"/>
                <w:sz w:val="21"/>
                <w:highlight w:val="none"/>
                <w:lang w:eastAsia="zh-CN"/>
              </w:rPr>
            </w:pPr>
            <w:r>
              <w:rPr>
                <w:rFonts w:hint="eastAsia"/>
                <w:b/>
                <w:color w:val="auto"/>
                <w:sz w:val="21"/>
                <w:highlight w:val="none"/>
              </w:rPr>
              <w:t>商标品牌</w:t>
            </w:r>
          </w:p>
        </w:tc>
        <w:tc>
          <w:tcPr>
            <w:tcW w:w="1650" w:type="dxa"/>
            <w:vAlign w:val="top"/>
          </w:tcPr>
          <w:p w14:paraId="76894FA2">
            <w:pPr>
              <w:pStyle w:val="86"/>
              <w:spacing w:before="110"/>
              <w:ind w:left="0" w:leftChars="0" w:right="0" w:rightChars="0" w:firstLine="0" w:firstLineChars="0"/>
              <w:jc w:val="center"/>
              <w:rPr>
                <w:b/>
                <w:color w:val="auto"/>
                <w:sz w:val="21"/>
                <w:highlight w:val="none"/>
              </w:rPr>
            </w:pPr>
            <w:r>
              <w:rPr>
                <w:rFonts w:hint="eastAsia"/>
                <w:b/>
                <w:color w:val="auto"/>
                <w:sz w:val="21"/>
                <w:highlight w:val="none"/>
                <w:lang w:eastAsia="zh-CN"/>
              </w:rPr>
              <w:t>规格型号、参数</w:t>
            </w:r>
          </w:p>
        </w:tc>
        <w:tc>
          <w:tcPr>
            <w:tcW w:w="1051" w:type="dxa"/>
          </w:tcPr>
          <w:p w14:paraId="4E24FC2D">
            <w:pPr>
              <w:pStyle w:val="86"/>
              <w:spacing w:before="110"/>
              <w:ind w:left="0" w:leftChars="0" w:right="0" w:firstLine="0" w:firstLineChars="0"/>
              <w:jc w:val="center"/>
              <w:rPr>
                <w:b/>
                <w:color w:val="auto"/>
                <w:sz w:val="21"/>
                <w:highlight w:val="none"/>
              </w:rPr>
            </w:pPr>
            <w:r>
              <w:rPr>
                <w:rFonts w:hint="eastAsia"/>
                <w:b/>
                <w:color w:val="auto"/>
                <w:sz w:val="21"/>
                <w:highlight w:val="none"/>
              </w:rPr>
              <w:t>数量①</w:t>
            </w:r>
          </w:p>
        </w:tc>
        <w:tc>
          <w:tcPr>
            <w:tcW w:w="878" w:type="dxa"/>
          </w:tcPr>
          <w:p w14:paraId="209AD8FA">
            <w:pPr>
              <w:pStyle w:val="86"/>
              <w:spacing w:before="110"/>
              <w:ind w:left="0" w:leftChars="0" w:right="0" w:firstLine="0" w:firstLineChars="0"/>
              <w:jc w:val="center"/>
              <w:rPr>
                <w:b/>
                <w:color w:val="auto"/>
                <w:sz w:val="21"/>
                <w:highlight w:val="none"/>
              </w:rPr>
            </w:pPr>
            <w:r>
              <w:rPr>
                <w:rFonts w:hint="eastAsia"/>
                <w:b/>
                <w:color w:val="auto"/>
                <w:sz w:val="21"/>
                <w:highlight w:val="none"/>
              </w:rPr>
              <w:t>单位</w:t>
            </w:r>
          </w:p>
        </w:tc>
        <w:tc>
          <w:tcPr>
            <w:tcW w:w="1066" w:type="dxa"/>
          </w:tcPr>
          <w:p w14:paraId="71F2B7D4">
            <w:pPr>
              <w:pStyle w:val="86"/>
              <w:spacing w:before="110"/>
              <w:ind w:left="0" w:leftChars="0" w:right="0" w:firstLine="0" w:firstLineChars="0"/>
              <w:jc w:val="center"/>
              <w:rPr>
                <w:b/>
                <w:color w:val="auto"/>
                <w:sz w:val="21"/>
                <w:highlight w:val="none"/>
              </w:rPr>
            </w:pPr>
            <w:r>
              <w:rPr>
                <w:rFonts w:hint="eastAsia"/>
                <w:b/>
                <w:color w:val="auto"/>
                <w:sz w:val="21"/>
                <w:highlight w:val="none"/>
              </w:rPr>
              <w:t>单价②</w:t>
            </w:r>
          </w:p>
        </w:tc>
        <w:tc>
          <w:tcPr>
            <w:tcW w:w="1404" w:type="dxa"/>
          </w:tcPr>
          <w:p w14:paraId="28AB6FA9">
            <w:pPr>
              <w:pStyle w:val="86"/>
              <w:spacing w:line="291" w:lineRule="exact"/>
              <w:ind w:left="0" w:leftChars="0" w:right="0" w:firstLine="0" w:firstLineChars="0"/>
              <w:jc w:val="center"/>
              <w:rPr>
                <w:b/>
                <w:color w:val="auto"/>
                <w:sz w:val="21"/>
                <w:highlight w:val="none"/>
              </w:rPr>
            </w:pPr>
            <w:r>
              <w:rPr>
                <w:rFonts w:hint="eastAsia"/>
                <w:b/>
                <w:color w:val="auto"/>
                <w:sz w:val="21"/>
                <w:highlight w:val="none"/>
              </w:rPr>
              <w:t>投标报价</w:t>
            </w:r>
          </w:p>
          <w:p w14:paraId="4C911886">
            <w:pPr>
              <w:pStyle w:val="86"/>
              <w:spacing w:line="325" w:lineRule="exact"/>
              <w:ind w:left="0" w:leftChars="0" w:right="0" w:firstLine="0" w:firstLineChars="0"/>
              <w:jc w:val="center"/>
              <w:rPr>
                <w:b/>
                <w:color w:val="auto"/>
                <w:sz w:val="21"/>
                <w:highlight w:val="none"/>
              </w:rPr>
            </w:pPr>
            <w:r>
              <w:rPr>
                <w:rFonts w:hint="eastAsia"/>
                <w:b/>
                <w:color w:val="auto"/>
                <w:sz w:val="21"/>
                <w:highlight w:val="none"/>
              </w:rPr>
              <w:t>③=①×②</w:t>
            </w:r>
          </w:p>
        </w:tc>
      </w:tr>
      <w:tr w14:paraId="53FD1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12" w:type="dxa"/>
          </w:tcPr>
          <w:p w14:paraId="461798F7">
            <w:pPr>
              <w:pStyle w:val="86"/>
              <w:spacing w:before="38"/>
              <w:ind w:left="0" w:right="0"/>
              <w:jc w:val="center"/>
              <w:rPr>
                <w:color w:val="auto"/>
                <w:sz w:val="21"/>
                <w:highlight w:val="none"/>
              </w:rPr>
            </w:pPr>
            <w:r>
              <w:rPr>
                <w:color w:val="auto"/>
                <w:sz w:val="21"/>
                <w:highlight w:val="none"/>
              </w:rPr>
              <w:t>1</w:t>
            </w:r>
          </w:p>
        </w:tc>
        <w:tc>
          <w:tcPr>
            <w:tcW w:w="1603" w:type="dxa"/>
          </w:tcPr>
          <w:p w14:paraId="133A659E">
            <w:pPr>
              <w:rPr>
                <w:color w:val="auto"/>
                <w:highlight w:val="none"/>
              </w:rPr>
            </w:pPr>
          </w:p>
        </w:tc>
        <w:tc>
          <w:tcPr>
            <w:tcW w:w="1218" w:type="dxa"/>
          </w:tcPr>
          <w:p w14:paraId="4F5D6343">
            <w:pPr>
              <w:rPr>
                <w:color w:val="auto"/>
                <w:highlight w:val="none"/>
              </w:rPr>
            </w:pPr>
          </w:p>
        </w:tc>
        <w:tc>
          <w:tcPr>
            <w:tcW w:w="1650" w:type="dxa"/>
          </w:tcPr>
          <w:p w14:paraId="37CE27D7">
            <w:pPr>
              <w:rPr>
                <w:color w:val="auto"/>
                <w:highlight w:val="none"/>
              </w:rPr>
            </w:pPr>
          </w:p>
        </w:tc>
        <w:tc>
          <w:tcPr>
            <w:tcW w:w="1051" w:type="dxa"/>
          </w:tcPr>
          <w:p w14:paraId="4EB07BE7">
            <w:pPr>
              <w:rPr>
                <w:color w:val="auto"/>
                <w:highlight w:val="none"/>
              </w:rPr>
            </w:pPr>
          </w:p>
        </w:tc>
        <w:tc>
          <w:tcPr>
            <w:tcW w:w="878" w:type="dxa"/>
          </w:tcPr>
          <w:p w14:paraId="24E1673A">
            <w:pPr>
              <w:rPr>
                <w:color w:val="auto"/>
                <w:highlight w:val="none"/>
              </w:rPr>
            </w:pPr>
          </w:p>
        </w:tc>
        <w:tc>
          <w:tcPr>
            <w:tcW w:w="1066" w:type="dxa"/>
          </w:tcPr>
          <w:p w14:paraId="6FDAD117">
            <w:pPr>
              <w:rPr>
                <w:color w:val="auto"/>
                <w:highlight w:val="none"/>
              </w:rPr>
            </w:pPr>
          </w:p>
        </w:tc>
        <w:tc>
          <w:tcPr>
            <w:tcW w:w="1404" w:type="dxa"/>
          </w:tcPr>
          <w:p w14:paraId="18BA06CB">
            <w:pPr>
              <w:rPr>
                <w:color w:val="auto"/>
                <w:highlight w:val="none"/>
              </w:rPr>
            </w:pPr>
          </w:p>
        </w:tc>
      </w:tr>
      <w:tr w14:paraId="11068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19CFC297">
            <w:pPr>
              <w:pStyle w:val="86"/>
              <w:spacing w:before="38"/>
              <w:ind w:left="0" w:right="0"/>
              <w:jc w:val="center"/>
              <w:rPr>
                <w:color w:val="auto"/>
                <w:sz w:val="21"/>
                <w:highlight w:val="none"/>
              </w:rPr>
            </w:pPr>
            <w:r>
              <w:rPr>
                <w:color w:val="auto"/>
                <w:sz w:val="21"/>
                <w:highlight w:val="none"/>
              </w:rPr>
              <w:t>2</w:t>
            </w:r>
          </w:p>
        </w:tc>
        <w:tc>
          <w:tcPr>
            <w:tcW w:w="1603" w:type="dxa"/>
          </w:tcPr>
          <w:p w14:paraId="359A1D2F">
            <w:pPr>
              <w:rPr>
                <w:color w:val="auto"/>
                <w:highlight w:val="none"/>
              </w:rPr>
            </w:pPr>
          </w:p>
        </w:tc>
        <w:tc>
          <w:tcPr>
            <w:tcW w:w="1218" w:type="dxa"/>
          </w:tcPr>
          <w:p w14:paraId="081E15D9">
            <w:pPr>
              <w:rPr>
                <w:color w:val="auto"/>
                <w:highlight w:val="none"/>
              </w:rPr>
            </w:pPr>
          </w:p>
        </w:tc>
        <w:tc>
          <w:tcPr>
            <w:tcW w:w="1650" w:type="dxa"/>
          </w:tcPr>
          <w:p w14:paraId="1F7547E4">
            <w:pPr>
              <w:rPr>
                <w:color w:val="auto"/>
                <w:highlight w:val="none"/>
              </w:rPr>
            </w:pPr>
          </w:p>
        </w:tc>
        <w:tc>
          <w:tcPr>
            <w:tcW w:w="1051" w:type="dxa"/>
          </w:tcPr>
          <w:p w14:paraId="7474C5BB">
            <w:pPr>
              <w:rPr>
                <w:color w:val="auto"/>
                <w:highlight w:val="none"/>
              </w:rPr>
            </w:pPr>
          </w:p>
        </w:tc>
        <w:tc>
          <w:tcPr>
            <w:tcW w:w="878" w:type="dxa"/>
          </w:tcPr>
          <w:p w14:paraId="01A33217">
            <w:pPr>
              <w:rPr>
                <w:color w:val="auto"/>
                <w:highlight w:val="none"/>
              </w:rPr>
            </w:pPr>
          </w:p>
        </w:tc>
        <w:tc>
          <w:tcPr>
            <w:tcW w:w="1066" w:type="dxa"/>
          </w:tcPr>
          <w:p w14:paraId="76FFD1E8">
            <w:pPr>
              <w:rPr>
                <w:color w:val="auto"/>
                <w:highlight w:val="none"/>
              </w:rPr>
            </w:pPr>
          </w:p>
        </w:tc>
        <w:tc>
          <w:tcPr>
            <w:tcW w:w="1404" w:type="dxa"/>
          </w:tcPr>
          <w:p w14:paraId="6C55E6DB">
            <w:pPr>
              <w:rPr>
                <w:color w:val="auto"/>
                <w:highlight w:val="none"/>
              </w:rPr>
            </w:pPr>
          </w:p>
        </w:tc>
      </w:tr>
      <w:tr w14:paraId="3F0E1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068F3047">
            <w:pPr>
              <w:pStyle w:val="86"/>
              <w:spacing w:before="38"/>
              <w:ind w:left="0" w:right="0"/>
              <w:jc w:val="center"/>
              <w:rPr>
                <w:color w:val="auto"/>
                <w:sz w:val="21"/>
                <w:highlight w:val="none"/>
              </w:rPr>
            </w:pPr>
            <w:r>
              <w:rPr>
                <w:color w:val="auto"/>
                <w:sz w:val="21"/>
                <w:highlight w:val="none"/>
              </w:rPr>
              <w:t>…</w:t>
            </w:r>
          </w:p>
        </w:tc>
        <w:tc>
          <w:tcPr>
            <w:tcW w:w="1603" w:type="dxa"/>
          </w:tcPr>
          <w:p w14:paraId="658BBD1B">
            <w:pPr>
              <w:rPr>
                <w:color w:val="auto"/>
                <w:highlight w:val="none"/>
              </w:rPr>
            </w:pPr>
          </w:p>
        </w:tc>
        <w:tc>
          <w:tcPr>
            <w:tcW w:w="1218" w:type="dxa"/>
          </w:tcPr>
          <w:p w14:paraId="71A043B0">
            <w:pPr>
              <w:rPr>
                <w:color w:val="auto"/>
                <w:highlight w:val="none"/>
              </w:rPr>
            </w:pPr>
          </w:p>
        </w:tc>
        <w:tc>
          <w:tcPr>
            <w:tcW w:w="1650" w:type="dxa"/>
          </w:tcPr>
          <w:p w14:paraId="79608764">
            <w:pPr>
              <w:rPr>
                <w:color w:val="auto"/>
                <w:highlight w:val="none"/>
              </w:rPr>
            </w:pPr>
          </w:p>
        </w:tc>
        <w:tc>
          <w:tcPr>
            <w:tcW w:w="1051" w:type="dxa"/>
          </w:tcPr>
          <w:p w14:paraId="0576FA23">
            <w:pPr>
              <w:rPr>
                <w:color w:val="auto"/>
                <w:highlight w:val="none"/>
              </w:rPr>
            </w:pPr>
          </w:p>
        </w:tc>
        <w:tc>
          <w:tcPr>
            <w:tcW w:w="878" w:type="dxa"/>
          </w:tcPr>
          <w:p w14:paraId="3631038E">
            <w:pPr>
              <w:rPr>
                <w:color w:val="auto"/>
                <w:highlight w:val="none"/>
              </w:rPr>
            </w:pPr>
          </w:p>
        </w:tc>
        <w:tc>
          <w:tcPr>
            <w:tcW w:w="1066" w:type="dxa"/>
          </w:tcPr>
          <w:p w14:paraId="2BCB9038">
            <w:pPr>
              <w:rPr>
                <w:color w:val="auto"/>
                <w:highlight w:val="none"/>
              </w:rPr>
            </w:pPr>
          </w:p>
        </w:tc>
        <w:tc>
          <w:tcPr>
            <w:tcW w:w="1404" w:type="dxa"/>
          </w:tcPr>
          <w:p w14:paraId="1E953179">
            <w:pPr>
              <w:rPr>
                <w:color w:val="auto"/>
                <w:highlight w:val="none"/>
              </w:rPr>
            </w:pPr>
          </w:p>
        </w:tc>
      </w:tr>
      <w:tr w14:paraId="16D2D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11CA3EC4">
            <w:pPr>
              <w:pStyle w:val="86"/>
              <w:spacing w:before="38"/>
              <w:ind w:left="0" w:right="0"/>
              <w:jc w:val="center"/>
              <w:rPr>
                <w:color w:val="auto"/>
                <w:sz w:val="21"/>
                <w:highlight w:val="none"/>
              </w:rPr>
            </w:pPr>
            <w:r>
              <w:rPr>
                <w:color w:val="auto"/>
                <w:sz w:val="21"/>
                <w:highlight w:val="none"/>
              </w:rPr>
              <w:t>N</w:t>
            </w:r>
          </w:p>
        </w:tc>
        <w:tc>
          <w:tcPr>
            <w:tcW w:w="1603" w:type="dxa"/>
          </w:tcPr>
          <w:p w14:paraId="464D0410">
            <w:pPr>
              <w:rPr>
                <w:color w:val="auto"/>
                <w:highlight w:val="none"/>
              </w:rPr>
            </w:pPr>
          </w:p>
        </w:tc>
        <w:tc>
          <w:tcPr>
            <w:tcW w:w="1218" w:type="dxa"/>
          </w:tcPr>
          <w:p w14:paraId="3D309317">
            <w:pPr>
              <w:rPr>
                <w:color w:val="auto"/>
                <w:highlight w:val="none"/>
              </w:rPr>
            </w:pPr>
          </w:p>
        </w:tc>
        <w:tc>
          <w:tcPr>
            <w:tcW w:w="1650" w:type="dxa"/>
          </w:tcPr>
          <w:p w14:paraId="50C620D8">
            <w:pPr>
              <w:rPr>
                <w:color w:val="auto"/>
                <w:highlight w:val="none"/>
              </w:rPr>
            </w:pPr>
          </w:p>
        </w:tc>
        <w:tc>
          <w:tcPr>
            <w:tcW w:w="1051" w:type="dxa"/>
          </w:tcPr>
          <w:p w14:paraId="65119AE1">
            <w:pPr>
              <w:rPr>
                <w:color w:val="auto"/>
                <w:highlight w:val="none"/>
              </w:rPr>
            </w:pPr>
          </w:p>
        </w:tc>
        <w:tc>
          <w:tcPr>
            <w:tcW w:w="878" w:type="dxa"/>
          </w:tcPr>
          <w:p w14:paraId="47C2D8CB">
            <w:pPr>
              <w:rPr>
                <w:color w:val="auto"/>
                <w:highlight w:val="none"/>
              </w:rPr>
            </w:pPr>
          </w:p>
        </w:tc>
        <w:tc>
          <w:tcPr>
            <w:tcW w:w="1066" w:type="dxa"/>
          </w:tcPr>
          <w:p w14:paraId="5E2D76B1">
            <w:pPr>
              <w:rPr>
                <w:color w:val="auto"/>
                <w:highlight w:val="none"/>
              </w:rPr>
            </w:pPr>
          </w:p>
        </w:tc>
        <w:tc>
          <w:tcPr>
            <w:tcW w:w="1404" w:type="dxa"/>
          </w:tcPr>
          <w:p w14:paraId="60344380">
            <w:pPr>
              <w:rPr>
                <w:color w:val="auto"/>
                <w:highlight w:val="none"/>
              </w:rPr>
            </w:pPr>
          </w:p>
        </w:tc>
      </w:tr>
      <w:tr w14:paraId="72CE4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exact"/>
          <w:jc w:val="center"/>
        </w:trPr>
        <w:tc>
          <w:tcPr>
            <w:tcW w:w="9782" w:type="dxa"/>
            <w:gridSpan w:val="8"/>
            <w:vAlign w:val="center"/>
          </w:tcPr>
          <w:p w14:paraId="41B8E9AA">
            <w:pPr>
              <w:pStyle w:val="86"/>
              <w:tabs>
                <w:tab w:val="left" w:pos="2931"/>
                <w:tab w:val="left" w:pos="4727"/>
                <w:tab w:val="left" w:pos="6699"/>
                <w:tab w:val="left" w:pos="8010"/>
                <w:tab w:val="left" w:pos="8140"/>
              </w:tabs>
              <w:spacing w:before="14" w:line="295" w:lineRule="auto"/>
              <w:ind w:left="105" w:right="142"/>
              <w:jc w:val="both"/>
              <w:rPr>
                <w:color w:val="auto"/>
                <w:sz w:val="21"/>
                <w:szCs w:val="21"/>
                <w:highlight w:val="none"/>
                <w:lang w:eastAsia="zh-CN"/>
              </w:rPr>
            </w:pPr>
            <w:r>
              <w:rPr>
                <w:rFonts w:hint="eastAsia"/>
                <w:color w:val="auto"/>
                <w:sz w:val="21"/>
                <w:szCs w:val="21"/>
                <w:highlight w:val="none"/>
                <w:lang w:eastAsia="zh-CN"/>
              </w:rPr>
              <w:t>投标报价（合计金额）大写：</w:t>
            </w:r>
            <w:r>
              <w:rPr>
                <w:rFonts w:ascii="Times New Roman" w:hAnsi="Times New Roman" w:eastAsia="Times New Roman"/>
                <w:color w:val="auto"/>
                <w:sz w:val="21"/>
                <w:szCs w:val="21"/>
                <w:highlight w:val="none"/>
                <w:u w:val="single"/>
                <w:lang w:eastAsia="zh-CN"/>
              </w:rPr>
              <w:t xml:space="preserve"> </w:t>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hint="eastAsia"/>
                <w:color w:val="auto"/>
                <w:sz w:val="21"/>
                <w:szCs w:val="21"/>
                <w:highlight w:val="none"/>
                <w:lang w:eastAsia="zh-CN"/>
              </w:rPr>
              <w:t>人</w:t>
            </w:r>
            <w:r>
              <w:rPr>
                <w:color w:val="auto"/>
                <w:spacing w:val="-72"/>
                <w:sz w:val="21"/>
                <w:szCs w:val="21"/>
                <w:highlight w:val="none"/>
                <w:lang w:eastAsia="zh-CN"/>
              </w:rPr>
              <w:t xml:space="preserve"> </w:t>
            </w:r>
            <w:r>
              <w:rPr>
                <w:rFonts w:hint="eastAsia"/>
                <w:color w:val="auto"/>
                <w:sz w:val="21"/>
                <w:szCs w:val="21"/>
                <w:highlight w:val="none"/>
                <w:lang w:eastAsia="zh-CN"/>
              </w:rPr>
              <w:t>民</w:t>
            </w:r>
            <w:r>
              <w:rPr>
                <w:color w:val="auto"/>
                <w:spacing w:val="-67"/>
                <w:sz w:val="21"/>
                <w:szCs w:val="21"/>
                <w:highlight w:val="none"/>
                <w:lang w:eastAsia="zh-CN"/>
              </w:rPr>
              <w:t xml:space="preserve"> </w:t>
            </w:r>
            <w:r>
              <w:rPr>
                <w:rFonts w:hint="eastAsia"/>
                <w:color w:val="auto"/>
                <w:sz w:val="21"/>
                <w:szCs w:val="21"/>
                <w:highlight w:val="none"/>
                <w:lang w:eastAsia="zh-CN"/>
              </w:rPr>
              <w:t>币</w:t>
            </w:r>
            <w:r>
              <w:rPr>
                <w:color w:val="auto"/>
                <w:spacing w:val="-67"/>
                <w:sz w:val="21"/>
                <w:szCs w:val="21"/>
                <w:highlight w:val="none"/>
                <w:lang w:eastAsia="zh-CN"/>
              </w:rPr>
              <w:t xml:space="preserve"> </w:t>
            </w:r>
            <w:r>
              <w:rPr>
                <w:rFonts w:hint="eastAsia"/>
                <w:color w:val="auto"/>
                <w:sz w:val="21"/>
                <w:szCs w:val="21"/>
                <w:highlight w:val="none"/>
                <w:lang w:eastAsia="zh-CN"/>
              </w:rPr>
              <w:t>（</w:t>
            </w:r>
            <w:r>
              <w:rPr>
                <w:color w:val="auto"/>
                <w:spacing w:val="-67"/>
                <w:sz w:val="21"/>
                <w:szCs w:val="21"/>
                <w:highlight w:val="none"/>
                <w:lang w:eastAsia="zh-CN"/>
              </w:rPr>
              <w:t xml:space="preserve"> </w:t>
            </w:r>
            <w:r>
              <w:rPr>
                <w:rFonts w:hint="eastAsia"/>
                <w:color w:val="auto"/>
                <w:sz w:val="21"/>
                <w:szCs w:val="21"/>
                <w:highlight w:val="none"/>
                <w:lang w:eastAsia="zh-CN"/>
              </w:rPr>
              <w:t>￥</w:t>
            </w:r>
            <w:r>
              <w:rPr>
                <w:rFonts w:ascii="Times New Roman" w:hAnsi="Times New Roman" w:eastAsia="Times New Roman"/>
                <w:color w:val="auto"/>
                <w:sz w:val="21"/>
                <w:szCs w:val="21"/>
                <w:highlight w:val="none"/>
                <w:u w:val="single"/>
                <w:lang w:eastAsia="zh-CN"/>
              </w:rPr>
              <w:t xml:space="preserve"> </w:t>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hint="eastAsia"/>
                <w:color w:val="auto"/>
                <w:sz w:val="21"/>
                <w:szCs w:val="21"/>
                <w:highlight w:val="none"/>
                <w:lang w:eastAsia="zh-CN"/>
              </w:rPr>
              <w:t>）</w:t>
            </w:r>
            <w:r>
              <w:rPr>
                <w:color w:val="auto"/>
                <w:sz w:val="21"/>
                <w:szCs w:val="21"/>
                <w:highlight w:val="none"/>
                <w:lang w:eastAsia="zh-CN"/>
              </w:rPr>
              <w:t xml:space="preserve"> </w:t>
            </w:r>
            <w:r>
              <w:rPr>
                <w:rFonts w:hint="eastAsia"/>
                <w:color w:val="auto"/>
                <w:sz w:val="21"/>
                <w:szCs w:val="21"/>
                <w:highlight w:val="none"/>
                <w:lang w:eastAsia="zh-CN"/>
              </w:rPr>
              <w:t>。</w:t>
            </w:r>
          </w:p>
          <w:p w14:paraId="6A57C395">
            <w:pPr>
              <w:pStyle w:val="86"/>
              <w:tabs>
                <w:tab w:val="left" w:pos="2931"/>
                <w:tab w:val="left" w:pos="4727"/>
                <w:tab w:val="left" w:pos="6699"/>
                <w:tab w:val="left" w:pos="8010"/>
                <w:tab w:val="left" w:pos="8140"/>
              </w:tabs>
              <w:spacing w:before="14" w:line="295" w:lineRule="auto"/>
              <w:ind w:left="105" w:right="142"/>
              <w:jc w:val="both"/>
              <w:rPr>
                <w:color w:val="auto"/>
                <w:sz w:val="24"/>
                <w:highlight w:val="none"/>
                <w:lang w:eastAsia="zh-CN"/>
              </w:rPr>
            </w:pPr>
            <w:r>
              <w:rPr>
                <w:color w:val="auto"/>
                <w:sz w:val="21"/>
                <w:szCs w:val="21"/>
                <w:highlight w:val="none"/>
                <w:lang w:eastAsia="zh-CN"/>
              </w:rPr>
              <w:t>属于优先采购节能产品总值为￥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u w:val="single"/>
                <w:lang w:eastAsia="zh-CN"/>
              </w:rPr>
              <w:tab/>
            </w:r>
            <w:r>
              <w:rPr>
                <w:color w:val="auto"/>
                <w:sz w:val="21"/>
                <w:szCs w:val="21"/>
                <w:highlight w:val="none"/>
                <w:lang w:eastAsia="zh-CN"/>
              </w:rPr>
              <w:t>（具体明细详见附表），占本投标报价的比例为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lang w:eastAsia="zh-CN"/>
              </w:rPr>
              <w:t xml:space="preserve">%；属于优先采购环境标志产品总值为￥ </w:t>
            </w:r>
            <w:r>
              <w:rPr>
                <w:color w:val="auto"/>
                <w:sz w:val="21"/>
                <w:szCs w:val="21"/>
                <w:highlight w:val="none"/>
                <w:u w:val="single"/>
                <w:lang w:eastAsia="zh-CN"/>
              </w:rPr>
              <w:tab/>
            </w:r>
            <w:r>
              <w:rPr>
                <w:color w:val="auto"/>
                <w:sz w:val="21"/>
                <w:szCs w:val="21"/>
                <w:highlight w:val="none"/>
                <w:lang w:eastAsia="zh-CN"/>
              </w:rPr>
              <w:t>（具体明细详见附表）， 占本投标报价的比例为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lang w:eastAsia="zh-CN"/>
              </w:rPr>
              <w:t>%</w:t>
            </w:r>
            <w:r>
              <w:rPr>
                <w:rFonts w:hint="eastAsia"/>
                <w:color w:val="auto"/>
                <w:sz w:val="21"/>
                <w:szCs w:val="21"/>
                <w:highlight w:val="none"/>
                <w:lang w:eastAsia="zh-CN"/>
              </w:rPr>
              <w:t>。</w:t>
            </w:r>
            <w:r>
              <w:rPr>
                <w:rFonts w:hint="eastAsia"/>
                <w:color w:val="auto"/>
                <w:sz w:val="24"/>
                <w:highlight w:val="none"/>
                <w:lang w:eastAsia="zh-CN"/>
              </w:rPr>
              <w:t xml:space="preserve"> </w:t>
            </w:r>
          </w:p>
        </w:tc>
      </w:tr>
      <w:tr w14:paraId="6B0C1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exact"/>
          <w:jc w:val="center"/>
        </w:trPr>
        <w:tc>
          <w:tcPr>
            <w:tcW w:w="9782" w:type="dxa"/>
            <w:gridSpan w:val="8"/>
            <w:vAlign w:val="center"/>
          </w:tcPr>
          <w:p w14:paraId="18597FC5">
            <w:pPr>
              <w:pStyle w:val="86"/>
              <w:tabs>
                <w:tab w:val="left" w:pos="3355"/>
                <w:tab w:val="left" w:pos="4727"/>
                <w:tab w:val="left" w:pos="7454"/>
                <w:tab w:val="left" w:pos="7905"/>
                <w:tab w:val="left" w:pos="8140"/>
              </w:tabs>
              <w:spacing w:before="14" w:line="295" w:lineRule="auto"/>
              <w:ind w:left="105" w:right="-20"/>
              <w:rPr>
                <w:color w:val="auto"/>
                <w:sz w:val="21"/>
                <w:szCs w:val="21"/>
                <w:highlight w:val="none"/>
                <w:lang w:eastAsia="zh-CN"/>
              </w:rPr>
            </w:pPr>
            <w:bookmarkStart w:id="25" w:name="OLE_LINK17"/>
            <w:r>
              <w:rPr>
                <w:rFonts w:hint="eastAsia" w:ascii="宋体" w:hAnsi="宋体" w:cs="宋体"/>
                <w:color w:val="auto"/>
                <w:kern w:val="0"/>
                <w:szCs w:val="21"/>
                <w:highlight w:val="none"/>
              </w:rPr>
              <w:t>合同期限</w:t>
            </w:r>
            <w:r>
              <w:rPr>
                <w:rFonts w:hint="eastAsia"/>
                <w:b/>
                <w:color w:val="auto"/>
                <w:sz w:val="21"/>
                <w:szCs w:val="21"/>
                <w:highlight w:val="none"/>
                <w:lang w:eastAsia="zh-CN"/>
              </w:rPr>
              <w:t>：</w:t>
            </w:r>
            <w:bookmarkEnd w:id="25"/>
          </w:p>
        </w:tc>
      </w:tr>
    </w:tbl>
    <w:p w14:paraId="4F0E3DC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注: 1、报价一经涂改，应在涂改处加盖供应商单位公章或者由供应商法定代表人或授权委托人签字，否则其响应文件作响应无效处理。</w:t>
      </w:r>
    </w:p>
    <w:p w14:paraId="64603F8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报价费用包含“第三章项目采购需求”中提出的所有费用，包括货款、标准附件、备品备件、专用工具、包装、运输、装卸、保险、税金、货到就位以及安装、安装所需辅材、调试、检验、验收等所需的一切使本项目完成验收的费用及供货商对业主承诺培训、售前、售后质量保证等相关费用等在内的一切可能发生的费用。对于本谈判采购文件中未列明，而供应商认为必需的费用也需列入报价。在合同实施时，采购人将不予支付成交供应商没有列入的项目费用，并认为此项目的费用已包括在报价中。</w:t>
      </w:r>
    </w:p>
    <w:p w14:paraId="617DF3D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3、所有价格均用人民币表示，单位为元，精确到百分位。</w:t>
      </w:r>
    </w:p>
    <w:p w14:paraId="27794F3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4、报价一经涂改，应在涂改处加盖单位公章或者由法定代表人或授权委托人签字，否则其报价无效。</w:t>
      </w:r>
    </w:p>
    <w:p w14:paraId="600A61C5">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本表投标产品中如有财政部现行《节能产品政府采购品目清单》目录内优先采购的产品、现行《环境标志产品政府采购品目清单》目录内优先采购的产品、小微企业生产的产品，请在本表后按类别分别附上此类产品明细表，明细表中列明：项号、货物名称、数量、单价、投标报价、累计金额并附相关证明材料。如因供应商未提供明细表或证明材料而导致评标委员会无法评判或无法计分而给供应商造成的损失由供应商自行负责，如因供应商提供虚假材料以谋取中标的责任亦由供应商自行负责。</w:t>
      </w:r>
    </w:p>
    <w:p w14:paraId="3D885B0B">
      <w:pPr>
        <w:spacing w:line="360" w:lineRule="exact"/>
        <w:ind w:firstLine="420" w:firstLineChars="200"/>
        <w:rPr>
          <w:rFonts w:ascii="宋体" w:hAnsi="宋体"/>
          <w:color w:val="auto"/>
          <w:szCs w:val="21"/>
          <w:highlight w:val="none"/>
        </w:rPr>
      </w:pPr>
    </w:p>
    <w:p w14:paraId="6AC56088">
      <w:pPr>
        <w:spacing w:line="360" w:lineRule="exact"/>
        <w:ind w:firstLine="420" w:firstLineChars="200"/>
        <w:rPr>
          <w:rFonts w:ascii="宋体" w:hAnsi="宋体"/>
          <w:color w:val="auto"/>
          <w:szCs w:val="21"/>
          <w:highlight w:val="none"/>
        </w:rPr>
      </w:pPr>
    </w:p>
    <w:p w14:paraId="118998A0">
      <w:pPr>
        <w:spacing w:line="360" w:lineRule="exact"/>
        <w:ind w:firstLine="420" w:firstLineChars="200"/>
        <w:jc w:val="right"/>
        <w:rPr>
          <w:rFonts w:ascii="宋体" w:hAnsi="宋体"/>
          <w:color w:val="auto"/>
          <w:szCs w:val="21"/>
          <w:highlight w:val="none"/>
        </w:rPr>
      </w:pPr>
      <w:r>
        <w:rPr>
          <w:rFonts w:hint="eastAsia" w:ascii="宋体" w:hAnsi="宋体"/>
          <w:color w:val="auto"/>
          <w:szCs w:val="21"/>
          <w:highlight w:val="none"/>
        </w:rPr>
        <w:t>供应商名称(电子签章)：</w:t>
      </w:r>
    </w:p>
    <w:p w14:paraId="08D5B0CC">
      <w:pPr>
        <w:spacing w:line="360" w:lineRule="exact"/>
        <w:ind w:firstLine="420" w:firstLineChars="200"/>
        <w:jc w:val="right"/>
        <w:rPr>
          <w:rFonts w:ascii="宋体" w:hAnsi="宋体"/>
          <w:color w:val="auto"/>
          <w:szCs w:val="21"/>
          <w:highlight w:val="none"/>
        </w:rPr>
      </w:pPr>
      <w:r>
        <w:rPr>
          <w:rFonts w:hint="eastAsia" w:ascii="宋体" w:hAnsi="宋体"/>
          <w:color w:val="auto"/>
          <w:szCs w:val="21"/>
          <w:highlight w:val="none"/>
        </w:rPr>
        <w:t>日期： 年 月 日</w:t>
      </w:r>
    </w:p>
    <w:p w14:paraId="30119A30">
      <w:pPr>
        <w:spacing w:line="360" w:lineRule="exact"/>
        <w:ind w:firstLine="420" w:firstLineChars="200"/>
        <w:rPr>
          <w:rFonts w:ascii="宋体" w:hAnsi="宋体" w:cs="宋体"/>
          <w:color w:val="auto"/>
          <w:szCs w:val="21"/>
          <w:highlight w:val="none"/>
        </w:rPr>
      </w:pPr>
    </w:p>
    <w:p w14:paraId="5D3551A8">
      <w:pPr>
        <w:spacing w:line="300" w:lineRule="auto"/>
        <w:jc w:val="center"/>
        <w:rPr>
          <w:rFonts w:ascii="宋体" w:hAnsi="宋体" w:cs="宋体"/>
          <w:b/>
          <w:color w:val="auto"/>
          <w:sz w:val="32"/>
          <w:szCs w:val="32"/>
          <w:highlight w:val="none"/>
        </w:rPr>
      </w:pPr>
    </w:p>
    <w:p w14:paraId="343B4848">
      <w:pPr>
        <w:spacing w:line="500" w:lineRule="exact"/>
        <w:jc w:val="center"/>
        <w:rPr>
          <w:rFonts w:ascii="宋体" w:hAnsi="宋体"/>
          <w:color w:val="auto"/>
          <w:sz w:val="44"/>
          <w:szCs w:val="20"/>
          <w:highlight w:val="none"/>
        </w:rPr>
      </w:pPr>
    </w:p>
    <w:p w14:paraId="6B798F17">
      <w:pPr>
        <w:spacing w:line="500" w:lineRule="exact"/>
        <w:jc w:val="center"/>
        <w:rPr>
          <w:rFonts w:ascii="宋体" w:hAnsi="宋体"/>
          <w:color w:val="auto"/>
          <w:sz w:val="44"/>
          <w:szCs w:val="20"/>
          <w:highlight w:val="none"/>
        </w:rPr>
      </w:pPr>
      <w:r>
        <w:rPr>
          <w:rFonts w:hint="eastAsia" w:ascii="宋体" w:hAnsi="宋体"/>
          <w:color w:val="auto"/>
          <w:sz w:val="44"/>
          <w:szCs w:val="20"/>
          <w:highlight w:val="none"/>
        </w:rPr>
        <w:t>最后报价明细表</w:t>
      </w:r>
    </w:p>
    <w:p w14:paraId="18BD799E">
      <w:pPr>
        <w:spacing w:line="300" w:lineRule="auto"/>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highlight w:val="none"/>
          <w:u w:val="single"/>
        </w:rPr>
        <w:t xml:space="preserve">                              </w:t>
      </w:r>
    </w:p>
    <w:p w14:paraId="3A874CA3">
      <w:pPr>
        <w:snapToGrid w:val="0"/>
        <w:spacing w:before="50" w:after="50"/>
        <w:rPr>
          <w:rFonts w:ascii="宋体" w:hAnsi="宋体" w:cs="宋体"/>
          <w:color w:val="auto"/>
          <w:highlight w:val="none"/>
          <w:u w:val="single"/>
        </w:rPr>
      </w:pPr>
      <w:r>
        <w:rPr>
          <w:rFonts w:hint="eastAsia" w:ascii="宋体" w:hAnsi="宋体" w:cs="宋体"/>
          <w:color w:val="auto"/>
          <w:szCs w:val="21"/>
          <w:highlight w:val="none"/>
        </w:rPr>
        <w:t>项目编号:</w:t>
      </w:r>
      <w:r>
        <w:rPr>
          <w:rFonts w:hint="eastAsia" w:ascii="宋体" w:hAnsi="宋体" w:cs="宋体"/>
          <w:color w:val="auto"/>
          <w:highlight w:val="none"/>
          <w:u w:val="single"/>
        </w:rPr>
        <w:t xml:space="preserve">                                   </w:t>
      </w:r>
    </w:p>
    <w:p w14:paraId="5EB4FCB7">
      <w:pPr>
        <w:spacing w:line="500" w:lineRule="exact"/>
        <w:ind w:firstLine="8190" w:firstLineChars="3900"/>
        <w:rPr>
          <w:rFonts w:ascii="宋体" w:hAnsi="宋体"/>
          <w:color w:val="auto"/>
          <w:szCs w:val="21"/>
          <w:highlight w:val="none"/>
        </w:rPr>
      </w:pPr>
      <w:r>
        <w:rPr>
          <w:rFonts w:hint="eastAsia" w:ascii="宋体" w:hAnsi="宋体"/>
          <w:color w:val="auto"/>
          <w:szCs w:val="21"/>
          <w:highlight w:val="none"/>
        </w:rPr>
        <w:t>单位：元</w:t>
      </w:r>
    </w:p>
    <w:tbl>
      <w:tblPr>
        <w:tblStyle w:val="36"/>
        <w:tblW w:w="97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2"/>
        <w:gridCol w:w="1603"/>
        <w:gridCol w:w="1230"/>
        <w:gridCol w:w="1638"/>
        <w:gridCol w:w="1051"/>
        <w:gridCol w:w="878"/>
        <w:gridCol w:w="1066"/>
        <w:gridCol w:w="1404"/>
      </w:tblGrid>
      <w:tr w14:paraId="2C281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exact"/>
          <w:jc w:val="center"/>
        </w:trPr>
        <w:tc>
          <w:tcPr>
            <w:tcW w:w="912" w:type="dxa"/>
            <w:vAlign w:val="top"/>
          </w:tcPr>
          <w:p w14:paraId="7FD37833">
            <w:pPr>
              <w:pStyle w:val="86"/>
              <w:spacing w:before="110"/>
              <w:ind w:left="100" w:leftChars="0" w:right="224" w:rightChars="0"/>
              <w:jc w:val="center"/>
              <w:rPr>
                <w:b/>
                <w:color w:val="auto"/>
                <w:sz w:val="21"/>
                <w:highlight w:val="none"/>
              </w:rPr>
            </w:pPr>
            <w:r>
              <w:rPr>
                <w:rFonts w:hint="eastAsia"/>
                <w:b/>
                <w:color w:val="auto"/>
                <w:sz w:val="21"/>
                <w:highlight w:val="none"/>
              </w:rPr>
              <w:t>项号</w:t>
            </w:r>
          </w:p>
        </w:tc>
        <w:tc>
          <w:tcPr>
            <w:tcW w:w="1603" w:type="dxa"/>
            <w:vAlign w:val="top"/>
          </w:tcPr>
          <w:p w14:paraId="47CFCA5B">
            <w:pPr>
              <w:pStyle w:val="86"/>
              <w:spacing w:before="110"/>
              <w:ind w:left="0" w:leftChars="0" w:right="0" w:rightChars="0" w:firstLine="0" w:firstLineChars="0"/>
              <w:jc w:val="center"/>
              <w:rPr>
                <w:b/>
                <w:color w:val="auto"/>
                <w:sz w:val="21"/>
                <w:highlight w:val="none"/>
              </w:rPr>
            </w:pPr>
            <w:r>
              <w:rPr>
                <w:rFonts w:hint="eastAsia"/>
                <w:b/>
                <w:color w:val="auto"/>
                <w:sz w:val="21"/>
                <w:highlight w:val="none"/>
              </w:rPr>
              <w:t>货物名称</w:t>
            </w:r>
          </w:p>
        </w:tc>
        <w:tc>
          <w:tcPr>
            <w:tcW w:w="1230" w:type="dxa"/>
            <w:vAlign w:val="top"/>
          </w:tcPr>
          <w:p w14:paraId="76B95D2B">
            <w:pPr>
              <w:pStyle w:val="86"/>
              <w:spacing w:before="110"/>
              <w:ind w:left="0" w:leftChars="0" w:right="0" w:rightChars="0" w:firstLine="0" w:firstLineChars="0"/>
              <w:jc w:val="center"/>
              <w:rPr>
                <w:rFonts w:hint="eastAsia"/>
                <w:b/>
                <w:color w:val="auto"/>
                <w:sz w:val="21"/>
                <w:highlight w:val="none"/>
                <w:lang w:eastAsia="zh-CN"/>
              </w:rPr>
            </w:pPr>
            <w:r>
              <w:rPr>
                <w:rFonts w:hint="eastAsia"/>
                <w:b/>
                <w:color w:val="auto"/>
                <w:sz w:val="21"/>
                <w:highlight w:val="none"/>
              </w:rPr>
              <w:t>商标品牌</w:t>
            </w:r>
          </w:p>
        </w:tc>
        <w:tc>
          <w:tcPr>
            <w:tcW w:w="1638" w:type="dxa"/>
            <w:vAlign w:val="top"/>
          </w:tcPr>
          <w:p w14:paraId="2EE615AE">
            <w:pPr>
              <w:pStyle w:val="86"/>
              <w:spacing w:before="110"/>
              <w:ind w:left="0" w:leftChars="0" w:right="0" w:rightChars="0" w:firstLine="0" w:firstLineChars="0"/>
              <w:jc w:val="center"/>
              <w:rPr>
                <w:rFonts w:hint="eastAsia"/>
                <w:b/>
                <w:color w:val="auto"/>
                <w:sz w:val="21"/>
                <w:highlight w:val="none"/>
              </w:rPr>
            </w:pPr>
            <w:r>
              <w:rPr>
                <w:rFonts w:hint="eastAsia"/>
                <w:b/>
                <w:color w:val="auto"/>
                <w:sz w:val="21"/>
                <w:highlight w:val="none"/>
                <w:lang w:eastAsia="zh-CN"/>
              </w:rPr>
              <w:t>规格型号、参数</w:t>
            </w:r>
          </w:p>
        </w:tc>
        <w:tc>
          <w:tcPr>
            <w:tcW w:w="1051" w:type="dxa"/>
            <w:vAlign w:val="top"/>
          </w:tcPr>
          <w:p w14:paraId="0EC566A7">
            <w:pPr>
              <w:pStyle w:val="86"/>
              <w:spacing w:before="110"/>
              <w:ind w:left="0" w:leftChars="0" w:right="0" w:rightChars="0" w:firstLine="0" w:firstLineChars="0"/>
              <w:jc w:val="center"/>
              <w:rPr>
                <w:rFonts w:hint="eastAsia"/>
                <w:b/>
                <w:color w:val="auto"/>
                <w:sz w:val="21"/>
                <w:highlight w:val="none"/>
              </w:rPr>
            </w:pPr>
            <w:r>
              <w:rPr>
                <w:rFonts w:hint="eastAsia"/>
                <w:b/>
                <w:color w:val="auto"/>
                <w:sz w:val="21"/>
                <w:highlight w:val="none"/>
              </w:rPr>
              <w:t>数量①</w:t>
            </w:r>
          </w:p>
        </w:tc>
        <w:tc>
          <w:tcPr>
            <w:tcW w:w="878" w:type="dxa"/>
            <w:vAlign w:val="top"/>
          </w:tcPr>
          <w:p w14:paraId="5A616B07">
            <w:pPr>
              <w:pStyle w:val="86"/>
              <w:spacing w:before="110"/>
              <w:ind w:left="0" w:leftChars="0" w:right="0" w:rightChars="0" w:firstLine="0" w:firstLineChars="0"/>
              <w:jc w:val="center"/>
              <w:rPr>
                <w:b/>
                <w:color w:val="auto"/>
                <w:sz w:val="21"/>
                <w:highlight w:val="none"/>
              </w:rPr>
            </w:pPr>
            <w:r>
              <w:rPr>
                <w:rFonts w:hint="eastAsia"/>
                <w:b/>
                <w:color w:val="auto"/>
                <w:sz w:val="21"/>
                <w:highlight w:val="none"/>
              </w:rPr>
              <w:t>单位</w:t>
            </w:r>
          </w:p>
        </w:tc>
        <w:tc>
          <w:tcPr>
            <w:tcW w:w="1066" w:type="dxa"/>
            <w:vAlign w:val="top"/>
          </w:tcPr>
          <w:p w14:paraId="3443D415">
            <w:pPr>
              <w:pStyle w:val="86"/>
              <w:spacing w:before="110"/>
              <w:ind w:left="0" w:leftChars="0" w:right="0" w:rightChars="0" w:firstLine="0" w:firstLineChars="0"/>
              <w:jc w:val="center"/>
              <w:rPr>
                <w:b/>
                <w:color w:val="auto"/>
                <w:sz w:val="21"/>
                <w:highlight w:val="none"/>
              </w:rPr>
            </w:pPr>
            <w:r>
              <w:rPr>
                <w:rFonts w:hint="eastAsia"/>
                <w:b/>
                <w:color w:val="auto"/>
                <w:sz w:val="21"/>
                <w:highlight w:val="none"/>
              </w:rPr>
              <w:t>单价②</w:t>
            </w:r>
          </w:p>
        </w:tc>
        <w:tc>
          <w:tcPr>
            <w:tcW w:w="1404" w:type="dxa"/>
            <w:vAlign w:val="top"/>
          </w:tcPr>
          <w:p w14:paraId="1BE6D820">
            <w:pPr>
              <w:pStyle w:val="86"/>
              <w:spacing w:line="291" w:lineRule="exact"/>
              <w:ind w:left="0" w:leftChars="0" w:right="0" w:firstLine="0" w:firstLineChars="0"/>
              <w:jc w:val="center"/>
              <w:rPr>
                <w:b/>
                <w:color w:val="auto"/>
                <w:sz w:val="21"/>
                <w:highlight w:val="none"/>
              </w:rPr>
            </w:pPr>
            <w:r>
              <w:rPr>
                <w:rFonts w:hint="eastAsia"/>
                <w:b/>
                <w:color w:val="auto"/>
                <w:sz w:val="21"/>
                <w:highlight w:val="none"/>
              </w:rPr>
              <w:t>投标报价</w:t>
            </w:r>
          </w:p>
          <w:p w14:paraId="54D9FA18">
            <w:pPr>
              <w:pStyle w:val="86"/>
              <w:spacing w:line="325" w:lineRule="exact"/>
              <w:ind w:left="0" w:leftChars="0" w:right="0" w:rightChars="0" w:firstLine="0" w:firstLineChars="0"/>
              <w:jc w:val="center"/>
              <w:rPr>
                <w:b/>
                <w:color w:val="auto"/>
                <w:sz w:val="21"/>
                <w:highlight w:val="none"/>
              </w:rPr>
            </w:pPr>
            <w:r>
              <w:rPr>
                <w:rFonts w:hint="eastAsia"/>
                <w:b/>
                <w:color w:val="auto"/>
                <w:sz w:val="21"/>
                <w:highlight w:val="none"/>
              </w:rPr>
              <w:t>③=①×②</w:t>
            </w:r>
          </w:p>
        </w:tc>
      </w:tr>
      <w:tr w14:paraId="14519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12" w:type="dxa"/>
          </w:tcPr>
          <w:p w14:paraId="1339DC19">
            <w:pPr>
              <w:pStyle w:val="86"/>
              <w:spacing w:before="38"/>
              <w:ind w:left="0" w:right="0"/>
              <w:jc w:val="center"/>
              <w:rPr>
                <w:color w:val="auto"/>
                <w:sz w:val="21"/>
                <w:highlight w:val="none"/>
              </w:rPr>
            </w:pPr>
            <w:r>
              <w:rPr>
                <w:color w:val="auto"/>
                <w:sz w:val="21"/>
                <w:highlight w:val="none"/>
              </w:rPr>
              <w:t>1</w:t>
            </w:r>
          </w:p>
        </w:tc>
        <w:tc>
          <w:tcPr>
            <w:tcW w:w="1603" w:type="dxa"/>
          </w:tcPr>
          <w:p w14:paraId="70F97170">
            <w:pPr>
              <w:rPr>
                <w:color w:val="auto"/>
                <w:highlight w:val="none"/>
              </w:rPr>
            </w:pPr>
          </w:p>
        </w:tc>
        <w:tc>
          <w:tcPr>
            <w:tcW w:w="1230" w:type="dxa"/>
          </w:tcPr>
          <w:p w14:paraId="794FFAF6">
            <w:pPr>
              <w:rPr>
                <w:color w:val="auto"/>
                <w:highlight w:val="none"/>
              </w:rPr>
            </w:pPr>
          </w:p>
        </w:tc>
        <w:tc>
          <w:tcPr>
            <w:tcW w:w="1638" w:type="dxa"/>
          </w:tcPr>
          <w:p w14:paraId="63F07407">
            <w:pPr>
              <w:rPr>
                <w:color w:val="auto"/>
                <w:highlight w:val="none"/>
              </w:rPr>
            </w:pPr>
          </w:p>
        </w:tc>
        <w:tc>
          <w:tcPr>
            <w:tcW w:w="1051" w:type="dxa"/>
          </w:tcPr>
          <w:p w14:paraId="0E1B5F52">
            <w:pPr>
              <w:rPr>
                <w:color w:val="auto"/>
                <w:highlight w:val="none"/>
              </w:rPr>
            </w:pPr>
          </w:p>
        </w:tc>
        <w:tc>
          <w:tcPr>
            <w:tcW w:w="878" w:type="dxa"/>
          </w:tcPr>
          <w:p w14:paraId="1ABE236A">
            <w:pPr>
              <w:rPr>
                <w:color w:val="auto"/>
                <w:highlight w:val="none"/>
              </w:rPr>
            </w:pPr>
          </w:p>
        </w:tc>
        <w:tc>
          <w:tcPr>
            <w:tcW w:w="1066" w:type="dxa"/>
          </w:tcPr>
          <w:p w14:paraId="62BC81E6">
            <w:pPr>
              <w:rPr>
                <w:color w:val="auto"/>
                <w:highlight w:val="none"/>
              </w:rPr>
            </w:pPr>
          </w:p>
        </w:tc>
        <w:tc>
          <w:tcPr>
            <w:tcW w:w="1404" w:type="dxa"/>
          </w:tcPr>
          <w:p w14:paraId="2F97F33E">
            <w:pPr>
              <w:rPr>
                <w:color w:val="auto"/>
                <w:highlight w:val="none"/>
              </w:rPr>
            </w:pPr>
          </w:p>
        </w:tc>
      </w:tr>
      <w:tr w14:paraId="025DB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7DCEB3E4">
            <w:pPr>
              <w:pStyle w:val="86"/>
              <w:spacing w:before="38"/>
              <w:ind w:left="0" w:right="0"/>
              <w:jc w:val="center"/>
              <w:rPr>
                <w:color w:val="auto"/>
                <w:sz w:val="21"/>
                <w:highlight w:val="none"/>
              </w:rPr>
            </w:pPr>
            <w:r>
              <w:rPr>
                <w:color w:val="auto"/>
                <w:sz w:val="21"/>
                <w:highlight w:val="none"/>
              </w:rPr>
              <w:t>2</w:t>
            </w:r>
          </w:p>
        </w:tc>
        <w:tc>
          <w:tcPr>
            <w:tcW w:w="1603" w:type="dxa"/>
          </w:tcPr>
          <w:p w14:paraId="58D6E3D2">
            <w:pPr>
              <w:rPr>
                <w:color w:val="auto"/>
                <w:highlight w:val="none"/>
              </w:rPr>
            </w:pPr>
          </w:p>
        </w:tc>
        <w:tc>
          <w:tcPr>
            <w:tcW w:w="1230" w:type="dxa"/>
          </w:tcPr>
          <w:p w14:paraId="32CEEDF8">
            <w:pPr>
              <w:rPr>
                <w:color w:val="auto"/>
                <w:highlight w:val="none"/>
              </w:rPr>
            </w:pPr>
          </w:p>
        </w:tc>
        <w:tc>
          <w:tcPr>
            <w:tcW w:w="1638" w:type="dxa"/>
          </w:tcPr>
          <w:p w14:paraId="00C828D7">
            <w:pPr>
              <w:rPr>
                <w:color w:val="auto"/>
                <w:highlight w:val="none"/>
              </w:rPr>
            </w:pPr>
          </w:p>
        </w:tc>
        <w:tc>
          <w:tcPr>
            <w:tcW w:w="1051" w:type="dxa"/>
          </w:tcPr>
          <w:p w14:paraId="58EE35D3">
            <w:pPr>
              <w:rPr>
                <w:color w:val="auto"/>
                <w:highlight w:val="none"/>
              </w:rPr>
            </w:pPr>
          </w:p>
        </w:tc>
        <w:tc>
          <w:tcPr>
            <w:tcW w:w="878" w:type="dxa"/>
          </w:tcPr>
          <w:p w14:paraId="35E3C25A">
            <w:pPr>
              <w:rPr>
                <w:color w:val="auto"/>
                <w:highlight w:val="none"/>
              </w:rPr>
            </w:pPr>
          </w:p>
        </w:tc>
        <w:tc>
          <w:tcPr>
            <w:tcW w:w="1066" w:type="dxa"/>
          </w:tcPr>
          <w:p w14:paraId="417EAF46">
            <w:pPr>
              <w:rPr>
                <w:color w:val="auto"/>
                <w:highlight w:val="none"/>
              </w:rPr>
            </w:pPr>
          </w:p>
        </w:tc>
        <w:tc>
          <w:tcPr>
            <w:tcW w:w="1404" w:type="dxa"/>
          </w:tcPr>
          <w:p w14:paraId="3F1F0D1E">
            <w:pPr>
              <w:rPr>
                <w:color w:val="auto"/>
                <w:highlight w:val="none"/>
              </w:rPr>
            </w:pPr>
          </w:p>
        </w:tc>
      </w:tr>
      <w:tr w14:paraId="1F2E6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543A89E9">
            <w:pPr>
              <w:pStyle w:val="86"/>
              <w:spacing w:before="38"/>
              <w:ind w:left="0" w:right="0"/>
              <w:jc w:val="center"/>
              <w:rPr>
                <w:color w:val="auto"/>
                <w:sz w:val="21"/>
                <w:highlight w:val="none"/>
              </w:rPr>
            </w:pPr>
            <w:r>
              <w:rPr>
                <w:color w:val="auto"/>
                <w:sz w:val="21"/>
                <w:highlight w:val="none"/>
              </w:rPr>
              <w:t>…</w:t>
            </w:r>
          </w:p>
        </w:tc>
        <w:tc>
          <w:tcPr>
            <w:tcW w:w="1603" w:type="dxa"/>
          </w:tcPr>
          <w:p w14:paraId="311DBF37">
            <w:pPr>
              <w:rPr>
                <w:color w:val="auto"/>
                <w:highlight w:val="none"/>
              </w:rPr>
            </w:pPr>
          </w:p>
        </w:tc>
        <w:tc>
          <w:tcPr>
            <w:tcW w:w="1230" w:type="dxa"/>
          </w:tcPr>
          <w:p w14:paraId="08F62957">
            <w:pPr>
              <w:rPr>
                <w:color w:val="auto"/>
                <w:highlight w:val="none"/>
              </w:rPr>
            </w:pPr>
          </w:p>
        </w:tc>
        <w:tc>
          <w:tcPr>
            <w:tcW w:w="1638" w:type="dxa"/>
          </w:tcPr>
          <w:p w14:paraId="608344FF">
            <w:pPr>
              <w:rPr>
                <w:color w:val="auto"/>
                <w:highlight w:val="none"/>
              </w:rPr>
            </w:pPr>
          </w:p>
        </w:tc>
        <w:tc>
          <w:tcPr>
            <w:tcW w:w="1051" w:type="dxa"/>
          </w:tcPr>
          <w:p w14:paraId="3DC3FAA1">
            <w:pPr>
              <w:rPr>
                <w:color w:val="auto"/>
                <w:highlight w:val="none"/>
              </w:rPr>
            </w:pPr>
          </w:p>
        </w:tc>
        <w:tc>
          <w:tcPr>
            <w:tcW w:w="878" w:type="dxa"/>
          </w:tcPr>
          <w:p w14:paraId="0A3D6B10">
            <w:pPr>
              <w:rPr>
                <w:color w:val="auto"/>
                <w:highlight w:val="none"/>
              </w:rPr>
            </w:pPr>
          </w:p>
        </w:tc>
        <w:tc>
          <w:tcPr>
            <w:tcW w:w="1066" w:type="dxa"/>
          </w:tcPr>
          <w:p w14:paraId="11DC9140">
            <w:pPr>
              <w:rPr>
                <w:color w:val="auto"/>
                <w:highlight w:val="none"/>
              </w:rPr>
            </w:pPr>
          </w:p>
        </w:tc>
        <w:tc>
          <w:tcPr>
            <w:tcW w:w="1404" w:type="dxa"/>
          </w:tcPr>
          <w:p w14:paraId="510BF9EB">
            <w:pPr>
              <w:rPr>
                <w:color w:val="auto"/>
                <w:highlight w:val="none"/>
              </w:rPr>
            </w:pPr>
          </w:p>
        </w:tc>
      </w:tr>
      <w:tr w14:paraId="261EA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912" w:type="dxa"/>
          </w:tcPr>
          <w:p w14:paraId="668E11B7">
            <w:pPr>
              <w:pStyle w:val="86"/>
              <w:spacing w:before="38"/>
              <w:ind w:left="0" w:right="0"/>
              <w:jc w:val="center"/>
              <w:rPr>
                <w:color w:val="auto"/>
                <w:sz w:val="21"/>
                <w:highlight w:val="none"/>
              </w:rPr>
            </w:pPr>
            <w:r>
              <w:rPr>
                <w:color w:val="auto"/>
                <w:sz w:val="21"/>
                <w:highlight w:val="none"/>
              </w:rPr>
              <w:t>N</w:t>
            </w:r>
          </w:p>
        </w:tc>
        <w:tc>
          <w:tcPr>
            <w:tcW w:w="1603" w:type="dxa"/>
          </w:tcPr>
          <w:p w14:paraId="5A6B548F">
            <w:pPr>
              <w:rPr>
                <w:color w:val="auto"/>
                <w:highlight w:val="none"/>
              </w:rPr>
            </w:pPr>
          </w:p>
        </w:tc>
        <w:tc>
          <w:tcPr>
            <w:tcW w:w="1230" w:type="dxa"/>
          </w:tcPr>
          <w:p w14:paraId="3CCBE08A">
            <w:pPr>
              <w:rPr>
                <w:color w:val="auto"/>
                <w:highlight w:val="none"/>
              </w:rPr>
            </w:pPr>
          </w:p>
        </w:tc>
        <w:tc>
          <w:tcPr>
            <w:tcW w:w="1638" w:type="dxa"/>
          </w:tcPr>
          <w:p w14:paraId="25D93DBA">
            <w:pPr>
              <w:rPr>
                <w:color w:val="auto"/>
                <w:highlight w:val="none"/>
              </w:rPr>
            </w:pPr>
          </w:p>
        </w:tc>
        <w:tc>
          <w:tcPr>
            <w:tcW w:w="1051" w:type="dxa"/>
          </w:tcPr>
          <w:p w14:paraId="4A009D9E">
            <w:pPr>
              <w:rPr>
                <w:color w:val="auto"/>
                <w:highlight w:val="none"/>
              </w:rPr>
            </w:pPr>
          </w:p>
        </w:tc>
        <w:tc>
          <w:tcPr>
            <w:tcW w:w="878" w:type="dxa"/>
          </w:tcPr>
          <w:p w14:paraId="505E9866">
            <w:pPr>
              <w:rPr>
                <w:color w:val="auto"/>
                <w:highlight w:val="none"/>
              </w:rPr>
            </w:pPr>
          </w:p>
        </w:tc>
        <w:tc>
          <w:tcPr>
            <w:tcW w:w="1066" w:type="dxa"/>
          </w:tcPr>
          <w:p w14:paraId="6E9C416F">
            <w:pPr>
              <w:rPr>
                <w:color w:val="auto"/>
                <w:highlight w:val="none"/>
              </w:rPr>
            </w:pPr>
          </w:p>
        </w:tc>
        <w:tc>
          <w:tcPr>
            <w:tcW w:w="1404" w:type="dxa"/>
          </w:tcPr>
          <w:p w14:paraId="1B877289">
            <w:pPr>
              <w:rPr>
                <w:color w:val="auto"/>
                <w:highlight w:val="none"/>
              </w:rPr>
            </w:pPr>
          </w:p>
        </w:tc>
      </w:tr>
      <w:tr w14:paraId="05BA9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exact"/>
          <w:jc w:val="center"/>
        </w:trPr>
        <w:tc>
          <w:tcPr>
            <w:tcW w:w="9782" w:type="dxa"/>
            <w:gridSpan w:val="8"/>
          </w:tcPr>
          <w:p w14:paraId="3EFD725A">
            <w:pPr>
              <w:pStyle w:val="86"/>
              <w:tabs>
                <w:tab w:val="left" w:pos="2931"/>
                <w:tab w:val="left" w:pos="4727"/>
                <w:tab w:val="left" w:pos="6699"/>
                <w:tab w:val="left" w:pos="8010"/>
                <w:tab w:val="left" w:pos="8140"/>
              </w:tabs>
              <w:spacing w:before="14" w:line="295" w:lineRule="auto"/>
              <w:ind w:left="105" w:right="142"/>
              <w:rPr>
                <w:color w:val="auto"/>
                <w:sz w:val="21"/>
                <w:szCs w:val="21"/>
                <w:highlight w:val="none"/>
                <w:lang w:eastAsia="zh-CN"/>
              </w:rPr>
            </w:pPr>
            <w:r>
              <w:rPr>
                <w:rFonts w:hint="eastAsia"/>
                <w:color w:val="auto"/>
                <w:sz w:val="21"/>
                <w:szCs w:val="21"/>
                <w:highlight w:val="none"/>
                <w:lang w:eastAsia="zh-CN"/>
              </w:rPr>
              <w:t>投标报价（合计金额）大写：</w:t>
            </w:r>
            <w:r>
              <w:rPr>
                <w:rFonts w:ascii="Times New Roman" w:hAnsi="Times New Roman" w:eastAsia="Times New Roman"/>
                <w:color w:val="auto"/>
                <w:sz w:val="21"/>
                <w:szCs w:val="21"/>
                <w:highlight w:val="none"/>
                <w:u w:val="single"/>
                <w:lang w:eastAsia="zh-CN"/>
              </w:rPr>
              <w:t xml:space="preserve"> </w:t>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hint="eastAsia"/>
                <w:color w:val="auto"/>
                <w:sz w:val="21"/>
                <w:szCs w:val="21"/>
                <w:highlight w:val="none"/>
                <w:lang w:eastAsia="zh-CN"/>
              </w:rPr>
              <w:t>人</w:t>
            </w:r>
            <w:r>
              <w:rPr>
                <w:color w:val="auto"/>
                <w:spacing w:val="-72"/>
                <w:sz w:val="21"/>
                <w:szCs w:val="21"/>
                <w:highlight w:val="none"/>
                <w:lang w:eastAsia="zh-CN"/>
              </w:rPr>
              <w:t xml:space="preserve"> </w:t>
            </w:r>
            <w:r>
              <w:rPr>
                <w:rFonts w:hint="eastAsia"/>
                <w:color w:val="auto"/>
                <w:sz w:val="21"/>
                <w:szCs w:val="21"/>
                <w:highlight w:val="none"/>
                <w:lang w:eastAsia="zh-CN"/>
              </w:rPr>
              <w:t>民</w:t>
            </w:r>
            <w:r>
              <w:rPr>
                <w:color w:val="auto"/>
                <w:spacing w:val="-67"/>
                <w:sz w:val="21"/>
                <w:szCs w:val="21"/>
                <w:highlight w:val="none"/>
                <w:lang w:eastAsia="zh-CN"/>
              </w:rPr>
              <w:t xml:space="preserve"> </w:t>
            </w:r>
            <w:r>
              <w:rPr>
                <w:rFonts w:hint="eastAsia"/>
                <w:color w:val="auto"/>
                <w:sz w:val="21"/>
                <w:szCs w:val="21"/>
                <w:highlight w:val="none"/>
                <w:lang w:eastAsia="zh-CN"/>
              </w:rPr>
              <w:t>币</w:t>
            </w:r>
            <w:r>
              <w:rPr>
                <w:color w:val="auto"/>
                <w:spacing w:val="-67"/>
                <w:sz w:val="21"/>
                <w:szCs w:val="21"/>
                <w:highlight w:val="none"/>
                <w:lang w:eastAsia="zh-CN"/>
              </w:rPr>
              <w:t xml:space="preserve"> </w:t>
            </w:r>
            <w:r>
              <w:rPr>
                <w:rFonts w:hint="eastAsia"/>
                <w:color w:val="auto"/>
                <w:sz w:val="21"/>
                <w:szCs w:val="21"/>
                <w:highlight w:val="none"/>
                <w:lang w:eastAsia="zh-CN"/>
              </w:rPr>
              <w:t>（</w:t>
            </w:r>
            <w:r>
              <w:rPr>
                <w:color w:val="auto"/>
                <w:spacing w:val="-67"/>
                <w:sz w:val="21"/>
                <w:szCs w:val="21"/>
                <w:highlight w:val="none"/>
                <w:lang w:eastAsia="zh-CN"/>
              </w:rPr>
              <w:t xml:space="preserve"> </w:t>
            </w:r>
            <w:r>
              <w:rPr>
                <w:rFonts w:hint="eastAsia"/>
                <w:color w:val="auto"/>
                <w:sz w:val="21"/>
                <w:szCs w:val="21"/>
                <w:highlight w:val="none"/>
                <w:lang w:eastAsia="zh-CN"/>
              </w:rPr>
              <w:t>￥</w:t>
            </w:r>
            <w:r>
              <w:rPr>
                <w:rFonts w:ascii="Times New Roman" w:hAnsi="Times New Roman" w:eastAsia="Times New Roman"/>
                <w:color w:val="auto"/>
                <w:sz w:val="21"/>
                <w:szCs w:val="21"/>
                <w:highlight w:val="none"/>
                <w:u w:val="single"/>
                <w:lang w:eastAsia="zh-CN"/>
              </w:rPr>
              <w:t xml:space="preserve"> </w:t>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ascii="Times New Roman" w:hAnsi="Times New Roman" w:eastAsia="Times New Roman"/>
                <w:color w:val="auto"/>
                <w:sz w:val="21"/>
                <w:szCs w:val="21"/>
                <w:highlight w:val="none"/>
                <w:u w:val="single"/>
                <w:lang w:eastAsia="zh-CN"/>
              </w:rPr>
              <w:tab/>
            </w:r>
            <w:r>
              <w:rPr>
                <w:rFonts w:hint="eastAsia"/>
                <w:color w:val="auto"/>
                <w:sz w:val="21"/>
                <w:szCs w:val="21"/>
                <w:highlight w:val="none"/>
                <w:lang w:eastAsia="zh-CN"/>
              </w:rPr>
              <w:t>）</w:t>
            </w:r>
            <w:r>
              <w:rPr>
                <w:color w:val="auto"/>
                <w:sz w:val="21"/>
                <w:szCs w:val="21"/>
                <w:highlight w:val="none"/>
                <w:lang w:eastAsia="zh-CN"/>
              </w:rPr>
              <w:t xml:space="preserve"> </w:t>
            </w:r>
            <w:r>
              <w:rPr>
                <w:rFonts w:hint="eastAsia"/>
                <w:color w:val="auto"/>
                <w:sz w:val="21"/>
                <w:szCs w:val="21"/>
                <w:highlight w:val="none"/>
                <w:lang w:eastAsia="zh-CN"/>
              </w:rPr>
              <w:t>。</w:t>
            </w:r>
          </w:p>
          <w:p w14:paraId="1CF4959C">
            <w:pPr>
              <w:pStyle w:val="86"/>
              <w:tabs>
                <w:tab w:val="left" w:pos="2931"/>
                <w:tab w:val="left" w:pos="4727"/>
                <w:tab w:val="left" w:pos="6699"/>
                <w:tab w:val="left" w:pos="8010"/>
                <w:tab w:val="left" w:pos="8140"/>
              </w:tabs>
              <w:spacing w:before="14" w:line="295" w:lineRule="auto"/>
              <w:ind w:left="105" w:right="142"/>
              <w:rPr>
                <w:color w:val="auto"/>
                <w:sz w:val="24"/>
                <w:highlight w:val="none"/>
                <w:lang w:eastAsia="zh-CN"/>
              </w:rPr>
            </w:pPr>
            <w:r>
              <w:rPr>
                <w:color w:val="auto"/>
                <w:sz w:val="21"/>
                <w:szCs w:val="21"/>
                <w:highlight w:val="none"/>
                <w:lang w:eastAsia="zh-CN"/>
              </w:rPr>
              <w:t>属于优先采购节能产品总值为￥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u w:val="single"/>
                <w:lang w:eastAsia="zh-CN"/>
              </w:rPr>
              <w:tab/>
            </w:r>
            <w:r>
              <w:rPr>
                <w:color w:val="auto"/>
                <w:sz w:val="21"/>
                <w:szCs w:val="21"/>
                <w:highlight w:val="none"/>
                <w:lang w:eastAsia="zh-CN"/>
              </w:rPr>
              <w:t>（具体明细详见附表），占本投标报价的比例为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lang w:eastAsia="zh-CN"/>
              </w:rPr>
              <w:t xml:space="preserve">%；属于优先采购环境标志产品总值为￥ </w:t>
            </w:r>
            <w:r>
              <w:rPr>
                <w:color w:val="auto"/>
                <w:sz w:val="21"/>
                <w:szCs w:val="21"/>
                <w:highlight w:val="none"/>
                <w:u w:val="single"/>
                <w:lang w:eastAsia="zh-CN"/>
              </w:rPr>
              <w:tab/>
            </w:r>
            <w:r>
              <w:rPr>
                <w:color w:val="auto"/>
                <w:sz w:val="21"/>
                <w:szCs w:val="21"/>
                <w:highlight w:val="none"/>
                <w:lang w:eastAsia="zh-CN"/>
              </w:rPr>
              <w:t>（具体明细详见附表）， 占本投标报价的比例为</w:t>
            </w:r>
            <w:r>
              <w:rPr>
                <w:color w:val="auto"/>
                <w:sz w:val="21"/>
                <w:szCs w:val="21"/>
                <w:highlight w:val="none"/>
                <w:u w:val="single"/>
                <w:lang w:eastAsia="zh-CN"/>
              </w:rPr>
              <w:t xml:space="preserve"> </w:t>
            </w:r>
            <w:r>
              <w:rPr>
                <w:rFonts w:hint="eastAsia"/>
                <w:color w:val="auto"/>
                <w:sz w:val="21"/>
                <w:szCs w:val="21"/>
                <w:highlight w:val="none"/>
                <w:u w:val="single"/>
                <w:lang w:eastAsia="zh-CN"/>
              </w:rPr>
              <w:t xml:space="preserve"> </w:t>
            </w:r>
            <w:r>
              <w:rPr>
                <w:color w:val="auto"/>
                <w:sz w:val="21"/>
                <w:szCs w:val="21"/>
                <w:highlight w:val="none"/>
                <w:lang w:eastAsia="zh-CN"/>
              </w:rPr>
              <w:t>%</w:t>
            </w:r>
            <w:r>
              <w:rPr>
                <w:rFonts w:hint="eastAsia"/>
                <w:color w:val="auto"/>
                <w:sz w:val="21"/>
                <w:szCs w:val="21"/>
                <w:highlight w:val="none"/>
                <w:lang w:eastAsia="zh-CN"/>
              </w:rPr>
              <w:t>。</w:t>
            </w:r>
            <w:r>
              <w:rPr>
                <w:rFonts w:hint="eastAsia"/>
                <w:color w:val="auto"/>
                <w:sz w:val="24"/>
                <w:highlight w:val="none"/>
                <w:lang w:eastAsia="zh-CN"/>
              </w:rPr>
              <w:t xml:space="preserve"> </w:t>
            </w:r>
          </w:p>
        </w:tc>
      </w:tr>
      <w:tr w14:paraId="5A322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exact"/>
          <w:jc w:val="center"/>
        </w:trPr>
        <w:tc>
          <w:tcPr>
            <w:tcW w:w="9782" w:type="dxa"/>
            <w:gridSpan w:val="8"/>
            <w:vAlign w:val="center"/>
          </w:tcPr>
          <w:p w14:paraId="4CC435CB">
            <w:pPr>
              <w:pStyle w:val="86"/>
              <w:tabs>
                <w:tab w:val="left" w:pos="2931"/>
                <w:tab w:val="left" w:pos="4727"/>
                <w:tab w:val="left" w:pos="6699"/>
                <w:tab w:val="left" w:pos="8010"/>
                <w:tab w:val="left" w:pos="8140"/>
              </w:tabs>
              <w:spacing w:before="14" w:line="295" w:lineRule="auto"/>
              <w:ind w:left="105" w:right="142"/>
              <w:jc w:val="both"/>
              <w:rPr>
                <w:color w:val="auto"/>
                <w:sz w:val="21"/>
                <w:szCs w:val="21"/>
                <w:highlight w:val="none"/>
                <w:lang w:eastAsia="zh-CN"/>
              </w:rPr>
            </w:pPr>
            <w:r>
              <w:rPr>
                <w:rFonts w:hint="eastAsia" w:ascii="宋体" w:hAnsi="宋体" w:cs="宋体"/>
                <w:color w:val="auto"/>
                <w:kern w:val="0"/>
                <w:szCs w:val="21"/>
                <w:highlight w:val="none"/>
              </w:rPr>
              <w:t>合同期限</w:t>
            </w:r>
            <w:r>
              <w:rPr>
                <w:rFonts w:hint="eastAsia"/>
                <w:b/>
                <w:color w:val="auto"/>
                <w:sz w:val="21"/>
                <w:szCs w:val="21"/>
                <w:highlight w:val="none"/>
                <w:lang w:eastAsia="zh-CN"/>
              </w:rPr>
              <w:t>：</w:t>
            </w:r>
          </w:p>
        </w:tc>
      </w:tr>
    </w:tbl>
    <w:p w14:paraId="6796C1E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注： </w:t>
      </w:r>
    </w:p>
    <w:p w14:paraId="39DB2E7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报价费用包含“第三章项目采购需求”中提出的所有费用，包括货款、标准附件、备品备件、专用工具、包装、运输、装卸、保险、税金、货到就位以及安装、安装所需辅材、调试、检验、验收等所需的一切使本项目完成验收的费用及供货商对业主承诺培训、售前、售后质量保证等相关费用等在内的一切可能发生的费用。对于本谈判采购文件中未列明，而供应商认为必需的费用也需列入报价。在合同实施时，采购人将不予支付成交供应商没有列入的项目费用，并认为此项目的费用已包括在报价中。</w:t>
      </w:r>
    </w:p>
    <w:p w14:paraId="08C3EC7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参加谈判的供应商在规定时间内提交最后报价时，须附相应的报价明细表（最后报价明细表应按以上格式要求提供），并且最后报价金额须与最后报价明细表的合计金额相等，否则须在规定时间内按最后报价金额调整最后报价明细表的金额。</w:t>
      </w:r>
    </w:p>
    <w:p w14:paraId="3E2B1E5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3、所有价格均用人民币表示，单位为元，精确到百分位。</w:t>
      </w:r>
    </w:p>
    <w:p w14:paraId="3424709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4、报价一经涂改，应在涂改处加盖单位公章或者由法定代表人或授权委托人签字，否则其报价无效。</w:t>
      </w:r>
    </w:p>
    <w:p w14:paraId="0B9FD1E0">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本表投标产品中如有财政部现行《节能产品政府采购品目清单》目录内优先采购的产品、现行《环境标志产品政府采购品目清单》目录内优先采购的产品、小微企业生产的产品，请在本表后按类别分别附上此类产品明细表，明细表中列明：项号、货物名称、数量、单价、投标报价、累计金额并附相关证明材料。如因供应商未提供明细表或证明材料而导致评标委员会无法评判或无法计分而给供应商造成的损失由供应商自行负责，如因供应商提供虚假材料以谋取中标的责任亦由供应商自行负责。</w:t>
      </w:r>
    </w:p>
    <w:p w14:paraId="48CAA18B">
      <w:pPr>
        <w:spacing w:line="360" w:lineRule="exact"/>
        <w:ind w:firstLine="420" w:firstLineChars="200"/>
        <w:rPr>
          <w:rFonts w:ascii="宋体" w:hAnsi="宋体" w:cs="仿宋_GB2312"/>
          <w:color w:val="auto"/>
          <w:szCs w:val="21"/>
          <w:highlight w:val="none"/>
        </w:rPr>
      </w:pPr>
      <w:r>
        <w:rPr>
          <w:rFonts w:hint="eastAsia" w:ascii="宋体" w:hAnsi="宋体" w:cs="宋体"/>
          <w:color w:val="auto"/>
          <w:kern w:val="0"/>
          <w:szCs w:val="21"/>
          <w:highlight w:val="none"/>
        </w:rPr>
        <w:t>6</w:t>
      </w:r>
      <w:r>
        <w:rPr>
          <w:rFonts w:hint="eastAsia" w:ascii="宋体" w:hAnsi="宋体"/>
          <w:color w:val="auto"/>
          <w:szCs w:val="21"/>
          <w:highlight w:val="none"/>
        </w:rPr>
        <w:t>、本表为最后报价时作为最后报价格式提供，无须在首次响应文件中体现。</w:t>
      </w:r>
    </w:p>
    <w:p w14:paraId="4230B94E">
      <w:pPr>
        <w:spacing w:line="360" w:lineRule="exact"/>
        <w:ind w:firstLine="6090" w:firstLineChars="2900"/>
        <w:rPr>
          <w:rFonts w:ascii="宋体" w:hAnsi="宋体"/>
          <w:color w:val="auto"/>
          <w:szCs w:val="21"/>
          <w:highlight w:val="none"/>
        </w:rPr>
      </w:pPr>
    </w:p>
    <w:p w14:paraId="0660CAFB">
      <w:pPr>
        <w:spacing w:line="360" w:lineRule="exact"/>
        <w:ind w:firstLine="6090" w:firstLineChars="2900"/>
        <w:rPr>
          <w:rFonts w:ascii="宋体" w:hAnsi="宋体"/>
          <w:color w:val="auto"/>
          <w:szCs w:val="21"/>
          <w:highlight w:val="none"/>
        </w:rPr>
      </w:pPr>
      <w:r>
        <w:rPr>
          <w:rFonts w:hint="eastAsia" w:ascii="宋体" w:hAnsi="宋体"/>
          <w:color w:val="auto"/>
          <w:szCs w:val="21"/>
          <w:highlight w:val="none"/>
        </w:rPr>
        <w:t>供应商名称(电子签章)：</w:t>
      </w:r>
    </w:p>
    <w:p w14:paraId="5FD170BB">
      <w:pPr>
        <w:spacing w:line="360" w:lineRule="exact"/>
        <w:ind w:firstLine="6300" w:firstLineChars="3000"/>
        <w:rPr>
          <w:rFonts w:ascii="宋体" w:hAnsi="宋体"/>
          <w:color w:val="auto"/>
          <w:szCs w:val="21"/>
          <w:highlight w:val="none"/>
        </w:rPr>
      </w:pPr>
      <w:r>
        <w:rPr>
          <w:rFonts w:hint="eastAsia" w:ascii="宋体" w:hAnsi="宋体"/>
          <w:color w:val="auto"/>
          <w:szCs w:val="21"/>
          <w:highlight w:val="none"/>
        </w:rPr>
        <w:t>日期： 年 月 日</w:t>
      </w:r>
    </w:p>
    <w:p w14:paraId="5192834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br w:type="page"/>
      </w:r>
    </w:p>
    <w:p w14:paraId="5915FF96">
      <w:pPr>
        <w:spacing w:line="360" w:lineRule="exact"/>
        <w:rPr>
          <w:rFonts w:hint="eastAsia" w:ascii="宋体" w:hAnsi="宋体" w:cs="宋体"/>
          <w:b/>
          <w:color w:val="auto"/>
          <w:sz w:val="24"/>
          <w:highlight w:val="none"/>
        </w:rPr>
      </w:pPr>
      <w:r>
        <w:rPr>
          <w:rFonts w:hint="eastAsia" w:ascii="宋体" w:hAnsi="宋体" w:cs="宋体"/>
          <w:b/>
          <w:color w:val="auto"/>
          <w:sz w:val="24"/>
          <w:highlight w:val="none"/>
          <w:lang w:val="en-US" w:eastAsia="zh-CN"/>
        </w:rPr>
        <w:t>三</w:t>
      </w:r>
      <w:r>
        <w:rPr>
          <w:rFonts w:hint="eastAsia" w:ascii="宋体" w:hAnsi="宋体" w:cs="宋体"/>
          <w:b/>
          <w:color w:val="auto"/>
          <w:sz w:val="24"/>
          <w:highlight w:val="none"/>
        </w:rPr>
        <w:t>、关于符合本国产品标准的声明函格式</w:t>
      </w:r>
    </w:p>
    <w:p w14:paraId="0ABA2F58">
      <w:pPr>
        <w:spacing w:line="500" w:lineRule="exact"/>
        <w:jc w:val="center"/>
        <w:rPr>
          <w:rFonts w:hint="eastAsia" w:ascii="宋体" w:hAnsi="宋体" w:cs="宋体"/>
          <w:color w:val="auto"/>
          <w:sz w:val="44"/>
          <w:szCs w:val="20"/>
          <w:highlight w:val="none"/>
        </w:rPr>
      </w:pPr>
    </w:p>
    <w:p w14:paraId="7896BD5F">
      <w:pPr>
        <w:spacing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关于符合本国产品标准的声明函</w:t>
      </w:r>
    </w:p>
    <w:p w14:paraId="405888DA">
      <w:pPr>
        <w:widowControl/>
        <w:shd w:val="clear" w:color="auto" w:fill="FFFFFF"/>
        <w:spacing w:before="20" w:after="20"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 本公司（单位）郑重声明，根据《国务院办公厅关于在政府采购中实施本国产品标准及相关政策的通知》（国办发〔2025〕34号）的规定，本公司（单位）提供的以下产品属于本国产品。具体情况如下：</w:t>
      </w:r>
    </w:p>
    <w:p w14:paraId="1EF88E82">
      <w:pPr>
        <w:widowControl/>
        <w:shd w:val="clear" w:color="auto" w:fill="FFFFFF"/>
        <w:spacing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w:t>
      </w:r>
      <w:r>
        <w:rPr>
          <w:rFonts w:hint="eastAsia" w:asciiTheme="minorEastAsia" w:hAnsiTheme="minorEastAsia" w:eastAsiaTheme="minorEastAsia" w:cstheme="minorEastAsia"/>
          <w:iCs/>
          <w:color w:val="auto"/>
          <w:kern w:val="0"/>
          <w:szCs w:val="21"/>
          <w:highlight w:val="none"/>
          <w:u w:val="single"/>
        </w:rPr>
        <w:t>（产品名称1）</w:t>
      </w:r>
      <w:r>
        <w:rPr>
          <w:rFonts w:hint="eastAsia" w:asciiTheme="minorEastAsia" w:hAnsiTheme="minorEastAsia" w:eastAsiaTheme="minorEastAsia" w:cstheme="minorEastAsia"/>
          <w:iCs/>
          <w:color w:val="auto"/>
          <w:kern w:val="0"/>
          <w:szCs w:val="21"/>
          <w:highlight w:val="none"/>
          <w:vertAlign w:val="superscript"/>
        </w:rPr>
        <w:t>1</w:t>
      </w:r>
      <w:r>
        <w:rPr>
          <w:rFonts w:hint="eastAsia" w:asciiTheme="minorEastAsia" w:hAnsiTheme="minorEastAsia" w:eastAsiaTheme="minorEastAsia" w:cstheme="minorEastAsia"/>
          <w:color w:val="auto"/>
          <w:kern w:val="0"/>
          <w:szCs w:val="21"/>
          <w:highlight w:val="none"/>
        </w:rPr>
        <w:t>，生产厂为</w:t>
      </w:r>
      <w:r>
        <w:rPr>
          <w:rFonts w:hint="eastAsia" w:asciiTheme="minorEastAsia" w:hAnsiTheme="minorEastAsia" w:eastAsiaTheme="minorEastAsia" w:cstheme="minorEastAsia"/>
          <w:iCs/>
          <w:color w:val="auto"/>
          <w:kern w:val="0"/>
          <w:szCs w:val="21"/>
          <w:highlight w:val="none"/>
          <w:u w:val="single"/>
        </w:rPr>
        <w:t>（厂名）</w:t>
      </w:r>
      <w:r>
        <w:rPr>
          <w:rFonts w:hint="eastAsia" w:asciiTheme="minorEastAsia" w:hAnsiTheme="minorEastAsia" w:eastAsiaTheme="minorEastAsia" w:cstheme="minorEastAsia"/>
          <w:iCs/>
          <w:color w:val="auto"/>
          <w:kern w:val="0"/>
          <w:szCs w:val="21"/>
          <w:highlight w:val="none"/>
          <w:vertAlign w:val="superscript"/>
        </w:rPr>
        <w:t>2</w:t>
      </w:r>
      <w:r>
        <w:rPr>
          <w:rFonts w:hint="eastAsia" w:asciiTheme="minorEastAsia" w:hAnsiTheme="minorEastAsia" w:eastAsiaTheme="minorEastAsia" w:cstheme="minorEastAsia"/>
          <w:color w:val="auto"/>
          <w:kern w:val="0"/>
          <w:szCs w:val="21"/>
          <w:highlight w:val="none"/>
        </w:rPr>
        <w:t>，厂址为</w:t>
      </w:r>
      <w:r>
        <w:rPr>
          <w:rFonts w:hint="eastAsia" w:asciiTheme="minorEastAsia" w:hAnsiTheme="minorEastAsia" w:eastAsiaTheme="minorEastAsia" w:cstheme="minorEastAsia"/>
          <w:iCs/>
          <w:color w:val="auto"/>
          <w:kern w:val="0"/>
          <w:szCs w:val="21"/>
          <w:highlight w:val="none"/>
          <w:u w:val="single"/>
        </w:rPr>
        <w:t>（生产厂址）</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iCs/>
          <w:color w:val="auto"/>
          <w:kern w:val="0"/>
          <w:szCs w:val="21"/>
          <w:highlight w:val="none"/>
        </w:rPr>
        <w:t>（</w:t>
      </w:r>
      <w:r>
        <w:rPr>
          <w:rFonts w:hint="eastAsia" w:asciiTheme="minorEastAsia" w:hAnsiTheme="minorEastAsia" w:eastAsiaTheme="minorEastAsia" w:cstheme="minorEastAsia"/>
          <w:iCs/>
          <w:color w:val="auto"/>
          <w:kern w:val="0"/>
          <w:szCs w:val="21"/>
          <w:highlight w:val="none"/>
          <w:u w:val="single"/>
        </w:rPr>
        <w:t>产品名称1）</w:t>
      </w:r>
      <w:r>
        <w:rPr>
          <w:rFonts w:hint="eastAsia" w:asciiTheme="minorEastAsia" w:hAnsiTheme="minorEastAsia" w:eastAsiaTheme="minorEastAsia" w:cstheme="minorEastAsia"/>
          <w:color w:val="auto"/>
          <w:kern w:val="0"/>
          <w:szCs w:val="21"/>
          <w:highlight w:val="none"/>
        </w:rPr>
        <w:t>的中国境内生产的组件成本占比≥</w:t>
      </w:r>
      <w:r>
        <w:rPr>
          <w:rFonts w:hint="eastAsia" w:asciiTheme="minorEastAsia" w:hAnsiTheme="minorEastAsia" w:eastAsiaTheme="minorEastAsia" w:cstheme="minorEastAsia"/>
          <w:iCs/>
          <w:color w:val="auto"/>
          <w:kern w:val="0"/>
          <w:szCs w:val="21"/>
          <w:highlight w:val="none"/>
          <w:u w:val="single"/>
        </w:rPr>
        <w:t>（规定比例）</w:t>
      </w:r>
      <w:r>
        <w:rPr>
          <w:rFonts w:hint="eastAsia" w:asciiTheme="minorEastAsia" w:hAnsiTheme="minorEastAsia" w:eastAsiaTheme="minorEastAsia" w:cstheme="minorEastAsia"/>
          <w:iCs/>
          <w:color w:val="auto"/>
          <w:kern w:val="0"/>
          <w:szCs w:val="21"/>
          <w:highlight w:val="none"/>
          <w:vertAlign w:val="superscript"/>
        </w:rPr>
        <w:t>3</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iCs/>
          <w:color w:val="auto"/>
          <w:kern w:val="0"/>
          <w:szCs w:val="21"/>
          <w:highlight w:val="none"/>
          <w:u w:val="single"/>
        </w:rPr>
        <w:t>（产品名称1）</w:t>
      </w:r>
      <w:r>
        <w:rPr>
          <w:rFonts w:hint="eastAsia" w:asciiTheme="minorEastAsia" w:hAnsiTheme="minorEastAsia" w:eastAsiaTheme="minorEastAsia" w:cstheme="minorEastAsia"/>
          <w:color w:val="auto"/>
          <w:kern w:val="0"/>
          <w:szCs w:val="21"/>
          <w:highlight w:val="none"/>
        </w:rPr>
        <w:t>的</w:t>
      </w:r>
      <w:r>
        <w:rPr>
          <w:rFonts w:hint="eastAsia" w:asciiTheme="minorEastAsia" w:hAnsiTheme="minorEastAsia" w:eastAsiaTheme="minorEastAsia" w:cstheme="minorEastAsia"/>
          <w:iCs/>
          <w:color w:val="auto"/>
          <w:kern w:val="0"/>
          <w:szCs w:val="21"/>
          <w:highlight w:val="none"/>
          <w:u w:val="single"/>
        </w:rPr>
        <w:t>（关键组件）</w:t>
      </w:r>
      <w:r>
        <w:rPr>
          <w:rFonts w:hint="eastAsia" w:asciiTheme="minorEastAsia" w:hAnsiTheme="minorEastAsia" w:eastAsiaTheme="minorEastAsia" w:cstheme="minorEastAsia"/>
          <w:iCs/>
          <w:color w:val="auto"/>
          <w:kern w:val="0"/>
          <w:szCs w:val="21"/>
          <w:highlight w:val="none"/>
          <w:vertAlign w:val="superscript"/>
        </w:rPr>
        <w:t>4</w:t>
      </w:r>
      <w:r>
        <w:rPr>
          <w:rFonts w:hint="eastAsia" w:asciiTheme="minorEastAsia" w:hAnsiTheme="minorEastAsia" w:eastAsiaTheme="minorEastAsia" w:cstheme="minorEastAsia"/>
          <w:color w:val="auto"/>
          <w:kern w:val="0"/>
          <w:szCs w:val="21"/>
          <w:highlight w:val="none"/>
        </w:rPr>
        <w:t>在中国境内生产。</w:t>
      </w:r>
      <w:r>
        <w:rPr>
          <w:rFonts w:hint="eastAsia" w:asciiTheme="minorEastAsia" w:hAnsiTheme="minorEastAsia" w:eastAsiaTheme="minorEastAsia" w:cstheme="minorEastAsia"/>
          <w:iCs/>
          <w:color w:val="auto"/>
          <w:kern w:val="0"/>
          <w:szCs w:val="21"/>
          <w:highlight w:val="none"/>
          <w:u w:val="single"/>
        </w:rPr>
        <w:t>（产品名称1）</w:t>
      </w:r>
      <w:r>
        <w:rPr>
          <w:rFonts w:hint="eastAsia" w:asciiTheme="minorEastAsia" w:hAnsiTheme="minorEastAsia" w:eastAsiaTheme="minorEastAsia" w:cstheme="minorEastAsia"/>
          <w:color w:val="auto"/>
          <w:kern w:val="0"/>
          <w:szCs w:val="21"/>
          <w:highlight w:val="none"/>
        </w:rPr>
        <w:t>的</w:t>
      </w:r>
      <w:r>
        <w:rPr>
          <w:rFonts w:hint="eastAsia" w:asciiTheme="minorEastAsia" w:hAnsiTheme="minorEastAsia" w:eastAsiaTheme="minorEastAsia" w:cstheme="minorEastAsia"/>
          <w:iCs/>
          <w:color w:val="auto"/>
          <w:kern w:val="0"/>
          <w:szCs w:val="21"/>
          <w:highlight w:val="none"/>
          <w:u w:val="single"/>
        </w:rPr>
        <w:t>（关键工序）</w:t>
      </w:r>
      <w:r>
        <w:rPr>
          <w:rFonts w:hint="eastAsia" w:asciiTheme="minorEastAsia" w:hAnsiTheme="minorEastAsia" w:eastAsiaTheme="minorEastAsia" w:cstheme="minorEastAsia"/>
          <w:iCs/>
          <w:color w:val="auto"/>
          <w:kern w:val="0"/>
          <w:szCs w:val="21"/>
          <w:highlight w:val="none"/>
          <w:vertAlign w:val="superscript"/>
        </w:rPr>
        <w:t>5</w:t>
      </w:r>
      <w:r>
        <w:rPr>
          <w:rFonts w:hint="eastAsia" w:asciiTheme="minorEastAsia" w:hAnsiTheme="minorEastAsia" w:eastAsiaTheme="minorEastAsia" w:cstheme="minorEastAsia"/>
          <w:color w:val="auto"/>
          <w:kern w:val="0"/>
          <w:szCs w:val="21"/>
          <w:highlight w:val="none"/>
        </w:rPr>
        <w:t>在中国境内完成。</w:t>
      </w:r>
    </w:p>
    <w:p w14:paraId="78F68EF9">
      <w:pPr>
        <w:widowControl/>
        <w:shd w:val="clear" w:color="auto" w:fill="FFFFFF"/>
        <w:spacing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w:t>
      </w:r>
      <w:r>
        <w:rPr>
          <w:rFonts w:hint="eastAsia" w:asciiTheme="minorEastAsia" w:hAnsiTheme="minorEastAsia" w:eastAsiaTheme="minorEastAsia" w:cstheme="minorEastAsia"/>
          <w:iCs/>
          <w:color w:val="auto"/>
          <w:kern w:val="0"/>
          <w:szCs w:val="21"/>
          <w:highlight w:val="none"/>
          <w:u w:val="single"/>
        </w:rPr>
        <w:t>（产品名称2）</w:t>
      </w:r>
      <w:r>
        <w:rPr>
          <w:rFonts w:hint="eastAsia" w:asciiTheme="minorEastAsia" w:hAnsiTheme="minorEastAsia" w:eastAsiaTheme="minorEastAsia" w:cstheme="minorEastAsia"/>
          <w:color w:val="auto"/>
          <w:kern w:val="0"/>
          <w:szCs w:val="21"/>
          <w:highlight w:val="none"/>
        </w:rPr>
        <w:t>，生产厂为</w:t>
      </w:r>
      <w:r>
        <w:rPr>
          <w:rFonts w:hint="eastAsia" w:asciiTheme="minorEastAsia" w:hAnsiTheme="minorEastAsia" w:eastAsiaTheme="minorEastAsia" w:cstheme="minorEastAsia"/>
          <w:iCs/>
          <w:color w:val="auto"/>
          <w:kern w:val="0"/>
          <w:szCs w:val="21"/>
          <w:highlight w:val="none"/>
          <w:u w:val="single"/>
        </w:rPr>
        <w:t>（厂名）</w:t>
      </w:r>
      <w:r>
        <w:rPr>
          <w:rFonts w:hint="eastAsia" w:asciiTheme="minorEastAsia" w:hAnsiTheme="minorEastAsia" w:eastAsiaTheme="minorEastAsia" w:cstheme="minorEastAsia"/>
          <w:color w:val="auto"/>
          <w:kern w:val="0"/>
          <w:szCs w:val="21"/>
          <w:highlight w:val="none"/>
        </w:rPr>
        <w:t>，厂址为</w:t>
      </w:r>
      <w:r>
        <w:rPr>
          <w:rFonts w:hint="eastAsia" w:asciiTheme="minorEastAsia" w:hAnsiTheme="minorEastAsia" w:eastAsiaTheme="minorEastAsia" w:cstheme="minorEastAsia"/>
          <w:iCs/>
          <w:color w:val="auto"/>
          <w:kern w:val="0"/>
          <w:szCs w:val="21"/>
          <w:highlight w:val="none"/>
          <w:u w:val="single"/>
        </w:rPr>
        <w:t>（生产厂址）</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iCs/>
          <w:color w:val="auto"/>
          <w:kern w:val="0"/>
          <w:szCs w:val="21"/>
          <w:highlight w:val="none"/>
          <w:u w:val="single"/>
        </w:rPr>
        <w:t>（产品名称2）</w:t>
      </w:r>
      <w:r>
        <w:rPr>
          <w:rFonts w:hint="eastAsia" w:asciiTheme="minorEastAsia" w:hAnsiTheme="minorEastAsia" w:eastAsiaTheme="minorEastAsia" w:cstheme="minorEastAsia"/>
          <w:color w:val="auto"/>
          <w:kern w:val="0"/>
          <w:szCs w:val="21"/>
          <w:highlight w:val="none"/>
        </w:rPr>
        <w:t>的中国境内生产的组件成本占比≥</w:t>
      </w:r>
      <w:r>
        <w:rPr>
          <w:rFonts w:hint="eastAsia" w:asciiTheme="minorEastAsia" w:hAnsiTheme="minorEastAsia" w:eastAsiaTheme="minorEastAsia" w:cstheme="minorEastAsia"/>
          <w:iCs/>
          <w:color w:val="auto"/>
          <w:kern w:val="0"/>
          <w:szCs w:val="21"/>
          <w:highlight w:val="none"/>
          <w:u w:val="single"/>
        </w:rPr>
        <w:t>（规定比例）</w:t>
      </w:r>
      <w:r>
        <w:rPr>
          <w:rFonts w:hint="eastAsia" w:asciiTheme="minorEastAsia" w:hAnsiTheme="minorEastAsia" w:eastAsiaTheme="minorEastAsia" w:cstheme="minorEastAsia"/>
          <w:color w:val="auto"/>
          <w:kern w:val="0"/>
          <w:szCs w:val="21"/>
          <w:highlight w:val="none"/>
        </w:rPr>
        <w:t>。</w:t>
      </w:r>
      <w:r>
        <w:rPr>
          <w:rFonts w:hint="eastAsia" w:asciiTheme="minorEastAsia" w:hAnsiTheme="minorEastAsia" w:eastAsiaTheme="minorEastAsia" w:cstheme="minorEastAsia"/>
          <w:iCs/>
          <w:color w:val="auto"/>
          <w:kern w:val="0"/>
          <w:szCs w:val="21"/>
          <w:highlight w:val="none"/>
          <w:u w:val="single"/>
        </w:rPr>
        <w:t>（产品名称2）</w:t>
      </w:r>
      <w:r>
        <w:rPr>
          <w:rFonts w:hint="eastAsia" w:asciiTheme="minorEastAsia" w:hAnsiTheme="minorEastAsia" w:eastAsiaTheme="minorEastAsia" w:cstheme="minorEastAsia"/>
          <w:color w:val="auto"/>
          <w:kern w:val="0"/>
          <w:szCs w:val="21"/>
          <w:highlight w:val="none"/>
        </w:rPr>
        <w:t>的</w:t>
      </w:r>
      <w:r>
        <w:rPr>
          <w:rFonts w:hint="eastAsia" w:asciiTheme="minorEastAsia" w:hAnsiTheme="minorEastAsia" w:eastAsiaTheme="minorEastAsia" w:cstheme="minorEastAsia"/>
          <w:iCs/>
          <w:color w:val="auto"/>
          <w:kern w:val="0"/>
          <w:szCs w:val="21"/>
          <w:highlight w:val="none"/>
          <w:u w:val="single"/>
        </w:rPr>
        <w:t>（关键组件）</w:t>
      </w:r>
      <w:r>
        <w:rPr>
          <w:rFonts w:hint="eastAsia" w:asciiTheme="minorEastAsia" w:hAnsiTheme="minorEastAsia" w:eastAsiaTheme="minorEastAsia" w:cstheme="minorEastAsia"/>
          <w:color w:val="auto"/>
          <w:kern w:val="0"/>
          <w:szCs w:val="21"/>
          <w:highlight w:val="none"/>
        </w:rPr>
        <w:t>在中国境内生产。</w:t>
      </w:r>
      <w:r>
        <w:rPr>
          <w:rFonts w:hint="eastAsia" w:asciiTheme="minorEastAsia" w:hAnsiTheme="minorEastAsia" w:eastAsiaTheme="minorEastAsia" w:cstheme="minorEastAsia"/>
          <w:iCs/>
          <w:color w:val="auto"/>
          <w:kern w:val="0"/>
          <w:szCs w:val="21"/>
          <w:highlight w:val="none"/>
          <w:u w:val="single"/>
        </w:rPr>
        <w:t>（产品名称2）</w:t>
      </w:r>
      <w:r>
        <w:rPr>
          <w:rFonts w:hint="eastAsia" w:asciiTheme="minorEastAsia" w:hAnsiTheme="minorEastAsia" w:eastAsiaTheme="minorEastAsia" w:cstheme="minorEastAsia"/>
          <w:color w:val="auto"/>
          <w:kern w:val="0"/>
          <w:szCs w:val="21"/>
          <w:highlight w:val="none"/>
        </w:rPr>
        <w:t>的</w:t>
      </w:r>
      <w:r>
        <w:rPr>
          <w:rFonts w:hint="eastAsia" w:asciiTheme="minorEastAsia" w:hAnsiTheme="minorEastAsia" w:eastAsiaTheme="minorEastAsia" w:cstheme="minorEastAsia"/>
          <w:iCs/>
          <w:color w:val="auto"/>
          <w:kern w:val="0"/>
          <w:szCs w:val="21"/>
          <w:highlight w:val="none"/>
          <w:u w:val="single"/>
        </w:rPr>
        <w:t>（关键工序）</w:t>
      </w:r>
      <w:r>
        <w:rPr>
          <w:rFonts w:hint="eastAsia" w:asciiTheme="minorEastAsia" w:hAnsiTheme="minorEastAsia" w:eastAsiaTheme="minorEastAsia" w:cstheme="minorEastAsia"/>
          <w:color w:val="auto"/>
          <w:kern w:val="0"/>
          <w:szCs w:val="21"/>
          <w:highlight w:val="none"/>
        </w:rPr>
        <w:t>在中国境内完成。</w:t>
      </w:r>
    </w:p>
    <w:p w14:paraId="355C6E90">
      <w:pPr>
        <w:widowControl/>
        <w:shd w:val="clear" w:color="auto" w:fill="FFFFFF"/>
        <w:spacing w:before="20" w:after="20"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w:t>
      </w:r>
    </w:p>
    <w:p w14:paraId="6F0CEC35">
      <w:pPr>
        <w:widowControl/>
        <w:shd w:val="clear" w:color="auto" w:fill="FFFFFF"/>
        <w:spacing w:before="20" w:after="20" w:line="360" w:lineRule="atLeast"/>
        <w:ind w:firstLine="420" w:firstLineChars="200"/>
        <w:jc w:val="left"/>
        <w:textAlignment w:val="baseline"/>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本公司（单位）对上述声明内容的真实性负责。如有虚假，愿承担相应法律责任。</w:t>
      </w:r>
    </w:p>
    <w:p w14:paraId="58D0C101">
      <w:pPr>
        <w:spacing w:line="360" w:lineRule="exact"/>
        <w:ind w:firstLine="6090" w:firstLineChars="29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1C188385">
      <w:pPr>
        <w:spacing w:line="360" w:lineRule="exact"/>
        <w:ind w:firstLine="6300" w:firstLineChars="3000"/>
        <w:rPr>
          <w:rFonts w:hint="eastAsia" w:ascii="宋体" w:hAnsi="宋体" w:cs="宋体"/>
          <w:color w:val="auto"/>
          <w:szCs w:val="21"/>
          <w:highlight w:val="none"/>
        </w:rPr>
      </w:pPr>
      <w:r>
        <w:rPr>
          <w:rFonts w:hint="eastAsia" w:ascii="宋体" w:hAnsi="宋体" w:cs="宋体"/>
          <w:color w:val="auto"/>
          <w:szCs w:val="21"/>
          <w:highlight w:val="none"/>
        </w:rPr>
        <w:t>日期：年月日</w:t>
      </w:r>
    </w:p>
    <w:p w14:paraId="516F3E05">
      <w:pPr>
        <w:spacing w:line="360" w:lineRule="exact"/>
        <w:ind w:firstLine="420" w:firstLineChars="200"/>
        <w:rPr>
          <w:rFonts w:hint="eastAsia" w:ascii="宋体" w:hAnsi="宋体" w:cs="宋体"/>
          <w:color w:val="auto"/>
          <w:szCs w:val="21"/>
          <w:highlight w:val="none"/>
        </w:rPr>
      </w:pPr>
    </w:p>
    <w:p w14:paraId="64417A49">
      <w:pPr>
        <w:spacing w:line="360" w:lineRule="exact"/>
        <w:ind w:firstLine="420" w:firstLineChars="200"/>
        <w:rPr>
          <w:rFonts w:hint="eastAsia" w:ascii="宋体" w:hAnsi="宋体" w:cs="宋体"/>
          <w:color w:val="auto"/>
          <w:szCs w:val="21"/>
          <w:highlight w:val="none"/>
        </w:rPr>
      </w:pPr>
    </w:p>
    <w:p w14:paraId="4A84B7CE">
      <w:pPr>
        <w:spacing w:line="360" w:lineRule="exact"/>
        <w:ind w:firstLine="420" w:firstLineChars="200"/>
        <w:rPr>
          <w:rFonts w:hint="eastAsia" w:ascii="宋体" w:hAnsi="宋体" w:cs="宋体"/>
          <w:color w:val="auto"/>
          <w:szCs w:val="21"/>
          <w:highlight w:val="none"/>
        </w:rPr>
      </w:pPr>
    </w:p>
    <w:p w14:paraId="1B445AF0">
      <w:pPr>
        <w:spacing w:line="360" w:lineRule="exact"/>
        <w:ind w:firstLine="420" w:firstLineChars="200"/>
        <w:rPr>
          <w:rFonts w:hint="eastAsia" w:ascii="宋体" w:hAnsi="宋体" w:cs="宋体"/>
          <w:color w:val="auto"/>
          <w:szCs w:val="21"/>
          <w:highlight w:val="none"/>
        </w:rPr>
      </w:pPr>
    </w:p>
    <w:p w14:paraId="6AA0CFB3">
      <w:pPr>
        <w:spacing w:line="360" w:lineRule="exact"/>
        <w:ind w:firstLine="420" w:firstLineChars="200"/>
        <w:rPr>
          <w:rFonts w:hint="eastAsia" w:ascii="宋体" w:hAnsi="宋体" w:cs="宋体"/>
          <w:color w:val="auto"/>
          <w:szCs w:val="21"/>
          <w:highlight w:val="none"/>
        </w:rPr>
      </w:pPr>
    </w:p>
    <w:p w14:paraId="049F09BB">
      <w:pPr>
        <w:spacing w:line="360" w:lineRule="exact"/>
        <w:ind w:firstLine="420" w:firstLineChars="200"/>
        <w:rPr>
          <w:rFonts w:hint="eastAsia" w:ascii="宋体" w:hAnsi="宋体" w:cs="宋体"/>
          <w:color w:val="auto"/>
          <w:szCs w:val="21"/>
          <w:highlight w:val="none"/>
        </w:rPr>
      </w:pPr>
    </w:p>
    <w:p w14:paraId="631A6930">
      <w:pPr>
        <w:spacing w:line="360" w:lineRule="exact"/>
        <w:ind w:firstLine="420" w:firstLineChars="200"/>
        <w:rPr>
          <w:rFonts w:hint="eastAsia" w:ascii="宋体" w:hAnsi="宋体" w:cs="宋体"/>
          <w:color w:val="auto"/>
          <w:szCs w:val="21"/>
          <w:highlight w:val="none"/>
        </w:rPr>
      </w:pPr>
    </w:p>
    <w:p w14:paraId="2B89F772">
      <w:pPr>
        <w:spacing w:line="360" w:lineRule="exact"/>
        <w:ind w:firstLine="420" w:firstLineChars="200"/>
        <w:rPr>
          <w:rFonts w:hint="eastAsia" w:ascii="宋体" w:hAnsi="宋体" w:cs="宋体"/>
          <w:color w:val="auto"/>
          <w:szCs w:val="21"/>
          <w:highlight w:val="none"/>
        </w:rPr>
      </w:pPr>
    </w:p>
    <w:p w14:paraId="72599D94">
      <w:pPr>
        <w:spacing w:line="360" w:lineRule="exact"/>
        <w:ind w:firstLine="420" w:firstLineChars="200"/>
        <w:rPr>
          <w:rFonts w:hint="eastAsia" w:ascii="宋体" w:hAnsi="宋体" w:cs="宋体"/>
          <w:color w:val="auto"/>
          <w:szCs w:val="21"/>
          <w:highlight w:val="none"/>
        </w:rPr>
      </w:pPr>
    </w:p>
    <w:p w14:paraId="0FA62676">
      <w:pPr>
        <w:spacing w:line="360" w:lineRule="exact"/>
        <w:ind w:firstLine="420" w:firstLineChars="200"/>
        <w:rPr>
          <w:rFonts w:hint="eastAsia" w:ascii="宋体" w:hAnsi="宋体" w:cs="宋体"/>
          <w:color w:val="auto"/>
          <w:szCs w:val="21"/>
          <w:highlight w:val="none"/>
        </w:rPr>
      </w:pPr>
    </w:p>
    <w:p w14:paraId="2468251F">
      <w:pPr>
        <w:spacing w:line="360" w:lineRule="exact"/>
        <w:ind w:firstLine="420" w:firstLineChars="200"/>
        <w:rPr>
          <w:rFonts w:hint="eastAsia" w:ascii="宋体" w:hAnsi="宋体" w:cs="宋体"/>
          <w:color w:val="auto"/>
          <w:szCs w:val="21"/>
          <w:highlight w:val="none"/>
        </w:rPr>
      </w:pPr>
    </w:p>
    <w:p w14:paraId="2072A0C4">
      <w:pPr>
        <w:spacing w:line="360" w:lineRule="exact"/>
        <w:ind w:firstLine="420" w:firstLineChars="200"/>
        <w:rPr>
          <w:rFonts w:hint="eastAsia" w:ascii="宋体" w:hAnsi="宋体" w:cs="宋体"/>
          <w:color w:val="auto"/>
          <w:szCs w:val="21"/>
          <w:highlight w:val="none"/>
        </w:rPr>
      </w:pPr>
    </w:p>
    <w:p w14:paraId="55FDC8B1">
      <w:pPr>
        <w:spacing w:line="360" w:lineRule="exact"/>
        <w:ind w:firstLine="420" w:firstLineChars="200"/>
        <w:rPr>
          <w:rFonts w:hint="eastAsia" w:ascii="宋体" w:hAnsi="宋体" w:cs="宋体"/>
          <w:color w:val="auto"/>
          <w:szCs w:val="21"/>
          <w:highlight w:val="none"/>
        </w:rPr>
      </w:pPr>
    </w:p>
    <w:p w14:paraId="367DB23D">
      <w:pPr>
        <w:spacing w:line="360" w:lineRule="exact"/>
        <w:ind w:firstLine="420" w:firstLineChars="200"/>
        <w:rPr>
          <w:rFonts w:hint="eastAsia" w:ascii="宋体" w:hAnsi="宋体" w:cs="宋体"/>
          <w:color w:val="auto"/>
          <w:szCs w:val="21"/>
          <w:highlight w:val="none"/>
        </w:rPr>
      </w:pPr>
    </w:p>
    <w:p w14:paraId="53064220">
      <w:pPr>
        <w:spacing w:line="360" w:lineRule="exact"/>
        <w:ind w:firstLine="420" w:firstLineChars="200"/>
        <w:rPr>
          <w:rFonts w:hint="eastAsia" w:ascii="宋体" w:hAnsi="宋体" w:cs="宋体"/>
          <w:color w:val="auto"/>
          <w:szCs w:val="21"/>
          <w:highlight w:val="none"/>
        </w:rPr>
      </w:pPr>
    </w:p>
    <w:p w14:paraId="02FB09A6">
      <w:pPr>
        <w:spacing w:line="360" w:lineRule="exact"/>
        <w:ind w:firstLine="420" w:firstLineChars="200"/>
        <w:rPr>
          <w:rFonts w:hint="eastAsia" w:ascii="宋体" w:hAnsi="宋体" w:cs="宋体"/>
          <w:color w:val="auto"/>
          <w:szCs w:val="21"/>
          <w:highlight w:val="none"/>
        </w:rPr>
      </w:pPr>
    </w:p>
    <w:p w14:paraId="161778EC">
      <w:pPr>
        <w:spacing w:line="360" w:lineRule="exact"/>
        <w:ind w:firstLine="420" w:firstLineChars="200"/>
        <w:rPr>
          <w:rFonts w:hint="eastAsia" w:ascii="宋体" w:hAnsi="宋体" w:cs="宋体"/>
          <w:color w:val="auto"/>
          <w:szCs w:val="21"/>
          <w:highlight w:val="none"/>
        </w:rPr>
      </w:pPr>
    </w:p>
    <w:p w14:paraId="4DCAE160">
      <w:pPr>
        <w:spacing w:line="360" w:lineRule="exact"/>
        <w:ind w:firstLine="420" w:firstLineChars="200"/>
        <w:rPr>
          <w:rFonts w:hint="eastAsia" w:ascii="宋体" w:hAnsi="宋体" w:cs="宋体"/>
          <w:color w:val="auto"/>
          <w:szCs w:val="21"/>
          <w:highlight w:val="none"/>
        </w:rPr>
      </w:pPr>
    </w:p>
    <w:p w14:paraId="7CBDBBF2">
      <w:pPr>
        <w:spacing w:line="360" w:lineRule="exact"/>
        <w:ind w:firstLine="420" w:firstLineChars="200"/>
        <w:rPr>
          <w:rFonts w:hint="eastAsia" w:ascii="宋体" w:hAnsi="宋体" w:cs="宋体"/>
          <w:color w:val="auto"/>
          <w:szCs w:val="21"/>
          <w:highlight w:val="none"/>
        </w:rPr>
      </w:pPr>
    </w:p>
    <w:p w14:paraId="5CF5D302">
      <w:pPr>
        <w:spacing w:line="360" w:lineRule="exact"/>
        <w:ind w:firstLine="420" w:firstLineChars="200"/>
        <w:rPr>
          <w:rFonts w:hint="eastAsia" w:ascii="宋体" w:hAnsi="宋体" w:cs="宋体"/>
          <w:color w:val="auto"/>
          <w:szCs w:val="21"/>
          <w:highlight w:val="none"/>
        </w:rPr>
      </w:pPr>
    </w:p>
    <w:p w14:paraId="7EC1DCD3">
      <w:pPr>
        <w:spacing w:line="360" w:lineRule="exact"/>
        <w:ind w:firstLine="420" w:firstLineChars="200"/>
        <w:rPr>
          <w:rFonts w:hint="eastAsia" w:ascii="宋体" w:hAnsi="宋体" w:cs="宋体"/>
          <w:color w:val="auto"/>
          <w:szCs w:val="21"/>
          <w:highlight w:val="none"/>
        </w:rPr>
      </w:pPr>
    </w:p>
    <w:p w14:paraId="36210A58">
      <w:pPr>
        <w:spacing w:line="360" w:lineRule="exact"/>
        <w:ind w:firstLine="420" w:firstLineChars="200"/>
        <w:rPr>
          <w:rFonts w:hint="eastAsia" w:ascii="宋体" w:hAnsi="宋体" w:cs="宋体"/>
          <w:color w:val="auto"/>
          <w:szCs w:val="21"/>
          <w:highlight w:val="none"/>
        </w:rPr>
      </w:pPr>
    </w:p>
    <w:p w14:paraId="195AA8D3">
      <w:pPr>
        <w:pStyle w:val="2"/>
        <w:rPr>
          <w:rFonts w:ascii="宋体" w:hAnsi="宋体"/>
          <w:color w:val="auto"/>
          <w:highlight w:val="none"/>
        </w:rPr>
      </w:pPr>
      <w:bookmarkStart w:id="26" w:name="_Toc19961"/>
      <w:r>
        <w:rPr>
          <w:rFonts w:hint="eastAsia" w:ascii="宋体" w:hAnsi="宋体"/>
          <w:color w:val="auto"/>
          <w:highlight w:val="none"/>
        </w:rPr>
        <w:t>第五章 合同主要（基本条款）</w:t>
      </w:r>
      <w:bookmarkEnd w:id="26"/>
    </w:p>
    <w:p w14:paraId="2B8A3FEE">
      <w:pPr>
        <w:pStyle w:val="127"/>
        <w:jc w:val="center"/>
        <w:rPr>
          <w:rFonts w:ascii="宋体" w:hAnsi="宋体" w:eastAsia="宋体" w:cs="宋体"/>
          <w:color w:val="auto"/>
          <w:highlight w:val="none"/>
        </w:rPr>
      </w:pPr>
      <w:bookmarkStart w:id="27" w:name="_Toc78449777"/>
      <w:bookmarkStart w:id="28" w:name="_Toc296503025"/>
      <w:bookmarkStart w:id="29" w:name="_Toc373478199"/>
      <w:bookmarkStart w:id="30" w:name="_Toc351203480"/>
      <w:bookmarkStart w:id="31" w:name="_Toc389065255"/>
      <w:bookmarkStart w:id="32" w:name="_Toc1756478213"/>
      <w:bookmarkStart w:id="33" w:name="_Toc373227552"/>
      <w:bookmarkStart w:id="34" w:name="_Toc724920571"/>
      <w:bookmarkStart w:id="35" w:name="_Toc407135191"/>
      <w:bookmarkStart w:id="36" w:name="_Toc296890982"/>
    </w:p>
    <w:p w14:paraId="2915BEC6">
      <w:pPr>
        <w:pStyle w:val="128"/>
        <w:adjustRightInd w:val="0"/>
        <w:snapToGrid w:val="0"/>
        <w:spacing w:line="800" w:lineRule="exact"/>
        <w:contextualSpacing/>
        <w:jc w:val="center"/>
        <w:rPr>
          <w:rFonts w:ascii="宋体" w:hAnsi="宋体" w:cs="宋体"/>
          <w:b/>
          <w:bCs/>
          <w:color w:val="auto"/>
          <w:sz w:val="44"/>
          <w:szCs w:val="44"/>
          <w:highlight w:val="none"/>
        </w:rPr>
      </w:pPr>
      <w:bookmarkStart w:id="37" w:name="_Toc403396429"/>
      <w:bookmarkStart w:id="38" w:name="_Toc74156273"/>
      <w:bookmarkStart w:id="39" w:name="_Toc74156228"/>
    </w:p>
    <w:p w14:paraId="23FE0627">
      <w:pPr>
        <w:pStyle w:val="128"/>
        <w:adjustRightInd w:val="0"/>
        <w:snapToGrid w:val="0"/>
        <w:spacing w:line="800" w:lineRule="exact"/>
        <w:contextualSpacing/>
        <w:jc w:val="center"/>
        <w:rPr>
          <w:rFonts w:ascii="宋体" w:hAnsi="宋体" w:cs="宋体"/>
          <w:b/>
          <w:color w:val="auto"/>
          <w:sz w:val="72"/>
          <w:szCs w:val="72"/>
          <w:highlight w:val="none"/>
        </w:rPr>
      </w:pPr>
      <w:r>
        <w:rPr>
          <w:rFonts w:hint="eastAsia" w:ascii="宋体" w:hAnsi="宋体" w:cs="宋体"/>
          <w:b/>
          <w:bCs/>
          <w:color w:val="auto"/>
          <w:sz w:val="84"/>
          <w:szCs w:val="84"/>
          <w:highlight w:val="none"/>
        </w:rPr>
        <w:t>政府采购合同</w:t>
      </w:r>
    </w:p>
    <w:p w14:paraId="75F2ABF2">
      <w:pPr>
        <w:pStyle w:val="128"/>
        <w:adjustRightInd w:val="0"/>
        <w:snapToGrid w:val="0"/>
        <w:spacing w:line="800" w:lineRule="exact"/>
        <w:contextualSpacing/>
        <w:rPr>
          <w:rFonts w:ascii="宋体" w:hAnsi="宋体" w:cs="宋体"/>
          <w:b/>
          <w:color w:val="auto"/>
          <w:sz w:val="32"/>
          <w:szCs w:val="32"/>
          <w:highlight w:val="none"/>
        </w:rPr>
      </w:pPr>
    </w:p>
    <w:p w14:paraId="65E0F132">
      <w:pPr>
        <w:spacing w:line="360" w:lineRule="exact"/>
        <w:ind w:left="2202" w:leftChars="284" w:hanging="1606" w:hangingChars="500"/>
        <w:rPr>
          <w:rFonts w:ascii="宋体" w:hAnsi="宋体" w:cs="宋体"/>
          <w:b/>
          <w:color w:val="auto"/>
          <w:sz w:val="32"/>
          <w:szCs w:val="32"/>
          <w:highlight w:val="none"/>
        </w:rPr>
      </w:pPr>
      <w:r>
        <w:rPr>
          <w:rFonts w:hint="eastAsia" w:ascii="宋体" w:hAnsi="宋体" w:cs="宋体"/>
          <w:b/>
          <w:bCs/>
          <w:color w:val="auto"/>
          <w:sz w:val="32"/>
          <w:szCs w:val="32"/>
          <w:highlight w:val="none"/>
        </w:rPr>
        <w:t>项目名称：</w:t>
      </w:r>
      <w:r>
        <w:rPr>
          <w:rFonts w:hint="eastAsia" w:ascii="宋体" w:hAnsi="宋体" w:cs="宋体"/>
          <w:b/>
          <w:color w:val="auto"/>
          <w:sz w:val="32"/>
          <w:szCs w:val="32"/>
          <w:highlight w:val="none"/>
        </w:rPr>
        <w:t xml:space="preserve"> </w:t>
      </w:r>
    </w:p>
    <w:p w14:paraId="174E6BDF">
      <w:pPr>
        <w:spacing w:line="360" w:lineRule="exact"/>
        <w:ind w:firstLine="643" w:firstLineChars="200"/>
        <w:rPr>
          <w:rFonts w:ascii="宋体" w:hAnsi="宋体" w:cs="宋体"/>
          <w:b/>
          <w:color w:val="auto"/>
          <w:sz w:val="32"/>
          <w:szCs w:val="32"/>
          <w:highlight w:val="none"/>
        </w:rPr>
      </w:pPr>
    </w:p>
    <w:p w14:paraId="5013F567">
      <w:pPr>
        <w:spacing w:line="360" w:lineRule="exact"/>
        <w:ind w:firstLine="643" w:firstLineChars="200"/>
        <w:rPr>
          <w:rFonts w:ascii="宋体" w:hAnsi="宋体" w:cs="宋体"/>
          <w:b/>
          <w:color w:val="auto"/>
          <w:sz w:val="32"/>
          <w:szCs w:val="32"/>
          <w:highlight w:val="none"/>
        </w:rPr>
      </w:pPr>
    </w:p>
    <w:p w14:paraId="4A38DEC3">
      <w:pPr>
        <w:spacing w:line="360" w:lineRule="exact"/>
        <w:ind w:firstLine="643" w:firstLineChars="200"/>
        <w:rPr>
          <w:rFonts w:ascii="宋体" w:hAnsi="宋体" w:cs="宋体"/>
          <w:b/>
          <w:color w:val="auto"/>
          <w:sz w:val="32"/>
          <w:szCs w:val="32"/>
          <w:highlight w:val="none"/>
        </w:rPr>
      </w:pPr>
      <w:r>
        <w:rPr>
          <w:rFonts w:hint="eastAsia" w:ascii="宋体" w:hAnsi="宋体" w:cs="宋体"/>
          <w:b/>
          <w:color w:val="auto"/>
          <w:sz w:val="32"/>
          <w:szCs w:val="32"/>
          <w:highlight w:val="none"/>
        </w:rPr>
        <w:t>项目编号：</w:t>
      </w:r>
      <w:r>
        <w:rPr>
          <w:rFonts w:hint="eastAsia" w:ascii="宋体" w:hAnsi="宋体" w:cs="宋体"/>
          <w:b/>
          <w:bCs/>
          <w:color w:val="auto"/>
          <w:sz w:val="32"/>
          <w:szCs w:val="32"/>
          <w:highlight w:val="none"/>
        </w:rPr>
        <w:t xml:space="preserve"> </w:t>
      </w:r>
    </w:p>
    <w:p w14:paraId="4EA2832E">
      <w:pPr>
        <w:spacing w:line="360" w:lineRule="exact"/>
        <w:ind w:firstLine="643" w:firstLineChars="200"/>
        <w:rPr>
          <w:rFonts w:ascii="宋体" w:hAnsi="宋体" w:cs="宋体"/>
          <w:b/>
          <w:bCs/>
          <w:color w:val="auto"/>
          <w:sz w:val="32"/>
          <w:szCs w:val="32"/>
          <w:highlight w:val="none"/>
        </w:rPr>
      </w:pPr>
    </w:p>
    <w:p w14:paraId="728BB3F4">
      <w:pPr>
        <w:spacing w:line="360" w:lineRule="exact"/>
        <w:ind w:firstLine="643" w:firstLineChars="200"/>
        <w:rPr>
          <w:rFonts w:ascii="宋体" w:hAnsi="宋体" w:cs="宋体"/>
          <w:b/>
          <w:bCs/>
          <w:color w:val="auto"/>
          <w:sz w:val="32"/>
          <w:szCs w:val="32"/>
          <w:highlight w:val="none"/>
        </w:rPr>
      </w:pPr>
    </w:p>
    <w:p w14:paraId="69EA9469">
      <w:pPr>
        <w:spacing w:line="360" w:lineRule="exact"/>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 xml:space="preserve">合同编号： </w:t>
      </w:r>
    </w:p>
    <w:p w14:paraId="1E07EE8C">
      <w:pPr>
        <w:spacing w:line="360" w:lineRule="exact"/>
        <w:ind w:firstLine="643" w:firstLineChars="200"/>
        <w:rPr>
          <w:rFonts w:ascii="宋体" w:hAnsi="宋体" w:cs="宋体"/>
          <w:b/>
          <w:bCs/>
          <w:color w:val="auto"/>
          <w:sz w:val="32"/>
          <w:szCs w:val="32"/>
          <w:highlight w:val="none"/>
        </w:rPr>
      </w:pPr>
    </w:p>
    <w:p w14:paraId="564FB0C8">
      <w:pPr>
        <w:spacing w:line="360" w:lineRule="exact"/>
        <w:ind w:firstLine="643" w:firstLineChars="200"/>
        <w:rPr>
          <w:rFonts w:ascii="宋体" w:hAnsi="宋体" w:cs="宋体"/>
          <w:b/>
          <w:bCs/>
          <w:color w:val="auto"/>
          <w:sz w:val="32"/>
          <w:szCs w:val="32"/>
          <w:highlight w:val="none"/>
        </w:rPr>
      </w:pPr>
    </w:p>
    <w:p w14:paraId="04CFA314">
      <w:pPr>
        <w:spacing w:line="360" w:lineRule="exact"/>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合同甲方：柳州市城市照明管理处</w:t>
      </w:r>
    </w:p>
    <w:p w14:paraId="6F00115F">
      <w:pPr>
        <w:spacing w:line="360" w:lineRule="exact"/>
        <w:ind w:firstLine="643" w:firstLineChars="200"/>
        <w:rPr>
          <w:rFonts w:ascii="宋体" w:hAnsi="宋体" w:cs="宋体"/>
          <w:b/>
          <w:bCs/>
          <w:color w:val="auto"/>
          <w:sz w:val="32"/>
          <w:szCs w:val="32"/>
          <w:highlight w:val="none"/>
        </w:rPr>
      </w:pPr>
    </w:p>
    <w:p w14:paraId="64169A10">
      <w:pPr>
        <w:spacing w:line="360" w:lineRule="exact"/>
        <w:ind w:firstLine="643" w:firstLineChars="200"/>
        <w:rPr>
          <w:rFonts w:ascii="宋体" w:hAnsi="宋体" w:cs="宋体"/>
          <w:b/>
          <w:bCs/>
          <w:color w:val="auto"/>
          <w:sz w:val="32"/>
          <w:szCs w:val="32"/>
          <w:highlight w:val="none"/>
        </w:rPr>
      </w:pPr>
    </w:p>
    <w:p w14:paraId="6E8611E7">
      <w:pPr>
        <w:spacing w:line="360" w:lineRule="exact"/>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 xml:space="preserve">合同乙方：  </w:t>
      </w:r>
    </w:p>
    <w:p w14:paraId="51FB5A1A">
      <w:pPr>
        <w:spacing w:line="360" w:lineRule="exact"/>
        <w:ind w:firstLine="643" w:firstLineChars="200"/>
        <w:rPr>
          <w:rFonts w:ascii="宋体" w:hAnsi="宋体" w:cs="宋体"/>
          <w:b/>
          <w:bCs/>
          <w:color w:val="auto"/>
          <w:sz w:val="32"/>
          <w:szCs w:val="32"/>
          <w:highlight w:val="none"/>
        </w:rPr>
      </w:pPr>
    </w:p>
    <w:p w14:paraId="370F5BDA">
      <w:pPr>
        <w:spacing w:line="360" w:lineRule="exact"/>
        <w:ind w:firstLine="643" w:firstLineChars="200"/>
        <w:rPr>
          <w:rFonts w:ascii="宋体" w:hAnsi="宋体" w:cs="宋体"/>
          <w:b/>
          <w:bCs/>
          <w:color w:val="auto"/>
          <w:sz w:val="32"/>
          <w:szCs w:val="32"/>
          <w:highlight w:val="none"/>
        </w:rPr>
      </w:pPr>
    </w:p>
    <w:p w14:paraId="4CC05BBF">
      <w:pPr>
        <w:spacing w:line="360" w:lineRule="exact"/>
        <w:ind w:firstLine="643"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合同签订时间：202</w:t>
      </w:r>
      <w:r>
        <w:rPr>
          <w:rFonts w:hint="eastAsia" w:ascii="宋体" w:hAnsi="宋体" w:cs="宋体"/>
          <w:b/>
          <w:bCs/>
          <w:color w:val="auto"/>
          <w:sz w:val="32"/>
          <w:szCs w:val="32"/>
          <w:highlight w:val="none"/>
          <w:lang w:val="en-US" w:eastAsia="zh-CN"/>
        </w:rPr>
        <w:t>6</w:t>
      </w:r>
      <w:r>
        <w:rPr>
          <w:rFonts w:hint="eastAsia" w:ascii="宋体" w:hAnsi="宋体" w:cs="宋体"/>
          <w:b/>
          <w:bCs/>
          <w:color w:val="auto"/>
          <w:sz w:val="32"/>
          <w:szCs w:val="32"/>
          <w:highlight w:val="none"/>
        </w:rPr>
        <w:t>年  月  日</w:t>
      </w:r>
    </w:p>
    <w:p w14:paraId="1FDBC141">
      <w:pPr>
        <w:pStyle w:val="128"/>
        <w:adjustRightInd w:val="0"/>
        <w:snapToGrid w:val="0"/>
        <w:spacing w:line="800" w:lineRule="exact"/>
        <w:contextualSpacing/>
        <w:rPr>
          <w:rFonts w:ascii="宋体" w:hAnsi="宋体" w:cs="宋体"/>
          <w:b/>
          <w:bCs/>
          <w:color w:val="auto"/>
          <w:sz w:val="32"/>
          <w:szCs w:val="32"/>
          <w:highlight w:val="none"/>
          <w:u w:val="single"/>
        </w:rPr>
      </w:pPr>
    </w:p>
    <w:p w14:paraId="3ECF7D17">
      <w:pPr>
        <w:pStyle w:val="128"/>
        <w:adjustRightInd w:val="0"/>
        <w:snapToGrid w:val="0"/>
        <w:spacing w:line="800" w:lineRule="exact"/>
        <w:contextualSpacing/>
        <w:rPr>
          <w:rFonts w:ascii="宋体" w:hAnsi="宋体" w:cs="宋体"/>
          <w:b/>
          <w:bCs/>
          <w:color w:val="auto"/>
          <w:sz w:val="32"/>
          <w:szCs w:val="32"/>
          <w:highlight w:val="none"/>
          <w:u w:val="single"/>
        </w:rPr>
      </w:pPr>
    </w:p>
    <w:p w14:paraId="1EC199E3">
      <w:pPr>
        <w:pStyle w:val="128"/>
        <w:adjustRightInd w:val="0"/>
        <w:snapToGrid w:val="0"/>
        <w:spacing w:line="800" w:lineRule="exact"/>
        <w:contextualSpacing/>
        <w:rPr>
          <w:rFonts w:ascii="宋体" w:hAnsi="宋体" w:cs="宋体"/>
          <w:b/>
          <w:bCs/>
          <w:color w:val="auto"/>
          <w:sz w:val="28"/>
          <w:szCs w:val="28"/>
          <w:highlight w:val="none"/>
          <w:u w:val="single"/>
        </w:rPr>
      </w:pPr>
    </w:p>
    <w:p w14:paraId="18C27475">
      <w:pPr>
        <w:pStyle w:val="128"/>
        <w:adjustRightInd w:val="0"/>
        <w:snapToGrid w:val="0"/>
        <w:spacing w:line="800" w:lineRule="exact"/>
        <w:contextualSpacing/>
        <w:rPr>
          <w:rFonts w:ascii="宋体" w:hAnsi="宋体" w:cs="宋体"/>
          <w:b/>
          <w:bCs/>
          <w:color w:val="auto"/>
          <w:sz w:val="28"/>
          <w:szCs w:val="28"/>
          <w:highlight w:val="none"/>
          <w:u w:val="single"/>
        </w:rPr>
      </w:pPr>
    </w:p>
    <w:p w14:paraId="2D3FB6EB">
      <w:pPr>
        <w:pStyle w:val="128"/>
        <w:adjustRightInd w:val="0"/>
        <w:snapToGrid w:val="0"/>
        <w:spacing w:line="800" w:lineRule="exact"/>
        <w:contextualSpacing/>
        <w:rPr>
          <w:rFonts w:ascii="宋体" w:hAnsi="宋体" w:cs="宋体"/>
          <w:b/>
          <w:bCs/>
          <w:color w:val="auto"/>
          <w:sz w:val="28"/>
          <w:szCs w:val="28"/>
          <w:highlight w:val="none"/>
          <w:u w:val="single"/>
        </w:rPr>
      </w:pPr>
    </w:p>
    <w:p w14:paraId="0B4C680E">
      <w:pPr>
        <w:pStyle w:val="128"/>
        <w:adjustRightInd w:val="0"/>
        <w:snapToGrid w:val="0"/>
        <w:spacing w:line="800" w:lineRule="exact"/>
        <w:contextualSpacing/>
        <w:rPr>
          <w:rFonts w:ascii="宋体" w:hAnsi="宋体" w:cs="宋体"/>
          <w:b/>
          <w:bCs/>
          <w:color w:val="auto"/>
          <w:sz w:val="28"/>
          <w:szCs w:val="28"/>
          <w:highlight w:val="none"/>
          <w:u w:val="single"/>
        </w:rPr>
      </w:pPr>
    </w:p>
    <w:bookmarkEnd w:id="37"/>
    <w:bookmarkEnd w:id="38"/>
    <w:bookmarkEnd w:id="39"/>
    <w:p w14:paraId="0579E315">
      <w:pPr>
        <w:pStyle w:val="2"/>
        <w:spacing w:line="360" w:lineRule="exact"/>
        <w:rPr>
          <w:rFonts w:ascii="宋体" w:hAnsi="宋体" w:cs="宋体"/>
          <w:color w:val="auto"/>
          <w:sz w:val="28"/>
          <w:szCs w:val="28"/>
          <w:highlight w:val="none"/>
        </w:rPr>
      </w:pPr>
      <w:r>
        <w:rPr>
          <w:rFonts w:hint="eastAsia" w:ascii="宋体" w:hAnsi="宋体" w:cs="宋体"/>
          <w:color w:val="auto"/>
          <w:sz w:val="28"/>
          <w:szCs w:val="28"/>
          <w:highlight w:val="none"/>
        </w:rPr>
        <w:t>政府采购合同（基本条款）</w:t>
      </w:r>
    </w:p>
    <w:p w14:paraId="4CBF24F7">
      <w:pPr>
        <w:spacing w:line="360" w:lineRule="exact"/>
        <w:rPr>
          <w:rFonts w:ascii="宋体" w:hAnsi="宋体"/>
          <w:color w:val="auto"/>
          <w:szCs w:val="21"/>
          <w:highlight w:val="none"/>
        </w:rPr>
      </w:pPr>
      <w:bookmarkStart w:id="40" w:name="_Toc99768080"/>
      <w:r>
        <w:rPr>
          <w:rFonts w:hint="eastAsia" w:ascii="宋体" w:hAnsi="宋体"/>
          <w:color w:val="auto"/>
          <w:szCs w:val="21"/>
          <w:highlight w:val="none"/>
        </w:rPr>
        <w:t>采购单位（甲方）</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采购计划号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4BC10DA2">
      <w:pPr>
        <w:spacing w:line="360" w:lineRule="exact"/>
        <w:rPr>
          <w:rFonts w:ascii="宋体" w:hAnsi="宋体"/>
          <w:color w:val="auto"/>
          <w:szCs w:val="21"/>
          <w:highlight w:val="none"/>
        </w:rPr>
      </w:pPr>
      <w:r>
        <w:rPr>
          <w:rFonts w:hint="eastAsia" w:ascii="宋体" w:hAnsi="宋体"/>
          <w:color w:val="auto"/>
          <w:szCs w:val="21"/>
          <w:highlight w:val="none"/>
        </w:rPr>
        <w:t>供应商（乙方）</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项目名称和编号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A1E9B37">
      <w:pPr>
        <w:spacing w:line="360" w:lineRule="exact"/>
        <w:rPr>
          <w:rFonts w:ascii="宋体" w:hAnsi="宋体"/>
          <w:color w:val="auto"/>
          <w:szCs w:val="21"/>
          <w:highlight w:val="none"/>
        </w:rPr>
      </w:pPr>
      <w:r>
        <w:rPr>
          <w:rFonts w:hint="eastAsia" w:ascii="宋体" w:hAnsi="宋体"/>
          <w:color w:val="auto"/>
          <w:szCs w:val="21"/>
          <w:highlight w:val="none"/>
        </w:rPr>
        <w:t xml:space="preserve">签订地点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签订时间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BA8BD7C">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根据《中华人民共和国政府采购法》、《中华人民共和国民法典》等法律、法规规定，按照竞争性谈判文件规定条款和成交供应商竞争性谈判响应文件及其承诺，甲乙双方签订本合同。</w:t>
      </w:r>
    </w:p>
    <w:p w14:paraId="57A67533">
      <w:pPr>
        <w:pStyle w:val="16"/>
        <w:spacing w:after="0" w:line="360" w:lineRule="exact"/>
        <w:ind w:firstLine="478" w:firstLineChars="200"/>
        <w:jc w:val="both"/>
        <w:rPr>
          <w:rFonts w:hAnsi="宋体" w:cs="宋体"/>
          <w:b/>
          <w:bCs/>
          <w:color w:val="auto"/>
          <w:spacing w:val="14"/>
          <w:sz w:val="21"/>
          <w:szCs w:val="21"/>
          <w:highlight w:val="none"/>
        </w:rPr>
      </w:pPr>
      <w:r>
        <w:rPr>
          <w:rFonts w:hint="eastAsia" w:hAnsi="宋体" w:cs="宋体"/>
          <w:b/>
          <w:bCs/>
          <w:color w:val="auto"/>
          <w:spacing w:val="14"/>
          <w:sz w:val="21"/>
          <w:szCs w:val="21"/>
          <w:highlight w:val="none"/>
        </w:rPr>
        <w:t>第</w:t>
      </w:r>
      <w:r>
        <w:rPr>
          <w:rFonts w:hint="eastAsia" w:hAnsi="宋体" w:cs="宋体"/>
          <w:color w:val="auto"/>
          <w:spacing w:val="-73"/>
          <w:sz w:val="21"/>
          <w:szCs w:val="21"/>
          <w:highlight w:val="none"/>
        </w:rPr>
        <w:t xml:space="preserve"> </w:t>
      </w:r>
      <w:r>
        <w:rPr>
          <w:rFonts w:hint="eastAsia" w:hAnsi="宋体" w:cs="宋体"/>
          <w:b/>
          <w:bCs/>
          <w:color w:val="auto"/>
          <w:spacing w:val="14"/>
          <w:sz w:val="21"/>
          <w:szCs w:val="21"/>
          <w:highlight w:val="none"/>
        </w:rPr>
        <w:t>一</w:t>
      </w:r>
      <w:r>
        <w:rPr>
          <w:rFonts w:hint="eastAsia" w:hAnsi="宋体" w:cs="宋体"/>
          <w:color w:val="auto"/>
          <w:spacing w:val="-79"/>
          <w:sz w:val="21"/>
          <w:szCs w:val="21"/>
          <w:highlight w:val="none"/>
        </w:rPr>
        <w:t xml:space="preserve"> </w:t>
      </w:r>
      <w:r>
        <w:rPr>
          <w:rFonts w:hint="eastAsia" w:hAnsi="宋体" w:cs="宋体"/>
          <w:b/>
          <w:bCs/>
          <w:color w:val="auto"/>
          <w:spacing w:val="14"/>
          <w:sz w:val="21"/>
          <w:szCs w:val="21"/>
          <w:highlight w:val="none"/>
        </w:rPr>
        <w:t>条</w:t>
      </w:r>
      <w:r>
        <w:rPr>
          <w:rFonts w:hint="eastAsia" w:hAnsi="宋体" w:cs="宋体"/>
          <w:color w:val="auto"/>
          <w:spacing w:val="23"/>
          <w:sz w:val="21"/>
          <w:szCs w:val="21"/>
          <w:highlight w:val="none"/>
        </w:rPr>
        <w:t xml:space="preserve"> </w:t>
      </w:r>
      <w:r>
        <w:rPr>
          <w:rFonts w:hint="eastAsia" w:hAnsi="宋体" w:cs="宋体"/>
          <w:b/>
          <w:bCs/>
          <w:color w:val="auto"/>
          <w:spacing w:val="14"/>
          <w:sz w:val="21"/>
          <w:szCs w:val="21"/>
          <w:highlight w:val="none"/>
        </w:rPr>
        <w:t>合同标的</w:t>
      </w:r>
    </w:p>
    <w:p w14:paraId="3E40B951">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1.供货一览表</w:t>
      </w:r>
    </w:p>
    <w:tbl>
      <w:tblPr>
        <w:tblStyle w:val="139"/>
        <w:tblW w:w="91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6"/>
        <w:gridCol w:w="1241"/>
        <w:gridCol w:w="996"/>
        <w:gridCol w:w="989"/>
        <w:gridCol w:w="979"/>
        <w:gridCol w:w="888"/>
        <w:gridCol w:w="968"/>
        <w:gridCol w:w="1104"/>
        <w:gridCol w:w="1153"/>
      </w:tblGrid>
      <w:tr w14:paraId="3C2F4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jc w:val="center"/>
        </w:trPr>
        <w:tc>
          <w:tcPr>
            <w:tcW w:w="786" w:type="dxa"/>
            <w:vAlign w:val="center"/>
          </w:tcPr>
          <w:p w14:paraId="7F226D9E">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序号</w:t>
            </w:r>
          </w:p>
        </w:tc>
        <w:tc>
          <w:tcPr>
            <w:tcW w:w="1241" w:type="dxa"/>
            <w:vAlign w:val="center"/>
          </w:tcPr>
          <w:p w14:paraId="5444776C">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标的名称</w:t>
            </w:r>
          </w:p>
        </w:tc>
        <w:tc>
          <w:tcPr>
            <w:tcW w:w="996" w:type="dxa"/>
            <w:vAlign w:val="center"/>
          </w:tcPr>
          <w:p w14:paraId="4DE93195">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商标品牌</w:t>
            </w:r>
          </w:p>
        </w:tc>
        <w:tc>
          <w:tcPr>
            <w:tcW w:w="989" w:type="dxa"/>
            <w:vAlign w:val="center"/>
          </w:tcPr>
          <w:p w14:paraId="7A743C94">
            <w:pPr>
              <w:pStyle w:val="16"/>
              <w:adjustRightInd/>
              <w:spacing w:after="0" w:line="360" w:lineRule="exact"/>
              <w:jc w:val="center"/>
              <w:rPr>
                <w:rFonts w:hint="eastAsia" w:hAnsi="宋体" w:eastAsia="宋体"/>
                <w:color w:val="auto"/>
                <w:kern w:val="2"/>
                <w:sz w:val="21"/>
                <w:szCs w:val="21"/>
                <w:highlight w:val="none"/>
                <w:lang w:val="en-US" w:eastAsia="zh-CN"/>
              </w:rPr>
            </w:pPr>
            <w:r>
              <w:rPr>
                <w:rFonts w:hint="eastAsia" w:hAnsi="宋体"/>
                <w:color w:val="auto"/>
                <w:kern w:val="2"/>
                <w:sz w:val="21"/>
                <w:szCs w:val="21"/>
                <w:highlight w:val="none"/>
                <w:lang w:val="en-US" w:eastAsia="zh-CN"/>
              </w:rPr>
              <w:t>规格型号、参数</w:t>
            </w:r>
          </w:p>
        </w:tc>
        <w:tc>
          <w:tcPr>
            <w:tcW w:w="979" w:type="dxa"/>
            <w:vAlign w:val="center"/>
          </w:tcPr>
          <w:p w14:paraId="7F6AAB22">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生产厂家</w:t>
            </w:r>
          </w:p>
        </w:tc>
        <w:tc>
          <w:tcPr>
            <w:tcW w:w="888" w:type="dxa"/>
            <w:vAlign w:val="center"/>
          </w:tcPr>
          <w:p w14:paraId="361A82AF">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数量</w:t>
            </w:r>
          </w:p>
        </w:tc>
        <w:tc>
          <w:tcPr>
            <w:tcW w:w="968" w:type="dxa"/>
            <w:vAlign w:val="center"/>
          </w:tcPr>
          <w:p w14:paraId="175385C2">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单位</w:t>
            </w:r>
          </w:p>
        </w:tc>
        <w:tc>
          <w:tcPr>
            <w:tcW w:w="1104" w:type="dxa"/>
            <w:vAlign w:val="center"/>
          </w:tcPr>
          <w:p w14:paraId="61F376F3">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单价 (元)</w:t>
            </w:r>
          </w:p>
        </w:tc>
        <w:tc>
          <w:tcPr>
            <w:tcW w:w="1153" w:type="dxa"/>
            <w:vAlign w:val="center"/>
          </w:tcPr>
          <w:p w14:paraId="210F15CC">
            <w:pPr>
              <w:pStyle w:val="16"/>
              <w:adjustRightInd/>
              <w:spacing w:after="0" w:line="360" w:lineRule="exact"/>
              <w:jc w:val="center"/>
              <w:rPr>
                <w:rFonts w:hAnsi="宋体"/>
                <w:color w:val="auto"/>
                <w:kern w:val="2"/>
                <w:sz w:val="21"/>
                <w:szCs w:val="21"/>
                <w:highlight w:val="none"/>
              </w:rPr>
            </w:pPr>
            <w:r>
              <w:rPr>
                <w:rFonts w:hint="eastAsia" w:hAnsi="宋体"/>
                <w:color w:val="auto"/>
                <w:kern w:val="2"/>
                <w:sz w:val="21"/>
                <w:szCs w:val="21"/>
                <w:highlight w:val="none"/>
              </w:rPr>
              <w:t>金额 (元)</w:t>
            </w:r>
          </w:p>
        </w:tc>
      </w:tr>
      <w:tr w14:paraId="1BC42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786" w:type="dxa"/>
          </w:tcPr>
          <w:p w14:paraId="22CC7E3D">
            <w:pPr>
              <w:pStyle w:val="138"/>
              <w:spacing w:line="360" w:lineRule="exact"/>
              <w:jc w:val="center"/>
              <w:rPr>
                <w:color w:val="auto"/>
                <w:sz w:val="21"/>
                <w:szCs w:val="21"/>
                <w:highlight w:val="none"/>
              </w:rPr>
            </w:pPr>
            <w:r>
              <w:rPr>
                <w:rFonts w:hint="eastAsia"/>
                <w:color w:val="auto"/>
                <w:sz w:val="21"/>
                <w:szCs w:val="21"/>
                <w:highlight w:val="none"/>
              </w:rPr>
              <w:t>1</w:t>
            </w:r>
          </w:p>
        </w:tc>
        <w:tc>
          <w:tcPr>
            <w:tcW w:w="1241" w:type="dxa"/>
          </w:tcPr>
          <w:p w14:paraId="165E57CF">
            <w:pPr>
              <w:spacing w:line="360" w:lineRule="exact"/>
              <w:rPr>
                <w:rFonts w:ascii="宋体" w:hAnsi="宋体" w:cs="宋体"/>
                <w:color w:val="auto"/>
                <w:szCs w:val="21"/>
                <w:highlight w:val="none"/>
              </w:rPr>
            </w:pPr>
          </w:p>
        </w:tc>
        <w:tc>
          <w:tcPr>
            <w:tcW w:w="996" w:type="dxa"/>
          </w:tcPr>
          <w:p w14:paraId="29F523E7">
            <w:pPr>
              <w:spacing w:line="360" w:lineRule="exact"/>
              <w:rPr>
                <w:rFonts w:ascii="宋体" w:hAnsi="宋体" w:cs="宋体"/>
                <w:color w:val="auto"/>
                <w:szCs w:val="21"/>
                <w:highlight w:val="none"/>
              </w:rPr>
            </w:pPr>
          </w:p>
        </w:tc>
        <w:tc>
          <w:tcPr>
            <w:tcW w:w="989" w:type="dxa"/>
          </w:tcPr>
          <w:p w14:paraId="6E7CE539">
            <w:pPr>
              <w:spacing w:line="360" w:lineRule="exact"/>
              <w:rPr>
                <w:rFonts w:ascii="宋体" w:hAnsi="宋体" w:cs="宋体"/>
                <w:color w:val="auto"/>
                <w:szCs w:val="21"/>
                <w:highlight w:val="none"/>
              </w:rPr>
            </w:pPr>
          </w:p>
        </w:tc>
        <w:tc>
          <w:tcPr>
            <w:tcW w:w="979" w:type="dxa"/>
          </w:tcPr>
          <w:p w14:paraId="7F7AC8CD">
            <w:pPr>
              <w:spacing w:line="360" w:lineRule="exact"/>
              <w:rPr>
                <w:rFonts w:ascii="宋体" w:hAnsi="宋体" w:cs="宋体"/>
                <w:color w:val="auto"/>
                <w:szCs w:val="21"/>
                <w:highlight w:val="none"/>
              </w:rPr>
            </w:pPr>
          </w:p>
        </w:tc>
        <w:tc>
          <w:tcPr>
            <w:tcW w:w="888" w:type="dxa"/>
          </w:tcPr>
          <w:p w14:paraId="10F0AB13">
            <w:pPr>
              <w:spacing w:line="360" w:lineRule="exact"/>
              <w:rPr>
                <w:rFonts w:ascii="宋体" w:hAnsi="宋体" w:cs="宋体"/>
                <w:color w:val="auto"/>
                <w:szCs w:val="21"/>
                <w:highlight w:val="none"/>
              </w:rPr>
            </w:pPr>
          </w:p>
        </w:tc>
        <w:tc>
          <w:tcPr>
            <w:tcW w:w="968" w:type="dxa"/>
          </w:tcPr>
          <w:p w14:paraId="5242FA26">
            <w:pPr>
              <w:spacing w:line="360" w:lineRule="exact"/>
              <w:rPr>
                <w:rFonts w:ascii="宋体" w:hAnsi="宋体" w:cs="宋体"/>
                <w:color w:val="auto"/>
                <w:szCs w:val="21"/>
                <w:highlight w:val="none"/>
              </w:rPr>
            </w:pPr>
          </w:p>
        </w:tc>
        <w:tc>
          <w:tcPr>
            <w:tcW w:w="1104" w:type="dxa"/>
          </w:tcPr>
          <w:p w14:paraId="54D74552">
            <w:pPr>
              <w:spacing w:line="360" w:lineRule="exact"/>
              <w:rPr>
                <w:rFonts w:ascii="宋体" w:hAnsi="宋体" w:cs="宋体"/>
                <w:color w:val="auto"/>
                <w:szCs w:val="21"/>
                <w:highlight w:val="none"/>
              </w:rPr>
            </w:pPr>
          </w:p>
        </w:tc>
        <w:tc>
          <w:tcPr>
            <w:tcW w:w="1153" w:type="dxa"/>
          </w:tcPr>
          <w:p w14:paraId="26560079">
            <w:pPr>
              <w:spacing w:line="360" w:lineRule="exact"/>
              <w:rPr>
                <w:rFonts w:ascii="宋体" w:hAnsi="宋体" w:cs="宋体"/>
                <w:color w:val="auto"/>
                <w:szCs w:val="21"/>
                <w:highlight w:val="none"/>
              </w:rPr>
            </w:pPr>
          </w:p>
        </w:tc>
      </w:tr>
      <w:tr w14:paraId="5DE63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786" w:type="dxa"/>
          </w:tcPr>
          <w:p w14:paraId="38B02B2A">
            <w:pPr>
              <w:pStyle w:val="138"/>
              <w:spacing w:line="360" w:lineRule="exact"/>
              <w:jc w:val="center"/>
              <w:rPr>
                <w:color w:val="auto"/>
                <w:sz w:val="21"/>
                <w:szCs w:val="21"/>
                <w:highlight w:val="none"/>
              </w:rPr>
            </w:pPr>
            <w:r>
              <w:rPr>
                <w:rFonts w:hint="eastAsia"/>
                <w:color w:val="auto"/>
                <w:sz w:val="21"/>
                <w:szCs w:val="21"/>
                <w:highlight w:val="none"/>
              </w:rPr>
              <w:t>2</w:t>
            </w:r>
          </w:p>
        </w:tc>
        <w:tc>
          <w:tcPr>
            <w:tcW w:w="1241" w:type="dxa"/>
          </w:tcPr>
          <w:p w14:paraId="091A7572">
            <w:pPr>
              <w:spacing w:line="360" w:lineRule="exact"/>
              <w:rPr>
                <w:rFonts w:ascii="宋体" w:hAnsi="宋体" w:cs="宋体"/>
                <w:color w:val="auto"/>
                <w:szCs w:val="21"/>
                <w:highlight w:val="none"/>
              </w:rPr>
            </w:pPr>
          </w:p>
        </w:tc>
        <w:tc>
          <w:tcPr>
            <w:tcW w:w="996" w:type="dxa"/>
          </w:tcPr>
          <w:p w14:paraId="47AC3130">
            <w:pPr>
              <w:spacing w:line="360" w:lineRule="exact"/>
              <w:rPr>
                <w:rFonts w:ascii="宋体" w:hAnsi="宋体" w:cs="宋体"/>
                <w:color w:val="auto"/>
                <w:szCs w:val="21"/>
                <w:highlight w:val="none"/>
              </w:rPr>
            </w:pPr>
          </w:p>
        </w:tc>
        <w:tc>
          <w:tcPr>
            <w:tcW w:w="989" w:type="dxa"/>
          </w:tcPr>
          <w:p w14:paraId="5745ED2A">
            <w:pPr>
              <w:spacing w:line="360" w:lineRule="exact"/>
              <w:rPr>
                <w:rFonts w:ascii="宋体" w:hAnsi="宋体" w:cs="宋体"/>
                <w:color w:val="auto"/>
                <w:szCs w:val="21"/>
                <w:highlight w:val="none"/>
              </w:rPr>
            </w:pPr>
          </w:p>
        </w:tc>
        <w:tc>
          <w:tcPr>
            <w:tcW w:w="979" w:type="dxa"/>
          </w:tcPr>
          <w:p w14:paraId="29D0BE6F">
            <w:pPr>
              <w:spacing w:line="360" w:lineRule="exact"/>
              <w:rPr>
                <w:rFonts w:ascii="宋体" w:hAnsi="宋体" w:cs="宋体"/>
                <w:color w:val="auto"/>
                <w:szCs w:val="21"/>
                <w:highlight w:val="none"/>
              </w:rPr>
            </w:pPr>
          </w:p>
        </w:tc>
        <w:tc>
          <w:tcPr>
            <w:tcW w:w="888" w:type="dxa"/>
          </w:tcPr>
          <w:p w14:paraId="2A1952CD">
            <w:pPr>
              <w:spacing w:line="360" w:lineRule="exact"/>
              <w:rPr>
                <w:rFonts w:ascii="宋体" w:hAnsi="宋体" w:cs="宋体"/>
                <w:color w:val="auto"/>
                <w:szCs w:val="21"/>
                <w:highlight w:val="none"/>
              </w:rPr>
            </w:pPr>
          </w:p>
        </w:tc>
        <w:tc>
          <w:tcPr>
            <w:tcW w:w="968" w:type="dxa"/>
          </w:tcPr>
          <w:p w14:paraId="0A3C347D">
            <w:pPr>
              <w:spacing w:line="360" w:lineRule="exact"/>
              <w:rPr>
                <w:rFonts w:ascii="宋体" w:hAnsi="宋体" w:cs="宋体"/>
                <w:color w:val="auto"/>
                <w:szCs w:val="21"/>
                <w:highlight w:val="none"/>
              </w:rPr>
            </w:pPr>
          </w:p>
        </w:tc>
        <w:tc>
          <w:tcPr>
            <w:tcW w:w="1104" w:type="dxa"/>
          </w:tcPr>
          <w:p w14:paraId="08171B23">
            <w:pPr>
              <w:spacing w:line="360" w:lineRule="exact"/>
              <w:rPr>
                <w:rFonts w:ascii="宋体" w:hAnsi="宋体" w:cs="宋体"/>
                <w:color w:val="auto"/>
                <w:szCs w:val="21"/>
                <w:highlight w:val="none"/>
              </w:rPr>
            </w:pPr>
          </w:p>
        </w:tc>
        <w:tc>
          <w:tcPr>
            <w:tcW w:w="1153" w:type="dxa"/>
          </w:tcPr>
          <w:p w14:paraId="6BB2A01D">
            <w:pPr>
              <w:spacing w:line="360" w:lineRule="exact"/>
              <w:rPr>
                <w:rFonts w:ascii="宋体" w:hAnsi="宋体" w:cs="宋体"/>
                <w:color w:val="auto"/>
                <w:szCs w:val="21"/>
                <w:highlight w:val="none"/>
              </w:rPr>
            </w:pPr>
          </w:p>
        </w:tc>
      </w:tr>
      <w:tr w14:paraId="128E6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786" w:type="dxa"/>
          </w:tcPr>
          <w:p w14:paraId="52D5E904">
            <w:pPr>
              <w:spacing w:line="360" w:lineRule="exact"/>
              <w:rPr>
                <w:rFonts w:ascii="宋体" w:hAnsi="宋体" w:cs="宋体"/>
                <w:color w:val="auto"/>
                <w:szCs w:val="21"/>
                <w:highlight w:val="none"/>
              </w:rPr>
            </w:pPr>
          </w:p>
        </w:tc>
        <w:tc>
          <w:tcPr>
            <w:tcW w:w="1241" w:type="dxa"/>
          </w:tcPr>
          <w:p w14:paraId="1C8C9B1D">
            <w:pPr>
              <w:spacing w:line="360" w:lineRule="exact"/>
              <w:rPr>
                <w:rFonts w:ascii="宋体" w:hAnsi="宋体" w:cs="宋体"/>
                <w:color w:val="auto"/>
                <w:szCs w:val="21"/>
                <w:highlight w:val="none"/>
              </w:rPr>
            </w:pPr>
          </w:p>
        </w:tc>
        <w:tc>
          <w:tcPr>
            <w:tcW w:w="996" w:type="dxa"/>
          </w:tcPr>
          <w:p w14:paraId="44FBE958">
            <w:pPr>
              <w:spacing w:line="360" w:lineRule="exact"/>
              <w:rPr>
                <w:rFonts w:ascii="宋体" w:hAnsi="宋体" w:cs="宋体"/>
                <w:color w:val="auto"/>
                <w:szCs w:val="21"/>
                <w:highlight w:val="none"/>
              </w:rPr>
            </w:pPr>
          </w:p>
        </w:tc>
        <w:tc>
          <w:tcPr>
            <w:tcW w:w="989" w:type="dxa"/>
          </w:tcPr>
          <w:p w14:paraId="2513DA9E">
            <w:pPr>
              <w:spacing w:line="360" w:lineRule="exact"/>
              <w:rPr>
                <w:rFonts w:ascii="宋体" w:hAnsi="宋体" w:cs="宋体"/>
                <w:color w:val="auto"/>
                <w:szCs w:val="21"/>
                <w:highlight w:val="none"/>
              </w:rPr>
            </w:pPr>
          </w:p>
        </w:tc>
        <w:tc>
          <w:tcPr>
            <w:tcW w:w="979" w:type="dxa"/>
          </w:tcPr>
          <w:p w14:paraId="512815E7">
            <w:pPr>
              <w:spacing w:line="360" w:lineRule="exact"/>
              <w:rPr>
                <w:rFonts w:ascii="宋体" w:hAnsi="宋体" w:cs="宋体"/>
                <w:color w:val="auto"/>
                <w:szCs w:val="21"/>
                <w:highlight w:val="none"/>
              </w:rPr>
            </w:pPr>
          </w:p>
        </w:tc>
        <w:tc>
          <w:tcPr>
            <w:tcW w:w="888" w:type="dxa"/>
          </w:tcPr>
          <w:p w14:paraId="654CC5A7">
            <w:pPr>
              <w:spacing w:line="360" w:lineRule="exact"/>
              <w:rPr>
                <w:rFonts w:ascii="宋体" w:hAnsi="宋体" w:cs="宋体"/>
                <w:color w:val="auto"/>
                <w:szCs w:val="21"/>
                <w:highlight w:val="none"/>
              </w:rPr>
            </w:pPr>
          </w:p>
        </w:tc>
        <w:tc>
          <w:tcPr>
            <w:tcW w:w="968" w:type="dxa"/>
          </w:tcPr>
          <w:p w14:paraId="7057AB19">
            <w:pPr>
              <w:spacing w:line="360" w:lineRule="exact"/>
              <w:rPr>
                <w:rFonts w:ascii="宋体" w:hAnsi="宋体" w:cs="宋体"/>
                <w:color w:val="auto"/>
                <w:szCs w:val="21"/>
                <w:highlight w:val="none"/>
              </w:rPr>
            </w:pPr>
          </w:p>
        </w:tc>
        <w:tc>
          <w:tcPr>
            <w:tcW w:w="1104" w:type="dxa"/>
          </w:tcPr>
          <w:p w14:paraId="114F4790">
            <w:pPr>
              <w:spacing w:line="360" w:lineRule="exact"/>
              <w:rPr>
                <w:rFonts w:ascii="宋体" w:hAnsi="宋体" w:cs="宋体"/>
                <w:color w:val="auto"/>
                <w:szCs w:val="21"/>
                <w:highlight w:val="none"/>
              </w:rPr>
            </w:pPr>
          </w:p>
        </w:tc>
        <w:tc>
          <w:tcPr>
            <w:tcW w:w="1153" w:type="dxa"/>
          </w:tcPr>
          <w:p w14:paraId="169E4509">
            <w:pPr>
              <w:spacing w:line="360" w:lineRule="exact"/>
              <w:rPr>
                <w:rFonts w:ascii="宋体" w:hAnsi="宋体" w:cs="宋体"/>
                <w:color w:val="auto"/>
                <w:szCs w:val="21"/>
                <w:highlight w:val="none"/>
              </w:rPr>
            </w:pPr>
          </w:p>
        </w:tc>
      </w:tr>
      <w:tr w14:paraId="28E6A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9104" w:type="dxa"/>
            <w:gridSpan w:val="9"/>
            <w:vAlign w:val="center"/>
          </w:tcPr>
          <w:p w14:paraId="274AC306">
            <w:pPr>
              <w:pStyle w:val="16"/>
              <w:spacing w:after="0" w:line="360" w:lineRule="exact"/>
              <w:jc w:val="both"/>
              <w:rPr>
                <w:rFonts w:hAnsi="宋体" w:cs="宋体"/>
                <w:color w:val="auto"/>
                <w:sz w:val="21"/>
                <w:szCs w:val="21"/>
                <w:highlight w:val="none"/>
                <w:u w:val="single"/>
              </w:rPr>
            </w:pPr>
            <w:r>
              <w:rPr>
                <w:rFonts w:hint="eastAsia" w:hAnsi="宋体"/>
                <w:color w:val="auto"/>
                <w:kern w:val="2"/>
                <w:sz w:val="21"/>
                <w:szCs w:val="21"/>
                <w:highlight w:val="none"/>
              </w:rPr>
              <w:t>人民币合计金额  (大写)</w:t>
            </w:r>
            <w:r>
              <w:rPr>
                <w:rFonts w:hint="eastAsia" w:hAnsi="宋体"/>
                <w:color w:val="auto"/>
                <w:kern w:val="2"/>
                <w:sz w:val="21"/>
                <w:szCs w:val="21"/>
                <w:highlight w:val="none"/>
                <w:u w:val="single"/>
              </w:rPr>
              <w:t xml:space="preserve">               </w:t>
            </w:r>
            <w:r>
              <w:rPr>
                <w:rFonts w:hint="eastAsia" w:hAnsi="宋体"/>
                <w:color w:val="auto"/>
                <w:kern w:val="2"/>
                <w:sz w:val="21"/>
                <w:szCs w:val="21"/>
                <w:highlight w:val="none"/>
              </w:rPr>
              <w:t>(小写)</w:t>
            </w:r>
            <w:r>
              <w:rPr>
                <w:rFonts w:hint="eastAsia" w:hAnsi="宋体"/>
                <w:color w:val="auto"/>
                <w:kern w:val="2"/>
                <w:sz w:val="21"/>
                <w:szCs w:val="21"/>
                <w:highlight w:val="none"/>
                <w:u w:val="single"/>
              </w:rPr>
              <w:t xml:space="preserve">               </w:t>
            </w:r>
          </w:p>
        </w:tc>
      </w:tr>
    </w:tbl>
    <w:p w14:paraId="3D8914D3">
      <w:pPr>
        <w:pStyle w:val="16"/>
        <w:spacing w:after="0" w:line="360" w:lineRule="exact"/>
        <w:ind w:firstLine="428" w:firstLineChars="200"/>
        <w:jc w:val="both"/>
        <w:rPr>
          <w:rFonts w:hint="eastAsia" w:ascii="宋体" w:hAnsi="宋体" w:eastAsia="宋体" w:cs="宋体"/>
          <w:color w:val="auto"/>
          <w:spacing w:val="2"/>
          <w:sz w:val="21"/>
          <w:szCs w:val="21"/>
          <w:highlight w:val="none"/>
        </w:rPr>
      </w:pPr>
      <w:r>
        <w:rPr>
          <w:rFonts w:hint="eastAsia" w:hAnsi="宋体" w:cs="宋体"/>
          <w:color w:val="auto"/>
          <w:spacing w:val="2"/>
          <w:sz w:val="21"/>
          <w:szCs w:val="21"/>
          <w:highlight w:val="none"/>
        </w:rPr>
        <w:t>2.合同合计金额包括货款、标准附件、备品备件、专用工具、包装、运输、装卸、保险、税金、货到就位以及安装、安装所需辅材、调试、检验、验收等所需的一切使本项目完成验收的费用及供货商对业主承诺培训、售前、售后质量保证等相关费用等在内的一切可能发生的费用。如谈判文件、响应文件</w:t>
      </w:r>
      <w:r>
        <w:rPr>
          <w:rFonts w:hint="eastAsia" w:ascii="宋体" w:hAnsi="宋体" w:eastAsia="宋体" w:cs="宋体"/>
          <w:color w:val="auto"/>
          <w:spacing w:val="2"/>
          <w:sz w:val="21"/>
          <w:szCs w:val="21"/>
          <w:highlight w:val="none"/>
        </w:rPr>
        <w:t>对其另有规定的，从其规定。</w:t>
      </w:r>
    </w:p>
    <w:p w14:paraId="3C0A66BA">
      <w:pPr>
        <w:pStyle w:val="16"/>
        <w:spacing w:after="0" w:line="360" w:lineRule="exact"/>
        <w:ind w:firstLine="428" w:firstLineChars="200"/>
        <w:jc w:val="both"/>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2"/>
          <w:sz w:val="21"/>
          <w:szCs w:val="21"/>
          <w:highlight w:val="none"/>
          <w:lang w:eastAsia="zh-CN"/>
        </w:rPr>
        <w:t>本项目非一次性供货，而是根据甲方需求分批供应。</w:t>
      </w:r>
      <w:r>
        <w:rPr>
          <w:rFonts w:hint="eastAsia" w:ascii="宋体" w:hAnsi="宋体" w:eastAsia="宋体" w:cs="宋体"/>
          <w:color w:val="auto"/>
          <w:spacing w:val="2"/>
          <w:sz w:val="21"/>
          <w:szCs w:val="21"/>
          <w:highlight w:val="none"/>
        </w:rPr>
        <w:t>合同期限内实际采购金额按</w:t>
      </w:r>
      <w:r>
        <w:rPr>
          <w:rFonts w:hint="eastAsia" w:ascii="宋体" w:hAnsi="宋体" w:eastAsia="宋体" w:cs="宋体"/>
          <w:color w:val="auto"/>
          <w:spacing w:val="2"/>
          <w:sz w:val="21"/>
          <w:szCs w:val="21"/>
          <w:highlight w:val="none"/>
          <w:lang w:eastAsia="zh-CN"/>
        </w:rPr>
        <w:t>甲方</w:t>
      </w:r>
      <w:r>
        <w:rPr>
          <w:rFonts w:hint="eastAsia" w:ascii="宋体" w:hAnsi="宋体" w:eastAsia="宋体" w:cs="宋体"/>
          <w:color w:val="auto"/>
          <w:spacing w:val="2"/>
          <w:sz w:val="21"/>
          <w:szCs w:val="21"/>
          <w:highlight w:val="none"/>
        </w:rPr>
        <w:t>实际采购量据实结算，</w:t>
      </w:r>
      <w:r>
        <w:rPr>
          <w:rFonts w:hint="eastAsia" w:ascii="宋体" w:hAnsi="宋体" w:eastAsia="宋体" w:cs="宋体"/>
          <w:color w:val="auto"/>
          <w:spacing w:val="2"/>
          <w:sz w:val="21"/>
          <w:szCs w:val="21"/>
          <w:highlight w:val="none"/>
          <w:lang w:eastAsia="zh-CN"/>
        </w:rPr>
        <w:t>乙方</w:t>
      </w:r>
      <w:r>
        <w:rPr>
          <w:rFonts w:hint="eastAsia" w:ascii="宋体" w:hAnsi="宋体" w:eastAsia="宋体" w:cs="宋体"/>
          <w:color w:val="auto"/>
          <w:spacing w:val="2"/>
          <w:sz w:val="21"/>
          <w:szCs w:val="21"/>
          <w:highlight w:val="none"/>
        </w:rPr>
        <w:t>不得因实际采购量与中标数量不一致提出异议。</w:t>
      </w:r>
    </w:p>
    <w:p w14:paraId="45D7E10E">
      <w:pPr>
        <w:pStyle w:val="16"/>
        <w:spacing w:after="0" w:line="360" w:lineRule="exact"/>
        <w:ind w:firstLine="478" w:firstLineChars="200"/>
        <w:jc w:val="both"/>
        <w:rPr>
          <w:rFonts w:hAnsi="宋体" w:cs="宋体"/>
          <w:b/>
          <w:bCs/>
          <w:color w:val="auto"/>
          <w:spacing w:val="14"/>
          <w:sz w:val="21"/>
          <w:szCs w:val="21"/>
          <w:highlight w:val="none"/>
        </w:rPr>
      </w:pPr>
      <w:r>
        <w:rPr>
          <w:rFonts w:hint="eastAsia" w:hAnsi="宋体" w:cs="宋体"/>
          <w:b/>
          <w:bCs/>
          <w:color w:val="auto"/>
          <w:spacing w:val="14"/>
          <w:sz w:val="21"/>
          <w:szCs w:val="21"/>
          <w:highlight w:val="none"/>
        </w:rPr>
        <w:t>第二条 质量保证</w:t>
      </w:r>
    </w:p>
    <w:p w14:paraId="522EEECA">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1.乙方所提供的货物型号、技术规格、技术参数等质量必须与谈判文件、响应文件和承诺相一致。乙方提供的节能和环保产品必须是列入政府采购清单的产品。</w:t>
      </w:r>
    </w:p>
    <w:p w14:paraId="0BE9EDDC">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2.乙方所提供的货物必须是全新、未经使用的原装产品，且在 正常安装、使用和保养条件下，其使用寿命期内各项指标均达到质量要求。</w:t>
      </w:r>
    </w:p>
    <w:p w14:paraId="0910BE64">
      <w:pPr>
        <w:pStyle w:val="16"/>
        <w:spacing w:after="0" w:line="360" w:lineRule="exact"/>
        <w:ind w:firstLine="478" w:firstLineChars="200"/>
        <w:jc w:val="both"/>
        <w:rPr>
          <w:rFonts w:hAnsi="宋体" w:cs="宋体"/>
          <w:b/>
          <w:bCs/>
          <w:color w:val="auto"/>
          <w:spacing w:val="14"/>
          <w:sz w:val="21"/>
          <w:szCs w:val="21"/>
          <w:highlight w:val="none"/>
        </w:rPr>
      </w:pPr>
      <w:r>
        <w:rPr>
          <w:rFonts w:hint="eastAsia" w:hAnsi="宋体" w:cs="宋体"/>
          <w:b/>
          <w:bCs/>
          <w:color w:val="auto"/>
          <w:spacing w:val="14"/>
          <w:sz w:val="21"/>
          <w:szCs w:val="21"/>
          <w:highlight w:val="none"/>
        </w:rPr>
        <w:t>第三条 权利保证</w:t>
      </w:r>
    </w:p>
    <w:p w14:paraId="4C47A456">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1.乙方应保证所提供货物在使用时不会侵犯任何第三方的专利权、商标权、工业设计权或其他权利。</w:t>
      </w:r>
    </w:p>
    <w:p w14:paraId="6CF6D753">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2.乙方应按谈判文件规定的时间或响应文件承诺的时间向甲方 提供使用货物的有关技术资料。</w:t>
      </w:r>
    </w:p>
    <w:p w14:paraId="48B71528">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3.没有甲方事先书面同意，乙方不得将由甲方提供的有关合同 或任何合同条文、规格、计划、图纸、样品或资料提供给与履行本合 同无关的任何其他人。即使向履行本合同有关的人员提供，也应注意 保密并限于履行合同的必需范围。</w:t>
      </w:r>
    </w:p>
    <w:p w14:paraId="3F728201">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4.乙方保证所交付的货物的所有权完全属于乙方且无任何抵押、质押、查封等产权瑕疵。</w:t>
      </w:r>
    </w:p>
    <w:p w14:paraId="3026692E">
      <w:pPr>
        <w:pStyle w:val="16"/>
        <w:spacing w:after="0" w:line="360" w:lineRule="exact"/>
        <w:ind w:firstLine="478" w:firstLineChars="200"/>
        <w:jc w:val="both"/>
        <w:rPr>
          <w:rFonts w:hAnsi="宋体" w:cs="宋体"/>
          <w:b/>
          <w:bCs/>
          <w:color w:val="auto"/>
          <w:spacing w:val="14"/>
          <w:sz w:val="21"/>
          <w:szCs w:val="21"/>
          <w:highlight w:val="none"/>
        </w:rPr>
      </w:pPr>
      <w:r>
        <w:rPr>
          <w:rFonts w:hint="eastAsia" w:hAnsi="宋体" w:cs="宋体"/>
          <w:b/>
          <w:bCs/>
          <w:color w:val="auto"/>
          <w:spacing w:val="14"/>
          <w:sz w:val="21"/>
          <w:szCs w:val="21"/>
          <w:highlight w:val="none"/>
        </w:rPr>
        <w:t>第四条 包装和运输</w:t>
      </w:r>
    </w:p>
    <w:p w14:paraId="4F6A8147">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1.乙方提供的货物均应按谈判文件、响应文件要求的包装材料、包装标准、包装方式进行包装，每一包装单元内应附详细的装箱单和质量合格证。</w:t>
      </w:r>
    </w:p>
    <w:p w14:paraId="05098DA6">
      <w:pPr>
        <w:pStyle w:val="16"/>
        <w:spacing w:after="0" w:line="360" w:lineRule="exact"/>
        <w:ind w:firstLine="420" w:firstLineChars="200"/>
        <w:jc w:val="both"/>
        <w:rPr>
          <w:rFonts w:hAnsi="宋体" w:cs="宋体"/>
          <w:color w:val="auto"/>
          <w:sz w:val="21"/>
          <w:szCs w:val="21"/>
          <w:highlight w:val="none"/>
        </w:rPr>
      </w:pPr>
      <w:r>
        <w:rPr>
          <w:rFonts w:hint="eastAsia" w:hAnsi="宋体"/>
          <w:color w:val="auto"/>
          <w:kern w:val="2"/>
          <w:sz w:val="21"/>
          <w:szCs w:val="21"/>
          <w:highlight w:val="none"/>
        </w:rPr>
        <w:t>2.货物的运输方式</w:t>
      </w:r>
      <w:r>
        <w:rPr>
          <w:rFonts w:hint="eastAsia" w:hAnsi="宋体" w:cs="宋体"/>
          <w:color w:val="auto"/>
          <w:spacing w:val="-14"/>
          <w:sz w:val="21"/>
          <w:szCs w:val="21"/>
          <w:highlight w:val="none"/>
        </w:rPr>
        <w:t>：</w:t>
      </w:r>
      <w:r>
        <w:rPr>
          <w:rFonts w:hint="eastAsia" w:hAnsi="宋体" w:cs="宋体"/>
          <w:color w:val="auto"/>
          <w:spacing w:val="3"/>
          <w:sz w:val="21"/>
          <w:szCs w:val="21"/>
          <w:highlight w:val="none"/>
          <w:u w:val="single"/>
        </w:rPr>
        <w:t xml:space="preserve">   </w:t>
      </w:r>
      <w:r>
        <w:rPr>
          <w:rFonts w:hint="eastAsia" w:hAnsi="宋体" w:cs="宋体"/>
          <w:color w:val="auto"/>
          <w:sz w:val="21"/>
          <w:szCs w:val="21"/>
          <w:highlight w:val="none"/>
          <w:u w:val="single"/>
        </w:rPr>
        <w:t xml:space="preserve">不限  </w:t>
      </w:r>
      <w:r>
        <w:rPr>
          <w:rFonts w:hint="eastAsia" w:hAnsi="宋体" w:cs="宋体"/>
          <w:color w:val="auto"/>
          <w:spacing w:val="3"/>
          <w:sz w:val="21"/>
          <w:szCs w:val="21"/>
          <w:highlight w:val="none"/>
          <w:u w:val="single"/>
        </w:rPr>
        <w:t xml:space="preserve">     </w:t>
      </w:r>
    </w:p>
    <w:p w14:paraId="7E172127">
      <w:pPr>
        <w:pStyle w:val="16"/>
        <w:spacing w:after="0" w:line="360" w:lineRule="exact"/>
        <w:ind w:firstLine="420" w:firstLineChars="200"/>
        <w:jc w:val="both"/>
        <w:rPr>
          <w:rFonts w:hAnsi="宋体" w:cs="宋体"/>
          <w:color w:val="auto"/>
          <w:spacing w:val="-6"/>
          <w:sz w:val="21"/>
          <w:szCs w:val="21"/>
          <w:highlight w:val="none"/>
          <w:u w:val="single"/>
        </w:rPr>
      </w:pPr>
      <w:r>
        <w:rPr>
          <w:rFonts w:hint="eastAsia" w:hAnsi="宋体"/>
          <w:color w:val="auto"/>
          <w:kern w:val="2"/>
          <w:sz w:val="21"/>
          <w:szCs w:val="21"/>
          <w:highlight w:val="none"/>
        </w:rPr>
        <w:t>3.乙方负责货物运输</w:t>
      </w:r>
      <w:r>
        <w:rPr>
          <w:rFonts w:hint="eastAsia" w:hAnsi="宋体" w:cs="宋体"/>
          <w:color w:val="auto"/>
          <w:spacing w:val="-13"/>
          <w:sz w:val="21"/>
          <w:szCs w:val="21"/>
          <w:highlight w:val="none"/>
        </w:rPr>
        <w:t xml:space="preserve"> ，</w:t>
      </w:r>
      <w:r>
        <w:rPr>
          <w:rFonts w:hint="eastAsia" w:hAnsi="宋体" w:cs="宋体"/>
          <w:color w:val="auto"/>
          <w:spacing w:val="-20"/>
          <w:sz w:val="21"/>
          <w:szCs w:val="21"/>
          <w:highlight w:val="none"/>
        </w:rPr>
        <w:t xml:space="preserve"> </w:t>
      </w:r>
      <w:r>
        <w:rPr>
          <w:rFonts w:hint="eastAsia" w:hAnsi="宋体" w:cs="宋体"/>
          <w:color w:val="auto"/>
          <w:spacing w:val="-13"/>
          <w:sz w:val="21"/>
          <w:szCs w:val="21"/>
          <w:highlight w:val="none"/>
        </w:rPr>
        <w:t>货</w:t>
      </w:r>
      <w:r>
        <w:rPr>
          <w:rFonts w:hint="eastAsia" w:hAnsi="宋体" w:cs="宋体"/>
          <w:color w:val="auto"/>
          <w:spacing w:val="-26"/>
          <w:sz w:val="21"/>
          <w:szCs w:val="21"/>
          <w:highlight w:val="none"/>
        </w:rPr>
        <w:t xml:space="preserve"> </w:t>
      </w:r>
      <w:r>
        <w:rPr>
          <w:rFonts w:hint="eastAsia" w:hAnsi="宋体" w:cs="宋体"/>
          <w:color w:val="auto"/>
          <w:spacing w:val="-13"/>
          <w:sz w:val="21"/>
          <w:szCs w:val="21"/>
          <w:highlight w:val="none"/>
        </w:rPr>
        <w:t>物</w:t>
      </w:r>
      <w:r>
        <w:rPr>
          <w:rFonts w:hint="eastAsia" w:hAnsi="宋体" w:cs="宋体"/>
          <w:color w:val="auto"/>
          <w:spacing w:val="-26"/>
          <w:sz w:val="21"/>
          <w:szCs w:val="21"/>
          <w:highlight w:val="none"/>
        </w:rPr>
        <w:t xml:space="preserve"> </w:t>
      </w:r>
      <w:r>
        <w:rPr>
          <w:rFonts w:hint="eastAsia" w:hAnsi="宋体" w:cs="宋体"/>
          <w:color w:val="auto"/>
          <w:spacing w:val="-13"/>
          <w:sz w:val="21"/>
          <w:szCs w:val="21"/>
          <w:highlight w:val="none"/>
        </w:rPr>
        <w:t>运</w:t>
      </w:r>
      <w:r>
        <w:rPr>
          <w:rFonts w:hint="eastAsia" w:hAnsi="宋体" w:cs="宋体"/>
          <w:color w:val="auto"/>
          <w:spacing w:val="-27"/>
          <w:sz w:val="21"/>
          <w:szCs w:val="21"/>
          <w:highlight w:val="none"/>
        </w:rPr>
        <w:t xml:space="preserve"> </w:t>
      </w:r>
      <w:r>
        <w:rPr>
          <w:rFonts w:hint="eastAsia" w:hAnsi="宋体" w:cs="宋体"/>
          <w:color w:val="auto"/>
          <w:spacing w:val="-13"/>
          <w:sz w:val="21"/>
          <w:szCs w:val="21"/>
          <w:highlight w:val="none"/>
        </w:rPr>
        <w:t>输</w:t>
      </w:r>
      <w:r>
        <w:rPr>
          <w:rFonts w:hint="eastAsia" w:hAnsi="宋体" w:cs="宋体"/>
          <w:color w:val="auto"/>
          <w:spacing w:val="-25"/>
          <w:sz w:val="21"/>
          <w:szCs w:val="21"/>
          <w:highlight w:val="none"/>
        </w:rPr>
        <w:t xml:space="preserve"> </w:t>
      </w:r>
      <w:r>
        <w:rPr>
          <w:rFonts w:hint="eastAsia" w:hAnsi="宋体" w:cs="宋体"/>
          <w:color w:val="auto"/>
          <w:spacing w:val="-13"/>
          <w:sz w:val="21"/>
          <w:szCs w:val="21"/>
          <w:highlight w:val="none"/>
        </w:rPr>
        <w:t>合</w:t>
      </w:r>
      <w:r>
        <w:rPr>
          <w:rFonts w:hint="eastAsia" w:hAnsi="宋体" w:cs="宋体"/>
          <w:color w:val="auto"/>
          <w:spacing w:val="-23"/>
          <w:sz w:val="21"/>
          <w:szCs w:val="21"/>
          <w:highlight w:val="none"/>
        </w:rPr>
        <w:t xml:space="preserve"> </w:t>
      </w:r>
      <w:r>
        <w:rPr>
          <w:rFonts w:hint="eastAsia" w:hAnsi="宋体" w:cs="宋体"/>
          <w:color w:val="auto"/>
          <w:spacing w:val="-13"/>
          <w:sz w:val="21"/>
          <w:szCs w:val="21"/>
          <w:highlight w:val="none"/>
        </w:rPr>
        <w:t>理</w:t>
      </w:r>
      <w:r>
        <w:rPr>
          <w:rFonts w:hint="eastAsia" w:hAnsi="宋体" w:cs="宋体"/>
          <w:color w:val="auto"/>
          <w:spacing w:val="-26"/>
          <w:sz w:val="21"/>
          <w:szCs w:val="21"/>
          <w:highlight w:val="none"/>
        </w:rPr>
        <w:t xml:space="preserve"> </w:t>
      </w:r>
      <w:r>
        <w:rPr>
          <w:rFonts w:hint="eastAsia" w:hAnsi="宋体" w:cs="宋体"/>
          <w:color w:val="auto"/>
          <w:spacing w:val="-13"/>
          <w:sz w:val="21"/>
          <w:szCs w:val="21"/>
          <w:highlight w:val="none"/>
        </w:rPr>
        <w:t>损</w:t>
      </w:r>
      <w:r>
        <w:rPr>
          <w:rFonts w:hint="eastAsia" w:hAnsi="宋体" w:cs="宋体"/>
          <w:color w:val="auto"/>
          <w:spacing w:val="-25"/>
          <w:sz w:val="21"/>
          <w:szCs w:val="21"/>
          <w:highlight w:val="none"/>
        </w:rPr>
        <w:t xml:space="preserve"> </w:t>
      </w:r>
      <w:r>
        <w:rPr>
          <w:rFonts w:hint="eastAsia" w:hAnsi="宋体" w:cs="宋体"/>
          <w:color w:val="auto"/>
          <w:spacing w:val="-13"/>
          <w:sz w:val="21"/>
          <w:szCs w:val="21"/>
          <w:highlight w:val="none"/>
        </w:rPr>
        <w:t>耗</w:t>
      </w:r>
      <w:r>
        <w:rPr>
          <w:rFonts w:hint="eastAsia" w:hAnsi="宋体" w:cs="宋体"/>
          <w:color w:val="auto"/>
          <w:spacing w:val="-27"/>
          <w:sz w:val="21"/>
          <w:szCs w:val="21"/>
          <w:highlight w:val="none"/>
        </w:rPr>
        <w:t xml:space="preserve"> </w:t>
      </w:r>
      <w:r>
        <w:rPr>
          <w:rFonts w:hint="eastAsia" w:hAnsi="宋体" w:cs="宋体"/>
          <w:color w:val="auto"/>
          <w:spacing w:val="-13"/>
          <w:sz w:val="21"/>
          <w:szCs w:val="21"/>
          <w:highlight w:val="none"/>
        </w:rPr>
        <w:t>及</w:t>
      </w:r>
      <w:r>
        <w:rPr>
          <w:rFonts w:hint="eastAsia" w:hAnsi="宋体" w:cs="宋体"/>
          <w:color w:val="auto"/>
          <w:spacing w:val="-26"/>
          <w:sz w:val="21"/>
          <w:szCs w:val="21"/>
          <w:highlight w:val="none"/>
        </w:rPr>
        <w:t xml:space="preserve"> </w:t>
      </w:r>
      <w:r>
        <w:rPr>
          <w:rFonts w:hint="eastAsia" w:hAnsi="宋体" w:cs="宋体"/>
          <w:color w:val="auto"/>
          <w:spacing w:val="-13"/>
          <w:sz w:val="21"/>
          <w:szCs w:val="21"/>
          <w:highlight w:val="none"/>
        </w:rPr>
        <w:t>计</w:t>
      </w:r>
      <w:r>
        <w:rPr>
          <w:rFonts w:hint="eastAsia" w:hAnsi="宋体" w:cs="宋体"/>
          <w:color w:val="auto"/>
          <w:spacing w:val="-24"/>
          <w:sz w:val="21"/>
          <w:szCs w:val="21"/>
          <w:highlight w:val="none"/>
        </w:rPr>
        <w:t xml:space="preserve"> </w:t>
      </w:r>
      <w:r>
        <w:rPr>
          <w:rFonts w:hint="eastAsia" w:hAnsi="宋体" w:cs="宋体"/>
          <w:color w:val="auto"/>
          <w:spacing w:val="-13"/>
          <w:sz w:val="21"/>
          <w:szCs w:val="21"/>
          <w:highlight w:val="none"/>
        </w:rPr>
        <w:t>算</w:t>
      </w:r>
      <w:r>
        <w:rPr>
          <w:rFonts w:hint="eastAsia" w:hAnsi="宋体" w:cs="宋体"/>
          <w:color w:val="auto"/>
          <w:spacing w:val="-25"/>
          <w:sz w:val="21"/>
          <w:szCs w:val="21"/>
          <w:highlight w:val="none"/>
        </w:rPr>
        <w:t xml:space="preserve"> </w:t>
      </w:r>
      <w:r>
        <w:rPr>
          <w:rFonts w:hint="eastAsia" w:hAnsi="宋体" w:cs="宋体"/>
          <w:color w:val="auto"/>
          <w:spacing w:val="-13"/>
          <w:sz w:val="21"/>
          <w:szCs w:val="21"/>
          <w:highlight w:val="none"/>
        </w:rPr>
        <w:t>方</w:t>
      </w:r>
      <w:r>
        <w:rPr>
          <w:rFonts w:hint="eastAsia" w:hAnsi="宋体" w:cs="宋体"/>
          <w:color w:val="auto"/>
          <w:spacing w:val="-6"/>
          <w:sz w:val="21"/>
          <w:szCs w:val="21"/>
          <w:highlight w:val="none"/>
        </w:rPr>
        <w:t>法</w:t>
      </w:r>
      <w:r>
        <w:rPr>
          <w:rFonts w:hint="eastAsia" w:hAnsi="宋体" w:cs="宋体"/>
          <w:color w:val="auto"/>
          <w:spacing w:val="-59"/>
          <w:sz w:val="21"/>
          <w:szCs w:val="21"/>
          <w:highlight w:val="none"/>
        </w:rPr>
        <w:t xml:space="preserve"> </w:t>
      </w:r>
      <w:r>
        <w:rPr>
          <w:rFonts w:hint="eastAsia" w:hAnsi="宋体" w:cs="宋体"/>
          <w:color w:val="auto"/>
          <w:spacing w:val="-6"/>
          <w:sz w:val="21"/>
          <w:szCs w:val="21"/>
          <w:highlight w:val="none"/>
        </w:rPr>
        <w:t>：</w:t>
      </w:r>
      <w:r>
        <w:rPr>
          <w:rFonts w:hint="eastAsia" w:hAnsi="宋体" w:cs="宋体"/>
          <w:color w:val="auto"/>
          <w:spacing w:val="-6"/>
          <w:sz w:val="21"/>
          <w:szCs w:val="21"/>
          <w:highlight w:val="none"/>
          <w:u w:val="single"/>
        </w:rPr>
        <w:t xml:space="preserve">     </w:t>
      </w:r>
      <w:r>
        <w:rPr>
          <w:rFonts w:hint="eastAsia" w:hAnsi="宋体" w:cs="宋体"/>
          <w:color w:val="auto"/>
          <w:sz w:val="21"/>
          <w:szCs w:val="21"/>
          <w:highlight w:val="none"/>
          <w:u w:val="single"/>
        </w:rPr>
        <w:t>本合同货物不接受损耗</w:t>
      </w:r>
      <w:r>
        <w:rPr>
          <w:rFonts w:hint="eastAsia" w:hAnsi="宋体" w:cs="宋体"/>
          <w:color w:val="auto"/>
          <w:spacing w:val="-6"/>
          <w:sz w:val="21"/>
          <w:szCs w:val="21"/>
          <w:highlight w:val="none"/>
          <w:u w:val="single"/>
        </w:rPr>
        <w:t xml:space="preserve">            </w:t>
      </w:r>
    </w:p>
    <w:p w14:paraId="19EAD262">
      <w:pPr>
        <w:pStyle w:val="16"/>
        <w:spacing w:after="0" w:line="360" w:lineRule="exact"/>
        <w:ind w:firstLine="478" w:firstLineChars="200"/>
        <w:jc w:val="both"/>
        <w:rPr>
          <w:rFonts w:hAnsi="宋体" w:cs="宋体"/>
          <w:b/>
          <w:bCs/>
          <w:color w:val="auto"/>
          <w:spacing w:val="14"/>
          <w:sz w:val="21"/>
          <w:szCs w:val="21"/>
          <w:highlight w:val="none"/>
        </w:rPr>
      </w:pPr>
      <w:r>
        <w:rPr>
          <w:rFonts w:hint="eastAsia" w:hAnsi="宋体" w:cs="宋体"/>
          <w:b/>
          <w:bCs/>
          <w:color w:val="auto"/>
          <w:spacing w:val="14"/>
          <w:sz w:val="21"/>
          <w:szCs w:val="21"/>
          <w:highlight w:val="none"/>
        </w:rPr>
        <w:t>第五条  交付和验收</w:t>
      </w:r>
    </w:p>
    <w:p w14:paraId="60E3668D">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1.合同期限：自签订合同之日起一年。</w:t>
      </w:r>
    </w:p>
    <w:p w14:paraId="7B47AE48">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2</w:t>
      </w:r>
      <w:r>
        <w:rPr>
          <w:rFonts w:hint="eastAsia" w:hAnsi="宋体" w:cs="宋体"/>
          <w:color w:val="auto"/>
          <w:spacing w:val="2"/>
          <w:sz w:val="21"/>
          <w:szCs w:val="21"/>
          <w:highlight w:val="none"/>
        </w:rPr>
        <w:t>.交付使用时间：</w:t>
      </w:r>
      <w:r>
        <w:rPr>
          <w:rFonts w:hint="eastAsia" w:hAnsi="宋体" w:cs="宋体"/>
          <w:color w:val="auto"/>
          <w:spacing w:val="2"/>
          <w:sz w:val="21"/>
          <w:szCs w:val="21"/>
          <w:highlight w:val="none"/>
          <w:lang w:val="en-US" w:eastAsia="zh-CN"/>
        </w:rPr>
        <w:t>自招标人向中标人发出交货书面通知之日起分标（1）15天内交货、分标（2）20天内交货、分标（3）10天内交货（不定期供货，按照招标人订购明细表数量分批交货，每次发货的运费等所有费用投标人应充分考虑并报入本次投标报价中，招标人将不再另行支付）。地点：甲方指定地点。</w:t>
      </w:r>
    </w:p>
    <w:p w14:paraId="1141217E">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3</w:t>
      </w:r>
      <w:r>
        <w:rPr>
          <w:rFonts w:hint="eastAsia" w:hAnsi="宋体" w:cs="宋体"/>
          <w:color w:val="auto"/>
          <w:spacing w:val="2"/>
          <w:sz w:val="21"/>
          <w:szCs w:val="21"/>
          <w:highlight w:val="none"/>
        </w:rPr>
        <w:t>.中标人每次供货必须提供相关供货清单（包括货物名称、数量、单价、金额等信息），以便采购人结算货款。中标人供货不符合要求的，采购人有权立即退货。中标人应按采购人的要求及时补货，具体交货时间以约定为准。</w:t>
      </w:r>
    </w:p>
    <w:p w14:paraId="1700901A">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4</w:t>
      </w:r>
      <w:r>
        <w:rPr>
          <w:rFonts w:hint="eastAsia" w:hAnsi="宋体" w:cs="宋体"/>
          <w:color w:val="auto"/>
          <w:spacing w:val="2"/>
          <w:sz w:val="21"/>
          <w:szCs w:val="21"/>
          <w:highlight w:val="none"/>
        </w:rPr>
        <w:t>.乙方提供不符合谈判文件、响应文件和本合同规定的货物，甲方有权拒绝接受。</w:t>
      </w:r>
    </w:p>
    <w:p w14:paraId="0D7CF3EA">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5</w:t>
      </w:r>
      <w:r>
        <w:rPr>
          <w:rFonts w:hint="eastAsia" w:hAnsi="宋体" w:cs="宋体"/>
          <w:color w:val="auto"/>
          <w:spacing w:val="2"/>
          <w:sz w:val="21"/>
          <w:szCs w:val="21"/>
          <w:highlight w:val="none"/>
        </w:rPr>
        <w:t>.乙方应将所提供货物的装箱清单、用户手册、原厂保修卡、随机资料、工具和备品、备件等交付给甲方，如有缺失应及时补齐，否则视为逾期交货。</w:t>
      </w:r>
    </w:p>
    <w:p w14:paraId="50376C9E">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6</w:t>
      </w:r>
      <w:r>
        <w:rPr>
          <w:rFonts w:hint="eastAsia" w:hAnsi="宋体" w:cs="宋体"/>
          <w:color w:val="auto"/>
          <w:spacing w:val="2"/>
          <w:sz w:val="21"/>
          <w:szCs w:val="21"/>
          <w:highlight w:val="none"/>
        </w:rPr>
        <w:t>.甲方应当在到货(安装、调试完)后七个工作日内进行验收，逾期不验收的，乙方可视同验收合格。验收合格后由甲乙双方签署货物验收单并加盖采购人公章，甲乙双方各执一份。</w:t>
      </w:r>
    </w:p>
    <w:p w14:paraId="534F51C2">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7</w:t>
      </w:r>
      <w:r>
        <w:rPr>
          <w:rFonts w:hint="eastAsia" w:hAnsi="宋体" w:cs="宋体"/>
          <w:color w:val="auto"/>
          <w:spacing w:val="2"/>
          <w:sz w:val="21"/>
          <w:szCs w:val="21"/>
          <w:highlight w:val="none"/>
        </w:rPr>
        <w:t>.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6262B7D5">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lang w:val="en-US" w:eastAsia="zh-CN"/>
        </w:rPr>
        <w:t>8</w:t>
      </w:r>
      <w:r>
        <w:rPr>
          <w:rFonts w:hint="eastAsia" w:hAnsi="宋体" w:cs="宋体"/>
          <w:color w:val="auto"/>
          <w:spacing w:val="2"/>
          <w:sz w:val="21"/>
          <w:szCs w:val="21"/>
          <w:highlight w:val="none"/>
        </w:rPr>
        <w:t>.甲方对验收有异议的，在验收后五个工作日内以书面形式向乙方提出，乙方应自收到甲方书面异议后30日内及时予以解决。</w:t>
      </w:r>
    </w:p>
    <w:p w14:paraId="37DE274C">
      <w:pPr>
        <w:pStyle w:val="16"/>
        <w:spacing w:after="0" w:line="360" w:lineRule="exact"/>
        <w:ind w:firstLine="478" w:firstLineChars="200"/>
        <w:jc w:val="both"/>
        <w:rPr>
          <w:rFonts w:hAnsi="宋体" w:cs="宋体"/>
          <w:b/>
          <w:bCs/>
          <w:color w:val="auto"/>
          <w:spacing w:val="14"/>
          <w:sz w:val="21"/>
          <w:szCs w:val="21"/>
          <w:highlight w:val="none"/>
        </w:rPr>
      </w:pPr>
      <w:r>
        <w:rPr>
          <w:rFonts w:hint="eastAsia" w:hAnsi="宋体" w:cs="宋体"/>
          <w:b/>
          <w:bCs/>
          <w:color w:val="auto"/>
          <w:spacing w:val="14"/>
          <w:sz w:val="21"/>
          <w:szCs w:val="21"/>
          <w:highlight w:val="none"/>
        </w:rPr>
        <w:t>第六条  安装和培训</w:t>
      </w:r>
    </w:p>
    <w:p w14:paraId="282A3021">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1.甲方应提供必要安装条件(如场地、电源、水源等)。</w:t>
      </w:r>
    </w:p>
    <w:p w14:paraId="7EE73E68">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2.乙方负责甲方有关人员的培训。培训时间、地点</w:t>
      </w:r>
      <w:r>
        <w:rPr>
          <w:rFonts w:hint="eastAsia" w:hAnsi="宋体" w:cs="宋体"/>
          <w:color w:val="auto"/>
          <w:spacing w:val="2"/>
          <w:sz w:val="21"/>
          <w:szCs w:val="21"/>
          <w:highlight w:val="none"/>
          <w:u w:val="single"/>
        </w:rPr>
        <w:t>：   由甲方依据实际情况确定     。</w:t>
      </w:r>
    </w:p>
    <w:p w14:paraId="42BA78DD">
      <w:pPr>
        <w:pStyle w:val="16"/>
        <w:spacing w:after="0" w:line="360" w:lineRule="exact"/>
        <w:ind w:firstLine="478" w:firstLineChars="200"/>
        <w:jc w:val="both"/>
        <w:rPr>
          <w:rFonts w:hAnsi="宋体" w:cs="宋体"/>
          <w:color w:val="auto"/>
          <w:sz w:val="21"/>
          <w:szCs w:val="21"/>
          <w:highlight w:val="none"/>
        </w:rPr>
      </w:pPr>
      <w:r>
        <w:rPr>
          <w:rFonts w:hint="eastAsia" w:hAnsi="宋体" w:cs="宋体"/>
          <w:b/>
          <w:bCs/>
          <w:color w:val="auto"/>
          <w:spacing w:val="14"/>
          <w:sz w:val="21"/>
          <w:szCs w:val="21"/>
          <w:highlight w:val="none"/>
        </w:rPr>
        <w:t>第七条 售后服务、保修期</w:t>
      </w:r>
    </w:p>
    <w:p w14:paraId="726CA16E">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1.乙方应按照国家有关法律法规和“三包”规定以及谈判文件、响应文件和本合同所附的《服务承诺》，为甲方提供售后服务。</w:t>
      </w:r>
    </w:p>
    <w:p w14:paraId="34C90D2B">
      <w:pPr>
        <w:pStyle w:val="16"/>
        <w:spacing w:after="0" w:line="360" w:lineRule="exact"/>
        <w:ind w:firstLine="428" w:firstLineChars="200"/>
        <w:jc w:val="both"/>
        <w:rPr>
          <w:rFonts w:hint="eastAsia" w:hAnsi="宋体" w:cs="宋体"/>
          <w:color w:val="auto"/>
          <w:spacing w:val="2"/>
          <w:sz w:val="21"/>
          <w:szCs w:val="21"/>
          <w:highlight w:val="none"/>
          <w:u w:val="single"/>
          <w:lang w:eastAsia="zh-CN"/>
        </w:rPr>
      </w:pPr>
      <w:r>
        <w:rPr>
          <w:rFonts w:hint="eastAsia" w:hAnsi="宋体" w:cs="宋体"/>
          <w:color w:val="auto"/>
          <w:spacing w:val="2"/>
          <w:sz w:val="21"/>
          <w:szCs w:val="21"/>
          <w:highlight w:val="none"/>
        </w:rPr>
        <w:t>2.货物保修期</w:t>
      </w:r>
      <w:r>
        <w:rPr>
          <w:rFonts w:hint="eastAsia" w:hAnsi="宋体" w:cs="宋体"/>
          <w:color w:val="auto"/>
          <w:spacing w:val="2"/>
          <w:sz w:val="21"/>
          <w:szCs w:val="21"/>
          <w:highlight w:val="none"/>
          <w:u w:val="single"/>
          <w:lang w:eastAsia="zh-CN"/>
        </w:rPr>
        <w:t>：</w:t>
      </w:r>
      <w:r>
        <w:rPr>
          <w:rFonts w:hint="eastAsia" w:hAnsi="宋体" w:cs="宋体"/>
          <w:color w:val="auto"/>
          <w:spacing w:val="2"/>
          <w:sz w:val="21"/>
          <w:szCs w:val="21"/>
          <w:highlight w:val="none"/>
          <w:u w:val="single"/>
        </w:rPr>
        <w:t xml:space="preserve">                                            </w:t>
      </w:r>
      <w:r>
        <w:rPr>
          <w:rFonts w:hint="eastAsia" w:hAnsi="宋体" w:cs="宋体"/>
          <w:color w:val="auto"/>
          <w:spacing w:val="2"/>
          <w:sz w:val="21"/>
          <w:szCs w:val="21"/>
          <w:highlight w:val="none"/>
          <w:u w:val="single"/>
          <w:lang w:eastAsia="zh-CN"/>
        </w:rPr>
        <w:t>；</w:t>
      </w:r>
    </w:p>
    <w:p w14:paraId="5DB01D8B">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3.乙方提供的服务承诺和售后服务及保修期责任等其它具体约定事项。(见合同附件)</w:t>
      </w:r>
    </w:p>
    <w:p w14:paraId="35883729">
      <w:pPr>
        <w:pStyle w:val="16"/>
        <w:spacing w:after="0" w:line="360" w:lineRule="exact"/>
        <w:ind w:firstLine="410" w:firstLineChars="200"/>
        <w:jc w:val="both"/>
        <w:rPr>
          <w:rFonts w:hAnsi="宋体" w:cs="宋体"/>
          <w:b/>
          <w:bCs/>
          <w:color w:val="auto"/>
          <w:sz w:val="21"/>
          <w:szCs w:val="21"/>
          <w:highlight w:val="none"/>
        </w:rPr>
      </w:pPr>
      <w:r>
        <w:rPr>
          <w:rFonts w:hint="eastAsia" w:hAnsi="宋体" w:cs="宋体"/>
          <w:b/>
          <w:bCs/>
          <w:color w:val="auto"/>
          <w:spacing w:val="-3"/>
          <w:sz w:val="21"/>
          <w:szCs w:val="21"/>
          <w:highlight w:val="none"/>
        </w:rPr>
        <w:t>第八条  付款方式</w:t>
      </w:r>
    </w:p>
    <w:p w14:paraId="521CDFE9">
      <w:pPr>
        <w:spacing w:line="400" w:lineRule="exact"/>
        <w:ind w:firstLine="428" w:firstLineChars="200"/>
        <w:rPr>
          <w:rFonts w:hint="eastAsia" w:ascii="宋体" w:hAnsi="宋体" w:eastAsia="宋体" w:cs="宋体"/>
          <w:color w:val="auto"/>
          <w:spacing w:val="2"/>
          <w:kern w:val="0"/>
          <w:sz w:val="21"/>
          <w:szCs w:val="21"/>
          <w:highlight w:val="none"/>
          <w:lang w:val="en-US" w:eastAsia="zh-CN" w:bidi="ar-SA"/>
        </w:rPr>
      </w:pPr>
      <w:r>
        <w:rPr>
          <w:rFonts w:hint="eastAsia" w:ascii="宋体" w:hAnsi="宋体" w:eastAsia="宋体" w:cs="宋体"/>
          <w:color w:val="auto"/>
          <w:spacing w:val="2"/>
          <w:kern w:val="0"/>
          <w:sz w:val="21"/>
          <w:szCs w:val="21"/>
          <w:highlight w:val="none"/>
          <w:lang w:val="en-US" w:eastAsia="zh-CN" w:bidi="ar-SA"/>
        </w:rPr>
        <w:t>1.本合同为固定单价合同，乙方自行考虑市场的风险，竞争性谈判文件《货物需求一览表》中各品种产品数量仅为采购参考数量，乙方有义务在项目投标阶段根据本竞争性谈判文件要求统计、计算安装所需设施及材料实际需求数量，对竞争性谈判文件要求的货物漏算或未算的，甲方将视为已包括在项目总价中，不再增加任何费用。若项目在实施过程中，由于甲方或使用方对原设计进行变更而引起工程量变化的，按乙方投标时所报单价进行结算（投标的单价不变）。最终结算价以柳州市财政或审计部门审定为准，乙方必须提供完本项目的货物需求量。</w:t>
      </w:r>
    </w:p>
    <w:p w14:paraId="7182CBD9">
      <w:pPr>
        <w:spacing w:line="400" w:lineRule="exact"/>
        <w:ind w:firstLine="428" w:firstLineChars="200"/>
        <w:rPr>
          <w:rFonts w:hint="eastAsia" w:ascii="宋体" w:hAnsi="宋体" w:eastAsia="宋体" w:cs="宋体"/>
          <w:color w:val="auto"/>
          <w:spacing w:val="2"/>
          <w:kern w:val="0"/>
          <w:sz w:val="21"/>
          <w:szCs w:val="21"/>
          <w:highlight w:val="none"/>
          <w:lang w:val="en-US" w:eastAsia="zh-CN" w:bidi="ar-SA"/>
        </w:rPr>
      </w:pPr>
      <w:r>
        <w:rPr>
          <w:rFonts w:hint="eastAsia" w:ascii="宋体" w:hAnsi="宋体" w:eastAsia="宋体" w:cs="宋体"/>
          <w:color w:val="auto"/>
          <w:spacing w:val="2"/>
          <w:kern w:val="0"/>
          <w:sz w:val="21"/>
          <w:szCs w:val="21"/>
          <w:highlight w:val="none"/>
          <w:lang w:val="en-US" w:eastAsia="zh-CN" w:bidi="ar-SA"/>
        </w:rPr>
        <w:t>2.资金性质：财政资金</w:t>
      </w:r>
    </w:p>
    <w:p w14:paraId="32DBFE02">
      <w:pPr>
        <w:spacing w:line="400" w:lineRule="exact"/>
        <w:ind w:firstLine="428" w:firstLineChars="200"/>
        <w:rPr>
          <w:rFonts w:hint="eastAsia" w:ascii="宋体" w:hAnsi="宋体" w:eastAsia="宋体" w:cs="宋体"/>
          <w:color w:val="auto"/>
          <w:spacing w:val="2"/>
          <w:kern w:val="0"/>
          <w:sz w:val="21"/>
          <w:szCs w:val="21"/>
          <w:highlight w:val="none"/>
          <w:lang w:val="en-US" w:eastAsia="zh-CN" w:bidi="ar-SA"/>
        </w:rPr>
      </w:pPr>
      <w:r>
        <w:rPr>
          <w:rFonts w:hint="eastAsia" w:ascii="宋体" w:hAnsi="宋体" w:eastAsia="宋体" w:cs="宋体"/>
          <w:color w:val="auto"/>
          <w:spacing w:val="2"/>
          <w:kern w:val="0"/>
          <w:sz w:val="21"/>
          <w:szCs w:val="21"/>
          <w:highlight w:val="none"/>
          <w:lang w:val="en-US" w:eastAsia="zh-CN" w:bidi="ar-SA"/>
        </w:rPr>
        <w:t>3.缺陷责任期：响应文件中的质量保证及售后服务承诺执行。</w:t>
      </w:r>
    </w:p>
    <w:p w14:paraId="5E9C4B9E">
      <w:pPr>
        <w:spacing w:line="400" w:lineRule="exact"/>
        <w:ind w:left="1" w:right="34" w:firstLine="418"/>
        <w:rPr>
          <w:rFonts w:hint="eastAsia" w:ascii="宋体" w:hAnsi="宋体" w:eastAsia="宋体" w:cs="宋体"/>
          <w:color w:val="auto"/>
          <w:spacing w:val="2"/>
          <w:kern w:val="0"/>
          <w:sz w:val="21"/>
          <w:szCs w:val="21"/>
          <w:highlight w:val="none"/>
          <w:lang w:val="en-US" w:eastAsia="zh-CN" w:bidi="ar-SA"/>
        </w:rPr>
      </w:pPr>
      <w:r>
        <w:rPr>
          <w:rFonts w:hint="eastAsia" w:ascii="宋体" w:hAnsi="宋体" w:eastAsia="宋体" w:cs="宋体"/>
          <w:color w:val="auto"/>
          <w:spacing w:val="2"/>
          <w:kern w:val="0"/>
          <w:sz w:val="21"/>
          <w:szCs w:val="21"/>
          <w:highlight w:val="none"/>
          <w:lang w:val="en-US" w:eastAsia="zh-CN" w:bidi="ar-SA"/>
        </w:rPr>
        <w:t>4.付款方式：本项目无预付款，按批次结算，甲方在收到乙方上批次货物且验收合格正常使用十五个工作日并收到全额发票后2个月内向乙方一次付清该批次货物的全部货款。</w:t>
      </w:r>
    </w:p>
    <w:p w14:paraId="266BE1A0">
      <w:pPr>
        <w:pStyle w:val="16"/>
        <w:spacing w:after="0" w:line="360" w:lineRule="exact"/>
        <w:ind w:firstLine="406" w:firstLineChars="200"/>
        <w:jc w:val="both"/>
        <w:rPr>
          <w:rFonts w:hint="eastAsia" w:hAnsi="宋体" w:cs="宋体"/>
          <w:b/>
          <w:bCs/>
          <w:color w:val="auto"/>
          <w:spacing w:val="-4"/>
          <w:sz w:val="21"/>
          <w:szCs w:val="21"/>
          <w:highlight w:val="none"/>
        </w:rPr>
      </w:pPr>
      <w:r>
        <w:rPr>
          <w:rFonts w:hint="eastAsia" w:hAnsi="宋体" w:cs="宋体"/>
          <w:b/>
          <w:bCs/>
          <w:color w:val="auto"/>
          <w:spacing w:val="-4"/>
          <w:sz w:val="21"/>
          <w:szCs w:val="21"/>
          <w:highlight w:val="none"/>
        </w:rPr>
        <w:t>第九条 税费本合同执行中相关的一切税费均由乙方负担。</w:t>
      </w:r>
    </w:p>
    <w:p w14:paraId="183B7BDB">
      <w:pPr>
        <w:pStyle w:val="16"/>
        <w:spacing w:after="0" w:line="360" w:lineRule="exact"/>
        <w:ind w:firstLine="406" w:firstLineChars="200"/>
        <w:jc w:val="both"/>
        <w:rPr>
          <w:rFonts w:hint="eastAsia" w:hAnsi="宋体" w:cs="宋体"/>
          <w:b/>
          <w:bCs/>
          <w:color w:val="auto"/>
          <w:spacing w:val="-4"/>
          <w:sz w:val="21"/>
          <w:szCs w:val="21"/>
          <w:highlight w:val="none"/>
        </w:rPr>
      </w:pPr>
      <w:r>
        <w:rPr>
          <w:rFonts w:hint="eastAsia" w:hAnsi="宋体" w:cs="宋体"/>
          <w:b/>
          <w:bCs/>
          <w:color w:val="auto"/>
          <w:spacing w:val="-4"/>
          <w:sz w:val="21"/>
          <w:szCs w:val="21"/>
          <w:highlight w:val="none"/>
        </w:rPr>
        <w:t>第十条 质量保证及售后服务</w:t>
      </w:r>
    </w:p>
    <w:p w14:paraId="4B5773BC">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乙方应按谈判文件规定及响应文件承诺的货物性能、技术要求、质量标准向甲方提供未经使用的全新产品。乙方提供货物的质量保证期按交货验收合格之日起计(期限见《采购需求》中各分标的要求)。在保证期内因货物本身的质量问题发生故障，乙方应负责免费修理和更换零部件。对达不到技术要求者，根据实际情况，经双方协商，可按以下办法处理：</w:t>
      </w:r>
    </w:p>
    <w:p w14:paraId="6C716BA3">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(1)更换：由乙方承担所发生的全部费用。</w:t>
      </w:r>
    </w:p>
    <w:p w14:paraId="447A8AB7">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(2)贬值处理：由甲乙双方合议定价。</w:t>
      </w:r>
    </w:p>
    <w:p w14:paraId="41E4F039">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(3)退货处理：乙方应退还甲方支付的合同款，同时应承担该货物的直接费用(运输、保险、检验、货款利息及银行手续费等)。</w:t>
      </w:r>
    </w:p>
    <w:p w14:paraId="3E06550E">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2.如在使用过程中发生质量问题，乙方在接到甲方通知后在72小时内到达甲方现场。</w:t>
      </w:r>
    </w:p>
    <w:p w14:paraId="33DC7722">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3.在质保期内，乙方应对货物出现的质量及安全问题负责处理 解决并承担一切费用。</w:t>
      </w:r>
    </w:p>
    <w:p w14:paraId="3FD4173E">
      <w:pPr>
        <w:pStyle w:val="16"/>
        <w:spacing w:after="0" w:line="360" w:lineRule="exact"/>
        <w:ind w:firstLine="428" w:firstLineChars="200"/>
        <w:jc w:val="both"/>
        <w:rPr>
          <w:rFonts w:hint="eastAsia" w:hAnsi="宋体" w:cs="宋体"/>
          <w:color w:val="auto"/>
          <w:spacing w:val="2"/>
          <w:sz w:val="21"/>
          <w:szCs w:val="21"/>
          <w:highlight w:val="none"/>
        </w:rPr>
      </w:pPr>
      <w:r>
        <w:rPr>
          <w:rFonts w:hint="eastAsia" w:hAnsi="宋体" w:cs="宋体"/>
          <w:color w:val="auto"/>
          <w:spacing w:val="2"/>
          <w:sz w:val="21"/>
          <w:szCs w:val="21"/>
          <w:highlight w:val="none"/>
        </w:rPr>
        <w:t>4.上述的货物免费保修期为</w:t>
      </w:r>
      <w:r>
        <w:rPr>
          <w:rFonts w:hint="eastAsia" w:hAnsi="宋体" w:cs="宋体"/>
          <w:color w:val="auto"/>
          <w:spacing w:val="2"/>
          <w:sz w:val="21"/>
          <w:szCs w:val="21"/>
          <w:highlight w:val="none"/>
          <w:u w:val="single"/>
        </w:rPr>
        <w:t xml:space="preserve">    </w:t>
      </w:r>
      <w:r>
        <w:rPr>
          <w:rFonts w:hint="eastAsia" w:hAnsi="宋体" w:cs="宋体"/>
          <w:color w:val="auto"/>
          <w:spacing w:val="2"/>
          <w:sz w:val="21"/>
          <w:szCs w:val="21"/>
          <w:highlight w:val="none"/>
        </w:rPr>
        <w:t>年，因人为因素出现的故障不在免费保修范围内。超过保修期的机器设备，终生维修，维修时只收部件成本费。</w:t>
      </w:r>
    </w:p>
    <w:p w14:paraId="3066E028">
      <w:pPr>
        <w:pStyle w:val="16"/>
        <w:spacing w:after="0" w:line="360" w:lineRule="exact"/>
        <w:ind w:firstLine="406" w:firstLineChars="200"/>
        <w:jc w:val="both"/>
        <w:rPr>
          <w:rFonts w:hint="eastAsia" w:hAnsi="宋体" w:cs="宋体"/>
          <w:b/>
          <w:bCs/>
          <w:color w:val="auto"/>
          <w:spacing w:val="-4"/>
          <w:sz w:val="21"/>
          <w:szCs w:val="21"/>
          <w:highlight w:val="none"/>
        </w:rPr>
      </w:pPr>
      <w:r>
        <w:rPr>
          <w:rFonts w:hint="eastAsia" w:hAnsi="宋体" w:cs="宋体"/>
          <w:b/>
          <w:bCs/>
          <w:color w:val="auto"/>
          <w:spacing w:val="-4"/>
          <w:sz w:val="21"/>
          <w:szCs w:val="21"/>
          <w:highlight w:val="none"/>
        </w:rPr>
        <w:t>第十一条  调试和验收</w:t>
      </w:r>
    </w:p>
    <w:p w14:paraId="2F4FF3B5">
      <w:pPr>
        <w:pStyle w:val="16"/>
        <w:spacing w:after="0" w:line="360" w:lineRule="exact"/>
        <w:ind w:firstLine="428" w:firstLineChars="200"/>
        <w:jc w:val="both"/>
        <w:rPr>
          <w:rFonts w:hAnsi="宋体" w:cs="宋体"/>
          <w:color w:val="auto"/>
          <w:sz w:val="21"/>
          <w:szCs w:val="21"/>
          <w:highlight w:val="none"/>
        </w:rPr>
      </w:pPr>
      <w:r>
        <w:rPr>
          <w:rFonts w:hint="eastAsia" w:hAnsi="宋体" w:cs="宋体"/>
          <w:color w:val="auto"/>
          <w:spacing w:val="2"/>
          <w:sz w:val="21"/>
          <w:szCs w:val="21"/>
          <w:highlight w:val="none"/>
        </w:rPr>
        <w:t>1.</w:t>
      </w:r>
      <w:r>
        <w:rPr>
          <w:rFonts w:hint="eastAsia" w:hAnsi="宋体" w:cs="宋体"/>
          <w:color w:val="auto"/>
          <w:spacing w:val="-39"/>
          <w:sz w:val="21"/>
          <w:szCs w:val="21"/>
          <w:highlight w:val="none"/>
        </w:rPr>
        <w:t xml:space="preserve"> </w:t>
      </w:r>
      <w:r>
        <w:rPr>
          <w:rFonts w:hint="eastAsia" w:hAnsi="宋体" w:cs="宋体"/>
          <w:color w:val="auto"/>
          <w:spacing w:val="2"/>
          <w:sz w:val="21"/>
          <w:szCs w:val="21"/>
          <w:highlight w:val="none"/>
        </w:rPr>
        <w:t>甲方对乙方提交的货物依据谈判文件上的技术规格要求和国</w:t>
      </w:r>
      <w:r>
        <w:rPr>
          <w:rFonts w:hint="eastAsia" w:hAnsi="宋体" w:cs="宋体"/>
          <w:color w:val="auto"/>
          <w:spacing w:val="-5"/>
          <w:sz w:val="21"/>
          <w:szCs w:val="21"/>
          <w:highlight w:val="none"/>
        </w:rPr>
        <w:t>家有关质量标准进行现场初步验收，外观、说明书符合谈判文件技术</w:t>
      </w:r>
      <w:r>
        <w:rPr>
          <w:rFonts w:hint="eastAsia" w:hAnsi="宋体" w:cs="宋体"/>
          <w:color w:val="auto"/>
          <w:spacing w:val="-4"/>
          <w:sz w:val="21"/>
          <w:szCs w:val="21"/>
          <w:highlight w:val="none"/>
        </w:rPr>
        <w:t>要求的，给予签收，初步验收不合格的不予签收。货到后，甲方应当</w:t>
      </w:r>
      <w:r>
        <w:rPr>
          <w:rFonts w:hint="eastAsia" w:hAnsi="宋体" w:cs="宋体"/>
          <w:color w:val="auto"/>
          <w:spacing w:val="9"/>
          <w:sz w:val="21"/>
          <w:szCs w:val="21"/>
          <w:highlight w:val="none"/>
        </w:rPr>
        <w:t>在到货(安装、调试完)后七个工作日内进行验收。</w:t>
      </w:r>
    </w:p>
    <w:p w14:paraId="6ED51A0C">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2.乙方交货前应对产品作出全面检查和对验收文件进行整理，并列出清单，作为甲方收货验收和使用的技术条件依据，检验的结果 应随货物交甲方。</w:t>
      </w:r>
    </w:p>
    <w:p w14:paraId="0E8D2226">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3.甲方对乙方提供的货物在使用前进行调试时，乙方需负责安装并培训甲方的使用操作人员，并协助甲方一起调试，直到符合技术要求，甲方才做最终验收。</w:t>
      </w:r>
    </w:p>
    <w:p w14:paraId="4AEACF3E">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4.对技术复杂的货物，甲方应请国家认可的专业检测机构参与初步验收及最终验收，并由其出具质量检测报告。</w:t>
      </w:r>
    </w:p>
    <w:p w14:paraId="5F46A705">
      <w:pPr>
        <w:pStyle w:val="16"/>
        <w:spacing w:after="0" w:line="360" w:lineRule="exact"/>
        <w:ind w:firstLine="420" w:firstLineChars="200"/>
        <w:jc w:val="both"/>
        <w:rPr>
          <w:rFonts w:hAnsi="宋体" w:cs="宋体"/>
          <w:color w:val="auto"/>
          <w:sz w:val="21"/>
          <w:szCs w:val="21"/>
          <w:highlight w:val="none"/>
        </w:rPr>
      </w:pPr>
      <w:r>
        <w:rPr>
          <w:rFonts w:hint="eastAsia" w:hAnsi="宋体"/>
          <w:color w:val="auto"/>
          <w:kern w:val="2"/>
          <w:sz w:val="21"/>
          <w:szCs w:val="21"/>
          <w:highlight w:val="none"/>
        </w:rPr>
        <w:t>5.</w:t>
      </w:r>
      <w:r>
        <w:rPr>
          <w:rFonts w:hint="eastAsia" w:hAnsi="宋体" w:cs="宋体"/>
          <w:color w:val="auto"/>
          <w:spacing w:val="-58"/>
          <w:sz w:val="21"/>
          <w:szCs w:val="21"/>
          <w:highlight w:val="none"/>
        </w:rPr>
        <w:t xml:space="preserve"> </w:t>
      </w:r>
      <w:r>
        <w:rPr>
          <w:rFonts w:hint="eastAsia" w:hAnsi="宋体" w:cs="宋体"/>
          <w:color w:val="auto"/>
          <w:spacing w:val="-7"/>
          <w:sz w:val="21"/>
          <w:szCs w:val="21"/>
          <w:highlight w:val="none"/>
        </w:rPr>
        <w:t>验收时乙方必须在现场，验收完毕后作出验收结果报告；验收</w:t>
      </w:r>
      <w:r>
        <w:rPr>
          <w:rFonts w:hint="eastAsia" w:hAnsi="宋体" w:cs="宋体"/>
          <w:color w:val="auto"/>
          <w:spacing w:val="-8"/>
          <w:sz w:val="21"/>
          <w:szCs w:val="21"/>
          <w:highlight w:val="none"/>
        </w:rPr>
        <w:t>费用由乙方负责。</w:t>
      </w:r>
    </w:p>
    <w:p w14:paraId="318A03E2">
      <w:pPr>
        <w:pStyle w:val="16"/>
        <w:spacing w:after="0" w:line="360" w:lineRule="exact"/>
        <w:ind w:firstLine="406" w:firstLineChars="200"/>
        <w:jc w:val="both"/>
        <w:rPr>
          <w:rFonts w:hAnsi="宋体" w:cs="宋体"/>
          <w:color w:val="auto"/>
          <w:sz w:val="21"/>
          <w:szCs w:val="21"/>
          <w:highlight w:val="none"/>
        </w:rPr>
      </w:pPr>
      <w:r>
        <w:rPr>
          <w:rFonts w:hint="eastAsia" w:hAnsi="宋体" w:cs="宋体"/>
          <w:b/>
          <w:bCs/>
          <w:color w:val="auto"/>
          <w:spacing w:val="-4"/>
          <w:sz w:val="21"/>
          <w:szCs w:val="21"/>
          <w:highlight w:val="none"/>
        </w:rPr>
        <w:t>第十二条</w:t>
      </w:r>
      <w:r>
        <w:rPr>
          <w:rFonts w:hint="eastAsia" w:hAnsi="宋体" w:cs="宋体"/>
          <w:color w:val="auto"/>
          <w:spacing w:val="-4"/>
          <w:sz w:val="21"/>
          <w:szCs w:val="21"/>
          <w:highlight w:val="none"/>
        </w:rPr>
        <w:t xml:space="preserve">  </w:t>
      </w:r>
      <w:r>
        <w:rPr>
          <w:rFonts w:hint="eastAsia" w:hAnsi="宋体" w:cs="宋体"/>
          <w:b/>
          <w:bCs/>
          <w:color w:val="auto"/>
          <w:spacing w:val="-4"/>
          <w:sz w:val="21"/>
          <w:szCs w:val="21"/>
          <w:highlight w:val="none"/>
        </w:rPr>
        <w:t>货物包装、发运及运输</w:t>
      </w:r>
    </w:p>
    <w:p w14:paraId="0797CECC">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1.乙方应在货物发运前对其进行满足运输距离、防潮、防震、防锈和防破损装卸等要求包装，以保证货物安全运达甲方指定地点。</w:t>
      </w:r>
    </w:p>
    <w:p w14:paraId="76ADE381">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2.使用说明书、质量检验证明书、随配附件和工具以及清单一并附于货物内。</w:t>
      </w:r>
    </w:p>
    <w:p w14:paraId="7528DC1D">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3.乙方在货物发运手续办理完毕后二十四小时内或货到甲方四十八小时前通知甲方，以准备接货。</w:t>
      </w:r>
    </w:p>
    <w:p w14:paraId="0B61CC80">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4.货物在交付甲方前发生的风险均由乙方负责。</w:t>
      </w:r>
    </w:p>
    <w:p w14:paraId="66FC7B1A">
      <w:pPr>
        <w:pStyle w:val="16"/>
        <w:spacing w:after="0" w:line="360" w:lineRule="exact"/>
        <w:ind w:firstLine="432" w:firstLineChars="200"/>
        <w:jc w:val="both"/>
        <w:rPr>
          <w:rFonts w:hAnsi="宋体" w:cs="宋体"/>
          <w:color w:val="auto"/>
          <w:sz w:val="21"/>
          <w:szCs w:val="21"/>
          <w:highlight w:val="none"/>
        </w:rPr>
      </w:pPr>
      <w:r>
        <w:rPr>
          <w:rFonts w:hint="eastAsia" w:hAnsi="宋体" w:cs="宋体"/>
          <w:color w:val="auto"/>
          <w:spacing w:val="3"/>
          <w:sz w:val="21"/>
          <w:szCs w:val="21"/>
          <w:highlight w:val="none"/>
        </w:rPr>
        <w:t>5.</w:t>
      </w:r>
      <w:r>
        <w:rPr>
          <w:rFonts w:hint="eastAsia" w:hAnsi="宋体" w:cs="宋体"/>
          <w:color w:val="auto"/>
          <w:spacing w:val="-63"/>
          <w:sz w:val="21"/>
          <w:szCs w:val="21"/>
          <w:highlight w:val="none"/>
        </w:rPr>
        <w:t xml:space="preserve"> </w:t>
      </w:r>
      <w:r>
        <w:rPr>
          <w:rFonts w:hint="eastAsia" w:hAnsi="宋体" w:cs="宋体"/>
          <w:color w:val="auto"/>
          <w:spacing w:val="3"/>
          <w:sz w:val="21"/>
          <w:szCs w:val="21"/>
          <w:highlight w:val="none"/>
        </w:rPr>
        <w:t>货物在规定的交付期限内由乙方送达甲方指定的地点视为交</w:t>
      </w:r>
      <w:r>
        <w:rPr>
          <w:rFonts w:hint="eastAsia" w:hAnsi="宋体" w:cs="宋体"/>
          <w:color w:val="auto"/>
          <w:spacing w:val="-3"/>
          <w:sz w:val="21"/>
          <w:szCs w:val="21"/>
          <w:highlight w:val="none"/>
        </w:rPr>
        <w:t>付，乙方同时需通知甲方货物已送达。</w:t>
      </w:r>
    </w:p>
    <w:p w14:paraId="78FD42E0">
      <w:pPr>
        <w:pStyle w:val="16"/>
        <w:spacing w:after="0" w:line="360" w:lineRule="exact"/>
        <w:ind w:firstLine="398" w:firstLineChars="200"/>
        <w:jc w:val="both"/>
        <w:rPr>
          <w:rFonts w:hAnsi="宋体" w:cs="宋体"/>
          <w:color w:val="auto"/>
          <w:sz w:val="21"/>
          <w:szCs w:val="21"/>
          <w:highlight w:val="none"/>
        </w:rPr>
      </w:pPr>
      <w:r>
        <w:rPr>
          <w:rFonts w:hint="eastAsia" w:hAnsi="宋体" w:cs="宋体"/>
          <w:b/>
          <w:bCs/>
          <w:color w:val="auto"/>
          <w:spacing w:val="-6"/>
          <w:sz w:val="21"/>
          <w:szCs w:val="21"/>
          <w:highlight w:val="none"/>
        </w:rPr>
        <w:t>第十三条</w:t>
      </w:r>
      <w:r>
        <w:rPr>
          <w:rFonts w:hint="eastAsia" w:hAnsi="宋体" w:cs="宋体"/>
          <w:color w:val="auto"/>
          <w:spacing w:val="135"/>
          <w:sz w:val="21"/>
          <w:szCs w:val="21"/>
          <w:highlight w:val="none"/>
        </w:rPr>
        <w:t xml:space="preserve"> </w:t>
      </w:r>
      <w:r>
        <w:rPr>
          <w:rFonts w:hint="eastAsia" w:hAnsi="宋体" w:cs="宋体"/>
          <w:b/>
          <w:bCs/>
          <w:color w:val="auto"/>
          <w:spacing w:val="-6"/>
          <w:sz w:val="21"/>
          <w:szCs w:val="21"/>
          <w:highlight w:val="none"/>
        </w:rPr>
        <w:t>违约责任</w:t>
      </w:r>
    </w:p>
    <w:p w14:paraId="38B2B27F">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1.乙方所提供的货物规格、技术标准、材料等质量不合格的，应及时更换，更换不及时的按逾期交货处罚；因质量问题甲方不同意接收的或特殊情况甲方同意接收的，乙方应向甲方支付违约货款额5% 违约金并赔偿甲方经济损失。</w:t>
      </w:r>
    </w:p>
    <w:p w14:paraId="1ED61FB8">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2.乙方提供的货物如侵犯了第三方合法权益而引发的任何纠纷或诉讼，均由乙方负责交涉并承担全部责任。</w:t>
      </w:r>
    </w:p>
    <w:p w14:paraId="5BB98412">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3.因包装、运输引起的货物损坏，按质量不合格处罚。</w:t>
      </w:r>
    </w:p>
    <w:p w14:paraId="26782FF3">
      <w:pPr>
        <w:pStyle w:val="16"/>
        <w:spacing w:after="0" w:line="360" w:lineRule="exact"/>
        <w:ind w:firstLine="420" w:firstLineChars="200"/>
        <w:jc w:val="both"/>
        <w:rPr>
          <w:rFonts w:hint="eastAsia" w:ascii="宋体" w:hAnsi="宋体" w:eastAsia="宋体"/>
          <w:color w:val="auto"/>
          <w:kern w:val="2"/>
          <w:sz w:val="21"/>
          <w:szCs w:val="21"/>
          <w:highlight w:val="none"/>
        </w:rPr>
      </w:pPr>
      <w:r>
        <w:rPr>
          <w:rFonts w:hint="eastAsia" w:ascii="宋体" w:hAnsi="宋体" w:eastAsia="宋体"/>
          <w:color w:val="auto"/>
          <w:kern w:val="2"/>
          <w:sz w:val="21"/>
          <w:szCs w:val="21"/>
          <w:highlight w:val="none"/>
        </w:rPr>
        <w:t>4.甲方无故延期接收货物、乙方逾期交货的，每天向对方偿付违约货款额3‰违约金，但违约金累计不得超过违约货款额的5%，超过1</w:t>
      </w:r>
      <w:r>
        <w:rPr>
          <w:rFonts w:hint="eastAsia" w:ascii="宋体" w:hAnsi="宋体" w:eastAsia="宋体"/>
          <w:color w:val="auto"/>
          <w:kern w:val="2"/>
          <w:sz w:val="21"/>
          <w:szCs w:val="21"/>
          <w:highlight w:val="none"/>
          <w:lang w:val="en-US" w:eastAsia="zh-CN"/>
        </w:rPr>
        <w:t>2</w:t>
      </w:r>
      <w:r>
        <w:rPr>
          <w:rFonts w:hint="eastAsia" w:ascii="宋体" w:hAnsi="宋体" w:eastAsia="宋体"/>
          <w:color w:val="auto"/>
          <w:kern w:val="2"/>
          <w:sz w:val="21"/>
          <w:szCs w:val="21"/>
          <w:highlight w:val="none"/>
        </w:rPr>
        <w:t>0天对方有权解除合同，违约方承担因此给对方造成的经济损失；甲方延期付货款的，每天向乙方偿付延期货款额 3‰ 滞纳金，但滞纳金累计不得超过延期货款额5% 。</w:t>
      </w:r>
    </w:p>
    <w:p w14:paraId="02DD3464">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5.乙方未按本合同和响应文件中规定的服务承诺提供售后服务的，乙方应按本合同合计金额5%向甲方支付违约金。</w:t>
      </w:r>
    </w:p>
    <w:p w14:paraId="485AD8C0">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6.乙方提供的货物在质量保证期内，因设计、工艺或材料的缺 陷和其它质量原因造成的问题，由乙方负责，费用从履约保证金中扣除，不足另补。</w:t>
      </w:r>
    </w:p>
    <w:p w14:paraId="686258C0">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 xml:space="preserve">7.其它违约行为按违约货款额5%收取违约金并赔偿经济损失。 </w:t>
      </w:r>
    </w:p>
    <w:p w14:paraId="7A759E1D">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8.甲乙双方最高罚款总额应不超过货款总额5%。</w:t>
      </w:r>
    </w:p>
    <w:p w14:paraId="6F228CEC">
      <w:pPr>
        <w:pStyle w:val="16"/>
        <w:spacing w:after="0" w:line="360" w:lineRule="exact"/>
        <w:ind w:firstLine="422" w:firstLineChars="200"/>
        <w:jc w:val="both"/>
        <w:rPr>
          <w:rFonts w:hAnsi="宋体"/>
          <w:b/>
          <w:bCs/>
          <w:color w:val="auto"/>
          <w:kern w:val="2"/>
          <w:sz w:val="21"/>
          <w:szCs w:val="21"/>
          <w:highlight w:val="none"/>
        </w:rPr>
      </w:pPr>
      <w:r>
        <w:rPr>
          <w:rFonts w:hint="eastAsia" w:hAnsi="宋体"/>
          <w:b/>
          <w:bCs/>
          <w:color w:val="auto"/>
          <w:kern w:val="2"/>
          <w:sz w:val="21"/>
          <w:szCs w:val="21"/>
          <w:highlight w:val="none"/>
        </w:rPr>
        <w:t>第十四条  不可抗力事件处理</w:t>
      </w:r>
    </w:p>
    <w:p w14:paraId="1073969F">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1.在合同有效期内，任何一方因不可抗力事件导致不能履行合同，则合同履行期可延长，其延长期与不可抗力影响期相同。</w:t>
      </w:r>
    </w:p>
    <w:p w14:paraId="407A82B1">
      <w:pPr>
        <w:pStyle w:val="16"/>
        <w:spacing w:after="0" w:line="360" w:lineRule="exact"/>
        <w:ind w:firstLine="420" w:firstLineChars="200"/>
        <w:jc w:val="both"/>
        <w:rPr>
          <w:rFonts w:hAnsi="宋体"/>
          <w:color w:val="auto"/>
          <w:kern w:val="2"/>
          <w:sz w:val="21"/>
          <w:szCs w:val="21"/>
          <w:highlight w:val="none"/>
        </w:rPr>
      </w:pPr>
      <w:r>
        <w:rPr>
          <w:rFonts w:hint="eastAsia" w:hAnsi="宋体"/>
          <w:color w:val="auto"/>
          <w:kern w:val="2"/>
          <w:sz w:val="21"/>
          <w:szCs w:val="21"/>
          <w:highlight w:val="none"/>
        </w:rPr>
        <w:t>2.不可抗力事件发生后，应立即通知对方，并寄送有关权威机构出具的证明。</w:t>
      </w:r>
    </w:p>
    <w:p w14:paraId="2C2DCB3E">
      <w:pPr>
        <w:pStyle w:val="16"/>
        <w:spacing w:after="0" w:line="360" w:lineRule="exact"/>
        <w:ind w:firstLine="420" w:firstLineChars="200"/>
        <w:jc w:val="both"/>
        <w:rPr>
          <w:rFonts w:hAnsi="宋体" w:cs="宋体"/>
          <w:color w:val="auto"/>
          <w:sz w:val="21"/>
          <w:szCs w:val="21"/>
          <w:highlight w:val="none"/>
        </w:rPr>
      </w:pPr>
      <w:r>
        <w:rPr>
          <w:rFonts w:hint="eastAsia" w:hAnsi="宋体"/>
          <w:color w:val="auto"/>
          <w:kern w:val="2"/>
          <w:sz w:val="21"/>
          <w:szCs w:val="21"/>
          <w:highlight w:val="none"/>
        </w:rPr>
        <w:t>3.</w:t>
      </w:r>
      <w:r>
        <w:rPr>
          <w:rFonts w:hint="eastAsia" w:hAnsi="宋体" w:cs="宋体"/>
          <w:color w:val="auto"/>
          <w:spacing w:val="-7"/>
          <w:sz w:val="21"/>
          <w:szCs w:val="21"/>
          <w:highlight w:val="none"/>
        </w:rPr>
        <w:t>不可抗力事件延续一百二十天以上，双方应通过友好协商，确</w:t>
      </w:r>
      <w:r>
        <w:rPr>
          <w:rFonts w:hint="eastAsia" w:hAnsi="宋体" w:cs="宋体"/>
          <w:color w:val="auto"/>
          <w:spacing w:val="-6"/>
          <w:sz w:val="21"/>
          <w:szCs w:val="21"/>
          <w:highlight w:val="none"/>
        </w:rPr>
        <w:t>定是否继续履行合同。</w:t>
      </w:r>
    </w:p>
    <w:p w14:paraId="6CED33C8">
      <w:pPr>
        <w:pStyle w:val="16"/>
        <w:spacing w:after="0" w:line="360" w:lineRule="exact"/>
        <w:ind w:firstLine="398" w:firstLineChars="200"/>
        <w:jc w:val="both"/>
        <w:rPr>
          <w:rFonts w:hAnsi="宋体" w:cs="宋体"/>
          <w:color w:val="auto"/>
          <w:sz w:val="21"/>
          <w:szCs w:val="21"/>
          <w:highlight w:val="none"/>
        </w:rPr>
      </w:pPr>
      <w:r>
        <w:rPr>
          <w:rFonts w:hint="eastAsia" w:hAnsi="宋体" w:cs="宋体"/>
          <w:b/>
          <w:bCs/>
          <w:color w:val="auto"/>
          <w:spacing w:val="-6"/>
          <w:sz w:val="21"/>
          <w:szCs w:val="21"/>
          <w:highlight w:val="none"/>
        </w:rPr>
        <w:t>第十五条</w:t>
      </w:r>
      <w:r>
        <w:rPr>
          <w:rFonts w:hint="eastAsia" w:hAnsi="宋体" w:cs="宋体"/>
          <w:color w:val="auto"/>
          <w:spacing w:val="-6"/>
          <w:sz w:val="21"/>
          <w:szCs w:val="21"/>
          <w:highlight w:val="none"/>
        </w:rPr>
        <w:t xml:space="preserve">  </w:t>
      </w:r>
      <w:r>
        <w:rPr>
          <w:rFonts w:hint="eastAsia" w:hAnsi="宋体" w:cs="宋体"/>
          <w:b/>
          <w:bCs/>
          <w:color w:val="auto"/>
          <w:spacing w:val="-6"/>
          <w:sz w:val="21"/>
          <w:szCs w:val="21"/>
          <w:highlight w:val="none"/>
        </w:rPr>
        <w:t>合同争议解决</w:t>
      </w:r>
    </w:p>
    <w:p w14:paraId="571B6E03">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1.因货物质量问题发生争议的，应邀请国家认可的质量检测机构对货物质量进行鉴定货物符合标准的，鉴定费由甲方承担；货物不符合标准的，鉴定费由乙方承担。</w:t>
      </w:r>
    </w:p>
    <w:p w14:paraId="25E7661F">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2.因履行本合同引起的或与本合同有关的争议，甲乙双方应首先 通过友好协商解决，如果协商不能解决，可向仲裁委员会申请仲裁或向人民法院提起诉讼。</w:t>
      </w:r>
    </w:p>
    <w:p w14:paraId="6A82A92D">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3.诉讼期间本合同继续履行。</w:t>
      </w:r>
    </w:p>
    <w:p w14:paraId="7A65D16C">
      <w:pPr>
        <w:pStyle w:val="16"/>
        <w:spacing w:after="0" w:line="360" w:lineRule="exact"/>
        <w:ind w:firstLine="402" w:firstLineChars="200"/>
        <w:jc w:val="both"/>
        <w:rPr>
          <w:rFonts w:hAnsi="宋体" w:cs="宋体"/>
          <w:color w:val="auto"/>
          <w:sz w:val="21"/>
          <w:szCs w:val="21"/>
          <w:highlight w:val="none"/>
        </w:rPr>
      </w:pPr>
      <w:r>
        <w:rPr>
          <w:rFonts w:hint="eastAsia" w:hAnsi="宋体" w:cs="宋体"/>
          <w:b/>
          <w:bCs/>
          <w:color w:val="auto"/>
          <w:spacing w:val="-5"/>
          <w:sz w:val="21"/>
          <w:szCs w:val="21"/>
          <w:highlight w:val="none"/>
        </w:rPr>
        <w:t>第十六条 合同生效及其它</w:t>
      </w:r>
    </w:p>
    <w:p w14:paraId="57A535B6">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1.合同经双方法定代表人(负责人)或授权代表(委托代理人)签字并加盖单位公章后生效。</w:t>
      </w:r>
    </w:p>
    <w:p w14:paraId="0BC046BD">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lang w:val="en-US" w:eastAsia="zh-CN"/>
        </w:rPr>
        <w:t>2</w:t>
      </w:r>
      <w:r>
        <w:rPr>
          <w:rFonts w:hint="eastAsia" w:hAnsi="宋体"/>
          <w:color w:val="auto"/>
          <w:kern w:val="2"/>
          <w:sz w:val="21"/>
          <w:szCs w:val="21"/>
          <w:highlight w:val="none"/>
        </w:rPr>
        <w:t>.本合同未尽事宜，遵照《中华人民共和国民法典》有关条文执行。</w:t>
      </w:r>
    </w:p>
    <w:p w14:paraId="6BD22914">
      <w:pPr>
        <w:pStyle w:val="16"/>
        <w:spacing w:after="0" w:line="360" w:lineRule="exact"/>
        <w:ind w:firstLine="402" w:firstLineChars="200"/>
        <w:jc w:val="both"/>
        <w:rPr>
          <w:rFonts w:hAnsi="宋体" w:cs="宋体"/>
          <w:color w:val="auto"/>
          <w:sz w:val="21"/>
          <w:szCs w:val="21"/>
          <w:highlight w:val="none"/>
        </w:rPr>
      </w:pPr>
      <w:r>
        <w:rPr>
          <w:rFonts w:hint="eastAsia" w:hAnsi="宋体" w:cs="宋体"/>
          <w:b/>
          <w:bCs/>
          <w:color w:val="auto"/>
          <w:spacing w:val="-5"/>
          <w:sz w:val="21"/>
          <w:szCs w:val="21"/>
          <w:highlight w:val="none"/>
        </w:rPr>
        <w:t>第十七条 合同的变更、终止与转让</w:t>
      </w:r>
    </w:p>
    <w:p w14:paraId="0E2DE301">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1.除《中华人民共和国政府采购法》第五十条规定的情形外，本合同一经签订，甲乙双方不得擅自变更、中止或终止。</w:t>
      </w:r>
    </w:p>
    <w:p w14:paraId="03DC0E7E">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2.乙方不得擅自转让(无进口资格的供应商委托进口货物除外) 其应履行的合同义务。</w:t>
      </w:r>
    </w:p>
    <w:p w14:paraId="6D0E1A01">
      <w:pPr>
        <w:spacing w:line="400" w:lineRule="exact"/>
        <w:ind w:left="423"/>
        <w:rPr>
          <w:rFonts w:hint="default" w:ascii="宋体" w:hAnsi="宋体" w:eastAsia="宋体" w:cs="Times New Roman"/>
          <w:color w:val="auto"/>
          <w:kern w:val="2"/>
          <w:sz w:val="21"/>
          <w:szCs w:val="21"/>
          <w:highlight w:val="none"/>
          <w:lang w:val="en-US" w:eastAsia="zh-CN" w:bidi="ar-SA"/>
        </w:rPr>
      </w:pPr>
      <w:r>
        <w:rPr>
          <w:rFonts w:hint="eastAsia" w:hAnsi="宋体"/>
          <w:color w:val="auto"/>
          <w:kern w:val="2"/>
          <w:sz w:val="21"/>
          <w:szCs w:val="21"/>
          <w:highlight w:val="none"/>
          <w:lang w:val="en-US" w:eastAsia="zh-CN"/>
        </w:rPr>
        <w:t>3.</w:t>
      </w:r>
      <w:r>
        <w:rPr>
          <w:rFonts w:hint="eastAsia" w:ascii="宋体" w:hAnsi="宋体" w:eastAsia="宋体" w:cs="Times New Roman"/>
          <w:color w:val="auto"/>
          <w:kern w:val="2"/>
          <w:sz w:val="21"/>
          <w:szCs w:val="21"/>
          <w:highlight w:val="none"/>
          <w:lang w:val="en-US" w:eastAsia="zh-CN" w:bidi="ar-SA"/>
        </w:rPr>
        <w:t>若上级对重大采购政策或资金支付安排作出调整，甲方有权无条件提前终止本合约。</w:t>
      </w:r>
    </w:p>
    <w:p w14:paraId="1D12ABC1">
      <w:pPr>
        <w:pStyle w:val="16"/>
        <w:spacing w:after="0" w:line="360" w:lineRule="exact"/>
        <w:ind w:firstLine="398" w:firstLineChars="200"/>
        <w:jc w:val="both"/>
        <w:rPr>
          <w:rFonts w:hAnsi="宋体" w:cs="宋体"/>
          <w:color w:val="auto"/>
          <w:sz w:val="21"/>
          <w:szCs w:val="21"/>
          <w:highlight w:val="none"/>
        </w:rPr>
      </w:pPr>
      <w:r>
        <w:rPr>
          <w:rFonts w:hint="eastAsia" w:hAnsi="宋体" w:cs="宋体"/>
          <w:b/>
          <w:bCs/>
          <w:color w:val="auto"/>
          <w:spacing w:val="-6"/>
          <w:sz w:val="21"/>
          <w:szCs w:val="21"/>
          <w:highlight w:val="none"/>
        </w:rPr>
        <w:t>第十八条</w:t>
      </w:r>
      <w:r>
        <w:rPr>
          <w:rFonts w:hint="eastAsia" w:hAnsi="宋体" w:cs="宋体"/>
          <w:color w:val="auto"/>
          <w:spacing w:val="-6"/>
          <w:sz w:val="21"/>
          <w:szCs w:val="21"/>
          <w:highlight w:val="none"/>
        </w:rPr>
        <w:t xml:space="preserve">  </w:t>
      </w:r>
      <w:r>
        <w:rPr>
          <w:rFonts w:hint="eastAsia" w:hAnsi="宋体" w:cs="宋体"/>
          <w:b/>
          <w:bCs/>
          <w:color w:val="auto"/>
          <w:spacing w:val="-6"/>
          <w:sz w:val="21"/>
          <w:szCs w:val="21"/>
          <w:highlight w:val="none"/>
        </w:rPr>
        <w:t>签订本合同依据</w:t>
      </w:r>
    </w:p>
    <w:p w14:paraId="4AC5E4EF">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1.谈判文件；</w:t>
      </w:r>
    </w:p>
    <w:p w14:paraId="52FAA0A1">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2.乙方提供的响应文件；</w:t>
      </w:r>
    </w:p>
    <w:p w14:paraId="0DE59DE5">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3.谈判书；</w:t>
      </w:r>
    </w:p>
    <w:p w14:paraId="4B38BDCB">
      <w:pPr>
        <w:pStyle w:val="16"/>
        <w:spacing w:after="0" w:line="360" w:lineRule="exact"/>
        <w:ind w:firstLine="420" w:firstLineChars="200"/>
        <w:jc w:val="both"/>
        <w:rPr>
          <w:rFonts w:hint="eastAsia" w:hAnsi="宋体"/>
          <w:color w:val="auto"/>
          <w:kern w:val="2"/>
          <w:sz w:val="21"/>
          <w:szCs w:val="21"/>
          <w:highlight w:val="none"/>
        </w:rPr>
      </w:pPr>
      <w:r>
        <w:rPr>
          <w:rFonts w:hint="eastAsia" w:hAnsi="宋体"/>
          <w:color w:val="auto"/>
          <w:kern w:val="2"/>
          <w:sz w:val="21"/>
          <w:szCs w:val="21"/>
          <w:highlight w:val="none"/>
        </w:rPr>
        <w:t>4.成交通知书。</w:t>
      </w:r>
    </w:p>
    <w:p w14:paraId="20BECEFC">
      <w:pPr>
        <w:pStyle w:val="16"/>
        <w:spacing w:after="0" w:line="360" w:lineRule="exact"/>
        <w:ind w:firstLine="406" w:firstLineChars="200"/>
        <w:jc w:val="both"/>
        <w:rPr>
          <w:rFonts w:hAnsi="宋体"/>
          <w:color w:val="auto"/>
          <w:sz w:val="21"/>
          <w:szCs w:val="21"/>
          <w:highlight w:val="none"/>
        </w:rPr>
      </w:pPr>
      <w:r>
        <w:rPr>
          <w:rFonts w:hint="eastAsia" w:hAnsi="宋体" w:cs="宋体"/>
          <w:b/>
          <w:bCs/>
          <w:color w:val="auto"/>
          <w:spacing w:val="-4"/>
          <w:sz w:val="21"/>
          <w:szCs w:val="21"/>
          <w:highlight w:val="none"/>
        </w:rPr>
        <w:t>第十九</w:t>
      </w:r>
      <w:r>
        <w:rPr>
          <w:rFonts w:hint="eastAsia" w:hAnsi="宋体"/>
          <w:b/>
          <w:bCs/>
          <w:color w:val="auto"/>
          <w:sz w:val="21"/>
          <w:szCs w:val="21"/>
          <w:highlight w:val="none"/>
        </w:rPr>
        <w:t>条</w:t>
      </w:r>
      <w:r>
        <w:rPr>
          <w:rFonts w:hint="eastAsia" w:hAnsi="宋体"/>
          <w:b/>
          <w:color w:val="auto"/>
          <w:sz w:val="21"/>
          <w:szCs w:val="21"/>
          <w:highlight w:val="none"/>
        </w:rPr>
        <w:t>　</w:t>
      </w:r>
      <w:r>
        <w:rPr>
          <w:rFonts w:hint="eastAsia" w:hAnsi="宋体"/>
          <w:color w:val="auto"/>
          <w:sz w:val="21"/>
          <w:szCs w:val="21"/>
          <w:highlight w:val="none"/>
        </w:rPr>
        <w:t>本合同一式</w:t>
      </w:r>
      <w:r>
        <w:rPr>
          <w:rFonts w:hint="eastAsia" w:hAnsi="宋体"/>
          <w:color w:val="auto"/>
          <w:sz w:val="21"/>
          <w:szCs w:val="21"/>
          <w:highlight w:val="none"/>
          <w:u w:val="single"/>
        </w:rPr>
        <w:t xml:space="preserve">     </w:t>
      </w:r>
      <w:r>
        <w:rPr>
          <w:rFonts w:hint="eastAsia" w:hAnsi="宋体"/>
          <w:color w:val="auto"/>
          <w:sz w:val="21"/>
          <w:szCs w:val="21"/>
          <w:highlight w:val="none"/>
        </w:rPr>
        <w:t>份，具有同等法律效力，采购代理单位、政府采购监管部门各一份，甲乙双方各</w:t>
      </w:r>
      <w:r>
        <w:rPr>
          <w:rFonts w:hint="eastAsia" w:hAnsi="宋体"/>
          <w:color w:val="auto"/>
          <w:sz w:val="21"/>
          <w:szCs w:val="21"/>
          <w:highlight w:val="none"/>
          <w:u w:val="single"/>
        </w:rPr>
        <w:t xml:space="preserve">   </w:t>
      </w:r>
      <w:r>
        <w:rPr>
          <w:rFonts w:hint="eastAsia" w:hAnsi="宋体"/>
          <w:color w:val="auto"/>
          <w:sz w:val="21"/>
          <w:szCs w:val="21"/>
          <w:highlight w:val="none"/>
        </w:rPr>
        <w:t>份。</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1899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8"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58EFEE52">
            <w:pPr>
              <w:snapToGrid w:val="0"/>
              <w:spacing w:line="360" w:lineRule="exact"/>
              <w:rPr>
                <w:rFonts w:ascii="宋体" w:hAnsi="宋体"/>
                <w:color w:val="auto"/>
                <w:szCs w:val="21"/>
                <w:highlight w:val="none"/>
              </w:rPr>
            </w:pPr>
            <w:r>
              <w:rPr>
                <w:rFonts w:hint="eastAsia" w:ascii="宋体" w:hAnsi="宋体"/>
                <w:color w:val="auto"/>
                <w:szCs w:val="21"/>
                <w:highlight w:val="none"/>
              </w:rPr>
              <w:t xml:space="preserve">甲方（章）           </w:t>
            </w:r>
          </w:p>
          <w:p w14:paraId="1A562F03">
            <w:pPr>
              <w:snapToGrid w:val="0"/>
              <w:spacing w:line="360" w:lineRule="exact"/>
              <w:ind w:firstLine="945" w:firstLineChars="450"/>
              <w:jc w:val="right"/>
              <w:rPr>
                <w:rFonts w:ascii="宋体" w:hAnsi="宋体"/>
                <w:color w:val="auto"/>
                <w:szCs w:val="21"/>
                <w:highlight w:val="none"/>
              </w:rPr>
            </w:pPr>
            <w:r>
              <w:rPr>
                <w:rFonts w:hint="eastAsia" w:ascii="宋体" w:hAnsi="宋体"/>
                <w:color w:val="auto"/>
                <w:szCs w:val="21"/>
                <w:highlight w:val="none"/>
              </w:rPr>
              <w:t>年   月   日</w:t>
            </w:r>
          </w:p>
        </w:tc>
        <w:tc>
          <w:tcPr>
            <w:tcW w:w="4517" w:type="dxa"/>
            <w:tcBorders>
              <w:top w:val="single" w:color="auto" w:sz="4" w:space="0"/>
              <w:left w:val="single" w:color="auto" w:sz="4" w:space="0"/>
              <w:bottom w:val="single" w:color="auto" w:sz="4" w:space="0"/>
              <w:right w:val="single" w:color="auto" w:sz="4" w:space="0"/>
            </w:tcBorders>
            <w:vAlign w:val="center"/>
          </w:tcPr>
          <w:p w14:paraId="501F1711">
            <w:pPr>
              <w:snapToGrid w:val="0"/>
              <w:spacing w:line="360" w:lineRule="exact"/>
              <w:rPr>
                <w:rFonts w:ascii="宋体" w:hAnsi="宋体"/>
                <w:color w:val="auto"/>
                <w:szCs w:val="21"/>
                <w:highlight w:val="none"/>
              </w:rPr>
            </w:pPr>
            <w:r>
              <w:rPr>
                <w:rFonts w:hint="eastAsia" w:ascii="宋体" w:hAnsi="宋体"/>
                <w:color w:val="auto"/>
                <w:szCs w:val="21"/>
                <w:highlight w:val="none"/>
              </w:rPr>
              <w:t xml:space="preserve">乙方（章）              </w:t>
            </w:r>
          </w:p>
          <w:p w14:paraId="2569D638">
            <w:pPr>
              <w:snapToGrid w:val="0"/>
              <w:spacing w:line="360" w:lineRule="exact"/>
              <w:jc w:val="right"/>
              <w:rPr>
                <w:rFonts w:ascii="宋体" w:hAnsi="宋体"/>
                <w:color w:val="auto"/>
                <w:szCs w:val="21"/>
                <w:highlight w:val="none"/>
              </w:rPr>
            </w:pPr>
            <w:r>
              <w:rPr>
                <w:rFonts w:hint="eastAsia" w:ascii="宋体" w:hAnsi="宋体"/>
                <w:color w:val="auto"/>
                <w:szCs w:val="21"/>
                <w:highlight w:val="none"/>
              </w:rPr>
              <w:t xml:space="preserve"> 年   月   日</w:t>
            </w:r>
          </w:p>
        </w:tc>
      </w:tr>
      <w:tr w14:paraId="61A2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45D1C09E">
            <w:pPr>
              <w:snapToGrid w:val="0"/>
              <w:spacing w:line="360" w:lineRule="exact"/>
              <w:rPr>
                <w:rFonts w:ascii="宋体" w:hAnsi="宋体"/>
                <w:color w:val="auto"/>
                <w:szCs w:val="21"/>
                <w:highlight w:val="none"/>
              </w:rPr>
            </w:pPr>
            <w:r>
              <w:rPr>
                <w:rFonts w:hint="eastAsia" w:ascii="宋体" w:hAnsi="宋体"/>
                <w:color w:val="auto"/>
                <w:szCs w:val="21"/>
                <w:highlight w:val="none"/>
              </w:rPr>
              <w:t>单位地址：</w:t>
            </w:r>
          </w:p>
        </w:tc>
        <w:tc>
          <w:tcPr>
            <w:tcW w:w="4517" w:type="dxa"/>
            <w:tcBorders>
              <w:top w:val="single" w:color="auto" w:sz="4" w:space="0"/>
              <w:left w:val="single" w:color="auto" w:sz="4" w:space="0"/>
              <w:bottom w:val="single" w:color="auto" w:sz="4" w:space="0"/>
              <w:right w:val="single" w:color="auto" w:sz="4" w:space="0"/>
            </w:tcBorders>
            <w:vAlign w:val="center"/>
          </w:tcPr>
          <w:p w14:paraId="7DADA0A6">
            <w:pPr>
              <w:snapToGrid w:val="0"/>
              <w:spacing w:line="360" w:lineRule="exact"/>
              <w:rPr>
                <w:rFonts w:ascii="宋体" w:hAnsi="宋体"/>
                <w:color w:val="auto"/>
                <w:szCs w:val="21"/>
                <w:highlight w:val="none"/>
              </w:rPr>
            </w:pPr>
            <w:r>
              <w:rPr>
                <w:rFonts w:hint="eastAsia" w:ascii="宋体" w:hAnsi="宋体"/>
                <w:color w:val="auto"/>
                <w:szCs w:val="21"/>
                <w:highlight w:val="none"/>
              </w:rPr>
              <w:t>单位地址：</w:t>
            </w:r>
          </w:p>
        </w:tc>
      </w:tr>
      <w:tr w14:paraId="3C68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55625698">
            <w:pPr>
              <w:snapToGrid w:val="0"/>
              <w:spacing w:line="360" w:lineRule="exact"/>
              <w:rPr>
                <w:rFonts w:ascii="宋体" w:hAnsi="宋体"/>
                <w:color w:val="auto"/>
                <w:szCs w:val="21"/>
                <w:highlight w:val="none"/>
              </w:rPr>
            </w:pPr>
            <w:r>
              <w:rPr>
                <w:rFonts w:hint="eastAsia" w:ascii="宋体" w:hAnsi="宋体"/>
                <w:color w:val="auto"/>
                <w:szCs w:val="21"/>
                <w:highlight w:val="none"/>
              </w:rPr>
              <w:t>法定代表人：</w:t>
            </w:r>
          </w:p>
        </w:tc>
        <w:tc>
          <w:tcPr>
            <w:tcW w:w="4517" w:type="dxa"/>
            <w:tcBorders>
              <w:top w:val="single" w:color="auto" w:sz="4" w:space="0"/>
              <w:left w:val="single" w:color="auto" w:sz="4" w:space="0"/>
              <w:bottom w:val="single" w:color="auto" w:sz="4" w:space="0"/>
              <w:right w:val="single" w:color="auto" w:sz="4" w:space="0"/>
            </w:tcBorders>
            <w:vAlign w:val="center"/>
          </w:tcPr>
          <w:p w14:paraId="7FA91AB2">
            <w:pPr>
              <w:snapToGrid w:val="0"/>
              <w:spacing w:line="360" w:lineRule="exact"/>
              <w:rPr>
                <w:rFonts w:ascii="宋体" w:hAnsi="宋体"/>
                <w:color w:val="auto"/>
                <w:szCs w:val="21"/>
                <w:highlight w:val="none"/>
              </w:rPr>
            </w:pPr>
            <w:r>
              <w:rPr>
                <w:rFonts w:hint="eastAsia" w:ascii="宋体" w:hAnsi="宋体"/>
                <w:color w:val="auto"/>
                <w:szCs w:val="21"/>
                <w:highlight w:val="none"/>
              </w:rPr>
              <w:t>法定代表人：</w:t>
            </w:r>
          </w:p>
        </w:tc>
      </w:tr>
      <w:tr w14:paraId="4236B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00D83FD9">
            <w:pPr>
              <w:snapToGrid w:val="0"/>
              <w:spacing w:line="360" w:lineRule="exact"/>
              <w:rPr>
                <w:rFonts w:ascii="宋体" w:hAnsi="宋体"/>
                <w:color w:val="auto"/>
                <w:szCs w:val="21"/>
                <w:highlight w:val="none"/>
              </w:rPr>
            </w:pPr>
            <w:r>
              <w:rPr>
                <w:rFonts w:hint="eastAsia" w:ascii="宋体" w:hAnsi="宋体"/>
                <w:color w:val="auto"/>
                <w:szCs w:val="21"/>
                <w:highlight w:val="none"/>
              </w:rPr>
              <w:t>委托代理人：</w:t>
            </w:r>
          </w:p>
        </w:tc>
        <w:tc>
          <w:tcPr>
            <w:tcW w:w="4517" w:type="dxa"/>
            <w:tcBorders>
              <w:top w:val="single" w:color="auto" w:sz="4" w:space="0"/>
              <w:left w:val="single" w:color="auto" w:sz="4" w:space="0"/>
              <w:bottom w:val="single" w:color="auto" w:sz="4" w:space="0"/>
              <w:right w:val="single" w:color="auto" w:sz="4" w:space="0"/>
            </w:tcBorders>
            <w:vAlign w:val="center"/>
          </w:tcPr>
          <w:p w14:paraId="04A8B420">
            <w:pPr>
              <w:snapToGrid w:val="0"/>
              <w:spacing w:line="360" w:lineRule="exact"/>
              <w:rPr>
                <w:rFonts w:ascii="宋体" w:hAnsi="宋体"/>
                <w:color w:val="auto"/>
                <w:szCs w:val="21"/>
                <w:highlight w:val="none"/>
              </w:rPr>
            </w:pPr>
            <w:r>
              <w:rPr>
                <w:rFonts w:hint="eastAsia" w:ascii="宋体" w:hAnsi="宋体"/>
                <w:color w:val="auto"/>
                <w:szCs w:val="21"/>
                <w:highlight w:val="none"/>
              </w:rPr>
              <w:t>委托代理人</w:t>
            </w:r>
          </w:p>
        </w:tc>
      </w:tr>
      <w:tr w14:paraId="75E12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1206CC5D">
            <w:pPr>
              <w:snapToGrid w:val="0"/>
              <w:spacing w:line="360" w:lineRule="exact"/>
              <w:rPr>
                <w:rFonts w:ascii="宋体" w:hAnsi="宋体"/>
                <w:color w:val="auto"/>
                <w:szCs w:val="21"/>
                <w:highlight w:val="none"/>
              </w:rPr>
            </w:pPr>
            <w:r>
              <w:rPr>
                <w:rFonts w:hint="eastAsia" w:ascii="宋体" w:hAnsi="宋体"/>
                <w:color w:val="auto"/>
                <w:szCs w:val="21"/>
                <w:highlight w:val="none"/>
              </w:rPr>
              <w:t>电话：</w:t>
            </w:r>
          </w:p>
        </w:tc>
        <w:tc>
          <w:tcPr>
            <w:tcW w:w="4517" w:type="dxa"/>
            <w:tcBorders>
              <w:top w:val="single" w:color="auto" w:sz="4" w:space="0"/>
              <w:left w:val="single" w:color="auto" w:sz="4" w:space="0"/>
              <w:bottom w:val="single" w:color="auto" w:sz="4" w:space="0"/>
              <w:right w:val="single" w:color="auto" w:sz="4" w:space="0"/>
            </w:tcBorders>
            <w:vAlign w:val="center"/>
          </w:tcPr>
          <w:p w14:paraId="00366F02">
            <w:pPr>
              <w:snapToGrid w:val="0"/>
              <w:spacing w:line="360" w:lineRule="exact"/>
              <w:rPr>
                <w:rFonts w:ascii="宋体" w:hAnsi="宋体"/>
                <w:color w:val="auto"/>
                <w:szCs w:val="21"/>
                <w:highlight w:val="none"/>
              </w:rPr>
            </w:pPr>
            <w:r>
              <w:rPr>
                <w:rFonts w:hint="eastAsia" w:ascii="宋体" w:hAnsi="宋体"/>
                <w:color w:val="auto"/>
                <w:szCs w:val="21"/>
                <w:highlight w:val="none"/>
              </w:rPr>
              <w:t>电话：</w:t>
            </w:r>
          </w:p>
        </w:tc>
      </w:tr>
      <w:tr w14:paraId="756A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56687D79">
            <w:pPr>
              <w:snapToGrid w:val="0"/>
              <w:spacing w:line="360" w:lineRule="exact"/>
              <w:rPr>
                <w:rFonts w:ascii="宋体" w:hAnsi="宋体"/>
                <w:color w:val="auto"/>
                <w:szCs w:val="21"/>
                <w:highlight w:val="none"/>
              </w:rPr>
            </w:pPr>
            <w:r>
              <w:rPr>
                <w:rFonts w:hint="eastAsia" w:ascii="宋体" w:hAnsi="宋体"/>
                <w:color w:val="auto"/>
                <w:szCs w:val="21"/>
                <w:highlight w:val="none"/>
              </w:rPr>
              <w:t>电子邮箱：</w:t>
            </w:r>
          </w:p>
        </w:tc>
        <w:tc>
          <w:tcPr>
            <w:tcW w:w="4517" w:type="dxa"/>
            <w:tcBorders>
              <w:top w:val="single" w:color="auto" w:sz="4" w:space="0"/>
              <w:left w:val="single" w:color="auto" w:sz="4" w:space="0"/>
              <w:bottom w:val="single" w:color="auto" w:sz="4" w:space="0"/>
              <w:right w:val="single" w:color="auto" w:sz="4" w:space="0"/>
            </w:tcBorders>
            <w:vAlign w:val="center"/>
          </w:tcPr>
          <w:p w14:paraId="0D9B1567">
            <w:pPr>
              <w:snapToGrid w:val="0"/>
              <w:spacing w:line="360" w:lineRule="exact"/>
              <w:rPr>
                <w:rFonts w:ascii="宋体" w:hAnsi="宋体"/>
                <w:color w:val="auto"/>
                <w:szCs w:val="21"/>
                <w:highlight w:val="none"/>
              </w:rPr>
            </w:pPr>
            <w:r>
              <w:rPr>
                <w:rFonts w:hint="eastAsia" w:ascii="宋体" w:hAnsi="宋体"/>
                <w:color w:val="auto"/>
                <w:szCs w:val="21"/>
                <w:highlight w:val="none"/>
              </w:rPr>
              <w:t>电子邮箱：</w:t>
            </w:r>
          </w:p>
        </w:tc>
      </w:tr>
      <w:tr w14:paraId="3C093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6AD1BCA6">
            <w:pPr>
              <w:snapToGrid w:val="0"/>
              <w:spacing w:line="360" w:lineRule="exact"/>
              <w:rPr>
                <w:rFonts w:ascii="宋体" w:hAnsi="宋体"/>
                <w:color w:val="auto"/>
                <w:szCs w:val="21"/>
                <w:highlight w:val="none"/>
              </w:rPr>
            </w:pPr>
            <w:r>
              <w:rPr>
                <w:rFonts w:hint="eastAsia" w:ascii="宋体" w:hAnsi="宋体"/>
                <w:color w:val="auto"/>
                <w:szCs w:val="21"/>
                <w:highlight w:val="none"/>
              </w:rPr>
              <w:t>开户银行：</w:t>
            </w:r>
          </w:p>
        </w:tc>
        <w:tc>
          <w:tcPr>
            <w:tcW w:w="4517" w:type="dxa"/>
            <w:tcBorders>
              <w:top w:val="single" w:color="auto" w:sz="4" w:space="0"/>
              <w:left w:val="single" w:color="auto" w:sz="4" w:space="0"/>
              <w:bottom w:val="single" w:color="auto" w:sz="4" w:space="0"/>
              <w:right w:val="single" w:color="auto" w:sz="4" w:space="0"/>
            </w:tcBorders>
            <w:vAlign w:val="center"/>
          </w:tcPr>
          <w:p w14:paraId="60B617F3">
            <w:pPr>
              <w:snapToGrid w:val="0"/>
              <w:spacing w:line="360" w:lineRule="exact"/>
              <w:rPr>
                <w:rFonts w:ascii="宋体" w:hAnsi="宋体"/>
                <w:color w:val="auto"/>
                <w:szCs w:val="21"/>
                <w:highlight w:val="none"/>
              </w:rPr>
            </w:pPr>
            <w:r>
              <w:rPr>
                <w:rFonts w:hint="eastAsia" w:ascii="宋体" w:hAnsi="宋体"/>
                <w:color w:val="auto"/>
                <w:szCs w:val="21"/>
                <w:highlight w:val="none"/>
              </w:rPr>
              <w:t>开户银行：</w:t>
            </w:r>
          </w:p>
        </w:tc>
      </w:tr>
      <w:tr w14:paraId="7BAC8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269B85D2">
            <w:pPr>
              <w:snapToGrid w:val="0"/>
              <w:spacing w:line="360" w:lineRule="exact"/>
              <w:rPr>
                <w:rFonts w:ascii="宋体" w:hAnsi="宋体"/>
                <w:color w:val="auto"/>
                <w:szCs w:val="21"/>
                <w:highlight w:val="none"/>
              </w:rPr>
            </w:pPr>
            <w:r>
              <w:rPr>
                <w:rFonts w:hint="eastAsia" w:ascii="宋体" w:hAnsi="宋体"/>
                <w:color w:val="auto"/>
                <w:szCs w:val="21"/>
                <w:highlight w:val="none"/>
              </w:rPr>
              <w:t>账号：</w:t>
            </w:r>
          </w:p>
        </w:tc>
        <w:tc>
          <w:tcPr>
            <w:tcW w:w="4517" w:type="dxa"/>
            <w:tcBorders>
              <w:top w:val="single" w:color="auto" w:sz="4" w:space="0"/>
              <w:left w:val="single" w:color="auto" w:sz="4" w:space="0"/>
              <w:bottom w:val="single" w:color="auto" w:sz="4" w:space="0"/>
              <w:right w:val="single" w:color="auto" w:sz="4" w:space="0"/>
            </w:tcBorders>
            <w:vAlign w:val="center"/>
          </w:tcPr>
          <w:p w14:paraId="6B656F42">
            <w:pPr>
              <w:snapToGrid w:val="0"/>
              <w:spacing w:line="360" w:lineRule="exact"/>
              <w:rPr>
                <w:rFonts w:ascii="宋体" w:hAnsi="宋体"/>
                <w:color w:val="auto"/>
                <w:szCs w:val="21"/>
                <w:highlight w:val="none"/>
              </w:rPr>
            </w:pPr>
            <w:r>
              <w:rPr>
                <w:rFonts w:hint="eastAsia" w:ascii="宋体" w:hAnsi="宋体"/>
                <w:color w:val="auto"/>
                <w:szCs w:val="21"/>
                <w:highlight w:val="none"/>
              </w:rPr>
              <w:t>账号：</w:t>
            </w:r>
          </w:p>
        </w:tc>
      </w:tr>
      <w:tr w14:paraId="6B01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4516" w:type="dxa"/>
            <w:tcBorders>
              <w:top w:val="single" w:color="auto" w:sz="4" w:space="0"/>
              <w:left w:val="single" w:color="auto" w:sz="4" w:space="0"/>
              <w:bottom w:val="single" w:color="auto" w:sz="4" w:space="0"/>
              <w:right w:val="single" w:color="auto" w:sz="4" w:space="0"/>
            </w:tcBorders>
            <w:vAlign w:val="center"/>
          </w:tcPr>
          <w:p w14:paraId="1E328F39">
            <w:pPr>
              <w:snapToGrid w:val="0"/>
              <w:spacing w:line="360" w:lineRule="exact"/>
              <w:rPr>
                <w:rFonts w:ascii="宋体" w:hAnsi="宋体"/>
                <w:color w:val="auto"/>
                <w:szCs w:val="21"/>
                <w:highlight w:val="none"/>
              </w:rPr>
            </w:pPr>
            <w:r>
              <w:rPr>
                <w:rFonts w:hint="eastAsia" w:ascii="宋体" w:hAnsi="宋体"/>
                <w:color w:val="auto"/>
                <w:szCs w:val="21"/>
                <w:highlight w:val="none"/>
              </w:rPr>
              <w:t>邮政编码：</w:t>
            </w:r>
          </w:p>
        </w:tc>
        <w:tc>
          <w:tcPr>
            <w:tcW w:w="4517" w:type="dxa"/>
            <w:tcBorders>
              <w:top w:val="single" w:color="auto" w:sz="4" w:space="0"/>
              <w:left w:val="single" w:color="auto" w:sz="4" w:space="0"/>
              <w:bottom w:val="single" w:color="auto" w:sz="4" w:space="0"/>
              <w:right w:val="single" w:color="auto" w:sz="4" w:space="0"/>
            </w:tcBorders>
            <w:vAlign w:val="center"/>
          </w:tcPr>
          <w:p w14:paraId="75951E4F">
            <w:pPr>
              <w:snapToGrid w:val="0"/>
              <w:spacing w:line="360" w:lineRule="exact"/>
              <w:rPr>
                <w:rFonts w:ascii="宋体" w:hAnsi="宋体"/>
                <w:color w:val="auto"/>
                <w:szCs w:val="21"/>
                <w:highlight w:val="none"/>
              </w:rPr>
            </w:pPr>
            <w:r>
              <w:rPr>
                <w:rFonts w:hint="eastAsia" w:ascii="宋体" w:hAnsi="宋体"/>
                <w:color w:val="auto"/>
                <w:szCs w:val="21"/>
                <w:highlight w:val="none"/>
              </w:rPr>
              <w:t>邮政编码：</w:t>
            </w:r>
          </w:p>
        </w:tc>
      </w:tr>
      <w:tr w14:paraId="4120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jc w:val="center"/>
        </w:trPr>
        <w:tc>
          <w:tcPr>
            <w:tcW w:w="9033" w:type="dxa"/>
            <w:gridSpan w:val="2"/>
            <w:tcBorders>
              <w:top w:val="single" w:color="auto" w:sz="4" w:space="0"/>
              <w:left w:val="single" w:color="auto" w:sz="4" w:space="0"/>
              <w:bottom w:val="single" w:color="auto" w:sz="4" w:space="0"/>
              <w:right w:val="single" w:color="auto" w:sz="4" w:space="0"/>
            </w:tcBorders>
          </w:tcPr>
          <w:p w14:paraId="688287AD">
            <w:pPr>
              <w:snapToGrid w:val="0"/>
              <w:spacing w:line="360" w:lineRule="exact"/>
              <w:rPr>
                <w:rFonts w:ascii="宋体" w:hAnsi="宋体"/>
                <w:color w:val="auto"/>
                <w:szCs w:val="21"/>
                <w:highlight w:val="none"/>
              </w:rPr>
            </w:pPr>
            <w:r>
              <w:rPr>
                <w:rFonts w:hint="eastAsia" w:ascii="宋体" w:hAnsi="宋体"/>
                <w:color w:val="auto"/>
                <w:szCs w:val="21"/>
                <w:highlight w:val="none"/>
              </w:rPr>
              <w:t>经办人：</w:t>
            </w:r>
          </w:p>
          <w:p w14:paraId="3A84677C">
            <w:pPr>
              <w:snapToGrid w:val="0"/>
              <w:spacing w:line="360" w:lineRule="exact"/>
              <w:ind w:firstLine="630" w:firstLineChars="300"/>
              <w:jc w:val="right"/>
              <w:rPr>
                <w:rFonts w:ascii="宋体" w:hAnsi="宋体"/>
                <w:color w:val="auto"/>
                <w:szCs w:val="21"/>
                <w:highlight w:val="none"/>
              </w:rPr>
            </w:pPr>
            <w:r>
              <w:rPr>
                <w:rFonts w:hint="eastAsia" w:ascii="宋体" w:hAnsi="宋体"/>
                <w:color w:val="auto"/>
                <w:szCs w:val="21"/>
                <w:highlight w:val="none"/>
              </w:rPr>
              <w:t>年    月    日</w:t>
            </w:r>
          </w:p>
        </w:tc>
      </w:tr>
    </w:tbl>
    <w:p w14:paraId="24A2A86C">
      <w:pPr>
        <w:snapToGrid w:val="0"/>
        <w:spacing w:line="360" w:lineRule="exact"/>
        <w:rPr>
          <w:rFonts w:ascii="宋体" w:hAnsi="宋体"/>
          <w:b/>
          <w:color w:val="auto"/>
          <w:sz w:val="28"/>
          <w:szCs w:val="28"/>
          <w:highlight w:val="none"/>
        </w:rPr>
      </w:pPr>
    </w:p>
    <w:p w14:paraId="6C7F0C22">
      <w:pPr>
        <w:pStyle w:val="134"/>
        <w:adjustRightInd w:val="0"/>
        <w:spacing w:line="360" w:lineRule="exact"/>
        <w:ind w:right="408"/>
        <w:jc w:val="left"/>
        <w:rPr>
          <w:rFonts w:ascii="宋体" w:hAnsi="宋体" w:cs="宋体"/>
          <w:b/>
          <w:color w:val="auto"/>
          <w:szCs w:val="21"/>
          <w:highlight w:val="none"/>
        </w:rPr>
      </w:pPr>
    </w:p>
    <w:bookmarkEnd w:id="27"/>
    <w:bookmarkEnd w:id="28"/>
    <w:bookmarkEnd w:id="29"/>
    <w:bookmarkEnd w:id="30"/>
    <w:bookmarkEnd w:id="31"/>
    <w:bookmarkEnd w:id="32"/>
    <w:bookmarkEnd w:id="33"/>
    <w:bookmarkEnd w:id="34"/>
    <w:bookmarkEnd w:id="35"/>
    <w:bookmarkEnd w:id="36"/>
    <w:bookmarkEnd w:id="40"/>
    <w:p w14:paraId="2B531324">
      <w:pPr>
        <w:pStyle w:val="2"/>
        <w:rPr>
          <w:rFonts w:ascii="宋体" w:hAnsi="宋体"/>
          <w:color w:val="auto"/>
          <w:highlight w:val="none"/>
        </w:rPr>
      </w:pPr>
      <w:bookmarkStart w:id="41" w:name="_Toc4437"/>
      <w:r>
        <w:rPr>
          <w:rFonts w:hint="eastAsia" w:ascii="宋体" w:hAnsi="宋体"/>
          <w:color w:val="auto"/>
          <w:highlight w:val="none"/>
        </w:rPr>
        <w:t>第六章 评审办法</w:t>
      </w:r>
      <w:bookmarkEnd w:id="41"/>
    </w:p>
    <w:p w14:paraId="5765C105">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一、评审原则</w:t>
      </w:r>
    </w:p>
    <w:p w14:paraId="15A3486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（一）谈判小组的构成：本采购项目的谈判小组分别由评审专家、采购人代表等三人以上单数组成，其中技术、经济专家人数不少于成员总数的三分之二。</w:t>
      </w:r>
      <w:r>
        <w:rPr>
          <w:rFonts w:hint="eastAsia" w:ascii="宋体" w:hAnsi="宋体" w:cs="宋体"/>
          <w:color w:val="auto"/>
          <w:szCs w:val="21"/>
          <w:highlight w:val="none"/>
        </w:rPr>
        <w:t>采购人不得以评审专家身份参加本部门或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32AAB45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（二）评审依据：</w:t>
      </w:r>
    </w:p>
    <w:p w14:paraId="004CBAA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1、以谈判文件、响应文件为评审依据。</w:t>
      </w:r>
    </w:p>
    <w:p w14:paraId="3C8D275A">
      <w:pPr>
        <w:pStyle w:val="20"/>
        <w:snapToGrid w:val="0"/>
        <w:spacing w:line="360" w:lineRule="exact"/>
        <w:ind w:firstLine="402" w:firstLineChars="200"/>
        <w:rPr>
          <w:rFonts w:hint="eastAsia" w:hAnsi="宋体" w:cs="宋体"/>
          <w:color w:val="auto"/>
          <w:kern w:val="2"/>
          <w:sz w:val="21"/>
          <w:highlight w:val="none"/>
        </w:rPr>
      </w:pPr>
      <w:r>
        <w:rPr>
          <w:rFonts w:hint="eastAsia" w:ascii="宋体" w:hAnsi="宋体" w:cs="宋体"/>
          <w:b/>
          <w:color w:val="auto"/>
          <w:szCs w:val="21"/>
          <w:highlight w:val="none"/>
        </w:rPr>
        <w:t>2、</w:t>
      </w:r>
      <w:r>
        <w:rPr>
          <w:rFonts w:hint="eastAsia" w:hAnsi="宋体" w:cs="宋体"/>
          <w:color w:val="auto"/>
          <w:kern w:val="2"/>
          <w:sz w:val="21"/>
          <w:highlight w:val="none"/>
        </w:rPr>
        <w:t>对既有本国产品也有非本国产品参与竞争，且提供本国产品的供应商同时为小微企业的，应按照《国务院办公厅关于在政府采购中实施本国产品标准及相关政策的通知》(国办发[2025]34号)、《政府采购促进中小企业发展管理办法》、《财政部关于进一步加大政府采购支持中小企业力度的通知》规定，对该供应商的产品同时给予支持本国产品和小微企业产品的价格评审优惠。相关价格评审扣除优惠，均应该在供应商原始报价基础上计算，用扣除后的价格参与评审。</w:t>
      </w:r>
    </w:p>
    <w:p w14:paraId="19CAA520">
      <w:pPr>
        <w:pStyle w:val="20"/>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highlight w:val="none"/>
        </w:rPr>
        <w:t>即评审价=投标报价-投标报价×小微企业价格扣除10%-投标报价×本国产品价格扣除20%</w:t>
      </w:r>
    </w:p>
    <w:p w14:paraId="1DF627A8">
      <w:pPr>
        <w:pStyle w:val="20"/>
        <w:spacing w:line="360" w:lineRule="exact"/>
        <w:ind w:firstLine="402" w:firstLineChars="200"/>
        <w:rPr>
          <w:rFonts w:hint="eastAsia" w:hAnsi="宋体" w:cs="宋体"/>
          <w:color w:val="auto"/>
          <w:kern w:val="2"/>
          <w:sz w:val="21"/>
          <w:szCs w:val="21"/>
          <w:highlight w:val="none"/>
        </w:rPr>
      </w:pPr>
      <w:r>
        <w:rPr>
          <w:rFonts w:hint="eastAsia" w:hAnsi="宋体" w:cs="宋体"/>
          <w:b/>
          <w:color w:val="auto"/>
          <w:szCs w:val="21"/>
          <w:highlight w:val="none"/>
        </w:rPr>
        <w:t>3、</w:t>
      </w:r>
      <w:r>
        <w:rPr>
          <w:rFonts w:hint="eastAsia" w:hAnsi="宋体" w:cs="宋体"/>
          <w:color w:val="auto"/>
          <w:kern w:val="2"/>
          <w:sz w:val="21"/>
          <w:szCs w:val="21"/>
          <w:highlight w:val="none"/>
        </w:rPr>
        <w:t>评审中出现下列情形之一的，评审委员会应当启动异常低价投标（响应）审查程序：</w:t>
      </w:r>
    </w:p>
    <w:p w14:paraId="24B3CC5C">
      <w:pPr>
        <w:pStyle w:val="20"/>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（1）投标（响应）报价低于全部通过符合性审查供应商投标（响应）报价平均值50%的，即投标（响应）报价&lt;全部通过符合性审查供应商投标（响应）报价平均值×50%；</w:t>
      </w:r>
    </w:p>
    <w:p w14:paraId="387262AF">
      <w:pPr>
        <w:pStyle w:val="20"/>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（2）投标（响应）报价低于通过符合性审查的次低报价供应商投标（响应）报价50%的，即投标（响应）报价&lt;通过符合性审查的次低报价供应商投标（响应）报价×50%；</w:t>
      </w:r>
    </w:p>
    <w:p w14:paraId="0576C401">
      <w:pPr>
        <w:pStyle w:val="20"/>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（3）投标（响应）报价低于采购项目最高限价45%的，即投标（响应）报价&lt;采购项目最高限价×45%；</w:t>
      </w:r>
    </w:p>
    <w:p w14:paraId="260A20E0">
      <w:pPr>
        <w:pStyle w:val="20"/>
        <w:spacing w:line="360" w:lineRule="exact"/>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（4）评审委员会基于专业判断，认为供应商报价过低，有可能影响产品质量或者不能诚信履约的其他情形。</w:t>
      </w:r>
    </w:p>
    <w:p w14:paraId="03FD6D33">
      <w:pPr>
        <w:spacing w:line="360" w:lineRule="exact"/>
        <w:ind w:firstLine="420" w:firstLineChars="200"/>
        <w:rPr>
          <w:rFonts w:hint="eastAsia" w:ascii="宋体" w:hAnsi="宋体" w:cs="宋体"/>
          <w:b/>
          <w:color w:val="auto"/>
          <w:szCs w:val="21"/>
          <w:highlight w:val="none"/>
        </w:rPr>
      </w:pPr>
      <w:r>
        <w:rPr>
          <w:rFonts w:hint="eastAsia" w:hAnsi="宋体" w:cs="宋体"/>
          <w:color w:val="auto"/>
          <w:kern w:val="2"/>
          <w:sz w:val="21"/>
          <w:szCs w:val="21"/>
          <w:highlight w:val="none"/>
        </w:rPr>
        <w:t>采购人可以结合具体项目实际情况，提高上述第1项至第3项中启动异常低价投标（响应）审查的数值标准，但是最高不得超过65%。</w:t>
      </w:r>
    </w:p>
    <w:p w14:paraId="1D9CA2A6">
      <w:pPr>
        <w:spacing w:line="360" w:lineRule="exact"/>
        <w:ind w:firstLine="422" w:firstLineChars="200"/>
        <w:rPr>
          <w:rFonts w:ascii="宋体" w:hAnsi="宋体"/>
          <w:color w:val="auto"/>
          <w:szCs w:val="21"/>
          <w:highlight w:val="none"/>
        </w:rPr>
      </w:pPr>
      <w:r>
        <w:rPr>
          <w:rFonts w:hint="eastAsia" w:ascii="宋体" w:hAnsi="宋体" w:cs="宋体"/>
          <w:b/>
          <w:color w:val="auto"/>
          <w:szCs w:val="21"/>
          <w:highlight w:val="none"/>
        </w:rPr>
        <w:t>评标委员会认为供应商的报价明显低于其他通过符合性审查供应商的报价，有可能影响产品质量或者不能诚信履约的，可要求其在评标现场合理的时间内按以下成本构成科目以书面方式提供计算数据及计算方法作为报价合理性的证明资料：包括所需材料、管理费用、人员成本构成、税收等所有成本和利润。供应商也可直接在响应文件中提供上述资料以避免因无法及时提供说明而导致可能被评标委员会作为无效响应处理。如果供应商不能合理说明或者提供的有关证明材料不完整，不能证明其报价合理性的，评标委员会将其作为无效投标处理。供应商书面说明应当签字确认或者加盖公章，否则无效。</w:t>
      </w:r>
    </w:p>
    <w:p w14:paraId="79FF53C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（三）评审方法：在质量和服务均能满足谈判文件实质性响应要求的前提下，按最后评审价由低到高排列成交候选供应商顺序，并依照次序确定成交候选供应商。</w:t>
      </w:r>
    </w:p>
    <w:p w14:paraId="0FF34B26">
      <w:pPr>
        <w:spacing w:line="36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二、评审方法</w:t>
      </w:r>
    </w:p>
    <w:p w14:paraId="638B6D77">
      <w:pPr>
        <w:spacing w:line="360" w:lineRule="exact"/>
        <w:ind w:firstLine="420" w:firstLineChars="200"/>
        <w:rPr>
          <w:color w:val="auto"/>
          <w:szCs w:val="21"/>
          <w:highlight w:val="none"/>
        </w:rPr>
      </w:pPr>
      <w:r>
        <w:rPr>
          <w:rFonts w:hint="eastAsia"/>
          <w:color w:val="auto"/>
          <w:szCs w:val="21"/>
          <w:highlight w:val="none"/>
        </w:rPr>
        <w:t>（一）资格审查</w:t>
      </w:r>
    </w:p>
    <w:p w14:paraId="62CF5A8E">
      <w:pPr>
        <w:spacing w:line="360" w:lineRule="exact"/>
        <w:ind w:firstLine="420" w:firstLineChars="200"/>
        <w:rPr>
          <w:color w:val="auto"/>
          <w:szCs w:val="21"/>
          <w:highlight w:val="none"/>
        </w:rPr>
      </w:pPr>
      <w:r>
        <w:rPr>
          <w:rFonts w:hint="eastAsia" w:hAnsi="宋体"/>
          <w:color w:val="auto"/>
          <w:szCs w:val="21"/>
          <w:highlight w:val="none"/>
        </w:rPr>
        <w:t>谈判小组</w:t>
      </w:r>
      <w:r>
        <w:rPr>
          <w:rFonts w:hint="eastAsia" w:ascii="宋体" w:hAnsi="宋体"/>
          <w:color w:val="auto"/>
          <w:szCs w:val="21"/>
          <w:highlight w:val="none"/>
        </w:rPr>
        <w:t>依法对供应商的资格进行审查。</w:t>
      </w:r>
    </w:p>
    <w:tbl>
      <w:tblPr>
        <w:tblStyle w:val="36"/>
        <w:tblW w:w="96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568"/>
        <w:gridCol w:w="3260"/>
        <w:gridCol w:w="4985"/>
      </w:tblGrid>
      <w:tr w14:paraId="09D0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vAlign w:val="center"/>
          </w:tcPr>
          <w:p w14:paraId="05BFA26C">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序号</w:t>
            </w:r>
          </w:p>
        </w:tc>
        <w:tc>
          <w:tcPr>
            <w:tcW w:w="3828" w:type="dxa"/>
            <w:gridSpan w:val="2"/>
            <w:tcBorders>
              <w:top w:val="single" w:color="auto" w:sz="4" w:space="0"/>
              <w:left w:val="single" w:color="auto" w:sz="4" w:space="0"/>
              <w:bottom w:val="single" w:color="auto" w:sz="4" w:space="0"/>
              <w:right w:val="single" w:color="auto" w:sz="4" w:space="0"/>
            </w:tcBorders>
            <w:vAlign w:val="center"/>
          </w:tcPr>
          <w:p w14:paraId="1EA550F8">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检查因素</w:t>
            </w:r>
          </w:p>
        </w:tc>
        <w:tc>
          <w:tcPr>
            <w:tcW w:w="4985" w:type="dxa"/>
            <w:tcBorders>
              <w:top w:val="single" w:color="auto" w:sz="4" w:space="0"/>
              <w:left w:val="single" w:color="auto" w:sz="4" w:space="0"/>
              <w:bottom w:val="single" w:color="auto" w:sz="4" w:space="0"/>
              <w:right w:val="single" w:color="auto" w:sz="4" w:space="0"/>
            </w:tcBorders>
            <w:vAlign w:val="center"/>
          </w:tcPr>
          <w:p w14:paraId="2A2C01E8">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检查内容</w:t>
            </w:r>
          </w:p>
        </w:tc>
      </w:tr>
      <w:tr w14:paraId="304DB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restart"/>
            <w:tcBorders>
              <w:top w:val="single" w:color="auto" w:sz="4" w:space="0"/>
              <w:left w:val="single" w:color="auto" w:sz="4" w:space="0"/>
              <w:bottom w:val="single" w:color="auto" w:sz="4" w:space="0"/>
              <w:right w:val="single" w:color="auto" w:sz="4" w:space="0"/>
            </w:tcBorders>
            <w:vAlign w:val="center"/>
          </w:tcPr>
          <w:p w14:paraId="13DDF967">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（一）</w:t>
            </w:r>
          </w:p>
        </w:tc>
        <w:tc>
          <w:tcPr>
            <w:tcW w:w="568" w:type="dxa"/>
            <w:vMerge w:val="restart"/>
            <w:tcBorders>
              <w:top w:val="single" w:color="auto" w:sz="4" w:space="0"/>
              <w:left w:val="single" w:color="auto" w:sz="4" w:space="0"/>
              <w:bottom w:val="single" w:color="auto" w:sz="4" w:space="0"/>
              <w:right w:val="single" w:color="auto" w:sz="4" w:space="0"/>
            </w:tcBorders>
            <w:vAlign w:val="center"/>
          </w:tcPr>
          <w:p w14:paraId="0BE3148F">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供应商应符合的基本资格条件</w:t>
            </w:r>
          </w:p>
        </w:tc>
        <w:tc>
          <w:tcPr>
            <w:tcW w:w="3260" w:type="dxa"/>
            <w:tcBorders>
              <w:top w:val="single" w:color="auto" w:sz="4" w:space="0"/>
              <w:left w:val="single" w:color="auto" w:sz="4" w:space="0"/>
              <w:bottom w:val="single" w:color="auto" w:sz="4" w:space="0"/>
              <w:right w:val="single" w:color="auto" w:sz="4" w:space="0"/>
            </w:tcBorders>
            <w:vAlign w:val="center"/>
          </w:tcPr>
          <w:p w14:paraId="499B8EC3">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1.具有独立承担民事责任的能力</w:t>
            </w:r>
          </w:p>
        </w:tc>
        <w:tc>
          <w:tcPr>
            <w:tcW w:w="4985" w:type="dxa"/>
            <w:tcBorders>
              <w:top w:val="single" w:color="auto" w:sz="4" w:space="0"/>
              <w:left w:val="single" w:color="auto" w:sz="4" w:space="0"/>
              <w:bottom w:val="single" w:color="auto" w:sz="4" w:space="0"/>
              <w:right w:val="single" w:color="auto" w:sz="4" w:space="0"/>
            </w:tcBorders>
            <w:vAlign w:val="center"/>
          </w:tcPr>
          <w:p w14:paraId="6C7A0BBF">
            <w:pPr>
              <w:pStyle w:val="20"/>
              <w:spacing w:line="360" w:lineRule="exact"/>
              <w:ind w:firstLine="420" w:firstLineChars="200"/>
              <w:rPr>
                <w:rFonts w:hAnsi="宋体"/>
                <w:color w:val="auto"/>
                <w:kern w:val="2"/>
                <w:sz w:val="21"/>
                <w:szCs w:val="21"/>
                <w:highlight w:val="none"/>
              </w:rPr>
            </w:pPr>
            <w:r>
              <w:rPr>
                <w:rFonts w:hint="eastAsia" w:hAnsi="宋体"/>
                <w:color w:val="auto"/>
                <w:kern w:val="2"/>
                <w:sz w:val="21"/>
                <w:szCs w:val="21"/>
                <w:highlight w:val="none"/>
              </w:rPr>
              <w:t>1.供应商提供合法的主体资格证明（如营业执照、事业单位法人证书、执业许可证、个体工商户营业执照、自然人身份证等）复印件、税务登记证、组织机构代码证副本复印件（采用“三证合一”营业执照的，不须提供税务登记证、组织机构代码证）。</w:t>
            </w:r>
          </w:p>
          <w:p w14:paraId="0C2E46F2">
            <w:pPr>
              <w:pStyle w:val="20"/>
              <w:spacing w:line="360" w:lineRule="exact"/>
              <w:ind w:firstLine="420" w:firstLineChars="200"/>
              <w:rPr>
                <w:color w:val="auto"/>
                <w:highlight w:val="none"/>
              </w:rPr>
            </w:pPr>
            <w:r>
              <w:rPr>
                <w:rFonts w:hint="eastAsia" w:hAnsi="宋体"/>
                <w:color w:val="auto"/>
                <w:kern w:val="2"/>
                <w:sz w:val="21"/>
                <w:szCs w:val="21"/>
                <w:highlight w:val="none"/>
              </w:rPr>
              <w:t>2.如为分支机构投标的，须提供其总公司“营业执照”副本复印件和总公司对供应商参与本项目投标的授权书原件。</w:t>
            </w:r>
          </w:p>
        </w:tc>
      </w:tr>
      <w:tr w14:paraId="4022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0DF9CA4F">
            <w:pPr>
              <w:widowControl/>
              <w:spacing w:line="360" w:lineRule="exact"/>
              <w:jc w:val="left"/>
              <w:rPr>
                <w:rFonts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71AACDE2">
            <w:pPr>
              <w:widowControl/>
              <w:spacing w:line="360" w:lineRule="exact"/>
              <w:jc w:val="left"/>
              <w:rPr>
                <w:rFonts w:ascii="宋体" w:hAnsi="宋体" w:cs="Courier New"/>
                <w:color w:val="auto"/>
                <w:szCs w:val="21"/>
                <w:highlight w:val="none"/>
              </w:rPr>
            </w:pPr>
          </w:p>
        </w:tc>
        <w:tc>
          <w:tcPr>
            <w:tcW w:w="3260" w:type="dxa"/>
            <w:tcBorders>
              <w:top w:val="single" w:color="auto" w:sz="4" w:space="0"/>
              <w:left w:val="single" w:color="auto" w:sz="4" w:space="0"/>
              <w:bottom w:val="single" w:color="auto" w:sz="4" w:space="0"/>
              <w:right w:val="single" w:color="auto" w:sz="4" w:space="0"/>
            </w:tcBorders>
            <w:vAlign w:val="center"/>
          </w:tcPr>
          <w:p w14:paraId="4738DA8A">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2.具有良好的商业信誉和健全的财务会计制度、有依法缴纳税收和社会保障金的良好记录</w:t>
            </w:r>
          </w:p>
        </w:tc>
        <w:tc>
          <w:tcPr>
            <w:tcW w:w="4985" w:type="dxa"/>
            <w:tcBorders>
              <w:top w:val="single" w:color="auto" w:sz="4" w:space="0"/>
              <w:left w:val="single" w:color="auto" w:sz="4" w:space="0"/>
              <w:bottom w:val="single" w:color="auto" w:sz="4" w:space="0"/>
              <w:right w:val="single" w:color="auto" w:sz="4" w:space="0"/>
            </w:tcBorders>
            <w:vAlign w:val="center"/>
          </w:tcPr>
          <w:p w14:paraId="07BD9A54">
            <w:pPr>
              <w:pStyle w:val="20"/>
              <w:spacing w:line="360" w:lineRule="exact"/>
              <w:ind w:firstLine="420" w:firstLineChars="200"/>
              <w:rPr>
                <w:rFonts w:hint="eastAsia" w:hAnsi="宋体"/>
                <w:color w:val="auto"/>
                <w:kern w:val="2"/>
                <w:sz w:val="21"/>
                <w:szCs w:val="21"/>
                <w:highlight w:val="none"/>
              </w:rPr>
            </w:pPr>
            <w:r>
              <w:rPr>
                <w:rFonts w:hint="eastAsia" w:hAnsi="宋体"/>
                <w:color w:val="auto"/>
                <w:kern w:val="2"/>
                <w:sz w:val="21"/>
                <w:szCs w:val="21"/>
                <w:highlight w:val="none"/>
              </w:rPr>
              <w:t>政府采购供应商资格信用承诺函(按格式填写)</w:t>
            </w:r>
          </w:p>
        </w:tc>
      </w:tr>
      <w:tr w14:paraId="1BC2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1E172D78">
            <w:pPr>
              <w:widowControl/>
              <w:spacing w:line="360" w:lineRule="exact"/>
              <w:jc w:val="left"/>
              <w:rPr>
                <w:rFonts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71A2CBEA">
            <w:pPr>
              <w:widowControl/>
              <w:spacing w:line="360" w:lineRule="exact"/>
              <w:jc w:val="left"/>
              <w:rPr>
                <w:rFonts w:ascii="宋体" w:hAnsi="宋体" w:cs="Courier New"/>
                <w:color w:val="auto"/>
                <w:szCs w:val="21"/>
                <w:highlight w:val="none"/>
              </w:rPr>
            </w:pPr>
          </w:p>
        </w:tc>
        <w:tc>
          <w:tcPr>
            <w:tcW w:w="3260" w:type="dxa"/>
            <w:tcBorders>
              <w:top w:val="single" w:color="auto" w:sz="4" w:space="0"/>
              <w:left w:val="single" w:color="auto" w:sz="4" w:space="0"/>
              <w:bottom w:val="single" w:color="auto" w:sz="4" w:space="0"/>
              <w:right w:val="single" w:color="auto" w:sz="4" w:space="0"/>
            </w:tcBorders>
            <w:vAlign w:val="center"/>
          </w:tcPr>
          <w:p w14:paraId="6C217FCB">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3.具有履行合同所必需的设备和专业技术能力</w:t>
            </w:r>
          </w:p>
        </w:tc>
        <w:tc>
          <w:tcPr>
            <w:tcW w:w="4985" w:type="dxa"/>
            <w:tcBorders>
              <w:top w:val="single" w:color="auto" w:sz="4" w:space="0"/>
              <w:left w:val="single" w:color="auto" w:sz="4" w:space="0"/>
              <w:bottom w:val="single" w:color="auto" w:sz="4" w:space="0"/>
              <w:right w:val="single" w:color="auto" w:sz="4" w:space="0"/>
            </w:tcBorders>
            <w:vAlign w:val="center"/>
          </w:tcPr>
          <w:p w14:paraId="3350C7BF">
            <w:pPr>
              <w:pStyle w:val="20"/>
              <w:spacing w:line="360" w:lineRule="exact"/>
              <w:ind w:firstLine="420" w:firstLineChars="200"/>
              <w:rPr>
                <w:rFonts w:hint="eastAsia" w:hAnsi="宋体"/>
                <w:color w:val="auto"/>
                <w:kern w:val="2"/>
                <w:sz w:val="21"/>
                <w:szCs w:val="21"/>
                <w:highlight w:val="none"/>
              </w:rPr>
            </w:pPr>
            <w:bookmarkStart w:id="42" w:name="OLE_LINK13"/>
            <w:r>
              <w:rPr>
                <w:rFonts w:hint="eastAsia" w:hAnsi="宋体"/>
                <w:color w:val="auto"/>
                <w:kern w:val="2"/>
                <w:sz w:val="21"/>
                <w:szCs w:val="21"/>
                <w:highlight w:val="none"/>
              </w:rPr>
              <w:t>提供谈判声明书或相关证明材料。</w:t>
            </w:r>
            <w:bookmarkEnd w:id="42"/>
          </w:p>
        </w:tc>
      </w:tr>
      <w:tr w14:paraId="7D8D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6A21CC9C">
            <w:pPr>
              <w:widowControl/>
              <w:spacing w:line="360" w:lineRule="exact"/>
              <w:jc w:val="left"/>
              <w:rPr>
                <w:rFonts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1BA58262">
            <w:pPr>
              <w:widowControl/>
              <w:spacing w:line="360" w:lineRule="exact"/>
              <w:jc w:val="left"/>
              <w:rPr>
                <w:rFonts w:ascii="宋体" w:hAnsi="宋体" w:cs="Courier New"/>
                <w:color w:val="auto"/>
                <w:szCs w:val="21"/>
                <w:highlight w:val="none"/>
              </w:rPr>
            </w:pPr>
          </w:p>
        </w:tc>
        <w:tc>
          <w:tcPr>
            <w:tcW w:w="3260" w:type="dxa"/>
            <w:tcBorders>
              <w:top w:val="single" w:color="auto" w:sz="4" w:space="0"/>
              <w:left w:val="single" w:color="auto" w:sz="4" w:space="0"/>
              <w:bottom w:val="single" w:color="auto" w:sz="4" w:space="0"/>
              <w:right w:val="single" w:color="auto" w:sz="4" w:space="0"/>
            </w:tcBorders>
            <w:vAlign w:val="center"/>
          </w:tcPr>
          <w:p w14:paraId="6064F06C">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4.参加政府采购活动前三年内，在经营活动中没有重大违法记录</w:t>
            </w:r>
          </w:p>
        </w:tc>
        <w:tc>
          <w:tcPr>
            <w:tcW w:w="4985" w:type="dxa"/>
            <w:tcBorders>
              <w:top w:val="single" w:color="auto" w:sz="4" w:space="0"/>
              <w:left w:val="single" w:color="auto" w:sz="4" w:space="0"/>
              <w:bottom w:val="single" w:color="auto" w:sz="4" w:space="0"/>
              <w:right w:val="single" w:color="auto" w:sz="4" w:space="0"/>
            </w:tcBorders>
            <w:vAlign w:val="center"/>
          </w:tcPr>
          <w:p w14:paraId="6C1B8DFE">
            <w:pPr>
              <w:pStyle w:val="20"/>
              <w:spacing w:line="360" w:lineRule="exact"/>
              <w:ind w:firstLine="420" w:firstLineChars="200"/>
              <w:rPr>
                <w:rFonts w:hint="eastAsia" w:hAnsi="宋体"/>
                <w:color w:val="auto"/>
                <w:kern w:val="2"/>
                <w:sz w:val="21"/>
                <w:szCs w:val="21"/>
                <w:highlight w:val="none"/>
              </w:rPr>
            </w:pPr>
            <w:bookmarkStart w:id="43" w:name="OLE_LINK14"/>
            <w:r>
              <w:rPr>
                <w:rFonts w:hint="eastAsia" w:hAnsi="宋体"/>
                <w:color w:val="auto"/>
                <w:kern w:val="2"/>
                <w:sz w:val="21"/>
                <w:szCs w:val="21"/>
                <w:highlight w:val="none"/>
              </w:rPr>
              <w:t>1. 提供参加政府采购活动前三年内在经营活动中没有重大违法记录和不良信用记录的书面声明书。</w:t>
            </w:r>
          </w:p>
          <w:p w14:paraId="27C09BDA">
            <w:pPr>
              <w:pStyle w:val="20"/>
              <w:spacing w:line="360" w:lineRule="exact"/>
              <w:ind w:firstLine="420" w:firstLineChars="200"/>
              <w:rPr>
                <w:rFonts w:hint="eastAsia" w:hAnsi="宋体"/>
                <w:color w:val="auto"/>
                <w:kern w:val="2"/>
                <w:sz w:val="21"/>
                <w:szCs w:val="21"/>
                <w:highlight w:val="none"/>
              </w:rPr>
            </w:pPr>
            <w:r>
              <w:rPr>
                <w:rFonts w:hint="eastAsia" w:hAnsi="宋体"/>
                <w:color w:val="auto"/>
                <w:kern w:val="2"/>
                <w:sz w:val="21"/>
                <w:szCs w:val="21"/>
                <w:highlight w:val="none"/>
              </w:rPr>
              <w:t>2.在资格审查时，将通过 “信用中国”网站(www.creditchina.gov.cn)、"中国政府采购网"(www.ccgp.gov.cn)等渠道查询投标人信用记录，对列入失信被执行人、重大税收违法案件当事人名单、政府采购严重违法失信行为记录名单的投标人将拒绝其参与政府采购活动。</w:t>
            </w:r>
            <w:bookmarkEnd w:id="43"/>
          </w:p>
        </w:tc>
      </w:tr>
      <w:tr w14:paraId="5D87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42C71493">
            <w:pPr>
              <w:widowControl/>
              <w:spacing w:line="360" w:lineRule="exact"/>
              <w:jc w:val="left"/>
              <w:rPr>
                <w:rFonts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03F366EF">
            <w:pPr>
              <w:widowControl/>
              <w:spacing w:line="360" w:lineRule="exact"/>
              <w:jc w:val="left"/>
              <w:rPr>
                <w:rFonts w:ascii="宋体" w:hAnsi="宋体" w:cs="Courier New"/>
                <w:color w:val="auto"/>
                <w:szCs w:val="21"/>
                <w:highlight w:val="none"/>
              </w:rPr>
            </w:pPr>
          </w:p>
        </w:tc>
        <w:tc>
          <w:tcPr>
            <w:tcW w:w="3260" w:type="dxa"/>
            <w:vMerge w:val="restart"/>
            <w:tcBorders>
              <w:top w:val="single" w:color="auto" w:sz="4" w:space="0"/>
              <w:left w:val="single" w:color="auto" w:sz="4" w:space="0"/>
              <w:bottom w:val="single" w:color="auto" w:sz="4" w:space="0"/>
              <w:right w:val="single" w:color="auto" w:sz="4" w:space="0"/>
            </w:tcBorders>
            <w:vAlign w:val="center"/>
          </w:tcPr>
          <w:p w14:paraId="05ED9F44">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5.法律、行政法规规定的其他条件</w:t>
            </w:r>
          </w:p>
        </w:tc>
        <w:tc>
          <w:tcPr>
            <w:tcW w:w="4985" w:type="dxa"/>
            <w:tcBorders>
              <w:top w:val="single" w:color="auto" w:sz="4" w:space="0"/>
              <w:left w:val="single" w:color="auto" w:sz="4" w:space="0"/>
              <w:bottom w:val="single" w:color="auto" w:sz="4" w:space="0"/>
              <w:right w:val="single" w:color="auto" w:sz="4" w:space="0"/>
            </w:tcBorders>
            <w:vAlign w:val="center"/>
          </w:tcPr>
          <w:p w14:paraId="0E4C2562">
            <w:pPr>
              <w:pStyle w:val="20"/>
              <w:spacing w:line="360" w:lineRule="exact"/>
              <w:ind w:firstLine="420" w:firstLineChars="200"/>
              <w:rPr>
                <w:rFonts w:hAnsi="宋体" w:cs="Courier New"/>
                <w:color w:val="auto"/>
                <w:kern w:val="2"/>
                <w:sz w:val="21"/>
                <w:szCs w:val="21"/>
                <w:highlight w:val="none"/>
              </w:rPr>
            </w:pPr>
            <w:r>
              <w:rPr>
                <w:rFonts w:hint="eastAsia" w:hAnsi="宋体"/>
                <w:color w:val="auto"/>
                <w:kern w:val="2"/>
                <w:sz w:val="21"/>
                <w:szCs w:val="21"/>
                <w:highlight w:val="none"/>
              </w:rPr>
              <w:t>1.单位负责人为同一人或者存在直接控股、管理关系的不同供应商，不得参加同一合同项下的政府采购活动。</w:t>
            </w:r>
          </w:p>
          <w:p w14:paraId="0D2D042A">
            <w:pPr>
              <w:pStyle w:val="20"/>
              <w:spacing w:line="360" w:lineRule="exact"/>
              <w:ind w:firstLine="420" w:firstLineChars="200"/>
              <w:rPr>
                <w:rFonts w:hAnsi="宋体"/>
                <w:color w:val="auto"/>
                <w:kern w:val="2"/>
                <w:sz w:val="21"/>
                <w:szCs w:val="21"/>
                <w:highlight w:val="none"/>
              </w:rPr>
            </w:pPr>
            <w:r>
              <w:rPr>
                <w:rFonts w:hint="eastAsia" w:hAnsi="宋体"/>
                <w:color w:val="auto"/>
                <w:kern w:val="2"/>
                <w:sz w:val="21"/>
                <w:szCs w:val="21"/>
                <w:highlight w:val="none"/>
              </w:rPr>
              <w:t>提供供应商直接控股、管理关系信息表。</w:t>
            </w:r>
          </w:p>
        </w:tc>
      </w:tr>
      <w:tr w14:paraId="388C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17" w:type="dxa"/>
            <w:vMerge w:val="continue"/>
            <w:tcBorders>
              <w:top w:val="single" w:color="auto" w:sz="4" w:space="0"/>
              <w:left w:val="single" w:color="auto" w:sz="4" w:space="0"/>
              <w:bottom w:val="single" w:color="auto" w:sz="4" w:space="0"/>
              <w:right w:val="single" w:color="auto" w:sz="4" w:space="0"/>
            </w:tcBorders>
            <w:vAlign w:val="center"/>
          </w:tcPr>
          <w:p w14:paraId="25401517">
            <w:pPr>
              <w:widowControl/>
              <w:spacing w:line="360" w:lineRule="exact"/>
              <w:jc w:val="left"/>
              <w:rPr>
                <w:rFonts w:ascii="宋体" w:hAnsi="宋体" w:cs="Courier New"/>
                <w:color w:val="auto"/>
                <w:szCs w:val="21"/>
                <w:highlight w:val="none"/>
              </w:rPr>
            </w:pPr>
          </w:p>
        </w:tc>
        <w:tc>
          <w:tcPr>
            <w:tcW w:w="568" w:type="dxa"/>
            <w:vMerge w:val="continue"/>
            <w:tcBorders>
              <w:top w:val="single" w:color="auto" w:sz="4" w:space="0"/>
              <w:left w:val="single" w:color="auto" w:sz="4" w:space="0"/>
              <w:bottom w:val="single" w:color="auto" w:sz="4" w:space="0"/>
              <w:right w:val="single" w:color="auto" w:sz="4" w:space="0"/>
            </w:tcBorders>
            <w:vAlign w:val="center"/>
          </w:tcPr>
          <w:p w14:paraId="787DAB11">
            <w:pPr>
              <w:widowControl/>
              <w:spacing w:line="360" w:lineRule="exact"/>
              <w:jc w:val="left"/>
              <w:rPr>
                <w:rFonts w:ascii="宋体" w:hAnsi="宋体" w:cs="Courier New"/>
                <w:color w:val="auto"/>
                <w:szCs w:val="21"/>
                <w:highlight w:val="none"/>
              </w:rPr>
            </w:pPr>
          </w:p>
        </w:tc>
        <w:tc>
          <w:tcPr>
            <w:tcW w:w="3260" w:type="dxa"/>
            <w:vMerge w:val="continue"/>
            <w:tcBorders>
              <w:top w:val="single" w:color="auto" w:sz="4" w:space="0"/>
              <w:left w:val="single" w:color="auto" w:sz="4" w:space="0"/>
              <w:bottom w:val="single" w:color="auto" w:sz="4" w:space="0"/>
              <w:right w:val="single" w:color="auto" w:sz="4" w:space="0"/>
            </w:tcBorders>
            <w:vAlign w:val="center"/>
          </w:tcPr>
          <w:p w14:paraId="1F8782EB">
            <w:pPr>
              <w:widowControl/>
              <w:spacing w:line="360" w:lineRule="exact"/>
              <w:jc w:val="left"/>
              <w:rPr>
                <w:rFonts w:ascii="宋体" w:hAnsi="宋体" w:cs="Courier New"/>
                <w:color w:val="auto"/>
                <w:szCs w:val="21"/>
                <w:highlight w:val="none"/>
              </w:rPr>
            </w:pPr>
          </w:p>
        </w:tc>
        <w:tc>
          <w:tcPr>
            <w:tcW w:w="4985" w:type="dxa"/>
            <w:tcBorders>
              <w:top w:val="single" w:color="auto" w:sz="4" w:space="0"/>
              <w:left w:val="single" w:color="auto" w:sz="4" w:space="0"/>
              <w:bottom w:val="single" w:color="auto" w:sz="4" w:space="0"/>
              <w:right w:val="single" w:color="auto" w:sz="4" w:space="0"/>
            </w:tcBorders>
            <w:vAlign w:val="center"/>
          </w:tcPr>
          <w:p w14:paraId="5921C4CB">
            <w:pPr>
              <w:pStyle w:val="20"/>
              <w:spacing w:line="360" w:lineRule="exact"/>
              <w:ind w:firstLine="420" w:firstLineChars="200"/>
              <w:rPr>
                <w:rFonts w:hAnsi="宋体" w:cs="Courier New"/>
                <w:color w:val="auto"/>
                <w:kern w:val="2"/>
                <w:sz w:val="21"/>
                <w:szCs w:val="21"/>
                <w:highlight w:val="none"/>
              </w:rPr>
            </w:pPr>
            <w:bookmarkStart w:id="44" w:name="OLE_LINK15"/>
            <w:r>
              <w:rPr>
                <w:rFonts w:hint="eastAsia" w:hAnsi="宋体"/>
                <w:color w:val="auto"/>
                <w:kern w:val="2"/>
                <w:sz w:val="21"/>
                <w:szCs w:val="21"/>
                <w:highlight w:val="none"/>
              </w:rPr>
              <w:t>2.为本项目提供过整体设计、规范编制或者项目管理、监理、检测等服务的供应商，不得再参加本项目上述服务以外的其他采购活动。</w:t>
            </w:r>
          </w:p>
          <w:p w14:paraId="060C5E4E">
            <w:pPr>
              <w:pStyle w:val="20"/>
              <w:spacing w:line="360" w:lineRule="exact"/>
              <w:ind w:firstLine="420" w:firstLineChars="200"/>
              <w:rPr>
                <w:rFonts w:hAnsi="宋体"/>
                <w:color w:val="auto"/>
                <w:kern w:val="2"/>
                <w:sz w:val="21"/>
                <w:szCs w:val="21"/>
                <w:highlight w:val="none"/>
              </w:rPr>
            </w:pPr>
            <w:r>
              <w:rPr>
                <w:rFonts w:hint="eastAsia" w:hAnsi="宋体"/>
                <w:color w:val="auto"/>
                <w:kern w:val="2"/>
                <w:sz w:val="21"/>
                <w:szCs w:val="21"/>
                <w:highlight w:val="none"/>
              </w:rPr>
              <w:t>提供谈判声明书。</w:t>
            </w:r>
            <w:bookmarkEnd w:id="44"/>
          </w:p>
        </w:tc>
      </w:tr>
      <w:tr w14:paraId="25B26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vAlign w:val="center"/>
          </w:tcPr>
          <w:p w14:paraId="071594B8">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（二）</w:t>
            </w:r>
          </w:p>
        </w:tc>
        <w:tc>
          <w:tcPr>
            <w:tcW w:w="3828" w:type="dxa"/>
            <w:gridSpan w:val="2"/>
            <w:tcBorders>
              <w:top w:val="single" w:color="auto" w:sz="4" w:space="0"/>
              <w:left w:val="single" w:color="auto" w:sz="4" w:space="0"/>
              <w:bottom w:val="single" w:color="auto" w:sz="4" w:space="0"/>
              <w:right w:val="single" w:color="auto" w:sz="4" w:space="0"/>
            </w:tcBorders>
            <w:vAlign w:val="center"/>
          </w:tcPr>
          <w:p w14:paraId="652A5090">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落实政府采购政策需满足的资格要求</w:t>
            </w:r>
          </w:p>
        </w:tc>
        <w:tc>
          <w:tcPr>
            <w:tcW w:w="4985" w:type="dxa"/>
            <w:tcBorders>
              <w:top w:val="single" w:color="auto" w:sz="4" w:space="0"/>
              <w:left w:val="single" w:color="auto" w:sz="4" w:space="0"/>
              <w:bottom w:val="single" w:color="auto" w:sz="4" w:space="0"/>
              <w:right w:val="single" w:color="auto" w:sz="4" w:space="0"/>
            </w:tcBorders>
            <w:vAlign w:val="center"/>
          </w:tcPr>
          <w:p w14:paraId="688DC2AD">
            <w:pPr>
              <w:pStyle w:val="20"/>
              <w:spacing w:line="360" w:lineRule="exact"/>
              <w:ind w:firstLine="420" w:firstLineChars="200"/>
              <w:rPr>
                <w:rFonts w:hAnsi="宋体"/>
                <w:color w:val="auto"/>
                <w:kern w:val="2"/>
                <w:sz w:val="21"/>
                <w:szCs w:val="21"/>
                <w:highlight w:val="none"/>
              </w:rPr>
            </w:pPr>
            <w:r>
              <w:rPr>
                <w:rFonts w:hint="eastAsia" w:hAnsi="宋体"/>
                <w:color w:val="auto"/>
                <w:kern w:val="2"/>
                <w:sz w:val="21"/>
                <w:szCs w:val="21"/>
                <w:highlight w:val="none"/>
              </w:rPr>
              <w:t>按招标公告“二、申请人的资格要求2.落实政府采购政策需满足的资格要求”的要求提交。</w:t>
            </w:r>
          </w:p>
          <w:p w14:paraId="0665EB78">
            <w:pPr>
              <w:pStyle w:val="20"/>
              <w:spacing w:line="360" w:lineRule="exact"/>
              <w:ind w:firstLine="420" w:firstLineChars="200"/>
              <w:rPr>
                <w:rFonts w:hAnsi="宋体"/>
                <w:color w:val="auto"/>
                <w:kern w:val="2"/>
                <w:sz w:val="21"/>
                <w:szCs w:val="21"/>
                <w:highlight w:val="none"/>
              </w:rPr>
            </w:pPr>
            <w:bookmarkStart w:id="45" w:name="OLE_LINK6"/>
            <w:r>
              <w:rPr>
                <w:rFonts w:hint="eastAsia" w:hAnsi="宋体"/>
                <w:color w:val="auto"/>
                <w:kern w:val="2"/>
                <w:sz w:val="21"/>
                <w:szCs w:val="21"/>
                <w:highlight w:val="none"/>
              </w:rPr>
              <w:t>本项目专门面向</w:t>
            </w:r>
            <w:r>
              <w:rPr>
                <w:rFonts w:hint="eastAsia" w:hAnsi="宋体"/>
                <w:color w:val="auto"/>
                <w:kern w:val="2"/>
                <w:sz w:val="21"/>
                <w:szCs w:val="21"/>
                <w:highlight w:val="none"/>
                <w:lang w:val="en-US" w:eastAsia="zh-CN"/>
              </w:rPr>
              <w:t>中小</w:t>
            </w:r>
            <w:r>
              <w:rPr>
                <w:rFonts w:hint="eastAsia" w:hAnsi="宋体"/>
                <w:color w:val="auto"/>
                <w:kern w:val="2"/>
                <w:sz w:val="21"/>
                <w:szCs w:val="21"/>
                <w:highlight w:val="none"/>
              </w:rPr>
              <w:t>企业，投标货物生产商须为《关于印发中小企业划型标准规定的通知》（工信部联企业〔2011〕300号）规定的</w:t>
            </w:r>
            <w:r>
              <w:rPr>
                <w:rFonts w:hint="eastAsia" w:hAnsi="宋体"/>
                <w:color w:val="auto"/>
                <w:kern w:val="2"/>
                <w:sz w:val="21"/>
                <w:szCs w:val="21"/>
                <w:highlight w:val="none"/>
                <w:lang w:eastAsia="zh-CN"/>
              </w:rPr>
              <w:t>工</w:t>
            </w:r>
            <w:r>
              <w:rPr>
                <w:rFonts w:hint="eastAsia" w:hAnsi="宋体"/>
                <w:color w:val="auto"/>
                <w:kern w:val="2"/>
                <w:sz w:val="21"/>
                <w:szCs w:val="21"/>
                <w:highlight w:val="none"/>
              </w:rPr>
              <w:t>业的</w:t>
            </w:r>
            <w:r>
              <w:rPr>
                <w:rFonts w:hint="eastAsia" w:hAnsi="宋体"/>
                <w:color w:val="auto"/>
                <w:kern w:val="2"/>
                <w:sz w:val="21"/>
                <w:szCs w:val="21"/>
                <w:highlight w:val="none"/>
                <w:lang w:val="en-US" w:eastAsia="zh-CN"/>
              </w:rPr>
              <w:t>中小</w:t>
            </w:r>
            <w:r>
              <w:rPr>
                <w:rFonts w:hint="eastAsia" w:hAnsi="宋体"/>
                <w:color w:val="auto"/>
                <w:kern w:val="2"/>
                <w:sz w:val="21"/>
                <w:szCs w:val="21"/>
                <w:highlight w:val="none"/>
              </w:rPr>
              <w:t>企业，或者是《关于政府采购支持监狱企业发展有关问题的通知》(财库[2014]68号)规定的监狱企业，或者是《关于促进残疾人就业政府采购政策的通知》（财库〔2017〕141号）规定的残疾人福利性企业。</w:t>
            </w:r>
            <w:bookmarkEnd w:id="45"/>
          </w:p>
          <w:p w14:paraId="71C15443">
            <w:pPr>
              <w:pStyle w:val="20"/>
              <w:spacing w:line="360" w:lineRule="exact"/>
              <w:ind w:firstLine="420" w:firstLineChars="200"/>
              <w:rPr>
                <w:rFonts w:hAnsi="宋体"/>
                <w:color w:val="auto"/>
                <w:kern w:val="2"/>
                <w:sz w:val="21"/>
                <w:szCs w:val="21"/>
                <w:highlight w:val="none"/>
              </w:rPr>
            </w:pPr>
            <w:r>
              <w:rPr>
                <w:rFonts w:hint="eastAsia" w:hAnsi="宋体"/>
                <w:color w:val="auto"/>
                <w:kern w:val="2"/>
                <w:sz w:val="21"/>
                <w:szCs w:val="21"/>
                <w:highlight w:val="none"/>
              </w:rPr>
              <w:t>提供中小企业声明函或残疾人福利性单位声明函或属于监狱企业的证明文件。</w:t>
            </w:r>
          </w:p>
        </w:tc>
      </w:tr>
      <w:tr w14:paraId="64EB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Borders>
              <w:top w:val="single" w:color="auto" w:sz="4" w:space="0"/>
              <w:left w:val="single" w:color="auto" w:sz="4" w:space="0"/>
              <w:bottom w:val="single" w:color="auto" w:sz="4" w:space="0"/>
              <w:right w:val="single" w:color="auto" w:sz="4" w:space="0"/>
            </w:tcBorders>
            <w:vAlign w:val="center"/>
          </w:tcPr>
          <w:p w14:paraId="17BDDD95">
            <w:pPr>
              <w:pStyle w:val="20"/>
              <w:spacing w:line="360" w:lineRule="exact"/>
              <w:rPr>
                <w:rFonts w:hAnsi="宋体"/>
                <w:color w:val="auto"/>
                <w:kern w:val="2"/>
                <w:sz w:val="21"/>
                <w:szCs w:val="21"/>
                <w:highlight w:val="none"/>
              </w:rPr>
            </w:pPr>
            <w:r>
              <w:rPr>
                <w:rFonts w:hint="eastAsia" w:hAnsi="宋体"/>
                <w:color w:val="auto"/>
                <w:kern w:val="2"/>
                <w:sz w:val="21"/>
                <w:szCs w:val="21"/>
                <w:highlight w:val="none"/>
              </w:rPr>
              <w:t>（三）</w:t>
            </w:r>
          </w:p>
        </w:tc>
        <w:tc>
          <w:tcPr>
            <w:tcW w:w="3828" w:type="dxa"/>
            <w:gridSpan w:val="2"/>
            <w:tcBorders>
              <w:top w:val="single" w:color="auto" w:sz="4" w:space="0"/>
              <w:left w:val="single" w:color="auto" w:sz="4" w:space="0"/>
              <w:bottom w:val="single" w:color="auto" w:sz="4" w:space="0"/>
              <w:right w:val="single" w:color="auto" w:sz="4" w:space="0"/>
            </w:tcBorders>
            <w:vAlign w:val="center"/>
          </w:tcPr>
          <w:p w14:paraId="1671841E">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特定资格条件</w:t>
            </w:r>
          </w:p>
        </w:tc>
        <w:tc>
          <w:tcPr>
            <w:tcW w:w="4985" w:type="dxa"/>
            <w:tcBorders>
              <w:top w:val="single" w:color="auto" w:sz="4" w:space="0"/>
              <w:left w:val="single" w:color="auto" w:sz="4" w:space="0"/>
              <w:bottom w:val="single" w:color="auto" w:sz="4" w:space="0"/>
              <w:right w:val="single" w:color="auto" w:sz="4" w:space="0"/>
            </w:tcBorders>
            <w:vAlign w:val="center"/>
          </w:tcPr>
          <w:p w14:paraId="3EF8AC74">
            <w:pPr>
              <w:pStyle w:val="20"/>
              <w:spacing w:line="360" w:lineRule="exact"/>
              <w:ind w:firstLine="420" w:firstLineChars="200"/>
              <w:rPr>
                <w:rFonts w:hAnsi="宋体"/>
                <w:color w:val="auto"/>
                <w:kern w:val="2"/>
                <w:sz w:val="21"/>
                <w:szCs w:val="21"/>
                <w:highlight w:val="none"/>
              </w:rPr>
            </w:pPr>
            <w:r>
              <w:rPr>
                <w:rFonts w:hint="eastAsia" w:hAnsi="宋体"/>
                <w:color w:val="auto"/>
                <w:kern w:val="2"/>
                <w:sz w:val="21"/>
                <w:szCs w:val="21"/>
                <w:highlight w:val="none"/>
              </w:rPr>
              <w:t>本项目无要求。</w:t>
            </w:r>
          </w:p>
        </w:tc>
      </w:tr>
    </w:tbl>
    <w:p w14:paraId="2AA2DAF0">
      <w:pPr>
        <w:pStyle w:val="20"/>
        <w:spacing w:line="360" w:lineRule="exact"/>
        <w:rPr>
          <w:rFonts w:hAnsi="宋体"/>
          <w:color w:val="auto"/>
          <w:sz w:val="21"/>
          <w:szCs w:val="21"/>
          <w:highlight w:val="none"/>
        </w:rPr>
      </w:pPr>
      <w:r>
        <w:rPr>
          <w:rFonts w:hint="eastAsia" w:hAnsi="宋体"/>
          <w:color w:val="auto"/>
          <w:sz w:val="21"/>
          <w:szCs w:val="21"/>
          <w:highlight w:val="none"/>
        </w:rPr>
        <w:t>（二）符合性审查</w:t>
      </w:r>
    </w:p>
    <w:p w14:paraId="395DB49A">
      <w:pPr>
        <w:pStyle w:val="20"/>
        <w:spacing w:line="360" w:lineRule="exact"/>
        <w:rPr>
          <w:rFonts w:hAnsi="宋体"/>
          <w:color w:val="auto"/>
          <w:sz w:val="21"/>
          <w:szCs w:val="21"/>
          <w:highlight w:val="none"/>
        </w:rPr>
      </w:pPr>
      <w:r>
        <w:rPr>
          <w:rFonts w:hint="eastAsia" w:hAnsi="宋体"/>
          <w:color w:val="auto"/>
          <w:sz w:val="21"/>
          <w:szCs w:val="21"/>
          <w:highlight w:val="none"/>
        </w:rPr>
        <w:t>谈判小组根据竞争性谈判文件要求各供应商响应文件的有效性、完整性、响应性等进行审查，以确定是否对竞争性谈判文件的实质性要求作出响应。</w:t>
      </w:r>
    </w:p>
    <w:tbl>
      <w:tblPr>
        <w:tblStyle w:val="36"/>
        <w:tblW w:w="9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2303"/>
        <w:gridCol w:w="6666"/>
      </w:tblGrid>
      <w:tr w14:paraId="5F22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76" w:type="dxa"/>
            <w:tcBorders>
              <w:top w:val="single" w:color="auto" w:sz="4" w:space="0"/>
              <w:left w:val="single" w:color="auto" w:sz="4" w:space="0"/>
              <w:bottom w:val="single" w:color="auto" w:sz="4" w:space="0"/>
              <w:right w:val="single" w:color="auto" w:sz="4" w:space="0"/>
            </w:tcBorders>
            <w:vAlign w:val="center"/>
          </w:tcPr>
          <w:p w14:paraId="0E8F8574">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序号</w:t>
            </w:r>
          </w:p>
        </w:tc>
        <w:tc>
          <w:tcPr>
            <w:tcW w:w="2303" w:type="dxa"/>
            <w:tcBorders>
              <w:top w:val="single" w:color="auto" w:sz="4" w:space="0"/>
              <w:left w:val="single" w:color="auto" w:sz="4" w:space="0"/>
              <w:bottom w:val="single" w:color="auto" w:sz="4" w:space="0"/>
              <w:right w:val="single" w:color="auto" w:sz="4" w:space="0"/>
            </w:tcBorders>
            <w:vAlign w:val="center"/>
          </w:tcPr>
          <w:p w14:paraId="694FC45F">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评审因素</w:t>
            </w:r>
          </w:p>
        </w:tc>
        <w:tc>
          <w:tcPr>
            <w:tcW w:w="6666" w:type="dxa"/>
            <w:tcBorders>
              <w:top w:val="single" w:color="auto" w:sz="4" w:space="0"/>
              <w:left w:val="single" w:color="auto" w:sz="4" w:space="0"/>
              <w:bottom w:val="single" w:color="auto" w:sz="4" w:space="0"/>
              <w:right w:val="single" w:color="auto" w:sz="4" w:space="0"/>
            </w:tcBorders>
            <w:vAlign w:val="center"/>
          </w:tcPr>
          <w:p w14:paraId="6F229564">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评审标准</w:t>
            </w:r>
          </w:p>
        </w:tc>
      </w:tr>
      <w:tr w14:paraId="2FCE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76" w:type="dxa"/>
            <w:tcBorders>
              <w:top w:val="single" w:color="auto" w:sz="4" w:space="0"/>
              <w:left w:val="single" w:color="auto" w:sz="4" w:space="0"/>
              <w:bottom w:val="single" w:color="auto" w:sz="4" w:space="0"/>
              <w:right w:val="single" w:color="auto" w:sz="4" w:space="0"/>
            </w:tcBorders>
            <w:vAlign w:val="center"/>
          </w:tcPr>
          <w:p w14:paraId="0F335E6D">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1</w:t>
            </w:r>
          </w:p>
        </w:tc>
        <w:tc>
          <w:tcPr>
            <w:tcW w:w="2303" w:type="dxa"/>
            <w:tcBorders>
              <w:top w:val="single" w:color="auto" w:sz="4" w:space="0"/>
              <w:left w:val="single" w:color="auto" w:sz="4" w:space="0"/>
              <w:bottom w:val="single" w:color="auto" w:sz="4" w:space="0"/>
              <w:right w:val="single" w:color="auto" w:sz="4" w:space="0"/>
            </w:tcBorders>
            <w:vAlign w:val="center"/>
          </w:tcPr>
          <w:p w14:paraId="7290DB65">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商务和技术文件审查</w:t>
            </w:r>
          </w:p>
        </w:tc>
        <w:tc>
          <w:tcPr>
            <w:tcW w:w="6666" w:type="dxa"/>
            <w:tcBorders>
              <w:top w:val="single" w:color="auto" w:sz="4" w:space="0"/>
              <w:left w:val="single" w:color="auto" w:sz="4" w:space="0"/>
              <w:bottom w:val="single" w:color="auto" w:sz="4" w:space="0"/>
              <w:right w:val="single" w:color="auto" w:sz="4" w:space="0"/>
            </w:tcBorders>
            <w:vAlign w:val="center"/>
          </w:tcPr>
          <w:p w14:paraId="089916CB">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w:t>
            </w:r>
            <w:r>
              <w:rPr>
                <w:rFonts w:hint="eastAsia" w:hAnsi="宋体"/>
                <w:color w:val="auto"/>
                <w:szCs w:val="21"/>
                <w:highlight w:val="none"/>
              </w:rPr>
              <w:t>未按照竞争性谈判文件的规定足额交纳投标保证金的</w:t>
            </w:r>
            <w:r>
              <w:rPr>
                <w:rFonts w:hint="eastAsia" w:ascii="宋体" w:hAnsi="宋体"/>
                <w:bCs/>
                <w:color w:val="auto"/>
                <w:szCs w:val="21"/>
                <w:highlight w:val="none"/>
              </w:rPr>
              <w:t>；</w:t>
            </w:r>
          </w:p>
          <w:p w14:paraId="56107BDF">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2.响应文件未按谈判文件要求签署、盖章的；</w:t>
            </w:r>
          </w:p>
          <w:p w14:paraId="20A15508">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3.投标代表人未能出具身份证明或与法定代表人授权委托人身份不符的；</w:t>
            </w:r>
          </w:p>
          <w:p w14:paraId="09FE745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4.响应文件的实质性内容未使用中文表述、意思表述不明确、前后矛盾或者使用计量单位不符合谈判文件要求的（经评标委员会认定并允许其当场更正的笔误除外）</w:t>
            </w:r>
          </w:p>
          <w:p w14:paraId="3950E05B">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5.响应文件有效期、服务期或交货期、质保期等商务条款不能满足招标文件要求的；</w:t>
            </w:r>
          </w:p>
          <w:p w14:paraId="1EFC4CD4">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6.未实质性响应谈判文件要求或者响应文件有采购人不能接受的附加条件的。</w:t>
            </w:r>
          </w:p>
          <w:p w14:paraId="4ECF40F5">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7.未提供谈判文件中“13.响应文件的组成13.2商务和技术文件”要求必须提供的资料的；</w:t>
            </w:r>
          </w:p>
          <w:p w14:paraId="5F6D3CA2">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8.未提供或未如实提供投标货物的技术参数，或者响应文件标明的响应或偏离与事实不符或虚假投标的；</w:t>
            </w:r>
          </w:p>
          <w:p w14:paraId="1541C464">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9.明显不符合招标文件要求的规格型号、质量标准和采购需求的，或者与招标文件中标“▲”的技术指标、主要功能项目发生实质性偏离的；</w:t>
            </w:r>
          </w:p>
          <w:p w14:paraId="0D81E4C0">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 xml:space="preserve">10.允许偏离的技术、性能指标或者辅助功能项目发生负偏离达 </w:t>
            </w:r>
            <w:r>
              <w:rPr>
                <w:rFonts w:hint="eastAsia" w:ascii="宋体" w:hAnsi="宋体"/>
                <w:bCs/>
                <w:color w:val="auto"/>
                <w:szCs w:val="21"/>
                <w:highlight w:val="none"/>
                <w:lang w:val="en-US" w:eastAsia="zh-CN"/>
              </w:rPr>
              <w:t>2</w:t>
            </w:r>
            <w:r>
              <w:rPr>
                <w:rFonts w:hint="eastAsia" w:ascii="宋体" w:hAnsi="宋体"/>
                <w:bCs/>
                <w:color w:val="auto"/>
                <w:szCs w:val="21"/>
                <w:highlight w:val="none"/>
              </w:rPr>
              <w:t xml:space="preserve"> 项（含</w:t>
            </w:r>
            <w:r>
              <w:rPr>
                <w:rFonts w:hint="eastAsia" w:ascii="宋体" w:hAnsi="宋体"/>
                <w:bCs/>
                <w:color w:val="auto"/>
                <w:szCs w:val="21"/>
                <w:highlight w:val="none"/>
                <w:lang w:val="en-US" w:eastAsia="zh-CN"/>
              </w:rPr>
              <w:t>2</w:t>
            </w:r>
            <w:r>
              <w:rPr>
                <w:rFonts w:hint="eastAsia" w:ascii="宋体" w:hAnsi="宋体"/>
                <w:bCs/>
                <w:color w:val="auto"/>
                <w:szCs w:val="21"/>
                <w:highlight w:val="none"/>
              </w:rPr>
              <w:t>项）以上的；</w:t>
            </w:r>
          </w:p>
          <w:p w14:paraId="194C583E">
            <w:pPr>
              <w:spacing w:line="360" w:lineRule="exact"/>
              <w:ind w:firstLine="420" w:firstLineChars="200"/>
              <w:rPr>
                <w:rFonts w:ascii="宋体" w:hAnsi="宋体"/>
                <w:bCs/>
                <w:color w:val="auto"/>
                <w:szCs w:val="21"/>
                <w:highlight w:val="none"/>
              </w:rPr>
            </w:pPr>
            <w:r>
              <w:rPr>
                <w:rFonts w:hint="eastAsia" w:ascii="宋体" w:hAnsi="宋体"/>
                <w:bCs/>
                <w:color w:val="auto"/>
                <w:szCs w:val="21"/>
                <w:highlight w:val="none"/>
              </w:rPr>
              <w:t>12.技术方案不明确，存在一个或一个以上备选（替代）竞标方案的。</w:t>
            </w:r>
          </w:p>
          <w:p w14:paraId="584DF2F3">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13.</w:t>
            </w:r>
            <w:r>
              <w:rPr>
                <w:rFonts w:hint="eastAsia" w:hAnsi="宋体"/>
                <w:color w:val="auto"/>
                <w:szCs w:val="21"/>
                <w:highlight w:val="none"/>
              </w:rPr>
              <w:t>属于供应商须知正文7.特别说明第6点情形的；</w:t>
            </w:r>
          </w:p>
          <w:p w14:paraId="64D09423">
            <w:pPr>
              <w:spacing w:line="360" w:lineRule="exact"/>
              <w:ind w:firstLine="420" w:firstLineChars="200"/>
              <w:rPr>
                <w:rFonts w:hAnsi="宋体"/>
                <w:color w:val="auto"/>
                <w:szCs w:val="21"/>
                <w:highlight w:val="none"/>
              </w:rPr>
            </w:pPr>
            <w:r>
              <w:rPr>
                <w:rFonts w:hint="eastAsia" w:ascii="宋体" w:hAnsi="宋体" w:cs="宋体"/>
                <w:color w:val="auto"/>
                <w:szCs w:val="21"/>
                <w:highlight w:val="none"/>
              </w:rPr>
              <w:t>14.法</w:t>
            </w:r>
            <w:r>
              <w:rPr>
                <w:rFonts w:hint="eastAsia" w:hAnsi="宋体"/>
                <w:color w:val="auto"/>
                <w:szCs w:val="21"/>
                <w:highlight w:val="none"/>
              </w:rPr>
              <w:t>律、法规和竞争性谈判文件规定的其他无效情形。</w:t>
            </w:r>
          </w:p>
        </w:tc>
      </w:tr>
      <w:tr w14:paraId="54B4D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76" w:type="dxa"/>
            <w:tcBorders>
              <w:top w:val="single" w:color="auto" w:sz="4" w:space="0"/>
              <w:left w:val="single" w:color="auto" w:sz="4" w:space="0"/>
              <w:bottom w:val="single" w:color="auto" w:sz="4" w:space="0"/>
              <w:right w:val="single" w:color="auto" w:sz="4" w:space="0"/>
            </w:tcBorders>
            <w:vAlign w:val="center"/>
          </w:tcPr>
          <w:p w14:paraId="6C80564D">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2</w:t>
            </w:r>
          </w:p>
        </w:tc>
        <w:tc>
          <w:tcPr>
            <w:tcW w:w="2303" w:type="dxa"/>
            <w:tcBorders>
              <w:top w:val="single" w:color="auto" w:sz="4" w:space="0"/>
              <w:left w:val="single" w:color="auto" w:sz="4" w:space="0"/>
              <w:bottom w:val="single" w:color="auto" w:sz="4" w:space="0"/>
              <w:right w:val="single" w:color="auto" w:sz="4" w:space="0"/>
            </w:tcBorders>
            <w:vAlign w:val="center"/>
          </w:tcPr>
          <w:p w14:paraId="597A24A0">
            <w:pPr>
              <w:pStyle w:val="20"/>
              <w:spacing w:line="360" w:lineRule="exact"/>
              <w:jc w:val="center"/>
              <w:rPr>
                <w:rFonts w:hAnsi="宋体"/>
                <w:color w:val="auto"/>
                <w:kern w:val="2"/>
                <w:sz w:val="21"/>
                <w:szCs w:val="21"/>
                <w:highlight w:val="none"/>
              </w:rPr>
            </w:pPr>
            <w:r>
              <w:rPr>
                <w:rFonts w:hint="eastAsia" w:hAnsi="宋体"/>
                <w:color w:val="auto"/>
                <w:kern w:val="2"/>
                <w:sz w:val="21"/>
                <w:szCs w:val="21"/>
                <w:highlight w:val="none"/>
              </w:rPr>
              <w:t>报价文件审查</w:t>
            </w:r>
          </w:p>
        </w:tc>
        <w:tc>
          <w:tcPr>
            <w:tcW w:w="6666" w:type="dxa"/>
            <w:tcBorders>
              <w:top w:val="single" w:color="auto" w:sz="4" w:space="0"/>
              <w:left w:val="single" w:color="auto" w:sz="4" w:space="0"/>
              <w:bottom w:val="single" w:color="auto" w:sz="4" w:space="0"/>
              <w:right w:val="single" w:color="auto" w:sz="4" w:space="0"/>
            </w:tcBorders>
            <w:vAlign w:val="center"/>
          </w:tcPr>
          <w:p w14:paraId="7E84D0F0">
            <w:pPr>
              <w:widowControl/>
              <w:spacing w:line="360" w:lineRule="exact"/>
              <w:ind w:firstLine="420" w:firstLineChars="200"/>
              <w:jc w:val="left"/>
              <w:rPr>
                <w:rFonts w:ascii="宋体" w:hAnsi="宋体"/>
                <w:bCs/>
                <w:color w:val="auto"/>
                <w:szCs w:val="21"/>
                <w:highlight w:val="none"/>
              </w:rPr>
            </w:pPr>
            <w:bookmarkStart w:id="46" w:name="OLE_LINK16"/>
            <w:r>
              <w:rPr>
                <w:rFonts w:hint="eastAsia" w:ascii="宋体" w:hAnsi="宋体"/>
                <w:bCs/>
                <w:color w:val="auto"/>
                <w:szCs w:val="21"/>
                <w:highlight w:val="none"/>
              </w:rPr>
              <w:t>1.未提供谈判文件中“13.响应文件的组成13.3报价文件”要求必须提供的资料的；</w:t>
            </w:r>
          </w:p>
          <w:p w14:paraId="37EDC02B">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2.报价超过招标文件中规定的预算金额或者最高限价</w:t>
            </w:r>
            <w:r>
              <w:rPr>
                <w:rFonts w:hint="eastAsia" w:ascii="宋体" w:hAnsi="宋体"/>
                <w:bCs/>
                <w:color w:val="auto"/>
                <w:szCs w:val="21"/>
                <w:highlight w:val="none"/>
                <w:lang w:eastAsia="zh-CN"/>
              </w:rPr>
              <w:t>或</w:t>
            </w:r>
            <w:r>
              <w:rPr>
                <w:rFonts w:hint="eastAsia" w:ascii="宋体" w:hAnsi="宋体"/>
                <w:bCs/>
                <w:color w:val="auto"/>
                <w:szCs w:val="21"/>
                <w:highlight w:val="none"/>
              </w:rPr>
              <w:t>预算控制单价的；</w:t>
            </w:r>
          </w:p>
          <w:p w14:paraId="242FA993">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3.未采用人民币报价或者未按照招标文件标明的币种报价的；</w:t>
            </w:r>
          </w:p>
          <w:p w14:paraId="56709444">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4.竞标报价具有选择性，或者云平台中开标记录表的报价与响应文件承诺的优惠（折扣）价格不一致的；</w:t>
            </w:r>
          </w:p>
          <w:p w14:paraId="5229F38C">
            <w:pPr>
              <w:widowControl/>
              <w:spacing w:line="36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5.法律、法规和招标文件规定的其他无效情形。</w:t>
            </w:r>
          </w:p>
          <w:p w14:paraId="73572359">
            <w:pPr>
              <w:widowControl/>
              <w:spacing w:line="360" w:lineRule="exact"/>
              <w:ind w:firstLine="420" w:firstLineChars="200"/>
              <w:jc w:val="left"/>
              <w:rPr>
                <w:rFonts w:hAnsi="宋体"/>
                <w:color w:val="auto"/>
                <w:szCs w:val="21"/>
                <w:highlight w:val="none"/>
              </w:rPr>
            </w:pPr>
            <w:r>
              <w:rPr>
                <w:rFonts w:hint="eastAsia" w:ascii="宋体" w:hAnsi="宋体"/>
                <w:bCs/>
                <w:color w:val="auto"/>
                <w:szCs w:val="21"/>
                <w:highlight w:val="none"/>
              </w:rPr>
              <w:t>6.出现恶意竞争低于成本价的情形</w:t>
            </w:r>
            <w:bookmarkEnd w:id="46"/>
          </w:p>
        </w:tc>
      </w:tr>
    </w:tbl>
    <w:p w14:paraId="451D0C44">
      <w:pPr>
        <w:spacing w:line="360" w:lineRule="exact"/>
        <w:ind w:firstLine="420" w:firstLineChars="200"/>
        <w:rPr>
          <w:rFonts w:ascii="宋体" w:hAnsi="宋体"/>
          <w:color w:val="auto"/>
          <w:szCs w:val="21"/>
          <w:highlight w:val="none"/>
        </w:rPr>
      </w:pPr>
      <w:r>
        <w:rPr>
          <w:rFonts w:hint="eastAsia" w:hAnsi="宋体"/>
          <w:color w:val="auto"/>
          <w:szCs w:val="21"/>
          <w:highlight w:val="none"/>
        </w:rPr>
        <w:t>（三）</w:t>
      </w:r>
      <w:r>
        <w:rPr>
          <w:rFonts w:hint="eastAsia" w:ascii="宋体" w:hAnsi="宋体"/>
          <w:color w:val="auto"/>
          <w:szCs w:val="21"/>
          <w:highlight w:val="none"/>
        </w:rPr>
        <w:t>最后报价政府采购政策性扣除</w:t>
      </w:r>
    </w:p>
    <w:p w14:paraId="1E0185B7">
      <w:pPr>
        <w:spacing w:line="360" w:lineRule="exact"/>
        <w:ind w:firstLine="420" w:firstLineChars="200"/>
        <w:rPr>
          <w:rFonts w:ascii="宋体" w:hAnsi="宋体"/>
          <w:color w:val="auto"/>
          <w:szCs w:val="21"/>
          <w:highlight w:val="none"/>
        </w:rPr>
      </w:pPr>
      <w:r>
        <w:rPr>
          <w:rFonts w:hint="eastAsia" w:hAnsi="宋体" w:cs="宋体"/>
          <w:color w:val="auto"/>
          <w:szCs w:val="21"/>
          <w:highlight w:val="none"/>
        </w:rPr>
        <w:t>根据上述评审依据对供应商的最后报价给予价格扣除，扣除后的价格为评审价。</w:t>
      </w:r>
    </w:p>
    <w:p w14:paraId="4FE43769">
      <w:pPr>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三、成交候选供应商推荐原则</w:t>
      </w:r>
    </w:p>
    <w:p w14:paraId="2241D16A">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在质量和服务均能满足采购文件实质性响应要求的前提下，按照最后评审价由低到高的顺序提出3名以上成交候选人（</w:t>
      </w:r>
      <w:r>
        <w:rPr>
          <w:rFonts w:hint="eastAsia" w:ascii="宋体" w:hAnsi="宋体"/>
          <w:color w:val="auto"/>
          <w:highlight w:val="none"/>
        </w:rPr>
        <w:t>最后评审报价相同时，</w:t>
      </w:r>
      <w:r>
        <w:rPr>
          <w:rFonts w:hint="eastAsia" w:ascii="宋体" w:hAnsi="宋体" w:cs="宋体"/>
          <w:color w:val="auto"/>
          <w:szCs w:val="21"/>
          <w:highlight w:val="none"/>
        </w:rPr>
        <w:t>依次按节能环保产品累计金额高的优先、</w:t>
      </w:r>
      <w:r>
        <w:rPr>
          <w:rFonts w:hint="eastAsia" w:ascii="宋体" w:hAnsi="宋体" w:cs="宋体"/>
          <w:color w:val="auto"/>
          <w:highlight w:val="none"/>
        </w:rPr>
        <w:t>环境标志产品优先、</w:t>
      </w:r>
      <w:r>
        <w:rPr>
          <w:rFonts w:hint="eastAsia" w:ascii="宋体" w:hAnsi="宋体"/>
          <w:color w:val="auto"/>
          <w:highlight w:val="none"/>
        </w:rPr>
        <w:t>关键技术指标高优先、质量保证期长优先、</w:t>
      </w:r>
      <w:r>
        <w:rPr>
          <w:rFonts w:hint="eastAsia" w:ascii="宋体" w:hAnsi="宋体"/>
          <w:bCs/>
          <w:color w:val="auto"/>
          <w:highlight w:val="none"/>
        </w:rPr>
        <w:t>交货期</w:t>
      </w:r>
      <w:r>
        <w:rPr>
          <w:rFonts w:hint="eastAsia" w:ascii="宋体" w:hAnsi="宋体"/>
          <w:color w:val="auto"/>
          <w:highlight w:val="none"/>
        </w:rPr>
        <w:t>短优先、故障处理时间短优先的顺序排列</w:t>
      </w:r>
      <w:r>
        <w:rPr>
          <w:rFonts w:hint="eastAsia" w:ascii="宋体" w:hAnsi="宋体"/>
          <w:color w:val="auto"/>
          <w:szCs w:val="21"/>
          <w:highlight w:val="none"/>
        </w:rPr>
        <w:t>），并依照次序确定成交候选人。采购人应当确定谈判小组推荐排名第一的成交候选人为成交人。排名第一的成交候选人放弃成交、因不可抗力提出不能履行合同，或者采购文件规定应当提交履约保证金而在规定的期限内未能提交的，采购人可以确定排名第二的成交候选人为成交人。排名第二的成交候选人因前款规定的同样原因不能签订合同的，采购人可以确定排名第三的成交候选人为成交人，其余以此类推，</w:t>
      </w:r>
      <w:r>
        <w:rPr>
          <w:rFonts w:hint="eastAsia" w:ascii="宋体" w:hAnsi="宋体"/>
          <w:color w:val="auto"/>
          <w:highlight w:val="none"/>
          <w:shd w:val="clear" w:color="auto" w:fill="FFFFFF"/>
        </w:rPr>
        <w:t>也可以重新采购。</w:t>
      </w:r>
    </w:p>
    <w:p w14:paraId="077387AD">
      <w:pPr>
        <w:spacing w:line="360" w:lineRule="exact"/>
        <w:ind w:firstLine="420" w:firstLineChars="200"/>
        <w:rPr>
          <w:rFonts w:ascii="宋体" w:hAnsi="宋体"/>
          <w:color w:val="auto"/>
          <w:szCs w:val="21"/>
          <w:highlight w:val="none"/>
          <w:shd w:val="clear" w:color="auto" w:fill="FFFFFF"/>
        </w:rPr>
      </w:pPr>
    </w:p>
    <w:sectPr>
      <w:headerReference r:id="rId4" w:type="first"/>
      <w:footerReference r:id="rId7" w:type="first"/>
      <w:headerReference r:id="rId3" w:type="default"/>
      <w:footerReference r:id="rId5" w:type="default"/>
      <w:footerReference r:id="rId6" w:type="even"/>
      <w:pgSz w:w="11906" w:h="16838"/>
      <w:pgMar w:top="1134" w:right="1134" w:bottom="1134" w:left="1134" w:header="720" w:footer="720"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Adobe 黑体 Std R">
    <w:altName w:val="宋体"/>
    <w:panose1 w:val="00000000000000000000"/>
    <w:charset w:val="86"/>
    <w:family w:val="swiss"/>
    <w:pitch w:val="default"/>
    <w:sig w:usb0="00000000" w:usb1="00000000" w:usb2="00000016" w:usb3="00000000" w:csb0="00060007" w:csb1="00000000"/>
  </w:font>
  <w:font w:name="Wingdings 2">
    <w:altName w:val="Wingdings"/>
    <w:panose1 w:val="05020102010507070707"/>
    <w:charset w:val="02"/>
    <w:family w:val="roman"/>
    <w:pitch w:val="default"/>
    <w:sig w:usb0="00000000" w:usb1="00000000" w:usb2="00000000" w:usb3="00000000" w:csb0="80000000" w:csb1="00000000"/>
  </w:font>
  <w:font w:name="Microsoft JhengHei">
    <w:panose1 w:val="020B0604030504040204"/>
    <w:charset w:val="88"/>
    <w:family w:val="swiss"/>
    <w:pitch w:val="default"/>
    <w:sig w:usb0="000002A7" w:usb1="28CF4400" w:usb2="00000016" w:usb3="00000000" w:csb0="00100009" w:csb1="00000000"/>
  </w:font>
  <w:font w:name="Adobe 宋体 Std L">
    <w:altName w:val="宋体"/>
    <w:panose1 w:val="00000000000000000000"/>
    <w:charset w:val="86"/>
    <w:family w:val="roman"/>
    <w:pitch w:val="default"/>
    <w:sig w:usb0="00000000" w:usb1="00000000" w:usb2="00000016" w:usb3="00000000" w:csb0="00060007" w:csb1="0000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12162">
    <w:pPr>
      <w:pStyle w:val="25"/>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57785" cy="147955"/>
              <wp:effectExtent l="0" t="0" r="0" b="0"/>
              <wp:wrapNone/>
              <wp:docPr id="11" name="文本框6"/>
              <wp:cNvGraphicFramePr/>
              <a:graphic xmlns:a="http://schemas.openxmlformats.org/drawingml/2006/main">
                <a:graphicData uri="http://schemas.microsoft.com/office/word/2010/wordprocessingShape">
                  <wps:wsp>
                    <wps:cNvSpPr txBox="1"/>
                    <wps:spPr>
                      <a:xfrm>
                        <a:off x="0" y="0"/>
                        <a:ext cx="57785" cy="147955"/>
                      </a:xfrm>
                      <a:prstGeom prst="rect">
                        <a:avLst/>
                      </a:prstGeom>
                      <a:noFill/>
                      <a:ln>
                        <a:noFill/>
                      </a:ln>
                      <a:effectLst/>
                    </wps:spPr>
                    <wps:txbx>
                      <w:txbxContent>
                        <w:p w14:paraId="1008927F">
                          <w:pPr>
                            <w:pStyle w:val="25"/>
                            <w:jc w:val="center"/>
                            <w:rPr>
                              <w:rStyle w:val="40"/>
                            </w:rPr>
                          </w:pPr>
                          <w:r>
                            <w:fldChar w:fldCharType="begin"/>
                          </w:r>
                          <w:r>
                            <w:rPr>
                              <w:rStyle w:val="40"/>
                            </w:rPr>
                            <w:instrText xml:space="preserve">PAGE  </w:instrText>
                          </w:r>
                          <w:r>
                            <w:fldChar w:fldCharType="separate"/>
                          </w:r>
                          <w:r>
                            <w:rPr>
                              <w:rStyle w:val="40"/>
                            </w:rPr>
                            <w:t>71</w:t>
                          </w:r>
                          <w:r>
                            <w:fldChar w:fldCharType="end"/>
                          </w:r>
                        </w:p>
                      </w:txbxContent>
                    </wps:txbx>
                    <wps:bodyPr vert="horz" wrap="none" lIns="0" tIns="0" rIns="0" bIns="0" anchor="t" anchorCtr="0" upright="1">
                      <a:spAutoFit/>
                    </wps:bodyPr>
                  </wps:wsp>
                </a:graphicData>
              </a:graphic>
            </wp:anchor>
          </w:drawing>
        </mc:Choice>
        <mc:Fallback>
          <w:pict>
            <v:shape id="文本框6" o:spid="_x0000_s1026" o:spt="202" type="#_x0000_t202" style="position:absolute;left:0pt;margin-top:0pt;height:11.65pt;width:4.55pt;mso-position-horizontal:center;mso-position-horizontal-relative:margin;mso-wrap-style:none;z-index:251663360;mso-width-relative:page;mso-height-relative:page;" filled="f" stroked="f" coordsize="21600,21600" o:gfxdata="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58scAtEAAAACAQAA&#10;DwAAAAAAAAABACAAAAAiAAAAZHJzL2Rvd25yZXYueG1sUEsBAhQAFAAAAAgAh07iQC1PtfvnAQAA&#10;yQMAAA4AAAAAAAAAAQAgAAAAIAEAAGRycy9lMm9Eb2MueG1sUEsFBgAAAAAGAAYAWQEAAHkFAAAA&#10;AA==&#10;">
              <v:fill on="f" focussize="0,0"/>
              <v:stroke on="f"/>
              <v:imagedata o:title=""/>
              <o:lock v:ext="edit" aspectratio="f"/>
              <v:textbox inset="0mm,0mm,0mm,0mm" style="mso-fit-shape-to-text:t;">
                <w:txbxContent>
                  <w:p w14:paraId="1008927F">
                    <w:pPr>
                      <w:pStyle w:val="25"/>
                      <w:jc w:val="center"/>
                      <w:rPr>
                        <w:rStyle w:val="40"/>
                      </w:rPr>
                    </w:pPr>
                    <w:r>
                      <w:fldChar w:fldCharType="begin"/>
                    </w:r>
                    <w:r>
                      <w:rPr>
                        <w:rStyle w:val="40"/>
                      </w:rPr>
                      <w:instrText xml:space="preserve">PAGE  </w:instrText>
                    </w:r>
                    <w:r>
                      <w:fldChar w:fldCharType="separate"/>
                    </w:r>
                    <w:r>
                      <w:rPr>
                        <w:rStyle w:val="40"/>
                      </w:rPr>
                      <w:t>71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13C4C">
    <w:pPr>
      <w:pStyle w:val="25"/>
      <w:framePr w:wrap="around" w:vAnchor="text" w:hAnchor="margin" w:xAlign="center" w:y="1"/>
      <w:rPr>
        <w:rStyle w:val="40"/>
      </w:rPr>
    </w:pPr>
    <w:r>
      <w:fldChar w:fldCharType="begin"/>
    </w:r>
    <w:r>
      <w:rPr>
        <w:rStyle w:val="40"/>
      </w:rPr>
      <w:instrText xml:space="preserve">PAGE  </w:instrText>
    </w:r>
    <w:r>
      <w:fldChar w:fldCharType="separate"/>
    </w:r>
    <w:r>
      <w:rPr>
        <w:rStyle w:val="40"/>
      </w:rPr>
      <w:t>3</w:t>
    </w:r>
    <w:r>
      <w:fldChar w:fldCharType="end"/>
    </w:r>
  </w:p>
  <w:p w14:paraId="427FA26F">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8E119">
    <w:pPr>
      <w:pStyle w:val="25"/>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14935" cy="131445"/>
              <wp:effectExtent l="0" t="0" r="0" b="0"/>
              <wp:wrapNone/>
              <wp:docPr id="12" name="文本框7"/>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a:effectLst/>
                    </wps:spPr>
                    <wps:txbx>
                      <w:txbxContent>
                        <w:p w14:paraId="49448EEA">
                          <w:pPr>
                            <w:snapToGrid w:val="0"/>
                            <w:rPr>
                              <w:sz w:val="18"/>
                            </w:rPr>
                          </w:pPr>
                        </w:p>
                      </w:txbxContent>
                    </wps:txbx>
                    <wps:bodyPr wrap="none" lIns="0" tIns="0" rIns="0" bIns="0" upright="1">
                      <a:spAutoFit/>
                    </wps:bodyPr>
                  </wps:wsp>
                </a:graphicData>
              </a:graphic>
            </wp:anchor>
          </w:drawing>
        </mc:Choice>
        <mc:Fallback>
          <w:pict>
            <v:shape id="文本框7" o:spid="_x0000_s1026" o:spt="202" type="#_x0000_t202" style="position:absolute;left:0pt;margin-top:0pt;height:10.35pt;width:9.05pt;mso-position-horizontal:center;mso-position-horizontal-relative:margin;mso-wrap-style:none;z-index:25166438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Q+V+SdAAAAADAQAADwAAAAAAAAABACAAAAAiAAAAZHJz&#10;L2Rvd25yZXYueG1sUEsBAhQAFAAAAAgAh07iQEVFKGPTAQAApQMAAA4AAAAAAAAAAQAgAAAAHwEA&#10;AGRycy9lMm9Eb2MueG1sUEsFBgAAAAAGAAYAWQEAAGQFAAAAAA==&#10;">
              <v:fill on="f" focussize="0,0"/>
              <v:stroke on="f"/>
              <v:imagedata o:title=""/>
              <o:lock v:ext="edit" aspectratio="f"/>
              <v:textbox inset="0mm,0mm,0mm,0mm" style="mso-fit-shape-to-text:t;">
                <w:txbxContent>
                  <w:p w14:paraId="49448EEA">
                    <w:pPr>
                      <w:snapToGrid w:val="0"/>
                      <w:rPr>
                        <w:sz w:val="1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FB4B5">
    <w:pPr>
      <w:pStyle w:val="2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1B85F">
    <w:pPr>
      <w:pStyle w:val="2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jYmI2MjNhMDgwOTYxOTUzYjU2NzQ4ZmU4YTc1ZGIifQ=="/>
    <w:docVar w:name="KSO_WPS_MARK_KEY" w:val="1b8c5f2a-e5af-4fd7-9d22-5ce8b7d4820f"/>
  </w:docVars>
  <w:rsids>
    <w:rsidRoot w:val="00172A27"/>
    <w:rsid w:val="00001C0C"/>
    <w:rsid w:val="00022670"/>
    <w:rsid w:val="00030DB3"/>
    <w:rsid w:val="0003723A"/>
    <w:rsid w:val="000512E4"/>
    <w:rsid w:val="000579D9"/>
    <w:rsid w:val="00063879"/>
    <w:rsid w:val="0008502C"/>
    <w:rsid w:val="000900B2"/>
    <w:rsid w:val="000A6B6E"/>
    <w:rsid w:val="000A7867"/>
    <w:rsid w:val="000C6258"/>
    <w:rsid w:val="000C7BC5"/>
    <w:rsid w:val="000D478D"/>
    <w:rsid w:val="000E3E6F"/>
    <w:rsid w:val="000F0B9A"/>
    <w:rsid w:val="00113126"/>
    <w:rsid w:val="0012327F"/>
    <w:rsid w:val="00126D8E"/>
    <w:rsid w:val="00144DC0"/>
    <w:rsid w:val="00156FB3"/>
    <w:rsid w:val="00160B97"/>
    <w:rsid w:val="00160F33"/>
    <w:rsid w:val="00165BA6"/>
    <w:rsid w:val="00172A27"/>
    <w:rsid w:val="00177305"/>
    <w:rsid w:val="00192A8D"/>
    <w:rsid w:val="00193D21"/>
    <w:rsid w:val="001947B1"/>
    <w:rsid w:val="00195780"/>
    <w:rsid w:val="001B00A9"/>
    <w:rsid w:val="001B2C5D"/>
    <w:rsid w:val="001B43A9"/>
    <w:rsid w:val="001C6839"/>
    <w:rsid w:val="001C7C93"/>
    <w:rsid w:val="001D04F0"/>
    <w:rsid w:val="001D562D"/>
    <w:rsid w:val="001E7D79"/>
    <w:rsid w:val="001F0EA1"/>
    <w:rsid w:val="001F287E"/>
    <w:rsid w:val="00210E1A"/>
    <w:rsid w:val="002156C1"/>
    <w:rsid w:val="002224E8"/>
    <w:rsid w:val="002235C2"/>
    <w:rsid w:val="00236732"/>
    <w:rsid w:val="00270805"/>
    <w:rsid w:val="00283B01"/>
    <w:rsid w:val="002911B3"/>
    <w:rsid w:val="0029128D"/>
    <w:rsid w:val="00296208"/>
    <w:rsid w:val="002B06BB"/>
    <w:rsid w:val="002B5F22"/>
    <w:rsid w:val="002C255D"/>
    <w:rsid w:val="002C349F"/>
    <w:rsid w:val="002C6529"/>
    <w:rsid w:val="002C7E7D"/>
    <w:rsid w:val="002E2198"/>
    <w:rsid w:val="002E23B9"/>
    <w:rsid w:val="002E6188"/>
    <w:rsid w:val="002F4880"/>
    <w:rsid w:val="002F5B70"/>
    <w:rsid w:val="003002EA"/>
    <w:rsid w:val="00307A4F"/>
    <w:rsid w:val="00311810"/>
    <w:rsid w:val="00334998"/>
    <w:rsid w:val="00336EEC"/>
    <w:rsid w:val="00362A48"/>
    <w:rsid w:val="00375B6D"/>
    <w:rsid w:val="00377EFF"/>
    <w:rsid w:val="00380190"/>
    <w:rsid w:val="003A2BC3"/>
    <w:rsid w:val="003A37F2"/>
    <w:rsid w:val="003B18F8"/>
    <w:rsid w:val="003C712A"/>
    <w:rsid w:val="003D71E0"/>
    <w:rsid w:val="003E71C7"/>
    <w:rsid w:val="00406C00"/>
    <w:rsid w:val="00414E67"/>
    <w:rsid w:val="00432E43"/>
    <w:rsid w:val="00435ADE"/>
    <w:rsid w:val="00442028"/>
    <w:rsid w:val="00446764"/>
    <w:rsid w:val="00454E17"/>
    <w:rsid w:val="00457E40"/>
    <w:rsid w:val="00461D08"/>
    <w:rsid w:val="00472C27"/>
    <w:rsid w:val="00477342"/>
    <w:rsid w:val="00493323"/>
    <w:rsid w:val="00494386"/>
    <w:rsid w:val="004A0D7C"/>
    <w:rsid w:val="004C6EEC"/>
    <w:rsid w:val="004E5336"/>
    <w:rsid w:val="004F189C"/>
    <w:rsid w:val="005018AC"/>
    <w:rsid w:val="00506E4A"/>
    <w:rsid w:val="005105C9"/>
    <w:rsid w:val="00515A6A"/>
    <w:rsid w:val="00517943"/>
    <w:rsid w:val="00520816"/>
    <w:rsid w:val="00530320"/>
    <w:rsid w:val="00531DDF"/>
    <w:rsid w:val="0053623D"/>
    <w:rsid w:val="005473FC"/>
    <w:rsid w:val="005562A6"/>
    <w:rsid w:val="0056345E"/>
    <w:rsid w:val="005643F6"/>
    <w:rsid w:val="00566174"/>
    <w:rsid w:val="0056708A"/>
    <w:rsid w:val="00572A98"/>
    <w:rsid w:val="0059689F"/>
    <w:rsid w:val="00597966"/>
    <w:rsid w:val="00597BA6"/>
    <w:rsid w:val="005A1200"/>
    <w:rsid w:val="005A75F8"/>
    <w:rsid w:val="005B0DE9"/>
    <w:rsid w:val="005C10AE"/>
    <w:rsid w:val="005C5733"/>
    <w:rsid w:val="005F2CA3"/>
    <w:rsid w:val="005F56E9"/>
    <w:rsid w:val="005F7846"/>
    <w:rsid w:val="006003AB"/>
    <w:rsid w:val="006034C8"/>
    <w:rsid w:val="00605A47"/>
    <w:rsid w:val="0061087F"/>
    <w:rsid w:val="00615763"/>
    <w:rsid w:val="0062680C"/>
    <w:rsid w:val="00630A98"/>
    <w:rsid w:val="00635D9F"/>
    <w:rsid w:val="006428BD"/>
    <w:rsid w:val="006603D9"/>
    <w:rsid w:val="0067194D"/>
    <w:rsid w:val="00673A31"/>
    <w:rsid w:val="006742B9"/>
    <w:rsid w:val="00677CE1"/>
    <w:rsid w:val="00682163"/>
    <w:rsid w:val="00683774"/>
    <w:rsid w:val="006A277C"/>
    <w:rsid w:val="006B5B08"/>
    <w:rsid w:val="006C28F1"/>
    <w:rsid w:val="006C300A"/>
    <w:rsid w:val="006C71B4"/>
    <w:rsid w:val="006D3F4B"/>
    <w:rsid w:val="006D40C0"/>
    <w:rsid w:val="006D7D67"/>
    <w:rsid w:val="006E0D3B"/>
    <w:rsid w:val="006E3F62"/>
    <w:rsid w:val="006F3406"/>
    <w:rsid w:val="006F491C"/>
    <w:rsid w:val="006F5EB8"/>
    <w:rsid w:val="006F77C0"/>
    <w:rsid w:val="007075BD"/>
    <w:rsid w:val="00713C9A"/>
    <w:rsid w:val="007264C9"/>
    <w:rsid w:val="00726A1D"/>
    <w:rsid w:val="007272E3"/>
    <w:rsid w:val="00731013"/>
    <w:rsid w:val="00755CD8"/>
    <w:rsid w:val="007576E0"/>
    <w:rsid w:val="00757FBD"/>
    <w:rsid w:val="00763650"/>
    <w:rsid w:val="007670B5"/>
    <w:rsid w:val="0077135E"/>
    <w:rsid w:val="0077336D"/>
    <w:rsid w:val="0077621B"/>
    <w:rsid w:val="00785449"/>
    <w:rsid w:val="00790913"/>
    <w:rsid w:val="00797F2C"/>
    <w:rsid w:val="007A2FDF"/>
    <w:rsid w:val="007B229A"/>
    <w:rsid w:val="007C36A6"/>
    <w:rsid w:val="007E3289"/>
    <w:rsid w:val="007E6E69"/>
    <w:rsid w:val="007F3DE5"/>
    <w:rsid w:val="007F42B8"/>
    <w:rsid w:val="008101C0"/>
    <w:rsid w:val="00815AA1"/>
    <w:rsid w:val="00816209"/>
    <w:rsid w:val="00817F98"/>
    <w:rsid w:val="00820504"/>
    <w:rsid w:val="008231EA"/>
    <w:rsid w:val="008301B0"/>
    <w:rsid w:val="0083507D"/>
    <w:rsid w:val="008537F2"/>
    <w:rsid w:val="00856ABE"/>
    <w:rsid w:val="00862FD0"/>
    <w:rsid w:val="00874355"/>
    <w:rsid w:val="00876E5D"/>
    <w:rsid w:val="00887C9B"/>
    <w:rsid w:val="008A6763"/>
    <w:rsid w:val="008C2FB0"/>
    <w:rsid w:val="008D0C70"/>
    <w:rsid w:val="008F0F4B"/>
    <w:rsid w:val="00906BBB"/>
    <w:rsid w:val="00934FA9"/>
    <w:rsid w:val="00940297"/>
    <w:rsid w:val="009771DC"/>
    <w:rsid w:val="00977D24"/>
    <w:rsid w:val="00977F5F"/>
    <w:rsid w:val="00987B92"/>
    <w:rsid w:val="00995889"/>
    <w:rsid w:val="0099644D"/>
    <w:rsid w:val="009A0D52"/>
    <w:rsid w:val="009A2727"/>
    <w:rsid w:val="00A03703"/>
    <w:rsid w:val="00A10763"/>
    <w:rsid w:val="00A16749"/>
    <w:rsid w:val="00A1794C"/>
    <w:rsid w:val="00A23A05"/>
    <w:rsid w:val="00A27EBA"/>
    <w:rsid w:val="00A41C89"/>
    <w:rsid w:val="00A541AD"/>
    <w:rsid w:val="00A625CC"/>
    <w:rsid w:val="00A66F5C"/>
    <w:rsid w:val="00A70A0D"/>
    <w:rsid w:val="00A70C5B"/>
    <w:rsid w:val="00A712FE"/>
    <w:rsid w:val="00A74E21"/>
    <w:rsid w:val="00A75BAB"/>
    <w:rsid w:val="00A76AB7"/>
    <w:rsid w:val="00A834D0"/>
    <w:rsid w:val="00A85609"/>
    <w:rsid w:val="00AB40E4"/>
    <w:rsid w:val="00AB5AA9"/>
    <w:rsid w:val="00AC34AB"/>
    <w:rsid w:val="00AC58B3"/>
    <w:rsid w:val="00AD6E5E"/>
    <w:rsid w:val="00AF74BD"/>
    <w:rsid w:val="00B04BC2"/>
    <w:rsid w:val="00B12293"/>
    <w:rsid w:val="00B15CA9"/>
    <w:rsid w:val="00B22C81"/>
    <w:rsid w:val="00B35486"/>
    <w:rsid w:val="00B53D0E"/>
    <w:rsid w:val="00B665D8"/>
    <w:rsid w:val="00B73B5C"/>
    <w:rsid w:val="00B874D5"/>
    <w:rsid w:val="00B92DBF"/>
    <w:rsid w:val="00B95A97"/>
    <w:rsid w:val="00BA5BB5"/>
    <w:rsid w:val="00BC549C"/>
    <w:rsid w:val="00BD3AD1"/>
    <w:rsid w:val="00BD717D"/>
    <w:rsid w:val="00BE06A8"/>
    <w:rsid w:val="00BF5F04"/>
    <w:rsid w:val="00C0438A"/>
    <w:rsid w:val="00C05D51"/>
    <w:rsid w:val="00C127F1"/>
    <w:rsid w:val="00C23820"/>
    <w:rsid w:val="00C24C44"/>
    <w:rsid w:val="00C2631C"/>
    <w:rsid w:val="00C530BA"/>
    <w:rsid w:val="00C65495"/>
    <w:rsid w:val="00C93837"/>
    <w:rsid w:val="00C96D14"/>
    <w:rsid w:val="00C97119"/>
    <w:rsid w:val="00CB0307"/>
    <w:rsid w:val="00CD276A"/>
    <w:rsid w:val="00CD3A63"/>
    <w:rsid w:val="00CF0F30"/>
    <w:rsid w:val="00CF65DA"/>
    <w:rsid w:val="00D07CC5"/>
    <w:rsid w:val="00D11898"/>
    <w:rsid w:val="00D13247"/>
    <w:rsid w:val="00D27B60"/>
    <w:rsid w:val="00D365AD"/>
    <w:rsid w:val="00D60994"/>
    <w:rsid w:val="00D618D8"/>
    <w:rsid w:val="00D61FC6"/>
    <w:rsid w:val="00D66E62"/>
    <w:rsid w:val="00D71CCC"/>
    <w:rsid w:val="00D809EE"/>
    <w:rsid w:val="00D8539F"/>
    <w:rsid w:val="00DA0582"/>
    <w:rsid w:val="00DA32F1"/>
    <w:rsid w:val="00DB23C2"/>
    <w:rsid w:val="00DB6FB3"/>
    <w:rsid w:val="00DC363A"/>
    <w:rsid w:val="00DF4501"/>
    <w:rsid w:val="00E11B96"/>
    <w:rsid w:val="00E203F8"/>
    <w:rsid w:val="00E3530B"/>
    <w:rsid w:val="00E65EA4"/>
    <w:rsid w:val="00E66EAC"/>
    <w:rsid w:val="00E72C31"/>
    <w:rsid w:val="00E7552F"/>
    <w:rsid w:val="00E75BF2"/>
    <w:rsid w:val="00E87933"/>
    <w:rsid w:val="00E92733"/>
    <w:rsid w:val="00E94725"/>
    <w:rsid w:val="00EC5CF3"/>
    <w:rsid w:val="00EC6C06"/>
    <w:rsid w:val="00EC7FC7"/>
    <w:rsid w:val="00ED08E5"/>
    <w:rsid w:val="00EE04E7"/>
    <w:rsid w:val="00EE6552"/>
    <w:rsid w:val="00EF3BC8"/>
    <w:rsid w:val="00F1477F"/>
    <w:rsid w:val="00F14B41"/>
    <w:rsid w:val="00F25B7F"/>
    <w:rsid w:val="00F35134"/>
    <w:rsid w:val="00F4054C"/>
    <w:rsid w:val="00F407FA"/>
    <w:rsid w:val="00F533D4"/>
    <w:rsid w:val="00F66603"/>
    <w:rsid w:val="00F73F80"/>
    <w:rsid w:val="00F86A39"/>
    <w:rsid w:val="00F87998"/>
    <w:rsid w:val="00F92855"/>
    <w:rsid w:val="00F93296"/>
    <w:rsid w:val="00FA3168"/>
    <w:rsid w:val="00FC2E4E"/>
    <w:rsid w:val="00FC689E"/>
    <w:rsid w:val="00FD2274"/>
    <w:rsid w:val="00FE19DD"/>
    <w:rsid w:val="01442CB4"/>
    <w:rsid w:val="03C74BB5"/>
    <w:rsid w:val="041461D6"/>
    <w:rsid w:val="043256E5"/>
    <w:rsid w:val="043D6C25"/>
    <w:rsid w:val="054A57DE"/>
    <w:rsid w:val="0895522E"/>
    <w:rsid w:val="0935611C"/>
    <w:rsid w:val="094E71DE"/>
    <w:rsid w:val="0A4C04BA"/>
    <w:rsid w:val="0AAB138C"/>
    <w:rsid w:val="0BD87893"/>
    <w:rsid w:val="0CE20369"/>
    <w:rsid w:val="0D963A2A"/>
    <w:rsid w:val="0DCB6EE9"/>
    <w:rsid w:val="0DDD6D83"/>
    <w:rsid w:val="0DF97285"/>
    <w:rsid w:val="0E4B7C02"/>
    <w:rsid w:val="0F285631"/>
    <w:rsid w:val="10042CED"/>
    <w:rsid w:val="10307B2A"/>
    <w:rsid w:val="10D206F5"/>
    <w:rsid w:val="10F30EE5"/>
    <w:rsid w:val="110E5BD1"/>
    <w:rsid w:val="1149155F"/>
    <w:rsid w:val="12CD7662"/>
    <w:rsid w:val="130572ED"/>
    <w:rsid w:val="155D0ED5"/>
    <w:rsid w:val="163A7FE7"/>
    <w:rsid w:val="1666096B"/>
    <w:rsid w:val="17A9055F"/>
    <w:rsid w:val="17E94D8E"/>
    <w:rsid w:val="184863A1"/>
    <w:rsid w:val="18CF0341"/>
    <w:rsid w:val="19A215AC"/>
    <w:rsid w:val="1A5B6A92"/>
    <w:rsid w:val="1A741A14"/>
    <w:rsid w:val="1C856F63"/>
    <w:rsid w:val="1CD9665B"/>
    <w:rsid w:val="1D540E0F"/>
    <w:rsid w:val="1F894E42"/>
    <w:rsid w:val="206C46C2"/>
    <w:rsid w:val="20DA4450"/>
    <w:rsid w:val="20F92EC0"/>
    <w:rsid w:val="21D56297"/>
    <w:rsid w:val="22902419"/>
    <w:rsid w:val="23D5432C"/>
    <w:rsid w:val="24253D9A"/>
    <w:rsid w:val="2485597A"/>
    <w:rsid w:val="24A36DFA"/>
    <w:rsid w:val="26306192"/>
    <w:rsid w:val="27A83C81"/>
    <w:rsid w:val="27B364AA"/>
    <w:rsid w:val="27EC1E48"/>
    <w:rsid w:val="283F26BC"/>
    <w:rsid w:val="28B1280D"/>
    <w:rsid w:val="29CB6DEF"/>
    <w:rsid w:val="2A377AEF"/>
    <w:rsid w:val="2A3C3080"/>
    <w:rsid w:val="2A813E8F"/>
    <w:rsid w:val="2ADB491E"/>
    <w:rsid w:val="2ADC41F2"/>
    <w:rsid w:val="2B2362C5"/>
    <w:rsid w:val="2B343AE4"/>
    <w:rsid w:val="2B4F37FA"/>
    <w:rsid w:val="2BFA1E04"/>
    <w:rsid w:val="2C2B6E7C"/>
    <w:rsid w:val="2CBC367D"/>
    <w:rsid w:val="2D603E90"/>
    <w:rsid w:val="2E3B21E8"/>
    <w:rsid w:val="30B96E22"/>
    <w:rsid w:val="314C7616"/>
    <w:rsid w:val="323B2146"/>
    <w:rsid w:val="32A970B0"/>
    <w:rsid w:val="344258C0"/>
    <w:rsid w:val="34CC740B"/>
    <w:rsid w:val="35074561"/>
    <w:rsid w:val="35B9585B"/>
    <w:rsid w:val="37115BB5"/>
    <w:rsid w:val="374D1078"/>
    <w:rsid w:val="374E0226"/>
    <w:rsid w:val="37864355"/>
    <w:rsid w:val="38D36DBE"/>
    <w:rsid w:val="38E472E3"/>
    <w:rsid w:val="3BB33AD1"/>
    <w:rsid w:val="3CB925E5"/>
    <w:rsid w:val="3CDF21A9"/>
    <w:rsid w:val="3CF74EBC"/>
    <w:rsid w:val="3E646581"/>
    <w:rsid w:val="3E8105A3"/>
    <w:rsid w:val="3EAF2DBD"/>
    <w:rsid w:val="3EF959A7"/>
    <w:rsid w:val="41DF489C"/>
    <w:rsid w:val="430E0E56"/>
    <w:rsid w:val="43EE526A"/>
    <w:rsid w:val="454D1A31"/>
    <w:rsid w:val="45CE5264"/>
    <w:rsid w:val="48076156"/>
    <w:rsid w:val="48B66266"/>
    <w:rsid w:val="48DF3235"/>
    <w:rsid w:val="499852D0"/>
    <w:rsid w:val="4A0624DE"/>
    <w:rsid w:val="4A2B42BD"/>
    <w:rsid w:val="4A527C06"/>
    <w:rsid w:val="4A9B77CE"/>
    <w:rsid w:val="4AE253FD"/>
    <w:rsid w:val="4AF859CC"/>
    <w:rsid w:val="4B216F3F"/>
    <w:rsid w:val="4C99163E"/>
    <w:rsid w:val="4D6A546F"/>
    <w:rsid w:val="4D743F23"/>
    <w:rsid w:val="4DAA2314"/>
    <w:rsid w:val="4E8C5DAC"/>
    <w:rsid w:val="4F2D30F6"/>
    <w:rsid w:val="50151D32"/>
    <w:rsid w:val="50504BB7"/>
    <w:rsid w:val="50BF3FE7"/>
    <w:rsid w:val="51823496"/>
    <w:rsid w:val="51912641"/>
    <w:rsid w:val="51C70E0B"/>
    <w:rsid w:val="51F468F2"/>
    <w:rsid w:val="5266163F"/>
    <w:rsid w:val="52E67B99"/>
    <w:rsid w:val="531E5B66"/>
    <w:rsid w:val="53AB0A82"/>
    <w:rsid w:val="53CD194D"/>
    <w:rsid w:val="54B27BEE"/>
    <w:rsid w:val="556F1F83"/>
    <w:rsid w:val="562724C3"/>
    <w:rsid w:val="56D46032"/>
    <w:rsid w:val="58611F91"/>
    <w:rsid w:val="58B22182"/>
    <w:rsid w:val="59030A64"/>
    <w:rsid w:val="59D979CB"/>
    <w:rsid w:val="5A0272FA"/>
    <w:rsid w:val="5BAE600F"/>
    <w:rsid w:val="5BCA630A"/>
    <w:rsid w:val="5C78171D"/>
    <w:rsid w:val="5E5E170D"/>
    <w:rsid w:val="5E9443E0"/>
    <w:rsid w:val="609035D2"/>
    <w:rsid w:val="60C969EB"/>
    <w:rsid w:val="616466CE"/>
    <w:rsid w:val="61682B46"/>
    <w:rsid w:val="619E084C"/>
    <w:rsid w:val="64041AE8"/>
    <w:rsid w:val="642826DF"/>
    <w:rsid w:val="646B7DB9"/>
    <w:rsid w:val="64D50816"/>
    <w:rsid w:val="664E0674"/>
    <w:rsid w:val="66821D8C"/>
    <w:rsid w:val="68693416"/>
    <w:rsid w:val="692B6E69"/>
    <w:rsid w:val="693370F8"/>
    <w:rsid w:val="696D5CB7"/>
    <w:rsid w:val="69801C11"/>
    <w:rsid w:val="6AB2229E"/>
    <w:rsid w:val="6AD62431"/>
    <w:rsid w:val="6B5E41D4"/>
    <w:rsid w:val="6C0062C3"/>
    <w:rsid w:val="6CA17546"/>
    <w:rsid w:val="6E00504A"/>
    <w:rsid w:val="6EA63EC8"/>
    <w:rsid w:val="6F4A1255"/>
    <w:rsid w:val="706C1CD0"/>
    <w:rsid w:val="709674C6"/>
    <w:rsid w:val="70C1740A"/>
    <w:rsid w:val="71554DCC"/>
    <w:rsid w:val="716905E5"/>
    <w:rsid w:val="71864825"/>
    <w:rsid w:val="72A03EE7"/>
    <w:rsid w:val="72F571CC"/>
    <w:rsid w:val="7372081D"/>
    <w:rsid w:val="73BE0F24"/>
    <w:rsid w:val="749B20E4"/>
    <w:rsid w:val="74A13A9D"/>
    <w:rsid w:val="74D5549C"/>
    <w:rsid w:val="751515AD"/>
    <w:rsid w:val="75ED4AD2"/>
    <w:rsid w:val="76BE5591"/>
    <w:rsid w:val="76E75CCC"/>
    <w:rsid w:val="76EE5236"/>
    <w:rsid w:val="783764D9"/>
    <w:rsid w:val="784A620C"/>
    <w:rsid w:val="787F42CC"/>
    <w:rsid w:val="78D2353D"/>
    <w:rsid w:val="79935131"/>
    <w:rsid w:val="79D264B9"/>
    <w:rsid w:val="7A146AD1"/>
    <w:rsid w:val="7C0148BF"/>
    <w:rsid w:val="7CA37C99"/>
    <w:rsid w:val="7ED3091C"/>
    <w:rsid w:val="7FB840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qFormat="1" w:unhideWhenUsed="0" w:uiPriority="0" w:name="toc 8"/>
    <w:lsdException w:uiPriority="39" w:name="toc 9"/>
    <w:lsdException w:qFormat="1" w:unhideWhenUsed="0" w:uiPriority="0" w:semiHidden="0" w:name="Normal Indent"/>
    <w:lsdException w:uiPriority="0" w:name="footnote text"/>
    <w:lsdException w:qFormat="1"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qFormat="1" w:uiPriority="99" w:semiHidden="0" w:name="HTML Sample"/>
    <w:lsdException w:uiPriority="0" w:name="HTML Typewriter"/>
    <w:lsdException w:uiPriority="0"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8"/>
    <w:qFormat/>
    <w:uiPriority w:val="0"/>
    <w:pPr>
      <w:keepNext/>
      <w:jc w:val="center"/>
      <w:outlineLvl w:val="0"/>
    </w:pPr>
    <w:rPr>
      <w:b/>
      <w:bCs/>
      <w:sz w:val="32"/>
    </w:rPr>
  </w:style>
  <w:style w:type="paragraph" w:styleId="3">
    <w:name w:val="heading 2"/>
    <w:basedOn w:val="1"/>
    <w:next w:val="1"/>
    <w:link w:val="82"/>
    <w:qFormat/>
    <w:uiPriority w:val="0"/>
    <w:pPr>
      <w:keepNext/>
      <w:keepLines/>
      <w:spacing w:before="260" w:after="260" w:line="416" w:lineRule="auto"/>
      <w:outlineLvl w:val="1"/>
    </w:pPr>
    <w:rPr>
      <w:rFonts w:ascii="Arial" w:hAnsi="Arial" w:eastAsia="黑体"/>
      <w:b/>
      <w:bCs/>
      <w:kern w:val="0"/>
      <w:sz w:val="32"/>
      <w:szCs w:val="32"/>
    </w:rPr>
  </w:style>
  <w:style w:type="paragraph" w:styleId="4">
    <w:name w:val="heading 3"/>
    <w:basedOn w:val="1"/>
    <w:next w:val="1"/>
    <w:qFormat/>
    <w:uiPriority w:val="99"/>
    <w:pPr>
      <w:keepNext/>
      <w:keepLines/>
      <w:spacing w:line="360" w:lineRule="auto"/>
      <w:outlineLvl w:val="2"/>
    </w:pPr>
    <w:rPr>
      <w:rFonts w:eastAsia="黑体"/>
      <w:b/>
      <w:bCs/>
      <w:sz w:val="32"/>
      <w:szCs w:val="32"/>
      <w:lang w:val="zh-CN"/>
    </w:rPr>
  </w:style>
  <w:style w:type="paragraph" w:styleId="5">
    <w:name w:val="heading 4"/>
    <w:basedOn w:val="1"/>
    <w:next w:val="1"/>
    <w:link w:val="51"/>
    <w:qFormat/>
    <w:uiPriority w:val="0"/>
    <w:pPr>
      <w:keepNext/>
      <w:keepLines/>
      <w:spacing w:before="280" w:after="290" w:line="376" w:lineRule="auto"/>
      <w:outlineLvl w:val="3"/>
    </w:pPr>
    <w:rPr>
      <w:rFonts w:ascii="宋体" w:hAnsi="Arial" w:eastAsia="黑体"/>
      <w:b/>
      <w:kern w:val="0"/>
      <w:sz w:val="24"/>
      <w:szCs w:val="20"/>
    </w:rPr>
  </w:style>
  <w:style w:type="paragraph" w:styleId="6">
    <w:name w:val="heading 5"/>
    <w:basedOn w:val="1"/>
    <w:next w:val="7"/>
    <w:link w:val="79"/>
    <w:qFormat/>
    <w:uiPriority w:val="0"/>
    <w:pPr>
      <w:keepNext/>
      <w:keepLines/>
      <w:spacing w:before="280" w:after="290" w:line="376" w:lineRule="auto"/>
      <w:outlineLvl w:val="4"/>
    </w:pPr>
    <w:rPr>
      <w:b/>
      <w:kern w:val="0"/>
      <w:sz w:val="28"/>
      <w:szCs w:val="20"/>
    </w:rPr>
  </w:style>
  <w:style w:type="paragraph" w:styleId="8">
    <w:name w:val="heading 6"/>
    <w:basedOn w:val="1"/>
    <w:next w:val="7"/>
    <w:link w:val="49"/>
    <w:qFormat/>
    <w:uiPriority w:val="0"/>
    <w:pPr>
      <w:keepNext/>
      <w:keepLines/>
      <w:spacing w:before="240" w:after="64" w:line="320" w:lineRule="auto"/>
      <w:outlineLvl w:val="5"/>
    </w:pPr>
    <w:rPr>
      <w:rFonts w:ascii="Arial" w:hAnsi="Arial" w:eastAsia="黑体"/>
      <w:b/>
      <w:kern w:val="0"/>
      <w:sz w:val="24"/>
      <w:szCs w:val="20"/>
    </w:rPr>
  </w:style>
  <w:style w:type="paragraph" w:styleId="9">
    <w:name w:val="heading 7"/>
    <w:basedOn w:val="1"/>
    <w:next w:val="7"/>
    <w:link w:val="65"/>
    <w:qFormat/>
    <w:uiPriority w:val="0"/>
    <w:pPr>
      <w:keepNext/>
      <w:keepLines/>
      <w:spacing w:before="240" w:after="64" w:line="320" w:lineRule="auto"/>
      <w:outlineLvl w:val="6"/>
    </w:pPr>
    <w:rPr>
      <w:b/>
      <w:kern w:val="0"/>
      <w:sz w:val="24"/>
      <w:szCs w:val="20"/>
    </w:rPr>
  </w:style>
  <w:style w:type="paragraph" w:styleId="10">
    <w:name w:val="heading 8"/>
    <w:basedOn w:val="1"/>
    <w:next w:val="7"/>
    <w:link w:val="56"/>
    <w:qFormat/>
    <w:uiPriority w:val="0"/>
    <w:pPr>
      <w:keepNext/>
      <w:keepLines/>
      <w:spacing w:before="240" w:after="64" w:line="320" w:lineRule="auto"/>
      <w:outlineLvl w:val="7"/>
    </w:pPr>
    <w:rPr>
      <w:rFonts w:ascii="Arial" w:hAnsi="Arial" w:eastAsia="黑体"/>
      <w:kern w:val="0"/>
      <w:sz w:val="24"/>
      <w:szCs w:val="20"/>
    </w:rPr>
  </w:style>
  <w:style w:type="paragraph" w:styleId="11">
    <w:name w:val="heading 9"/>
    <w:basedOn w:val="1"/>
    <w:next w:val="7"/>
    <w:link w:val="83"/>
    <w:qFormat/>
    <w:uiPriority w:val="0"/>
    <w:pPr>
      <w:keepNext/>
      <w:keepLines/>
      <w:spacing w:before="240" w:after="64" w:line="320" w:lineRule="auto"/>
      <w:outlineLvl w:val="8"/>
    </w:pPr>
    <w:rPr>
      <w:rFonts w:ascii="Arial" w:hAnsi="Arial" w:eastAsia="黑体"/>
      <w:kern w:val="0"/>
      <w:sz w:val="20"/>
      <w:szCs w:val="20"/>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84"/>
    <w:qFormat/>
    <w:uiPriority w:val="0"/>
    <w:pPr>
      <w:ind w:firstLine="420"/>
    </w:pPr>
    <w:rPr>
      <w:kern w:val="0"/>
      <w:sz w:val="20"/>
      <w:szCs w:val="20"/>
    </w:rPr>
  </w:style>
  <w:style w:type="paragraph" w:styleId="12">
    <w:name w:val="caption"/>
    <w:basedOn w:val="1"/>
    <w:next w:val="1"/>
    <w:semiHidden/>
    <w:unhideWhenUsed/>
    <w:qFormat/>
    <w:uiPriority w:val="0"/>
    <w:pPr>
      <w:spacing w:before="152" w:after="160"/>
    </w:pPr>
    <w:rPr>
      <w:rFonts w:ascii="Arial" w:hAnsi="Arial" w:eastAsia="黑体" w:cs="Arial"/>
      <w:sz w:val="20"/>
      <w:szCs w:val="20"/>
    </w:rPr>
  </w:style>
  <w:style w:type="paragraph" w:styleId="13">
    <w:name w:val="Document Map"/>
    <w:basedOn w:val="1"/>
    <w:link w:val="76"/>
    <w:semiHidden/>
    <w:qFormat/>
    <w:uiPriority w:val="0"/>
    <w:pPr>
      <w:shd w:val="clear" w:color="auto" w:fill="000080"/>
    </w:pPr>
    <w:rPr>
      <w:kern w:val="0"/>
      <w:sz w:val="20"/>
    </w:rPr>
  </w:style>
  <w:style w:type="paragraph" w:styleId="14">
    <w:name w:val="annotation text"/>
    <w:basedOn w:val="1"/>
    <w:link w:val="55"/>
    <w:unhideWhenUsed/>
    <w:qFormat/>
    <w:uiPriority w:val="0"/>
    <w:pPr>
      <w:jc w:val="left"/>
    </w:pPr>
  </w:style>
  <w:style w:type="paragraph" w:styleId="15">
    <w:name w:val="Body Text 3"/>
    <w:basedOn w:val="1"/>
    <w:link w:val="117"/>
    <w:unhideWhenUsed/>
    <w:qFormat/>
    <w:uiPriority w:val="0"/>
    <w:pPr>
      <w:spacing w:after="120"/>
    </w:pPr>
    <w:rPr>
      <w:sz w:val="16"/>
      <w:szCs w:val="16"/>
    </w:rPr>
  </w:style>
  <w:style w:type="paragraph" w:styleId="16">
    <w:name w:val="Body Text"/>
    <w:basedOn w:val="1"/>
    <w:link w:val="69"/>
    <w:qFormat/>
    <w:uiPriority w:val="0"/>
    <w:pPr>
      <w:autoSpaceDE w:val="0"/>
      <w:autoSpaceDN w:val="0"/>
      <w:adjustRightInd w:val="0"/>
      <w:spacing w:after="120"/>
      <w:jc w:val="left"/>
    </w:pPr>
    <w:rPr>
      <w:rFonts w:ascii="宋体"/>
      <w:kern w:val="0"/>
      <w:sz w:val="34"/>
      <w:szCs w:val="20"/>
    </w:rPr>
  </w:style>
  <w:style w:type="paragraph" w:styleId="17">
    <w:name w:val="Body Text Indent"/>
    <w:basedOn w:val="1"/>
    <w:next w:val="18"/>
    <w:link w:val="74"/>
    <w:qFormat/>
    <w:uiPriority w:val="0"/>
    <w:pPr>
      <w:spacing w:line="200" w:lineRule="exact"/>
      <w:ind w:firstLine="301"/>
    </w:pPr>
    <w:rPr>
      <w:rFonts w:ascii="宋体" w:hAnsi="Courier New"/>
      <w:spacing w:val="-4"/>
      <w:kern w:val="0"/>
      <w:sz w:val="18"/>
      <w:szCs w:val="20"/>
    </w:rPr>
  </w:style>
  <w:style w:type="paragraph" w:customStyle="1" w:styleId="18">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styleId="19">
    <w:name w:val="toc 3"/>
    <w:basedOn w:val="1"/>
    <w:next w:val="1"/>
    <w:unhideWhenUsed/>
    <w:qFormat/>
    <w:uiPriority w:val="39"/>
    <w:pPr>
      <w:widowControl/>
      <w:spacing w:after="100" w:line="276" w:lineRule="auto"/>
      <w:ind w:left="440"/>
      <w:jc w:val="left"/>
    </w:pPr>
    <w:rPr>
      <w:rFonts w:ascii="Calibri" w:hAnsi="Calibri" w:cs="黑体"/>
      <w:kern w:val="0"/>
      <w:sz w:val="22"/>
      <w:szCs w:val="22"/>
    </w:rPr>
  </w:style>
  <w:style w:type="paragraph" w:styleId="20">
    <w:name w:val="Plain Text"/>
    <w:basedOn w:val="1"/>
    <w:link w:val="64"/>
    <w:qFormat/>
    <w:uiPriority w:val="0"/>
    <w:rPr>
      <w:rFonts w:ascii="宋体" w:hAnsi="Courier New"/>
      <w:kern w:val="0"/>
      <w:sz w:val="20"/>
      <w:szCs w:val="20"/>
    </w:rPr>
  </w:style>
  <w:style w:type="paragraph" w:styleId="21">
    <w:name w:val="toc 8"/>
    <w:basedOn w:val="1"/>
    <w:next w:val="1"/>
    <w:semiHidden/>
    <w:qFormat/>
    <w:uiPriority w:val="0"/>
    <w:pPr>
      <w:tabs>
        <w:tab w:val="left" w:pos="358"/>
      </w:tabs>
      <w:ind w:left="2940" w:leftChars="1400"/>
    </w:pPr>
  </w:style>
  <w:style w:type="paragraph" w:styleId="22">
    <w:name w:val="Date"/>
    <w:basedOn w:val="1"/>
    <w:next w:val="1"/>
    <w:link w:val="62"/>
    <w:qFormat/>
    <w:uiPriority w:val="0"/>
    <w:pPr>
      <w:ind w:left="100" w:leftChars="2500"/>
    </w:pPr>
    <w:rPr>
      <w:spacing w:val="30"/>
      <w:kern w:val="0"/>
      <w:sz w:val="28"/>
    </w:rPr>
  </w:style>
  <w:style w:type="paragraph" w:styleId="23">
    <w:name w:val="Body Text Indent 2"/>
    <w:basedOn w:val="1"/>
    <w:link w:val="61"/>
    <w:qFormat/>
    <w:uiPriority w:val="0"/>
    <w:pPr>
      <w:spacing w:line="400" w:lineRule="exact"/>
      <w:ind w:firstLine="480"/>
    </w:pPr>
    <w:rPr>
      <w:kern w:val="0"/>
      <w:sz w:val="20"/>
    </w:rPr>
  </w:style>
  <w:style w:type="paragraph" w:styleId="24">
    <w:name w:val="Balloon Text"/>
    <w:basedOn w:val="1"/>
    <w:link w:val="67"/>
    <w:semiHidden/>
    <w:qFormat/>
    <w:uiPriority w:val="0"/>
    <w:rPr>
      <w:kern w:val="0"/>
      <w:sz w:val="18"/>
      <w:szCs w:val="18"/>
    </w:rPr>
  </w:style>
  <w:style w:type="paragraph" w:styleId="25">
    <w:name w:val="footer"/>
    <w:basedOn w:val="1"/>
    <w:link w:val="68"/>
    <w:qFormat/>
    <w:uiPriority w:val="99"/>
    <w:pPr>
      <w:tabs>
        <w:tab w:val="center" w:pos="4153"/>
        <w:tab w:val="right" w:pos="8306"/>
      </w:tabs>
      <w:snapToGrid w:val="0"/>
      <w:jc w:val="left"/>
    </w:pPr>
    <w:rPr>
      <w:rFonts w:ascii="宋体" w:hAnsi="Courier New"/>
      <w:kern w:val="0"/>
      <w:sz w:val="18"/>
      <w:szCs w:val="20"/>
    </w:rPr>
  </w:style>
  <w:style w:type="paragraph" w:styleId="26">
    <w:name w:val="header"/>
    <w:basedOn w:val="1"/>
    <w:link w:val="58"/>
    <w:qFormat/>
    <w:uiPriority w:val="0"/>
    <w:pPr>
      <w:pBdr>
        <w:bottom w:val="single" w:color="auto" w:sz="6" w:space="1"/>
      </w:pBdr>
      <w:tabs>
        <w:tab w:val="center" w:pos="4153"/>
        <w:tab w:val="right" w:pos="8306"/>
      </w:tabs>
      <w:snapToGrid w:val="0"/>
      <w:jc w:val="center"/>
    </w:pPr>
    <w:rPr>
      <w:rFonts w:ascii="宋体" w:hAnsi="Courier New"/>
      <w:kern w:val="0"/>
      <w:sz w:val="18"/>
      <w:szCs w:val="20"/>
    </w:rPr>
  </w:style>
  <w:style w:type="paragraph" w:styleId="27">
    <w:name w:val="toc 1"/>
    <w:basedOn w:val="1"/>
    <w:next w:val="1"/>
    <w:unhideWhenUsed/>
    <w:qFormat/>
    <w:uiPriority w:val="39"/>
    <w:pPr>
      <w:widowControl/>
      <w:spacing w:after="100" w:line="276" w:lineRule="auto"/>
      <w:jc w:val="left"/>
    </w:pPr>
    <w:rPr>
      <w:rFonts w:ascii="Calibri" w:hAnsi="Calibri" w:cs="黑体"/>
      <w:kern w:val="0"/>
      <w:sz w:val="22"/>
      <w:szCs w:val="22"/>
    </w:rPr>
  </w:style>
  <w:style w:type="paragraph" w:styleId="28">
    <w:name w:val="List"/>
    <w:basedOn w:val="1"/>
    <w:semiHidden/>
    <w:unhideWhenUsed/>
    <w:qFormat/>
    <w:uiPriority w:val="0"/>
    <w:pPr>
      <w:ind w:left="200" w:hanging="200" w:hangingChars="200"/>
    </w:pPr>
    <w:rPr>
      <w:sz w:val="28"/>
    </w:rPr>
  </w:style>
  <w:style w:type="paragraph" w:styleId="29">
    <w:name w:val="Body Text Indent 3"/>
    <w:basedOn w:val="1"/>
    <w:link w:val="80"/>
    <w:qFormat/>
    <w:uiPriority w:val="0"/>
    <w:pPr>
      <w:spacing w:line="360" w:lineRule="auto"/>
      <w:ind w:firstLine="359" w:firstLineChars="171"/>
    </w:pPr>
    <w:rPr>
      <w:kern w:val="0"/>
      <w:sz w:val="20"/>
    </w:rPr>
  </w:style>
  <w:style w:type="paragraph" w:styleId="30">
    <w:name w:val="toc 2"/>
    <w:basedOn w:val="1"/>
    <w:next w:val="1"/>
    <w:unhideWhenUsed/>
    <w:qFormat/>
    <w:uiPriority w:val="39"/>
    <w:pPr>
      <w:widowControl/>
      <w:spacing w:after="100" w:line="276" w:lineRule="auto"/>
      <w:ind w:left="220"/>
      <w:jc w:val="left"/>
    </w:pPr>
    <w:rPr>
      <w:rFonts w:ascii="Calibri" w:hAnsi="Calibri" w:cs="黑体"/>
      <w:kern w:val="0"/>
      <w:sz w:val="22"/>
      <w:szCs w:val="22"/>
    </w:rPr>
  </w:style>
  <w:style w:type="paragraph" w:styleId="31">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32">
    <w:name w:val="Normal (Web)"/>
    <w:basedOn w:val="1"/>
    <w:qFormat/>
    <w:uiPriority w:val="0"/>
    <w:pPr>
      <w:spacing w:beforeAutospacing="1" w:afterAutospacing="1"/>
      <w:jc w:val="left"/>
    </w:pPr>
    <w:rPr>
      <w:kern w:val="0"/>
      <w:sz w:val="24"/>
    </w:rPr>
  </w:style>
  <w:style w:type="paragraph" w:styleId="33">
    <w:name w:val="index 1"/>
    <w:basedOn w:val="1"/>
    <w:next w:val="1"/>
    <w:semiHidden/>
    <w:qFormat/>
    <w:uiPriority w:val="0"/>
    <w:pPr>
      <w:spacing w:line="360" w:lineRule="exact"/>
      <w:ind w:firstLine="432" w:firstLineChars="240"/>
    </w:pPr>
    <w:rPr>
      <w:rFonts w:ascii="宋体" w:hAnsi="宋体"/>
      <w:bCs/>
      <w:sz w:val="18"/>
      <w:szCs w:val="18"/>
    </w:rPr>
  </w:style>
  <w:style w:type="paragraph" w:styleId="34">
    <w:name w:val="annotation subject"/>
    <w:basedOn w:val="14"/>
    <w:next w:val="14"/>
    <w:link w:val="114"/>
    <w:semiHidden/>
    <w:unhideWhenUsed/>
    <w:qFormat/>
    <w:uiPriority w:val="0"/>
    <w:rPr>
      <w:b/>
      <w:bCs/>
    </w:rPr>
  </w:style>
  <w:style w:type="paragraph" w:styleId="35">
    <w:name w:val="Body Text First Indent 2"/>
    <w:basedOn w:val="17"/>
    <w:next w:val="1"/>
    <w:link w:val="123"/>
    <w:qFormat/>
    <w:uiPriority w:val="0"/>
    <w:pPr>
      <w:spacing w:after="120" w:line="240" w:lineRule="auto"/>
      <w:ind w:left="420" w:leftChars="200" w:firstLine="420" w:firstLineChars="200"/>
    </w:pPr>
    <w:rPr>
      <w:rFonts w:ascii="Times New Roman" w:hAnsi="Times New Roman"/>
      <w:spacing w:val="0"/>
      <w:kern w:val="2"/>
      <w:sz w:val="21"/>
      <w:szCs w:val="24"/>
    </w:rPr>
  </w:style>
  <w:style w:type="table" w:styleId="37">
    <w:name w:val="Table Grid"/>
    <w:basedOn w:val="36"/>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9">
    <w:name w:val="Strong"/>
    <w:qFormat/>
    <w:uiPriority w:val="0"/>
    <w:rPr>
      <w:b/>
      <w:bCs/>
    </w:rPr>
  </w:style>
  <w:style w:type="character" w:styleId="40">
    <w:name w:val="page number"/>
    <w:basedOn w:val="38"/>
    <w:qFormat/>
    <w:uiPriority w:val="0"/>
  </w:style>
  <w:style w:type="character" w:styleId="41">
    <w:name w:val="FollowedHyperlink"/>
    <w:qFormat/>
    <w:uiPriority w:val="0"/>
    <w:rPr>
      <w:color w:val="800080"/>
      <w:u w:val="single"/>
    </w:rPr>
  </w:style>
  <w:style w:type="character" w:styleId="42">
    <w:name w:val="Emphasis"/>
    <w:qFormat/>
    <w:uiPriority w:val="0"/>
    <w:rPr>
      <w:color w:val="CC0000"/>
    </w:rPr>
  </w:style>
  <w:style w:type="character" w:styleId="43">
    <w:name w:val="Hyperlink"/>
    <w:qFormat/>
    <w:uiPriority w:val="99"/>
    <w:rPr>
      <w:color w:val="0000FF"/>
      <w:u w:val="single"/>
    </w:rPr>
  </w:style>
  <w:style w:type="character" w:styleId="44">
    <w:name w:val="annotation reference"/>
    <w:qFormat/>
    <w:uiPriority w:val="0"/>
    <w:rPr>
      <w:sz w:val="21"/>
    </w:rPr>
  </w:style>
  <w:style w:type="character" w:styleId="45">
    <w:name w:val="HTML Sample"/>
    <w:unhideWhenUsed/>
    <w:qFormat/>
    <w:uiPriority w:val="99"/>
    <w:rPr>
      <w:rFonts w:ascii="Courier New" w:hAnsi="Courier New"/>
    </w:rPr>
  </w:style>
  <w:style w:type="paragraph" w:customStyle="1" w:styleId="46">
    <w:name w:val="目录 81"/>
    <w:basedOn w:val="1"/>
    <w:next w:val="1"/>
    <w:qFormat/>
    <w:uiPriority w:val="0"/>
    <w:pPr>
      <w:ind w:left="1470"/>
    </w:pPr>
    <w:rPr>
      <w:sz w:val="18"/>
    </w:rPr>
  </w:style>
  <w:style w:type="paragraph" w:customStyle="1" w:styleId="47">
    <w:name w:val="NormalIndent"/>
    <w:basedOn w:val="1"/>
    <w:qFormat/>
    <w:uiPriority w:val="0"/>
    <w:pPr>
      <w:ind w:firstLine="420"/>
    </w:pPr>
    <w:rPr>
      <w:szCs w:val="21"/>
    </w:rPr>
  </w:style>
  <w:style w:type="character" w:customStyle="1" w:styleId="48">
    <w:name w:val="style31"/>
    <w:qFormat/>
    <w:uiPriority w:val="0"/>
    <w:rPr>
      <w:sz w:val="18"/>
      <w:szCs w:val="18"/>
    </w:rPr>
  </w:style>
  <w:style w:type="character" w:customStyle="1" w:styleId="49">
    <w:name w:val="标题 6 Char"/>
    <w:link w:val="8"/>
    <w:qFormat/>
    <w:uiPriority w:val="0"/>
    <w:rPr>
      <w:rFonts w:ascii="Arial" w:hAnsi="Arial" w:eastAsia="黑体"/>
      <w:b/>
      <w:sz w:val="24"/>
    </w:rPr>
  </w:style>
  <w:style w:type="character" w:customStyle="1" w:styleId="50">
    <w:name w:val="apple-style-span"/>
    <w:basedOn w:val="38"/>
    <w:qFormat/>
    <w:uiPriority w:val="0"/>
  </w:style>
  <w:style w:type="character" w:customStyle="1" w:styleId="51">
    <w:name w:val="标题 4 Char"/>
    <w:link w:val="5"/>
    <w:qFormat/>
    <w:uiPriority w:val="0"/>
    <w:rPr>
      <w:rFonts w:ascii="宋体" w:hAnsi="Arial" w:eastAsia="黑体"/>
      <w:b/>
      <w:sz w:val="24"/>
    </w:rPr>
  </w:style>
  <w:style w:type="character" w:customStyle="1" w:styleId="52">
    <w:name w:val="Char Char2"/>
    <w:semiHidden/>
    <w:qFormat/>
    <w:uiPriority w:val="0"/>
    <w:rPr>
      <w:rFonts w:ascii="宋体" w:hAnsi="Courier New" w:eastAsia="宋体"/>
      <w:spacing w:val="-4"/>
      <w:kern w:val="2"/>
      <w:sz w:val="18"/>
      <w:lang w:val="en-US" w:eastAsia="zh-CN" w:bidi="ar-SA"/>
    </w:rPr>
  </w:style>
  <w:style w:type="character" w:customStyle="1" w:styleId="53">
    <w:name w:val="font11"/>
    <w:qFormat/>
    <w:uiPriority w:val="0"/>
    <w:rPr>
      <w:rFonts w:hint="default" w:ascii="Tahoma" w:hAnsi="Tahoma" w:cs="Tahoma"/>
      <w:color w:val="000000"/>
      <w:sz w:val="22"/>
      <w:szCs w:val="22"/>
      <w:u w:val="none"/>
    </w:rPr>
  </w:style>
  <w:style w:type="character" w:customStyle="1" w:styleId="54">
    <w:name w:val="普通文字 Char Char1"/>
    <w:semiHidden/>
    <w:qFormat/>
    <w:uiPriority w:val="0"/>
    <w:rPr>
      <w:rFonts w:ascii="宋体" w:hAnsi="Courier New" w:eastAsia="宋体"/>
      <w:kern w:val="2"/>
      <w:sz w:val="21"/>
      <w:lang w:val="en-US" w:eastAsia="zh-CN" w:bidi="ar-SA"/>
    </w:rPr>
  </w:style>
  <w:style w:type="character" w:customStyle="1" w:styleId="55">
    <w:name w:val="批注文字 Char"/>
    <w:link w:val="14"/>
    <w:qFormat/>
    <w:uiPriority w:val="0"/>
    <w:rPr>
      <w:rFonts w:eastAsia="宋体"/>
      <w:kern w:val="2"/>
      <w:sz w:val="21"/>
      <w:szCs w:val="24"/>
      <w:lang w:val="en-US" w:eastAsia="zh-CN" w:bidi="ar-SA"/>
    </w:rPr>
  </w:style>
  <w:style w:type="character" w:customStyle="1" w:styleId="56">
    <w:name w:val="标题 8 Char"/>
    <w:link w:val="10"/>
    <w:qFormat/>
    <w:uiPriority w:val="0"/>
    <w:rPr>
      <w:rFonts w:ascii="Arial" w:hAnsi="Arial" w:eastAsia="黑体"/>
      <w:sz w:val="24"/>
    </w:rPr>
  </w:style>
  <w:style w:type="character" w:customStyle="1" w:styleId="57">
    <w:name w:val="font31"/>
    <w:qFormat/>
    <w:uiPriority w:val="0"/>
    <w:rPr>
      <w:rFonts w:hint="eastAsia" w:ascii="宋体" w:hAnsi="宋体" w:eastAsia="宋体"/>
      <w:color w:val="000000"/>
      <w:sz w:val="22"/>
      <w:szCs w:val="22"/>
      <w:u w:val="none"/>
    </w:rPr>
  </w:style>
  <w:style w:type="character" w:customStyle="1" w:styleId="58">
    <w:name w:val="页眉 Char"/>
    <w:link w:val="26"/>
    <w:qFormat/>
    <w:uiPriority w:val="0"/>
    <w:rPr>
      <w:rFonts w:ascii="宋体" w:hAnsi="Courier New" w:eastAsia="宋体" w:cs="Times New Roman"/>
      <w:sz w:val="18"/>
      <w:szCs w:val="20"/>
    </w:rPr>
  </w:style>
  <w:style w:type="character" w:customStyle="1" w:styleId="59">
    <w:name w:val="纯文本 Char"/>
    <w:qFormat/>
    <w:uiPriority w:val="0"/>
    <w:rPr>
      <w:rFonts w:ascii="宋体" w:hAnsi="Courier New" w:eastAsia="宋体" w:cs="Courier New"/>
      <w:szCs w:val="21"/>
    </w:rPr>
  </w:style>
  <w:style w:type="character" w:customStyle="1" w:styleId="60">
    <w:name w:val="style54"/>
    <w:basedOn w:val="38"/>
    <w:qFormat/>
    <w:uiPriority w:val="0"/>
  </w:style>
  <w:style w:type="character" w:customStyle="1" w:styleId="61">
    <w:name w:val="正文文本缩进 2 Char"/>
    <w:link w:val="23"/>
    <w:qFormat/>
    <w:uiPriority w:val="0"/>
    <w:rPr>
      <w:rFonts w:ascii="Times New Roman" w:hAnsi="Times New Roman" w:eastAsia="宋体" w:cs="Times New Roman"/>
      <w:szCs w:val="24"/>
    </w:rPr>
  </w:style>
  <w:style w:type="character" w:customStyle="1" w:styleId="62">
    <w:name w:val="日期 Char"/>
    <w:link w:val="22"/>
    <w:qFormat/>
    <w:uiPriority w:val="0"/>
    <w:rPr>
      <w:rFonts w:ascii="Times New Roman" w:hAnsi="Times New Roman" w:eastAsia="宋体" w:cs="Times New Roman"/>
      <w:spacing w:val="30"/>
      <w:sz w:val="28"/>
      <w:szCs w:val="24"/>
    </w:rPr>
  </w:style>
  <w:style w:type="character" w:customStyle="1" w:styleId="63">
    <w:name w:val="font01"/>
    <w:qFormat/>
    <w:uiPriority w:val="0"/>
    <w:rPr>
      <w:rFonts w:hint="eastAsia" w:ascii="宋体" w:hAnsi="宋体" w:eastAsia="宋体"/>
      <w:color w:val="000000"/>
      <w:sz w:val="22"/>
      <w:szCs w:val="22"/>
      <w:u w:val="none"/>
    </w:rPr>
  </w:style>
  <w:style w:type="character" w:customStyle="1" w:styleId="64">
    <w:name w:val="纯文本 Char1"/>
    <w:link w:val="20"/>
    <w:qFormat/>
    <w:uiPriority w:val="0"/>
    <w:rPr>
      <w:rFonts w:ascii="宋体" w:hAnsi="Courier New" w:eastAsia="宋体" w:cs="Times New Roman"/>
      <w:szCs w:val="20"/>
    </w:rPr>
  </w:style>
  <w:style w:type="character" w:customStyle="1" w:styleId="65">
    <w:name w:val="标题 7 Char"/>
    <w:link w:val="9"/>
    <w:qFormat/>
    <w:uiPriority w:val="0"/>
    <w:rPr>
      <w:b/>
      <w:sz w:val="24"/>
    </w:rPr>
  </w:style>
  <w:style w:type="character" w:customStyle="1" w:styleId="66">
    <w:name w:val="1051"/>
    <w:qFormat/>
    <w:uiPriority w:val="0"/>
    <w:rPr>
      <w:sz w:val="21"/>
      <w:szCs w:val="21"/>
    </w:rPr>
  </w:style>
  <w:style w:type="character" w:customStyle="1" w:styleId="67">
    <w:name w:val="批注框文本 Char"/>
    <w:link w:val="24"/>
    <w:semiHidden/>
    <w:qFormat/>
    <w:uiPriority w:val="0"/>
    <w:rPr>
      <w:rFonts w:ascii="Times New Roman" w:hAnsi="Times New Roman" w:eastAsia="宋体" w:cs="Times New Roman"/>
      <w:sz w:val="18"/>
      <w:szCs w:val="18"/>
    </w:rPr>
  </w:style>
  <w:style w:type="character" w:customStyle="1" w:styleId="68">
    <w:name w:val="页脚 Char"/>
    <w:link w:val="25"/>
    <w:qFormat/>
    <w:uiPriority w:val="99"/>
    <w:rPr>
      <w:rFonts w:ascii="宋体" w:hAnsi="Courier New" w:eastAsia="宋体" w:cs="Times New Roman"/>
      <w:sz w:val="18"/>
      <w:szCs w:val="20"/>
    </w:rPr>
  </w:style>
  <w:style w:type="character" w:customStyle="1" w:styleId="69">
    <w:name w:val="正文文本 Char"/>
    <w:link w:val="16"/>
    <w:qFormat/>
    <w:uiPriority w:val="0"/>
    <w:rPr>
      <w:rFonts w:ascii="宋体" w:hAnsi="Times New Roman" w:eastAsia="宋体" w:cs="Times New Roman"/>
      <w:kern w:val="0"/>
      <w:sz w:val="34"/>
      <w:szCs w:val="20"/>
    </w:rPr>
  </w:style>
  <w:style w:type="character" w:customStyle="1" w:styleId="70">
    <w:name w:val="标准文本 Char"/>
    <w:link w:val="71"/>
    <w:qFormat/>
    <w:uiPriority w:val="0"/>
    <w:rPr>
      <w:rFonts w:cs="宋体"/>
      <w:kern w:val="2"/>
      <w:sz w:val="24"/>
    </w:rPr>
  </w:style>
  <w:style w:type="paragraph" w:customStyle="1" w:styleId="71">
    <w:name w:val="标准文本"/>
    <w:basedOn w:val="1"/>
    <w:link w:val="70"/>
    <w:qFormat/>
    <w:uiPriority w:val="0"/>
    <w:pPr>
      <w:spacing w:line="360" w:lineRule="auto"/>
      <w:ind w:firstLine="480" w:firstLineChars="200"/>
    </w:pPr>
    <w:rPr>
      <w:sz w:val="24"/>
      <w:szCs w:val="20"/>
    </w:rPr>
  </w:style>
  <w:style w:type="character" w:customStyle="1" w:styleId="72">
    <w:name w:val="font41"/>
    <w:qFormat/>
    <w:uiPriority w:val="0"/>
    <w:rPr>
      <w:rFonts w:hint="eastAsia" w:ascii="宋体" w:hAnsi="宋体" w:eastAsia="宋体"/>
      <w:b/>
      <w:bCs/>
      <w:color w:val="000000"/>
      <w:sz w:val="22"/>
      <w:szCs w:val="22"/>
      <w:u w:val="none"/>
    </w:rPr>
  </w:style>
  <w:style w:type="character" w:customStyle="1" w:styleId="73">
    <w:name w:val="unnamed21"/>
    <w:basedOn w:val="38"/>
    <w:qFormat/>
    <w:uiPriority w:val="0"/>
  </w:style>
  <w:style w:type="character" w:customStyle="1" w:styleId="74">
    <w:name w:val="正文文本缩进 Char"/>
    <w:link w:val="17"/>
    <w:qFormat/>
    <w:uiPriority w:val="0"/>
    <w:rPr>
      <w:rFonts w:ascii="宋体" w:hAnsi="Courier New" w:eastAsia="宋体" w:cs="Times New Roman"/>
      <w:spacing w:val="-4"/>
      <w:sz w:val="18"/>
      <w:szCs w:val="20"/>
    </w:rPr>
  </w:style>
  <w:style w:type="character" w:customStyle="1" w:styleId="75">
    <w:name w:val="style51"/>
    <w:basedOn w:val="38"/>
    <w:qFormat/>
    <w:uiPriority w:val="0"/>
  </w:style>
  <w:style w:type="character" w:customStyle="1" w:styleId="76">
    <w:name w:val="文档结构图 Char"/>
    <w:link w:val="13"/>
    <w:semiHidden/>
    <w:qFormat/>
    <w:uiPriority w:val="0"/>
    <w:rPr>
      <w:rFonts w:ascii="Times New Roman" w:hAnsi="Times New Roman" w:eastAsia="宋体" w:cs="Times New Roman"/>
      <w:szCs w:val="24"/>
      <w:shd w:val="clear" w:color="auto" w:fill="000080"/>
    </w:rPr>
  </w:style>
  <w:style w:type="character" w:customStyle="1" w:styleId="77">
    <w:name w:val="纯文本 Char Char Char"/>
    <w:qFormat/>
    <w:uiPriority w:val="0"/>
    <w:rPr>
      <w:rFonts w:ascii="宋体" w:hAnsi="Courier New" w:eastAsia="宋体" w:cs="Courier New"/>
      <w:kern w:val="2"/>
      <w:sz w:val="21"/>
      <w:szCs w:val="21"/>
      <w:lang w:val="en-US" w:eastAsia="zh-CN" w:bidi="ar-SA"/>
    </w:rPr>
  </w:style>
  <w:style w:type="character" w:customStyle="1" w:styleId="78">
    <w:name w:val="标题 1 Char"/>
    <w:link w:val="2"/>
    <w:qFormat/>
    <w:uiPriority w:val="0"/>
    <w:rPr>
      <w:b/>
      <w:bCs/>
      <w:kern w:val="2"/>
      <w:sz w:val="32"/>
      <w:szCs w:val="24"/>
    </w:rPr>
  </w:style>
  <w:style w:type="character" w:customStyle="1" w:styleId="79">
    <w:name w:val="标题 5 Char"/>
    <w:link w:val="6"/>
    <w:qFormat/>
    <w:uiPriority w:val="0"/>
    <w:rPr>
      <w:b/>
      <w:sz w:val="28"/>
    </w:rPr>
  </w:style>
  <w:style w:type="character" w:customStyle="1" w:styleId="80">
    <w:name w:val="正文文本缩进 3 Char"/>
    <w:link w:val="29"/>
    <w:qFormat/>
    <w:uiPriority w:val="0"/>
    <w:rPr>
      <w:rFonts w:ascii="Times New Roman" w:hAnsi="Times New Roman" w:eastAsia="宋体" w:cs="Times New Roman"/>
      <w:szCs w:val="24"/>
    </w:rPr>
  </w:style>
  <w:style w:type="character" w:customStyle="1" w:styleId="81">
    <w:name w:val="HTML 预设格式 Char"/>
    <w:link w:val="31"/>
    <w:qFormat/>
    <w:uiPriority w:val="0"/>
    <w:rPr>
      <w:rFonts w:ascii="黑体" w:hAnsi="Courier New" w:eastAsia="黑体" w:cs="Courier New"/>
      <w:kern w:val="0"/>
      <w:sz w:val="20"/>
      <w:szCs w:val="20"/>
    </w:rPr>
  </w:style>
  <w:style w:type="character" w:customStyle="1" w:styleId="82">
    <w:name w:val="标题 2 Char"/>
    <w:link w:val="3"/>
    <w:qFormat/>
    <w:uiPriority w:val="0"/>
    <w:rPr>
      <w:rFonts w:ascii="Arial" w:hAnsi="Arial" w:eastAsia="黑体" w:cs="Times New Roman"/>
      <w:b/>
      <w:bCs/>
      <w:sz w:val="32"/>
      <w:szCs w:val="32"/>
    </w:rPr>
  </w:style>
  <w:style w:type="character" w:customStyle="1" w:styleId="83">
    <w:name w:val="标题 9 Char"/>
    <w:link w:val="11"/>
    <w:qFormat/>
    <w:uiPriority w:val="0"/>
    <w:rPr>
      <w:rFonts w:ascii="Arial" w:hAnsi="Arial" w:eastAsia="黑体"/>
    </w:rPr>
  </w:style>
  <w:style w:type="character" w:customStyle="1" w:styleId="84">
    <w:name w:val="正文缩进 Char"/>
    <w:link w:val="7"/>
    <w:qFormat/>
    <w:locked/>
    <w:uiPriority w:val="0"/>
    <w:rPr>
      <w:rFonts w:ascii="Times New Roman" w:hAnsi="Times New Roman" w:eastAsia="宋体" w:cs="Times New Roman"/>
      <w:szCs w:val="20"/>
    </w:rPr>
  </w:style>
  <w:style w:type="paragraph" w:customStyle="1" w:styleId="85">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86">
    <w:name w:val="Table Paragraph"/>
    <w:basedOn w:val="1"/>
    <w:qFormat/>
    <w:uiPriority w:val="1"/>
    <w:pPr>
      <w:ind w:left="100" w:right="-10"/>
      <w:jc w:val="left"/>
    </w:pPr>
    <w:rPr>
      <w:rFonts w:ascii="宋体" w:hAnsi="宋体" w:cs="宋体"/>
      <w:kern w:val="0"/>
      <w:sz w:val="22"/>
      <w:szCs w:val="22"/>
      <w:lang w:eastAsia="en-US"/>
    </w:rPr>
  </w:style>
  <w:style w:type="paragraph" w:styleId="87">
    <w:name w:val="List Paragraph"/>
    <w:basedOn w:val="1"/>
    <w:qFormat/>
    <w:uiPriority w:val="99"/>
    <w:pPr>
      <w:ind w:firstLine="420" w:firstLineChars="200"/>
    </w:pPr>
    <w:rPr>
      <w:rFonts w:ascii="Calibri" w:hAnsi="Calibri"/>
      <w:szCs w:val="22"/>
    </w:rPr>
  </w:style>
  <w:style w:type="paragraph" w:customStyle="1" w:styleId="88">
    <w:name w:val="Char"/>
    <w:basedOn w:val="13"/>
    <w:qFormat/>
    <w:uiPriority w:val="0"/>
    <w:rPr>
      <w:rFonts w:ascii="Tahoma" w:hAnsi="Tahoma"/>
      <w:sz w:val="24"/>
    </w:rPr>
  </w:style>
  <w:style w:type="paragraph" w:customStyle="1" w:styleId="8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90">
    <w:name w:val="p15"/>
    <w:basedOn w:val="1"/>
    <w:qFormat/>
    <w:uiPriority w:val="0"/>
    <w:pPr>
      <w:widowControl/>
    </w:pPr>
    <w:rPr>
      <w:rFonts w:ascii="宋体" w:hAnsi="宋体" w:cs="宋体"/>
      <w:kern w:val="0"/>
      <w:szCs w:val="21"/>
    </w:rPr>
  </w:style>
  <w:style w:type="paragraph" w:customStyle="1" w:styleId="91">
    <w:name w:val="样式3"/>
    <w:basedOn w:val="16"/>
    <w:qFormat/>
    <w:uiPriority w:val="0"/>
    <w:pPr>
      <w:adjustRightInd/>
      <w:spacing w:line="360" w:lineRule="auto"/>
      <w:jc w:val="both"/>
    </w:pPr>
    <w:rPr>
      <w:kern w:val="2"/>
      <w:sz w:val="21"/>
      <w:szCs w:val="24"/>
    </w:rPr>
  </w:style>
  <w:style w:type="paragraph" w:customStyle="1" w:styleId="92">
    <w:name w:val="Char Char Char Char Char Char Char"/>
    <w:basedOn w:val="1"/>
    <w:qFormat/>
    <w:uiPriority w:val="0"/>
  </w:style>
  <w:style w:type="paragraph" w:customStyle="1" w:styleId="93">
    <w:name w:val="Char Char Char Char"/>
    <w:basedOn w:val="13"/>
    <w:qFormat/>
    <w:uiPriority w:val="0"/>
    <w:rPr>
      <w:rFonts w:ascii="Tahoma" w:hAnsi="Tahoma"/>
      <w:sz w:val="24"/>
    </w:rPr>
  </w:style>
  <w:style w:type="paragraph" w:customStyle="1" w:styleId="94">
    <w:name w:val="样式1"/>
    <w:basedOn w:val="1"/>
    <w:qFormat/>
    <w:uiPriority w:val="0"/>
  </w:style>
  <w:style w:type="paragraph" w:customStyle="1" w:styleId="95">
    <w:name w:val="列出段落1"/>
    <w:basedOn w:val="1"/>
    <w:qFormat/>
    <w:uiPriority w:val="34"/>
    <w:pPr>
      <w:ind w:firstLine="420" w:firstLineChars="200"/>
    </w:pPr>
  </w:style>
  <w:style w:type="paragraph" w:customStyle="1" w:styleId="96">
    <w:name w:val="TOC 标题1"/>
    <w:basedOn w:val="2"/>
    <w:next w:val="1"/>
    <w:unhideWhenUsed/>
    <w:qFormat/>
    <w:uiPriority w:val="39"/>
    <w:pPr>
      <w:keepLines/>
      <w:widowControl/>
      <w:spacing w:before="480" w:line="276" w:lineRule="auto"/>
      <w:jc w:val="left"/>
      <w:outlineLvl w:val="9"/>
    </w:pPr>
    <w:rPr>
      <w:rFonts w:ascii="Cambria" w:hAnsi="Cambria" w:cs="黑体"/>
      <w:color w:val="365F90"/>
      <w:kern w:val="0"/>
      <w:sz w:val="28"/>
      <w:szCs w:val="28"/>
    </w:rPr>
  </w:style>
  <w:style w:type="paragraph" w:customStyle="1" w:styleId="97">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9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99">
    <w:name w:val="Char Char Char Char Char Char1 Char1"/>
    <w:basedOn w:val="1"/>
    <w:qFormat/>
    <w:uiPriority w:val="0"/>
    <w:pPr>
      <w:widowControl/>
      <w:spacing w:after="160" w:line="240" w:lineRule="exact"/>
      <w:jc w:val="left"/>
    </w:pPr>
    <w:rPr>
      <w:rFonts w:ascii="Arial" w:hAnsi="Arial" w:eastAsia="楷体_GB2312" w:cs="Verdana"/>
      <w:b/>
      <w:kern w:val="0"/>
      <w:sz w:val="24"/>
      <w:lang w:eastAsia="en-US"/>
    </w:rPr>
  </w:style>
  <w:style w:type="paragraph" w:customStyle="1" w:styleId="100">
    <w:name w:val="默认段落字体 Para Char Char Char Char Char Char Char Char Char1 Char Char Char Char"/>
    <w:basedOn w:val="1"/>
    <w:qFormat/>
    <w:uiPriority w:val="0"/>
    <w:rPr>
      <w:rFonts w:ascii="Tahoma" w:hAnsi="Tahoma"/>
      <w:sz w:val="24"/>
      <w:szCs w:val="20"/>
    </w:rPr>
  </w:style>
  <w:style w:type="paragraph" w:customStyle="1" w:styleId="101">
    <w:name w:val="Char1"/>
    <w:basedOn w:val="13"/>
    <w:qFormat/>
    <w:uiPriority w:val="0"/>
    <w:pPr>
      <w:widowControl/>
      <w:ind w:firstLine="454"/>
      <w:jc w:val="left"/>
    </w:pPr>
    <w:rPr>
      <w:rFonts w:ascii="Tahoma" w:hAnsi="Tahoma" w:cs="宋体"/>
      <w:sz w:val="24"/>
      <w:szCs w:val="20"/>
    </w:rPr>
  </w:style>
  <w:style w:type="paragraph" w:customStyle="1" w:styleId="102">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0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4">
    <w:name w:val="p0"/>
    <w:basedOn w:val="1"/>
    <w:qFormat/>
    <w:uiPriority w:val="0"/>
    <w:pPr>
      <w:widowControl/>
    </w:pPr>
    <w:rPr>
      <w:kern w:val="0"/>
      <w:szCs w:val="21"/>
    </w:rPr>
  </w:style>
  <w:style w:type="paragraph" w:customStyle="1" w:styleId="105">
    <w:name w:val="xl2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kern w:val="0"/>
      <w:sz w:val="20"/>
      <w:szCs w:val="20"/>
    </w:rPr>
  </w:style>
  <w:style w:type="paragraph" w:customStyle="1" w:styleId="106">
    <w:name w:val="默认段落字体 Para Char1"/>
    <w:next w:val="1"/>
    <w:qFormat/>
    <w:uiPriority w:val="0"/>
    <w:pPr>
      <w:keepNext/>
      <w:keepLines/>
      <w:tabs>
        <w:tab w:val="left" w:pos="360"/>
      </w:tabs>
      <w:snapToGrid w:val="0"/>
      <w:spacing w:before="240" w:after="240"/>
      <w:outlineLvl w:val="7"/>
    </w:pPr>
    <w:rPr>
      <w:rFonts w:ascii="Arial" w:hAnsi="Arial" w:eastAsia="宋体" w:cs="Arial"/>
      <w:lang w:val="en-US" w:eastAsia="zh-CN" w:bidi="ar-SA"/>
    </w:rPr>
  </w:style>
  <w:style w:type="paragraph" w:customStyle="1" w:styleId="107">
    <w:name w:val="F2"/>
    <w:basedOn w:val="1"/>
    <w:qFormat/>
    <w:uiPriority w:val="0"/>
    <w:pPr>
      <w:autoSpaceDE w:val="0"/>
      <w:autoSpaceDN w:val="0"/>
      <w:adjustRightInd w:val="0"/>
      <w:ind w:firstLine="601"/>
      <w:textAlignment w:val="baseline"/>
    </w:pPr>
    <w:rPr>
      <w:kern w:val="0"/>
      <w:sz w:val="24"/>
      <w:szCs w:val="20"/>
    </w:rPr>
  </w:style>
  <w:style w:type="paragraph" w:customStyle="1" w:styleId="108">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09">
    <w:name w:val="zxz5"/>
    <w:next w:val="1"/>
    <w:qFormat/>
    <w:uiPriority w:val="0"/>
    <w:pPr>
      <w:tabs>
        <w:tab w:val="left" w:pos="0"/>
      </w:tabs>
      <w:jc w:val="center"/>
    </w:pPr>
    <w:rPr>
      <w:rFonts w:ascii="宋体" w:hAnsi="宋体" w:eastAsia="Times New Roman" w:cs="宋体"/>
      <w:bCs/>
      <w:kern w:val="2"/>
      <w:sz w:val="18"/>
      <w:szCs w:val="18"/>
      <w:lang w:val="en-US" w:eastAsia="zh-CN" w:bidi="ar-SA"/>
    </w:rPr>
  </w:style>
  <w:style w:type="paragraph" w:customStyle="1" w:styleId="11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0"/>
      <w:szCs w:val="20"/>
    </w:rPr>
  </w:style>
  <w:style w:type="paragraph" w:customStyle="1" w:styleId="111">
    <w:name w:val="列出段落2"/>
    <w:basedOn w:val="1"/>
    <w:unhideWhenUsed/>
    <w:qFormat/>
    <w:uiPriority w:val="34"/>
    <w:pPr>
      <w:ind w:firstLine="420" w:firstLineChars="200"/>
    </w:pPr>
    <w:rPr>
      <w:szCs w:val="20"/>
    </w:rPr>
  </w:style>
  <w:style w:type="paragraph" w:customStyle="1" w:styleId="112">
    <w:name w:val="_Style 5"/>
    <w:basedOn w:val="1"/>
    <w:qFormat/>
    <w:uiPriority w:val="34"/>
    <w:pPr>
      <w:spacing w:line="360" w:lineRule="auto"/>
      <w:ind w:firstLine="420" w:firstLineChars="200"/>
    </w:pPr>
    <w:rPr>
      <w:rFonts w:ascii="Calibri" w:hAnsi="Calibri"/>
      <w:szCs w:val="22"/>
    </w:rPr>
  </w:style>
  <w:style w:type="paragraph" w:customStyle="1" w:styleId="113">
    <w:name w:val="_Style 1"/>
    <w:basedOn w:val="1"/>
    <w:qFormat/>
    <w:uiPriority w:val="34"/>
    <w:pPr>
      <w:spacing w:line="360" w:lineRule="auto"/>
      <w:ind w:firstLine="420" w:firstLineChars="200"/>
    </w:pPr>
    <w:rPr>
      <w:rFonts w:ascii="Calibri" w:hAnsi="Calibri"/>
      <w:szCs w:val="22"/>
    </w:rPr>
  </w:style>
  <w:style w:type="character" w:customStyle="1" w:styleId="114">
    <w:name w:val="批注主题 Char"/>
    <w:basedOn w:val="55"/>
    <w:link w:val="34"/>
    <w:semiHidden/>
    <w:qFormat/>
    <w:uiPriority w:val="0"/>
    <w:rPr>
      <w:rFonts w:eastAsia="宋体"/>
      <w:b/>
      <w:bCs/>
      <w:kern w:val="2"/>
      <w:sz w:val="21"/>
      <w:szCs w:val="24"/>
      <w:lang w:val="en-US" w:eastAsia="zh-CN" w:bidi="ar-SA"/>
    </w:rPr>
  </w:style>
  <w:style w:type="paragraph" w:customStyle="1" w:styleId="115">
    <w:name w:val="正文段"/>
    <w:basedOn w:val="1"/>
    <w:qFormat/>
    <w:uiPriority w:val="0"/>
    <w:pPr>
      <w:widowControl/>
      <w:snapToGrid w:val="0"/>
      <w:spacing w:afterLines="50"/>
      <w:ind w:firstLine="200" w:firstLineChars="200"/>
    </w:pPr>
    <w:rPr>
      <w:kern w:val="0"/>
      <w:sz w:val="24"/>
      <w:szCs w:val="20"/>
    </w:rPr>
  </w:style>
  <w:style w:type="character" w:customStyle="1" w:styleId="116">
    <w:name w:val="批注文字 Char1"/>
    <w:basedOn w:val="38"/>
    <w:semiHidden/>
    <w:qFormat/>
    <w:locked/>
    <w:uiPriority w:val="0"/>
    <w:rPr>
      <w:kern w:val="2"/>
      <w:sz w:val="21"/>
      <w:szCs w:val="24"/>
    </w:rPr>
  </w:style>
  <w:style w:type="character" w:customStyle="1" w:styleId="117">
    <w:name w:val="正文文本 3 Char"/>
    <w:basedOn w:val="38"/>
    <w:link w:val="15"/>
    <w:semiHidden/>
    <w:qFormat/>
    <w:uiPriority w:val="0"/>
    <w:rPr>
      <w:kern w:val="2"/>
      <w:sz w:val="16"/>
      <w:szCs w:val="16"/>
    </w:rPr>
  </w:style>
  <w:style w:type="paragraph" w:customStyle="1" w:styleId="118">
    <w:name w:val="正文1"/>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19">
    <w:name w:val="项目符号A Char"/>
    <w:link w:val="120"/>
    <w:qFormat/>
    <w:uiPriority w:val="0"/>
    <w:rPr>
      <w:rFonts w:ascii="仿宋_GB2312" w:hAnsi="Arial" w:eastAsia="仿宋_GB2312"/>
      <w:spacing w:val="-4"/>
      <w:kern w:val="2"/>
      <w:sz w:val="24"/>
      <w:szCs w:val="24"/>
    </w:rPr>
  </w:style>
  <w:style w:type="paragraph" w:customStyle="1" w:styleId="120">
    <w:name w:val="项目符号A"/>
    <w:basedOn w:val="1"/>
    <w:link w:val="119"/>
    <w:qFormat/>
    <w:uiPriority w:val="0"/>
    <w:pPr>
      <w:tabs>
        <w:tab w:val="left" w:pos="1021"/>
      </w:tabs>
      <w:spacing w:line="400" w:lineRule="exact"/>
      <w:ind w:firstLine="465"/>
    </w:pPr>
    <w:rPr>
      <w:rFonts w:ascii="仿宋_GB2312" w:hAnsi="Arial" w:eastAsia="仿宋_GB2312"/>
      <w:spacing w:val="-4"/>
      <w:sz w:val="24"/>
    </w:rPr>
  </w:style>
  <w:style w:type="character" w:customStyle="1" w:styleId="121">
    <w:name w:val="article11"/>
    <w:qFormat/>
    <w:uiPriority w:val="0"/>
    <w:rPr>
      <w:color w:val="000000"/>
      <w:sz w:val="23"/>
      <w:szCs w:val="23"/>
    </w:rPr>
  </w:style>
  <w:style w:type="character" w:customStyle="1" w:styleId="122">
    <w:name w:val="case31"/>
    <w:qFormat/>
    <w:uiPriority w:val="0"/>
    <w:rPr>
      <w:rFonts w:hint="default"/>
      <w:sz w:val="21"/>
      <w:szCs w:val="21"/>
    </w:rPr>
  </w:style>
  <w:style w:type="character" w:customStyle="1" w:styleId="123">
    <w:name w:val="正文首行缩进 2 Char"/>
    <w:basedOn w:val="74"/>
    <w:link w:val="35"/>
    <w:qFormat/>
    <w:uiPriority w:val="0"/>
    <w:rPr>
      <w:rFonts w:ascii="宋体" w:hAnsi="Courier New" w:eastAsia="宋体" w:cs="Times New Roman"/>
      <w:spacing w:val="-4"/>
      <w:kern w:val="2"/>
      <w:sz w:val="21"/>
      <w:szCs w:val="24"/>
    </w:rPr>
  </w:style>
  <w:style w:type="character" w:customStyle="1" w:styleId="124">
    <w:name w:val="Char Char20"/>
    <w:qFormat/>
    <w:locked/>
    <w:uiPriority w:val="0"/>
    <w:rPr>
      <w:rFonts w:eastAsia="宋体"/>
      <w:b/>
      <w:bCs/>
      <w:kern w:val="44"/>
      <w:sz w:val="44"/>
      <w:szCs w:val="44"/>
      <w:lang w:bidi="ar-SA"/>
    </w:rPr>
  </w:style>
  <w:style w:type="paragraph" w:customStyle="1" w:styleId="125">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6">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27">
    <w:name w:val="标题 1_0"/>
    <w:basedOn w:val="128"/>
    <w:next w:val="128"/>
    <w:qFormat/>
    <w:uiPriority w:val="99"/>
    <w:pPr>
      <w:keepNext/>
      <w:keepLines/>
      <w:spacing w:line="360" w:lineRule="auto"/>
      <w:outlineLvl w:val="0"/>
    </w:pPr>
    <w:rPr>
      <w:rFonts w:ascii="Times New Roman" w:hAnsi="Times New Roman" w:eastAsia="黑体"/>
      <w:b/>
      <w:bCs/>
      <w:kern w:val="44"/>
      <w:sz w:val="44"/>
      <w:szCs w:val="44"/>
      <w:lang w:val="zh-CN"/>
    </w:rPr>
  </w:style>
  <w:style w:type="paragraph" w:customStyle="1" w:styleId="128">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9">
    <w:name w:val="正文_3_0"/>
    <w:basedOn w:val="130"/>
    <w:qFormat/>
    <w:uiPriority w:val="0"/>
    <w:rPr>
      <w:rFonts w:ascii="Calibri" w:hAnsi="Calibri"/>
    </w:rPr>
  </w:style>
  <w:style w:type="paragraph" w:customStyle="1" w:styleId="130">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1">
    <w:name w:val="标题 1_1"/>
    <w:basedOn w:val="132"/>
    <w:next w:val="129"/>
    <w:qFormat/>
    <w:uiPriority w:val="99"/>
    <w:pPr>
      <w:keepNext/>
      <w:keepLines/>
      <w:spacing w:before="340" w:after="330" w:line="578" w:lineRule="auto"/>
      <w:outlineLvl w:val="0"/>
    </w:pPr>
    <w:rPr>
      <w:rFonts w:eastAsia="黑体"/>
      <w:b/>
      <w:bCs/>
      <w:kern w:val="44"/>
      <w:sz w:val="32"/>
      <w:szCs w:val="44"/>
    </w:rPr>
  </w:style>
  <w:style w:type="paragraph" w:customStyle="1" w:styleId="132">
    <w:name w:val="正文_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3">
    <w:name w:val="普通(网站)_0"/>
    <w:basedOn w:val="134"/>
    <w:qFormat/>
    <w:uiPriority w:val="0"/>
    <w:pPr>
      <w:widowControl/>
      <w:spacing w:before="100" w:beforeAutospacing="1" w:after="100" w:afterAutospacing="1"/>
      <w:jc w:val="left"/>
    </w:pPr>
    <w:rPr>
      <w:rFonts w:ascii="宋体" w:hAnsi="宋体" w:cs="宋体"/>
      <w:kern w:val="0"/>
      <w:sz w:val="24"/>
      <w:szCs w:val="24"/>
    </w:rPr>
  </w:style>
  <w:style w:type="paragraph" w:customStyle="1" w:styleId="134">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5">
    <w:name w:val="纯文本_0"/>
    <w:basedOn w:val="134"/>
    <w:next w:val="136"/>
    <w:qFormat/>
    <w:uiPriority w:val="0"/>
    <w:rPr>
      <w:rFonts w:ascii="宋体" w:hAnsi="Courier New"/>
      <w:szCs w:val="20"/>
    </w:rPr>
  </w:style>
  <w:style w:type="paragraph" w:customStyle="1" w:styleId="136">
    <w:name w:val="标题 4_2"/>
    <w:basedOn w:val="134"/>
    <w:next w:val="134"/>
    <w:qFormat/>
    <w:uiPriority w:val="99"/>
    <w:pPr>
      <w:keepNext/>
      <w:keepLines/>
      <w:spacing w:before="280" w:after="290" w:line="376" w:lineRule="auto"/>
      <w:outlineLvl w:val="3"/>
    </w:pPr>
    <w:rPr>
      <w:rFonts w:ascii="Arial" w:hAnsi="Arial" w:eastAsia="黑体"/>
      <w:b/>
      <w:bCs/>
      <w:sz w:val="28"/>
      <w:szCs w:val="28"/>
    </w:rPr>
  </w:style>
  <w:style w:type="paragraph" w:customStyle="1" w:styleId="137">
    <w:name w:val="列出段落_0"/>
    <w:basedOn w:val="134"/>
    <w:qFormat/>
    <w:uiPriority w:val="34"/>
    <w:pPr>
      <w:ind w:firstLine="420" w:firstLineChars="200"/>
    </w:pPr>
  </w:style>
  <w:style w:type="paragraph" w:customStyle="1" w:styleId="138">
    <w:name w:val="Table Text"/>
    <w:basedOn w:val="1"/>
    <w:semiHidden/>
    <w:qFormat/>
    <w:uiPriority w:val="0"/>
    <w:rPr>
      <w:rFonts w:ascii="宋体" w:hAnsi="宋体" w:cs="宋体"/>
      <w:sz w:val="27"/>
      <w:szCs w:val="27"/>
      <w:lang w:eastAsia="en-US"/>
    </w:rPr>
  </w:style>
  <w:style w:type="table" w:customStyle="1" w:styleId="139">
    <w:name w:val="Table Normal"/>
    <w:semiHidden/>
    <w:unhideWhenUsed/>
    <w:qFormat/>
    <w:uiPriority w:val="0"/>
    <w:tblPr>
      <w:tblCellMar>
        <w:top w:w="0" w:type="dxa"/>
        <w:left w:w="0" w:type="dxa"/>
        <w:bottom w:w="0" w:type="dxa"/>
        <w:right w:w="0" w:type="dxa"/>
      </w:tblCellMar>
    </w:tblPr>
  </w:style>
  <w:style w:type="character" w:customStyle="1" w:styleId="140">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68</Pages>
  <Words>4742</Words>
  <Characters>5528</Characters>
  <Lines>428</Lines>
  <Paragraphs>120</Paragraphs>
  <TotalTime>48</TotalTime>
  <ScaleCrop>false</ScaleCrop>
  <LinksUpToDate>false</LinksUpToDate>
  <CharactersWithSpaces>5763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2025-12-31T05:21:00Z</dcterms:created>
  <dc:creator>liwenjie</dc:creator>
  <cp:lastModifiedBy>DARK</cp:lastModifiedBy>
  <cp:lastPrinted>2024-07-12T05:14:00Z</cp:lastPrinted>
  <dcterms:modified xsi:type="dcterms:W3CDTF">2026-09-30T03:35:41Z</dcterms:modified>
  <dc:title>–</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2A49C0615B95485AB19C810B6758C240_13</vt:lpwstr>
  </property>
  <property fmtid="{D5CDD505-2E9C-101B-9397-08002B2CF9AE}" pid="4" name="KSOTemplateDocerSaveRecord">
    <vt:lpwstr>eyJoZGlkIjoiY2M1YzE5NzZlNjcyZTgwMmJmYzY2OTZhNTJjOWExM2YiLCJ1c2VySWQiOiIyODI5NDM5MjAifQ==</vt:lpwstr>
  </property>
</Properties>
</file>