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1C61C">
      <w:pPr>
        <w:spacing w:line="360" w:lineRule="auto"/>
        <w:rPr>
          <w:rFonts w:hint="eastAsia" w:eastAsia="仿宋_GB2312" w:asciiTheme="minorHAnsi" w:hAnsiTheme="minorHAnsi"/>
          <w:color w:val="auto"/>
          <w:sz w:val="44"/>
          <w:szCs w:val="44"/>
          <w:highlight w:val="none"/>
          <w:lang w:val="en-GB"/>
        </w:rPr>
      </w:pPr>
    </w:p>
    <w:p w14:paraId="77C9D43E">
      <w:pPr>
        <w:spacing w:line="360" w:lineRule="auto"/>
        <w:jc w:val="center"/>
        <w:rPr>
          <w:rFonts w:hint="eastAsia" w:ascii="华文新魏" w:hAnsi="黑体" w:eastAsia="华文新魏"/>
          <w:b/>
          <w:color w:val="auto"/>
          <w:kern w:val="15"/>
          <w:sz w:val="72"/>
          <w:szCs w:val="72"/>
          <w:highlight w:val="none"/>
        </w:rPr>
      </w:pPr>
      <w:r>
        <w:rPr>
          <w:rFonts w:hint="eastAsia" w:ascii="华文新魏" w:hAnsi="黑体" w:eastAsia="华文新魏"/>
          <w:b/>
          <w:color w:val="auto"/>
          <w:kern w:val="15"/>
          <w:sz w:val="72"/>
          <w:szCs w:val="72"/>
          <w:highlight w:val="none"/>
        </w:rPr>
        <w:t>柳州市政府集中采购中心</w:t>
      </w:r>
    </w:p>
    <w:p w14:paraId="14E057F2">
      <w:pPr>
        <w:spacing w:line="360" w:lineRule="auto"/>
        <w:jc w:val="center"/>
        <w:rPr>
          <w:b/>
          <w:color w:val="auto"/>
          <w:sz w:val="52"/>
          <w:szCs w:val="52"/>
          <w:highlight w:val="none"/>
        </w:rPr>
      </w:pPr>
      <w:r>
        <w:rPr>
          <w:rFonts w:hint="eastAsia" w:ascii="黑体" w:hAnsi="黑体" w:eastAsia="黑体"/>
          <w:color w:val="auto"/>
          <w:sz w:val="72"/>
          <w:szCs w:val="72"/>
          <w:highlight w:val="none"/>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7D9A977B">
      <w:pPr>
        <w:spacing w:line="800" w:lineRule="exact"/>
        <w:jc w:val="center"/>
        <w:rPr>
          <w:rFonts w:hint="eastAsia" w:ascii="华文中宋" w:hAnsi="华文中宋" w:eastAsia="华文中宋"/>
          <w:b/>
          <w:color w:val="auto"/>
          <w:spacing w:val="200"/>
          <w:sz w:val="84"/>
          <w:szCs w:val="84"/>
          <w:highlight w:val="none"/>
        </w:rPr>
      </w:pPr>
    </w:p>
    <w:p w14:paraId="2EB24F35">
      <w:pPr>
        <w:jc w:val="center"/>
        <w:rPr>
          <w:rFonts w:hint="eastAsia" w:ascii="华文中宋" w:hAnsi="华文中宋" w:eastAsia="华文中宋"/>
          <w:b/>
          <w:color w:val="auto"/>
          <w:spacing w:val="200"/>
          <w:sz w:val="144"/>
          <w:szCs w:val="144"/>
          <w:highlight w:val="none"/>
        </w:rPr>
      </w:pPr>
      <w:r>
        <w:rPr>
          <w:rFonts w:hint="eastAsia" w:ascii="华文中宋" w:hAnsi="华文中宋" w:eastAsia="华文中宋"/>
          <w:b/>
          <w:color w:val="auto"/>
          <w:spacing w:val="200"/>
          <w:sz w:val="144"/>
          <w:szCs w:val="144"/>
          <w:highlight w:val="none"/>
        </w:rPr>
        <w:t>招标文件</w:t>
      </w:r>
    </w:p>
    <w:p w14:paraId="0995721C">
      <w:pPr>
        <w:spacing w:line="600" w:lineRule="exact"/>
        <w:jc w:val="center"/>
        <w:rPr>
          <w:b/>
          <w:color w:val="auto"/>
          <w:sz w:val="44"/>
          <w:szCs w:val="44"/>
          <w:highlight w:val="none"/>
        </w:rPr>
      </w:pPr>
    </w:p>
    <w:p w14:paraId="45474515">
      <w:pPr>
        <w:spacing w:line="600" w:lineRule="exact"/>
        <w:rPr>
          <w:b/>
          <w:color w:val="auto"/>
          <w:sz w:val="44"/>
          <w:szCs w:val="44"/>
          <w:highlight w:val="none"/>
        </w:rPr>
      </w:pPr>
    </w:p>
    <w:p w14:paraId="5A321736">
      <w:pPr>
        <w:spacing w:line="800" w:lineRule="exact"/>
        <w:ind w:left="907" w:leftChars="432"/>
        <w:rPr>
          <w:rFonts w:hint="eastAsia" w:ascii="楷体" w:hAnsi="楷体" w:eastAsia="楷体"/>
          <w:b/>
          <w:color w:val="auto"/>
          <w:sz w:val="44"/>
          <w:szCs w:val="44"/>
          <w:highlight w:val="none"/>
          <w:lang w:val="en-GB"/>
        </w:rPr>
      </w:pPr>
      <w:r>
        <w:rPr>
          <w:rFonts w:hint="eastAsia" w:ascii="楷体" w:hAnsi="楷体" w:eastAsia="楷体"/>
          <w:b/>
          <w:color w:val="auto"/>
          <w:sz w:val="44"/>
          <w:szCs w:val="44"/>
          <w:highlight w:val="none"/>
        </w:rPr>
        <w:t>项目名称：</w:t>
      </w:r>
      <w:r>
        <w:rPr>
          <w:rFonts w:ascii="楷体" w:hAnsi="楷体" w:eastAsia="楷体"/>
          <w:b/>
          <w:color w:val="auto"/>
          <w:sz w:val="44"/>
          <w:szCs w:val="44"/>
          <w:highlight w:val="none"/>
        </w:rPr>
        <w:t>中小学增补设备采购</w:t>
      </w:r>
    </w:p>
    <w:p w14:paraId="03954D42">
      <w:pPr>
        <w:spacing w:line="800" w:lineRule="exact"/>
        <w:ind w:left="907" w:leftChars="432"/>
        <w:rPr>
          <w:rFonts w:hint="eastAsia" w:ascii="楷体" w:hAnsi="楷体" w:eastAsia="楷体"/>
          <w:b/>
          <w:color w:val="auto"/>
          <w:sz w:val="44"/>
          <w:szCs w:val="44"/>
          <w:highlight w:val="none"/>
          <w:lang w:val="en-GB"/>
        </w:rPr>
      </w:pPr>
      <w:r>
        <w:rPr>
          <w:rFonts w:hint="eastAsia" w:ascii="楷体" w:hAnsi="楷体" w:eastAsia="楷体"/>
          <w:b/>
          <w:color w:val="auto"/>
          <w:sz w:val="44"/>
          <w:szCs w:val="44"/>
          <w:highlight w:val="none"/>
        </w:rPr>
        <w:t>项目编号：</w:t>
      </w:r>
      <w:r>
        <w:rPr>
          <w:rFonts w:ascii="楷体" w:hAnsi="楷体" w:eastAsia="楷体"/>
          <w:b/>
          <w:color w:val="auto"/>
          <w:sz w:val="44"/>
          <w:szCs w:val="44"/>
          <w:highlight w:val="none"/>
        </w:rPr>
        <w:t>LZZC2026-G1-990433-LZSZ</w:t>
      </w:r>
    </w:p>
    <w:p w14:paraId="475FBFE0">
      <w:pPr>
        <w:spacing w:line="800" w:lineRule="exact"/>
        <w:rPr>
          <w:rFonts w:hint="eastAsia" w:ascii="楷体" w:hAnsi="楷体" w:eastAsia="楷体"/>
          <w:b/>
          <w:color w:val="auto"/>
          <w:sz w:val="44"/>
          <w:szCs w:val="44"/>
          <w:highlight w:val="none"/>
        </w:rPr>
      </w:pPr>
    </w:p>
    <w:p w14:paraId="3F50D9AE">
      <w:pPr>
        <w:spacing w:line="800" w:lineRule="exact"/>
        <w:ind w:firstLine="663" w:firstLineChars="150"/>
        <w:jc w:val="center"/>
        <w:rPr>
          <w:rFonts w:hint="eastAsia" w:ascii="楷体" w:hAnsi="楷体" w:eastAsia="楷体"/>
          <w:b/>
          <w:color w:val="auto"/>
          <w:sz w:val="44"/>
          <w:szCs w:val="44"/>
          <w:highlight w:val="none"/>
          <w:lang w:val="en-GB"/>
        </w:rPr>
      </w:pPr>
      <w:r>
        <w:rPr>
          <w:rFonts w:hint="eastAsia" w:ascii="楷体" w:hAnsi="楷体" w:eastAsia="楷体"/>
          <w:b/>
          <w:color w:val="auto"/>
          <w:sz w:val="44"/>
          <w:szCs w:val="44"/>
          <w:highlight w:val="none"/>
        </w:rPr>
        <w:t>采购人：</w:t>
      </w:r>
      <w:r>
        <w:rPr>
          <w:rFonts w:ascii="楷体" w:hAnsi="楷体" w:eastAsia="楷体"/>
          <w:b/>
          <w:color w:val="auto"/>
          <w:sz w:val="44"/>
          <w:szCs w:val="44"/>
          <w:highlight w:val="none"/>
        </w:rPr>
        <w:t>柳州市电化教育站</w:t>
      </w:r>
    </w:p>
    <w:p w14:paraId="1BBBB1DE">
      <w:pPr>
        <w:spacing w:line="800" w:lineRule="exact"/>
        <w:ind w:firstLine="658" w:firstLineChars="149"/>
        <w:rPr>
          <w:rFonts w:hint="eastAsia" w:ascii="楷体" w:hAnsi="楷体" w:eastAsia="楷体"/>
          <w:b/>
          <w:color w:val="auto"/>
          <w:sz w:val="44"/>
          <w:szCs w:val="44"/>
          <w:highlight w:val="none"/>
        </w:rPr>
      </w:pPr>
      <w:r>
        <w:rPr>
          <w:rFonts w:hint="eastAsia" w:ascii="楷体" w:hAnsi="楷体" w:eastAsia="楷体"/>
          <w:b/>
          <w:color w:val="auto"/>
          <w:sz w:val="44"/>
          <w:szCs w:val="44"/>
          <w:highlight w:val="none"/>
        </w:rPr>
        <w:t>采购代理机构：柳州市政府集中采购中心</w:t>
      </w:r>
    </w:p>
    <w:p w14:paraId="0AA35A55">
      <w:pPr>
        <w:spacing w:line="600" w:lineRule="exact"/>
        <w:jc w:val="center"/>
        <w:rPr>
          <w:rFonts w:hint="eastAsia" w:ascii="楷体" w:hAnsi="楷体" w:eastAsia="楷体"/>
          <w:b/>
          <w:color w:val="auto"/>
          <w:sz w:val="44"/>
          <w:szCs w:val="44"/>
          <w:highlight w:val="none"/>
        </w:rPr>
      </w:pPr>
    </w:p>
    <w:p w14:paraId="37CD29B3">
      <w:pPr>
        <w:spacing w:line="600" w:lineRule="exact"/>
        <w:jc w:val="center"/>
        <w:rPr>
          <w:rFonts w:hint="eastAsia" w:ascii="楷体" w:hAnsi="楷体" w:eastAsia="楷体"/>
          <w:b/>
          <w:color w:val="auto"/>
          <w:sz w:val="44"/>
          <w:szCs w:val="44"/>
          <w:highlight w:val="none"/>
        </w:rPr>
      </w:pPr>
      <w:r>
        <w:rPr>
          <w:rFonts w:ascii="楷体" w:hAnsi="楷体" w:eastAsia="楷体"/>
          <w:b/>
          <w:color w:val="auto"/>
          <w:sz w:val="44"/>
          <w:szCs w:val="44"/>
          <w:highlight w:val="none"/>
        </w:rPr>
        <w:t>2026年</w:t>
      </w:r>
      <w:r>
        <w:rPr>
          <w:rFonts w:hint="eastAsia" w:ascii="楷体" w:hAnsi="楷体" w:eastAsia="楷体"/>
          <w:b/>
          <w:color w:val="auto"/>
          <w:sz w:val="44"/>
          <w:szCs w:val="44"/>
          <w:highlight w:val="none"/>
          <w:lang w:val="en-US" w:eastAsia="zh-CN"/>
        </w:rPr>
        <w:t>8</w:t>
      </w:r>
      <w:r>
        <w:rPr>
          <w:rFonts w:ascii="楷体" w:hAnsi="楷体" w:eastAsia="楷体"/>
          <w:b/>
          <w:color w:val="auto"/>
          <w:sz w:val="44"/>
          <w:szCs w:val="44"/>
          <w:highlight w:val="none"/>
        </w:rPr>
        <w:t>月</w:t>
      </w:r>
      <w:r>
        <w:rPr>
          <w:rFonts w:hint="eastAsia" w:ascii="楷体" w:hAnsi="楷体" w:eastAsia="楷体"/>
          <w:b/>
          <w:color w:val="auto"/>
          <w:sz w:val="44"/>
          <w:szCs w:val="44"/>
          <w:highlight w:val="none"/>
          <w:lang w:val="en-US" w:eastAsia="zh-CN"/>
        </w:rPr>
        <w:t>18</w:t>
      </w:r>
      <w:r>
        <w:rPr>
          <w:rFonts w:ascii="楷体" w:hAnsi="楷体" w:eastAsia="楷体"/>
          <w:b/>
          <w:color w:val="auto"/>
          <w:sz w:val="44"/>
          <w:szCs w:val="44"/>
          <w:highlight w:val="none"/>
        </w:rPr>
        <w:t>日</w:t>
      </w:r>
    </w:p>
    <w:p w14:paraId="23F53DD9">
      <w:pPr>
        <w:widowControl/>
        <w:jc w:val="left"/>
        <w:rPr>
          <w:rFonts w:hint="eastAsia" w:ascii="楷体" w:hAnsi="楷体" w:eastAsia="楷体"/>
          <w:b/>
          <w:color w:val="auto"/>
          <w:sz w:val="44"/>
          <w:szCs w:val="44"/>
          <w:highlight w:val="none"/>
        </w:rPr>
      </w:pPr>
    </w:p>
    <w:p w14:paraId="53067B8D">
      <w:pPr>
        <w:spacing w:line="600" w:lineRule="exact"/>
        <w:jc w:val="center"/>
        <w:rPr>
          <w:rFonts w:hint="eastAsia" w:ascii="楷体" w:hAnsi="楷体" w:eastAsia="楷体"/>
          <w:b/>
          <w:color w:val="auto"/>
          <w:sz w:val="44"/>
          <w:szCs w:val="44"/>
          <w:highlight w:val="none"/>
        </w:rPr>
      </w:pPr>
    </w:p>
    <w:p w14:paraId="54C5820E">
      <w:pPr>
        <w:spacing w:line="360" w:lineRule="auto"/>
        <w:rPr>
          <w:b/>
          <w:color w:val="auto"/>
          <w:sz w:val="52"/>
          <w:szCs w:val="52"/>
          <w:highlight w:val="none"/>
        </w:rPr>
        <w:sectPr>
          <w:headerReference r:id="rId3" w:type="first"/>
          <w:footerReference r:id="rId4" w:type="even"/>
          <w:pgSz w:w="11906" w:h="16838"/>
          <w:pgMar w:top="1440" w:right="1440" w:bottom="1440" w:left="1440" w:header="851" w:footer="992" w:gutter="0"/>
          <w:cols w:space="720" w:num="1"/>
          <w:docGrid w:type="lines" w:linePitch="312" w:charSpace="0"/>
        </w:sectPr>
      </w:pPr>
    </w:p>
    <w:p w14:paraId="381B3E9C">
      <w:pPr>
        <w:spacing w:line="360" w:lineRule="auto"/>
        <w:jc w:val="center"/>
        <w:rPr>
          <w:b/>
          <w:color w:val="auto"/>
          <w:sz w:val="52"/>
          <w:szCs w:val="52"/>
          <w:highlight w:val="none"/>
        </w:rPr>
      </w:pPr>
    </w:p>
    <w:p w14:paraId="083DB341">
      <w:pPr>
        <w:spacing w:line="360" w:lineRule="auto"/>
        <w:jc w:val="center"/>
        <w:rPr>
          <w:b/>
          <w:color w:val="auto"/>
          <w:sz w:val="52"/>
          <w:szCs w:val="52"/>
          <w:highlight w:val="none"/>
        </w:rPr>
      </w:pPr>
      <w:r>
        <w:rPr>
          <w:rFonts w:hint="eastAsia"/>
          <w:b/>
          <w:color w:val="auto"/>
          <w:sz w:val="52"/>
          <w:szCs w:val="52"/>
          <w:highlight w:val="none"/>
        </w:rPr>
        <w:t>目  录</w:t>
      </w:r>
    </w:p>
    <w:p w14:paraId="42126A27">
      <w:pPr>
        <w:spacing w:line="360" w:lineRule="auto"/>
        <w:jc w:val="center"/>
        <w:rPr>
          <w:b/>
          <w:color w:val="auto"/>
          <w:sz w:val="52"/>
          <w:szCs w:val="52"/>
          <w:highlight w:val="none"/>
        </w:rPr>
      </w:pPr>
    </w:p>
    <w:p w14:paraId="577F3415">
      <w:pPr>
        <w:pStyle w:val="33"/>
        <w:tabs>
          <w:tab w:val="right" w:leader="dot" w:pos="9746"/>
        </w:tabs>
        <w:spacing w:line="36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TOC \o "1-1" \h \z \u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"_Toc29306"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第一章 公开招标公告</w:t>
      </w:r>
      <w:r>
        <w:rPr>
          <w:rFonts w:hint="eastAsia" w:ascii="仿宋_GB2312" w:hAnsi="仿宋_GB2312" w:eastAsia="仿宋_GB2312" w:cs="仿宋_GB2312"/>
          <w:color w:val="auto"/>
          <w:sz w:val="32"/>
          <w:szCs w:val="32"/>
          <w:highlight w:val="none"/>
        </w:rPr>
        <w:tab/>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PAGEREF _Toc29306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fldChar w:fldCharType="end"/>
      </w:r>
    </w:p>
    <w:p w14:paraId="45FDE245">
      <w:pPr>
        <w:pStyle w:val="33"/>
        <w:tabs>
          <w:tab w:val="right" w:leader="dot" w:pos="9746"/>
        </w:tabs>
        <w:spacing w:line="36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"_Toc13541"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第二章 采购需求</w:t>
      </w:r>
      <w:r>
        <w:rPr>
          <w:rFonts w:hint="eastAsia" w:ascii="仿宋_GB2312" w:hAnsi="仿宋_GB2312" w:eastAsia="仿宋_GB2312" w:cs="仿宋_GB2312"/>
          <w:color w:val="auto"/>
          <w:sz w:val="32"/>
          <w:szCs w:val="32"/>
          <w:highlight w:val="none"/>
        </w:rPr>
        <w:tab/>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PAGEREF _Toc13541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5</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fldChar w:fldCharType="end"/>
      </w:r>
    </w:p>
    <w:p w14:paraId="37DE4656">
      <w:pPr>
        <w:pStyle w:val="33"/>
        <w:tabs>
          <w:tab w:val="right" w:leader="dot" w:pos="9746"/>
        </w:tabs>
        <w:spacing w:line="36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"_Toc29711"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第三章 投标人须知</w:t>
      </w:r>
      <w:r>
        <w:rPr>
          <w:rFonts w:hint="eastAsia" w:ascii="仿宋_GB2312" w:hAnsi="仿宋_GB2312" w:eastAsia="仿宋_GB2312" w:cs="仿宋_GB2312"/>
          <w:color w:val="auto"/>
          <w:sz w:val="32"/>
          <w:szCs w:val="32"/>
          <w:highlight w:val="none"/>
        </w:rPr>
        <w:tab/>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PAGEREF _Toc29711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112</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fldChar w:fldCharType="end"/>
      </w:r>
    </w:p>
    <w:p w14:paraId="653D1FD7">
      <w:pPr>
        <w:pStyle w:val="33"/>
        <w:tabs>
          <w:tab w:val="right" w:leader="dot" w:pos="9746"/>
        </w:tabs>
        <w:spacing w:line="36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"_Toc27328"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第四章 评标方法及评标标准</w:t>
      </w:r>
      <w:r>
        <w:rPr>
          <w:rFonts w:hint="eastAsia" w:ascii="仿宋_GB2312" w:hAnsi="仿宋_GB2312" w:eastAsia="仿宋_GB2312" w:cs="仿宋_GB2312"/>
          <w:color w:val="auto"/>
          <w:sz w:val="32"/>
          <w:szCs w:val="32"/>
          <w:highlight w:val="none"/>
        </w:rPr>
        <w:tab/>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PAGEREF _Toc27328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127</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fldChar w:fldCharType="end"/>
      </w:r>
    </w:p>
    <w:p w14:paraId="74FB69B2">
      <w:pPr>
        <w:pStyle w:val="33"/>
        <w:tabs>
          <w:tab w:val="right" w:leader="dot" w:pos="9746"/>
        </w:tabs>
        <w:spacing w:line="36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"_Toc21458"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第五章 合同主要条款格式及广西壮族自治区政府采购项目合同验收书格式</w:t>
      </w:r>
      <w:r>
        <w:rPr>
          <w:rFonts w:hint="eastAsia" w:ascii="仿宋_GB2312" w:hAnsi="仿宋_GB2312" w:eastAsia="仿宋_GB2312" w:cs="仿宋_GB2312"/>
          <w:color w:val="auto"/>
          <w:sz w:val="32"/>
          <w:szCs w:val="32"/>
          <w:highlight w:val="none"/>
        </w:rPr>
        <w:tab/>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PAGEREF _Toc21458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148</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fldChar w:fldCharType="end"/>
      </w:r>
    </w:p>
    <w:p w14:paraId="6C12D5C3">
      <w:pPr>
        <w:pStyle w:val="33"/>
        <w:tabs>
          <w:tab w:val="right" w:leader="dot" w:pos="9746"/>
        </w:tabs>
        <w:spacing w:line="36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"_Toc13344"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第六章 投标文件格式</w:t>
      </w:r>
      <w:r>
        <w:rPr>
          <w:rFonts w:hint="eastAsia" w:ascii="仿宋_GB2312" w:hAnsi="仿宋_GB2312" w:eastAsia="仿宋_GB2312" w:cs="仿宋_GB2312"/>
          <w:color w:val="auto"/>
          <w:sz w:val="32"/>
          <w:szCs w:val="32"/>
          <w:highlight w:val="none"/>
        </w:rPr>
        <w:tab/>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PAGEREF _Toc13344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156</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fldChar w:fldCharType="end"/>
      </w:r>
    </w:p>
    <w:p w14:paraId="299F7CAC">
      <w:pPr>
        <w:pStyle w:val="33"/>
        <w:tabs>
          <w:tab w:val="right" w:leader="dot" w:pos="9016"/>
        </w:tabs>
        <w:spacing w:line="360" w:lineRule="auto"/>
        <w:rPr>
          <w:rFonts w:hint="eastAsia" w:ascii="仿宋_GB2312" w:hAnsi="宋体" w:eastAsia="仿宋_GB2312"/>
          <w:b w:val="0"/>
          <w:bCs w:val="0"/>
          <w:caps w:val="0"/>
          <w:color w:val="auto"/>
          <w:sz w:val="32"/>
          <w:szCs w:val="32"/>
          <w:highlight w:val="none"/>
        </w:rPr>
      </w:pPr>
      <w:r>
        <w:rPr>
          <w:rFonts w:hint="eastAsia" w:ascii="仿宋_GB2312" w:hAnsi="仿宋_GB2312" w:eastAsia="仿宋_GB2312" w:cs="仿宋_GB2312"/>
          <w:color w:val="auto"/>
          <w:sz w:val="32"/>
          <w:szCs w:val="32"/>
          <w:highlight w:val="none"/>
        </w:rPr>
        <w:fldChar w:fldCharType="end"/>
      </w:r>
      <w:r>
        <w:rPr>
          <w:rFonts w:hint="eastAsia" w:ascii="仿宋_GB2312" w:hAnsi="宋体" w:eastAsia="仿宋_GB2312"/>
          <w:b w:val="0"/>
          <w:bCs w:val="0"/>
          <w:caps w:val="0"/>
          <w:color w:val="auto"/>
          <w:sz w:val="32"/>
          <w:szCs w:val="32"/>
          <w:highlight w:val="none"/>
        </w:rPr>
        <w:t xml:space="preserve"> </w:t>
      </w:r>
    </w:p>
    <w:p w14:paraId="667E9C70">
      <w:pPr>
        <w:rPr>
          <w:color w:val="auto"/>
          <w:highlight w:val="none"/>
        </w:rPr>
      </w:pPr>
    </w:p>
    <w:p w14:paraId="2244593E">
      <w:pPr>
        <w:rPr>
          <w:color w:val="auto"/>
          <w:highlight w:val="none"/>
        </w:rPr>
      </w:pPr>
    </w:p>
    <w:p w14:paraId="33207039">
      <w:pPr>
        <w:rPr>
          <w:color w:val="auto"/>
          <w:highlight w:val="none"/>
        </w:rPr>
      </w:pPr>
    </w:p>
    <w:p w14:paraId="7E7E063B">
      <w:pPr>
        <w:rPr>
          <w:color w:val="auto"/>
          <w:highlight w:val="none"/>
        </w:rPr>
      </w:pPr>
    </w:p>
    <w:p w14:paraId="43C2093C">
      <w:pPr>
        <w:rPr>
          <w:color w:val="auto"/>
          <w:highlight w:val="none"/>
        </w:rPr>
      </w:pPr>
    </w:p>
    <w:p w14:paraId="05E909C2">
      <w:pPr>
        <w:rPr>
          <w:color w:val="auto"/>
          <w:highlight w:val="none"/>
        </w:rPr>
      </w:pPr>
    </w:p>
    <w:p w14:paraId="58280B7A">
      <w:pPr>
        <w:rPr>
          <w:color w:val="auto"/>
          <w:highlight w:val="none"/>
        </w:rPr>
      </w:pPr>
    </w:p>
    <w:p w14:paraId="134D2369">
      <w:pPr>
        <w:rPr>
          <w:color w:val="auto"/>
          <w:highlight w:val="none"/>
        </w:rPr>
      </w:pPr>
    </w:p>
    <w:p w14:paraId="11542FB1">
      <w:pPr>
        <w:rPr>
          <w:color w:val="auto"/>
          <w:highlight w:val="none"/>
        </w:rPr>
      </w:pPr>
    </w:p>
    <w:p w14:paraId="65B643C8">
      <w:pPr>
        <w:rPr>
          <w:color w:val="auto"/>
          <w:highlight w:val="none"/>
        </w:rPr>
      </w:pPr>
    </w:p>
    <w:p w14:paraId="1C534F7D">
      <w:pPr>
        <w:rPr>
          <w:color w:val="auto"/>
          <w:highlight w:val="none"/>
        </w:rPr>
      </w:pPr>
    </w:p>
    <w:p w14:paraId="431D1D3E">
      <w:pPr>
        <w:widowControl/>
        <w:jc w:val="left"/>
        <w:rPr>
          <w:color w:val="auto"/>
          <w:highlight w:val="none"/>
        </w:rPr>
      </w:pPr>
    </w:p>
    <w:p w14:paraId="327F6AEE">
      <w:pPr>
        <w:rPr>
          <w:color w:val="auto"/>
          <w:highlight w:val="none"/>
        </w:rPr>
      </w:pPr>
    </w:p>
    <w:p w14:paraId="4EF79B28">
      <w:pPr>
        <w:rPr>
          <w:color w:val="auto"/>
          <w:highlight w:val="none"/>
        </w:rPr>
      </w:pPr>
    </w:p>
    <w:p w14:paraId="0C0819E3">
      <w:pPr>
        <w:rPr>
          <w:color w:val="auto"/>
          <w:highlight w:val="none"/>
        </w:rPr>
        <w:sectPr>
          <w:headerReference r:id="rId5" w:type="default"/>
          <w:footerReference r:id="rId6" w:type="default"/>
          <w:pgSz w:w="11906" w:h="16838"/>
          <w:pgMar w:top="1440" w:right="1440" w:bottom="1440" w:left="1440" w:header="851" w:footer="992" w:gutter="0"/>
          <w:cols w:space="720" w:num="1"/>
          <w:docGrid w:linePitch="312" w:charSpace="0"/>
        </w:sectPr>
      </w:pPr>
    </w:p>
    <w:p w14:paraId="2DD5D077">
      <w:pPr>
        <w:rPr>
          <w:color w:val="auto"/>
          <w:highlight w:val="none"/>
          <w:lang w:val="en-GB"/>
        </w:rPr>
      </w:pPr>
    </w:p>
    <w:p w14:paraId="7EAB2524">
      <w:pPr>
        <w:pStyle w:val="4"/>
        <w:spacing w:line="276" w:lineRule="auto"/>
        <w:jc w:val="center"/>
        <w:rPr>
          <w:color w:val="auto"/>
          <w:sz w:val="32"/>
          <w:szCs w:val="32"/>
          <w:highlight w:val="none"/>
        </w:rPr>
      </w:pPr>
      <w:bookmarkStart w:id="0" w:name="_Toc29306"/>
      <w:bookmarkStart w:id="1" w:name="_Toc16618"/>
      <w:r>
        <w:rPr>
          <w:rFonts w:hint="eastAsia"/>
          <w:color w:val="auto"/>
          <w:sz w:val="32"/>
          <w:szCs w:val="32"/>
          <w:highlight w:val="none"/>
        </w:rPr>
        <w:t>第一章 公开招标公告</w:t>
      </w:r>
      <w:bookmarkEnd w:id="0"/>
      <w:bookmarkEnd w:id="1"/>
    </w:p>
    <w:p w14:paraId="222E60FE">
      <w:pPr>
        <w:pStyle w:val="5"/>
        <w:spacing w:line="240" w:lineRule="auto"/>
        <w:ind w:right="-21" w:rightChars="-10" w:firstLine="711" w:firstLineChars="253"/>
        <w:jc w:val="both"/>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项目概况</w:t>
      </w:r>
    </w:p>
    <w:p w14:paraId="4D14E71B">
      <w:pPr>
        <w:spacing w:line="400" w:lineRule="exact"/>
        <w:ind w:right="-21" w:rightChars="-10" w:firstLine="555"/>
        <w:rPr>
          <w:rFonts w:ascii="仿宋_GB2312" w:eastAsia="仿宋_GB2312"/>
          <w:color w:val="auto"/>
          <w:sz w:val="28"/>
          <w:szCs w:val="28"/>
          <w:highlight w:val="none"/>
          <w:u w:val="single"/>
        </w:rPr>
      </w:pPr>
      <w:bookmarkStart w:id="2" w:name="_Hlk50568865"/>
      <w:r>
        <w:rPr>
          <w:rFonts w:ascii="仿宋_GB2312" w:eastAsia="仿宋_GB2312"/>
          <w:color w:val="auto"/>
          <w:sz w:val="28"/>
          <w:szCs w:val="28"/>
          <w:highlight w:val="none"/>
        </w:rPr>
        <w:t>中小学增补设备采购</w:t>
      </w:r>
      <w:r>
        <w:rPr>
          <w:rFonts w:hint="eastAsia" w:ascii="仿宋_GB2312" w:eastAsia="仿宋_GB2312"/>
          <w:color w:val="auto"/>
          <w:sz w:val="28"/>
          <w:szCs w:val="28"/>
          <w:highlight w:val="none"/>
        </w:rPr>
        <w:t>项目的潜在投标人应在广西政府采购云平台（https://www.gcy.zfcg.gxzf.gov.cn/）获取招标文件，并于</w:t>
      </w:r>
      <w:r>
        <w:rPr>
          <w:rFonts w:ascii="仿宋_GB2312" w:eastAsia="仿宋_GB2312"/>
          <w:color w:val="auto"/>
          <w:sz w:val="28"/>
          <w:szCs w:val="28"/>
          <w:highlight w:val="none"/>
        </w:rPr>
        <w:t>2026年</w:t>
      </w:r>
      <w:r>
        <w:rPr>
          <w:rFonts w:hint="eastAsia" w:ascii="仿宋_GB2312" w:eastAsia="仿宋_GB2312"/>
          <w:color w:val="auto"/>
          <w:sz w:val="28"/>
          <w:szCs w:val="28"/>
          <w:highlight w:val="none"/>
          <w:lang w:val="en-US" w:eastAsia="zh-CN"/>
        </w:rPr>
        <w:t>9</w:t>
      </w:r>
      <w:r>
        <w:rPr>
          <w:rFonts w:ascii="仿宋_GB2312" w:eastAsia="仿宋_GB2312"/>
          <w:color w:val="auto"/>
          <w:sz w:val="28"/>
          <w:szCs w:val="28"/>
          <w:highlight w:val="none"/>
        </w:rPr>
        <w:t>月</w:t>
      </w:r>
      <w:r>
        <w:rPr>
          <w:rFonts w:hint="eastAsia" w:ascii="仿宋_GB2312" w:eastAsia="仿宋_GB2312"/>
          <w:color w:val="auto"/>
          <w:sz w:val="28"/>
          <w:szCs w:val="28"/>
          <w:highlight w:val="none"/>
          <w:lang w:val="en-US" w:eastAsia="zh-CN"/>
        </w:rPr>
        <w:t>10</w:t>
      </w:r>
      <w:r>
        <w:rPr>
          <w:rFonts w:ascii="仿宋_GB2312" w:eastAsia="仿宋_GB2312"/>
          <w:color w:val="auto"/>
          <w:sz w:val="28"/>
          <w:szCs w:val="28"/>
          <w:highlight w:val="none"/>
        </w:rPr>
        <w:t>日 09:20</w:t>
      </w:r>
      <w:r>
        <w:rPr>
          <w:rFonts w:hint="eastAsia" w:ascii="仿宋_GB2312" w:eastAsia="仿宋_GB2312"/>
          <w:color w:val="auto"/>
          <w:sz w:val="28"/>
          <w:szCs w:val="28"/>
          <w:highlight w:val="none"/>
        </w:rPr>
        <w:t>（北京时间）前</w:t>
      </w:r>
      <w:bookmarkEnd w:id="2"/>
      <w:r>
        <w:rPr>
          <w:rFonts w:hint="eastAsia" w:ascii="仿宋_GB2312" w:hAnsi="仿宋_GB2312" w:eastAsia="仿宋_GB2312" w:cs="仿宋_GB2312"/>
          <w:color w:val="auto"/>
          <w:sz w:val="28"/>
          <w:szCs w:val="28"/>
          <w:highlight w:val="none"/>
        </w:rPr>
        <w:t>在线提交投标文件</w:t>
      </w:r>
      <w:r>
        <w:rPr>
          <w:rFonts w:hint="eastAsia" w:ascii="仿宋_GB2312" w:eastAsia="仿宋_GB2312"/>
          <w:color w:val="auto"/>
          <w:sz w:val="28"/>
          <w:szCs w:val="28"/>
          <w:highlight w:val="none"/>
        </w:rPr>
        <w:t>。</w:t>
      </w:r>
    </w:p>
    <w:p w14:paraId="35F2D8F7">
      <w:pPr>
        <w:spacing w:line="400" w:lineRule="exact"/>
        <w:ind w:right="-21" w:rightChars="-10" w:firstLine="562" w:firstLineChars="200"/>
        <w:rPr>
          <w:rFonts w:hint="eastAsia" w:ascii="黑体" w:hAnsi="黑体" w:eastAsia="黑体" w:cs="黑体"/>
          <w:b/>
          <w:bCs/>
          <w:color w:val="auto"/>
          <w:sz w:val="28"/>
          <w:szCs w:val="28"/>
          <w:highlight w:val="none"/>
        </w:rPr>
      </w:pPr>
      <w:bookmarkStart w:id="3" w:name="_Hlk53504521"/>
      <w:r>
        <w:rPr>
          <w:rFonts w:hint="eastAsia" w:ascii="黑体" w:hAnsi="黑体" w:eastAsia="黑体" w:cs="黑体"/>
          <w:b/>
          <w:bCs/>
          <w:color w:val="auto"/>
          <w:sz w:val="28"/>
          <w:szCs w:val="28"/>
          <w:highlight w:val="none"/>
        </w:rPr>
        <w:t>一、项目基本情况</w:t>
      </w:r>
    </w:p>
    <w:bookmarkEnd w:id="3"/>
    <w:p w14:paraId="407A539F">
      <w:pPr>
        <w:pStyle w:val="74"/>
        <w:spacing w:line="400" w:lineRule="exact"/>
        <w:ind w:right="-21" w:rightChars="-10" w:firstLine="560"/>
        <w:rPr>
          <w:rFonts w:ascii="仿宋_GB2312" w:eastAsia="仿宋_GB2312"/>
          <w:color w:val="auto"/>
          <w:sz w:val="28"/>
          <w:szCs w:val="28"/>
          <w:highlight w:val="none"/>
        </w:rPr>
      </w:pPr>
      <w:r>
        <w:rPr>
          <w:rFonts w:hint="eastAsia" w:ascii="仿宋_GB2312" w:eastAsia="仿宋_GB2312"/>
          <w:color w:val="auto"/>
          <w:sz w:val="28"/>
          <w:szCs w:val="28"/>
          <w:highlight w:val="none"/>
        </w:rPr>
        <w:t>项目编号：</w:t>
      </w:r>
      <w:r>
        <w:rPr>
          <w:rFonts w:ascii="仿宋_GB2312" w:eastAsia="仿宋_GB2312"/>
          <w:color w:val="auto"/>
          <w:sz w:val="28"/>
          <w:szCs w:val="28"/>
          <w:highlight w:val="none"/>
        </w:rPr>
        <w:t>LZZC2026-G1-990433-LZSZ</w:t>
      </w:r>
    </w:p>
    <w:p w14:paraId="2FE6D713">
      <w:pPr>
        <w:pStyle w:val="74"/>
        <w:spacing w:line="400" w:lineRule="exact"/>
        <w:ind w:right="-21" w:rightChars="-10" w:firstLine="560"/>
        <w:rPr>
          <w:rFonts w:ascii="仿宋_GB2312" w:eastAsia="仿宋_GB2312"/>
          <w:color w:val="auto"/>
          <w:sz w:val="28"/>
          <w:szCs w:val="28"/>
          <w:highlight w:val="none"/>
        </w:rPr>
      </w:pPr>
      <w:r>
        <w:rPr>
          <w:rFonts w:hint="eastAsia" w:ascii="仿宋_GB2312" w:eastAsia="仿宋_GB2312"/>
          <w:color w:val="auto"/>
          <w:sz w:val="28"/>
          <w:szCs w:val="28"/>
          <w:highlight w:val="none"/>
        </w:rPr>
        <w:t>项目名称：</w:t>
      </w:r>
      <w:r>
        <w:rPr>
          <w:rFonts w:ascii="仿宋_GB2312" w:eastAsia="仿宋_GB2312"/>
          <w:color w:val="auto"/>
          <w:sz w:val="28"/>
          <w:szCs w:val="28"/>
          <w:highlight w:val="none"/>
        </w:rPr>
        <w:t>中小学增补设备采购</w:t>
      </w:r>
    </w:p>
    <w:p w14:paraId="45D5C559">
      <w:pPr>
        <w:pStyle w:val="74"/>
        <w:spacing w:line="400" w:lineRule="exact"/>
        <w:ind w:right="-21" w:rightChars="-10" w:firstLine="560"/>
        <w:rPr>
          <w:rFonts w:ascii="仿宋_GB2312" w:eastAsia="仿宋_GB2312"/>
          <w:color w:val="auto"/>
          <w:sz w:val="28"/>
          <w:szCs w:val="28"/>
          <w:highlight w:val="none"/>
        </w:rPr>
      </w:pPr>
      <w:r>
        <w:rPr>
          <w:rFonts w:hint="eastAsia" w:ascii="仿宋_GB2312" w:eastAsia="仿宋_GB2312"/>
          <w:color w:val="auto"/>
          <w:sz w:val="28"/>
          <w:szCs w:val="28"/>
          <w:highlight w:val="none"/>
        </w:rPr>
        <w:t>预算总金额</w:t>
      </w:r>
      <w:bookmarkStart w:id="4" w:name="_Hlk50568912"/>
      <w:r>
        <w:rPr>
          <w:rFonts w:hint="eastAsia" w:ascii="仿宋_GB2312" w:eastAsia="仿宋_GB2312"/>
          <w:color w:val="auto"/>
          <w:sz w:val="28"/>
          <w:szCs w:val="28"/>
          <w:highlight w:val="none"/>
        </w:rPr>
        <w:t>（元）</w:t>
      </w:r>
      <w:bookmarkEnd w:id="4"/>
      <w:r>
        <w:rPr>
          <w:rFonts w:hint="eastAsia" w:ascii="仿宋_GB2312" w:eastAsia="仿宋_GB2312"/>
          <w:color w:val="auto"/>
          <w:sz w:val="28"/>
          <w:szCs w:val="28"/>
          <w:highlight w:val="none"/>
        </w:rPr>
        <w:t>：</w:t>
      </w:r>
      <w:r>
        <w:rPr>
          <w:rFonts w:ascii="仿宋_GB2312" w:hAnsi="Times New Roman" w:eastAsia="仿宋_GB2312"/>
          <w:color w:val="auto"/>
          <w:sz w:val="28"/>
          <w:szCs w:val="28"/>
          <w:highlight w:val="none"/>
        </w:rPr>
        <w:t>3294260</w:t>
      </w:r>
    </w:p>
    <w:p w14:paraId="3500D22E">
      <w:pPr>
        <w:spacing w:line="400" w:lineRule="exact"/>
        <w:ind w:right="-21" w:rightChars="-10"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采购需求：</w:t>
      </w:r>
    </w:p>
    <w:p w14:paraId="7B8C094C">
      <w:pPr>
        <w:spacing w:line="400" w:lineRule="exact"/>
        <w:ind w:right="-21" w:rightChars="-10"/>
        <w:rPr>
          <w:rFonts w:ascii="仿宋_GB2312" w:eastAsia="仿宋_GB2312"/>
          <w:b/>
          <w:color w:val="auto"/>
          <w:sz w:val="28"/>
          <w:szCs w:val="28"/>
          <w:highlight w:val="none"/>
        </w:rPr>
      </w:pPr>
      <w:r>
        <w:rPr>
          <w:rFonts w:ascii="仿宋" w:hAnsi="仿宋" w:eastAsia="仿宋"/>
          <w:bCs/>
          <w:color w:val="auto"/>
          <w:sz w:val="24"/>
          <w:highlight w:val="none"/>
        </w:rPr>
        <w:t>标项一
</w:t>
      </w:r>
      <w:r>
        <w:rPr>
          <w:rFonts w:ascii="仿宋" w:hAnsi="仿宋" w:eastAsia="仿宋"/>
          <w:bCs/>
          <w:color w:val="auto"/>
          <w:sz w:val="24"/>
          <w:highlight w:val="none"/>
        </w:rPr>
        <w:cr/>
      </w:r>
      <w:r>
        <w:rPr>
          <w:rFonts w:ascii="仿宋" w:hAnsi="仿宋" w:eastAsia="仿宋"/>
          <w:bCs/>
          <w:color w:val="auto"/>
          <w:sz w:val="24"/>
          <w:highlight w:val="none"/>
        </w:rPr>
        <w:t>标项名称：中小学教师电脑、教室一体机及学生机房更新采购
</w:t>
      </w:r>
      <w:r>
        <w:rPr>
          <w:rFonts w:ascii="仿宋" w:hAnsi="仿宋" w:eastAsia="仿宋"/>
          <w:bCs/>
          <w:color w:val="auto"/>
          <w:sz w:val="24"/>
          <w:highlight w:val="none"/>
        </w:rPr>
        <w:cr/>
      </w:r>
      <w:r>
        <w:rPr>
          <w:rFonts w:ascii="仿宋" w:hAnsi="仿宋" w:eastAsia="仿宋"/>
          <w:bCs/>
          <w:color w:val="auto"/>
          <w:sz w:val="24"/>
          <w:highlight w:val="none"/>
        </w:rPr>
        <w:t>数量：1
</w:t>
      </w:r>
      <w:r>
        <w:rPr>
          <w:rFonts w:ascii="仿宋" w:hAnsi="仿宋" w:eastAsia="仿宋"/>
          <w:bCs/>
          <w:color w:val="auto"/>
          <w:sz w:val="24"/>
          <w:highlight w:val="none"/>
        </w:rPr>
        <w:cr/>
      </w:r>
      <w:r>
        <w:rPr>
          <w:rFonts w:ascii="仿宋" w:hAnsi="仿宋" w:eastAsia="仿宋"/>
          <w:bCs/>
          <w:color w:val="auto"/>
          <w:sz w:val="24"/>
          <w:highlight w:val="none"/>
        </w:rPr>
        <w:t>预算金额（元）：1732000
</w:t>
      </w:r>
      <w:r>
        <w:rPr>
          <w:rFonts w:ascii="仿宋" w:hAnsi="仿宋" w:eastAsia="仿宋"/>
          <w:bCs/>
          <w:color w:val="auto"/>
          <w:sz w:val="24"/>
          <w:highlight w:val="none"/>
        </w:rPr>
        <w:cr/>
      </w:r>
      <w:r>
        <w:rPr>
          <w:rFonts w:ascii="仿宋" w:hAnsi="仿宋" w:eastAsia="仿宋"/>
          <w:bCs/>
          <w:color w:val="auto"/>
          <w:sz w:val="24"/>
          <w:highlight w:val="none"/>
        </w:rPr>
        <w:t>简要规格描述或项目基本概况介绍、用途：中小学教师电脑、教室一体机及学生机房更新采购（具体内容详见招标文件第二章《采购需求》）
</w:t>
      </w:r>
      <w:r>
        <w:rPr>
          <w:rFonts w:ascii="仿宋" w:hAnsi="仿宋" w:eastAsia="仿宋"/>
          <w:bCs/>
          <w:color w:val="auto"/>
          <w:sz w:val="24"/>
          <w:highlight w:val="none"/>
        </w:rPr>
        <w:cr/>
      </w:r>
      <w:r>
        <w:rPr>
          <w:rFonts w:ascii="仿宋" w:hAnsi="仿宋" w:eastAsia="仿宋"/>
          <w:bCs/>
          <w:color w:val="auto"/>
          <w:sz w:val="24"/>
          <w:highlight w:val="none"/>
        </w:rPr>
        <w:t>最高限价（如有）：1732000
</w:t>
      </w:r>
      <w:r>
        <w:rPr>
          <w:rFonts w:ascii="仿宋" w:hAnsi="仿宋" w:eastAsia="仿宋"/>
          <w:bCs/>
          <w:color w:val="auto"/>
          <w:sz w:val="24"/>
          <w:highlight w:val="none"/>
        </w:rPr>
        <w:cr/>
      </w:r>
      <w:r>
        <w:rPr>
          <w:rFonts w:ascii="仿宋" w:hAnsi="仿宋" w:eastAsia="仿宋"/>
          <w:bCs/>
          <w:color w:val="auto"/>
          <w:sz w:val="24"/>
          <w:highlight w:val="none"/>
        </w:rPr>
        <w:t>合同履约期限：自签订合同之日起30个工作日内安装调试完毕，验收合格并交付使用。 
</w:t>
      </w:r>
      <w:r>
        <w:rPr>
          <w:rFonts w:ascii="仿宋" w:hAnsi="仿宋" w:eastAsia="仿宋"/>
          <w:bCs/>
          <w:color w:val="auto"/>
          <w:sz w:val="24"/>
          <w:highlight w:val="none"/>
        </w:rPr>
        <w:cr/>
      </w:r>
      <w:r>
        <w:rPr>
          <w:rFonts w:ascii="仿宋" w:hAnsi="仿宋" w:eastAsia="仿宋"/>
          <w:bCs/>
          <w:color w:val="auto"/>
          <w:sz w:val="24"/>
          <w:highlight w:val="none"/>
        </w:rPr>
        <w:t>本标项（否）接受联合体投标
</w:t>
      </w:r>
      <w:r>
        <w:rPr>
          <w:rFonts w:ascii="仿宋" w:hAnsi="仿宋" w:eastAsia="仿宋"/>
          <w:bCs/>
          <w:color w:val="auto"/>
          <w:sz w:val="24"/>
          <w:highlight w:val="none"/>
        </w:rPr>
        <w:cr/>
      </w:r>
      <w:r>
        <w:rPr>
          <w:rFonts w:ascii="仿宋" w:hAnsi="仿宋" w:eastAsia="仿宋"/>
          <w:bCs/>
          <w:color w:val="auto"/>
          <w:sz w:val="24"/>
          <w:highlight w:val="none"/>
        </w:rPr>
        <w:t>备注：本项目为线上电子招标项目，</w:t>
      </w:r>
      <w:r>
        <w:rPr>
          <w:rFonts w:ascii="仿宋" w:hAnsi="仿宋" w:eastAsia="仿宋"/>
          <w:b/>
          <w:bCs w:val="0"/>
          <w:color w:val="auto"/>
          <w:sz w:val="24"/>
          <w:highlight w:val="none"/>
        </w:rPr>
        <w:t>采用远程异地评标</w:t>
      </w:r>
      <w:r>
        <w:rPr>
          <w:rFonts w:ascii="仿宋" w:hAnsi="仿宋" w:eastAsia="仿宋"/>
          <w:bCs/>
          <w:color w:val="auto"/>
          <w:sz w:val="24"/>
          <w:highlight w:val="none"/>
        </w:rPr>
        <w:t>，有意向参与本项目的供应商应当做好参与全流程电子招投标交易的充分准备。
</w:t>
      </w:r>
      <w:r>
        <w:rPr>
          <w:rFonts w:ascii="仿宋" w:hAnsi="仿宋" w:eastAsia="仿宋"/>
          <w:bCs/>
          <w:color w:val="auto"/>
          <w:sz w:val="24"/>
          <w:highlight w:val="none"/>
        </w:rPr>
        <w:cr/>
      </w:r>
      <w:r>
        <w:rPr>
          <w:rFonts w:ascii="仿宋" w:hAnsi="仿宋" w:eastAsia="仿宋"/>
          <w:bCs/>
          <w:color w:val="auto"/>
          <w:sz w:val="24"/>
          <w:highlight w:val="none"/>
        </w:rPr>
        <w:t>
</w:t>
      </w:r>
      <w:r>
        <w:rPr>
          <w:rFonts w:ascii="仿宋" w:hAnsi="仿宋" w:eastAsia="仿宋"/>
          <w:bCs/>
          <w:color w:val="auto"/>
          <w:sz w:val="24"/>
          <w:highlight w:val="none"/>
        </w:rPr>
        <w:cr/>
      </w:r>
      <w:r>
        <w:rPr>
          <w:rFonts w:ascii="仿宋" w:hAnsi="仿宋" w:eastAsia="仿宋"/>
          <w:bCs/>
          <w:color w:val="auto"/>
          <w:sz w:val="24"/>
          <w:highlight w:val="none"/>
        </w:rPr>
        <w:t>标项二
</w:t>
      </w:r>
      <w:r>
        <w:rPr>
          <w:rFonts w:ascii="仿宋" w:hAnsi="仿宋" w:eastAsia="仿宋"/>
          <w:bCs/>
          <w:color w:val="auto"/>
          <w:sz w:val="24"/>
          <w:highlight w:val="none"/>
        </w:rPr>
        <w:cr/>
      </w:r>
      <w:r>
        <w:rPr>
          <w:rFonts w:ascii="仿宋" w:hAnsi="仿宋" w:eastAsia="仿宋"/>
          <w:bCs/>
          <w:color w:val="auto"/>
          <w:sz w:val="24"/>
          <w:highlight w:val="none"/>
        </w:rPr>
        <w:t>标项名称：中小学教学互动一体机、学生机房更新采购</w:t>
      </w:r>
      <w:bookmarkStart w:id="91" w:name="_GoBack"/>
      <w:bookmarkEnd w:id="91"/>
      <w:r>
        <w:rPr>
          <w:rFonts w:ascii="仿宋" w:hAnsi="仿宋" w:eastAsia="仿宋"/>
          <w:bCs/>
          <w:color w:val="auto"/>
          <w:sz w:val="24"/>
          <w:highlight w:val="none"/>
        </w:rPr>
        <w:t>
</w:t>
      </w:r>
      <w:r>
        <w:rPr>
          <w:rFonts w:ascii="仿宋" w:hAnsi="仿宋" w:eastAsia="仿宋"/>
          <w:bCs/>
          <w:color w:val="auto"/>
          <w:sz w:val="24"/>
          <w:highlight w:val="none"/>
        </w:rPr>
        <w:cr/>
      </w:r>
      <w:r>
        <w:rPr>
          <w:rFonts w:ascii="仿宋" w:hAnsi="仿宋" w:eastAsia="仿宋"/>
          <w:bCs/>
          <w:color w:val="auto"/>
          <w:sz w:val="24"/>
          <w:highlight w:val="none"/>
        </w:rPr>
        <w:t>数量：1
</w:t>
      </w:r>
      <w:r>
        <w:rPr>
          <w:rFonts w:ascii="仿宋" w:hAnsi="仿宋" w:eastAsia="仿宋"/>
          <w:bCs/>
          <w:color w:val="auto"/>
          <w:sz w:val="24"/>
          <w:highlight w:val="none"/>
        </w:rPr>
        <w:cr/>
      </w:r>
      <w:r>
        <w:rPr>
          <w:rFonts w:ascii="仿宋" w:hAnsi="仿宋" w:eastAsia="仿宋"/>
          <w:bCs/>
          <w:color w:val="auto"/>
          <w:sz w:val="24"/>
          <w:highlight w:val="none"/>
        </w:rPr>
        <w:t>预算金额（元）：1562260
</w:t>
      </w:r>
      <w:r>
        <w:rPr>
          <w:rFonts w:ascii="仿宋" w:hAnsi="仿宋" w:eastAsia="仿宋"/>
          <w:bCs/>
          <w:color w:val="auto"/>
          <w:sz w:val="24"/>
          <w:highlight w:val="none"/>
        </w:rPr>
        <w:cr/>
      </w:r>
      <w:r>
        <w:rPr>
          <w:rFonts w:ascii="仿宋" w:hAnsi="仿宋" w:eastAsia="仿宋"/>
          <w:bCs/>
          <w:color w:val="auto"/>
          <w:sz w:val="24"/>
          <w:highlight w:val="none"/>
        </w:rPr>
        <w:t>简要规格描述或项目基本概况介绍、用途：中小学教学互动一体机、学生机房更新采购（具体内容详见招标文件第二章《采购需求》）
</w:t>
      </w:r>
      <w:r>
        <w:rPr>
          <w:rFonts w:ascii="仿宋" w:hAnsi="仿宋" w:eastAsia="仿宋"/>
          <w:bCs/>
          <w:color w:val="auto"/>
          <w:sz w:val="24"/>
          <w:highlight w:val="none"/>
        </w:rPr>
        <w:cr/>
      </w:r>
      <w:r>
        <w:rPr>
          <w:rFonts w:ascii="仿宋" w:hAnsi="仿宋" w:eastAsia="仿宋"/>
          <w:bCs/>
          <w:color w:val="auto"/>
          <w:sz w:val="24"/>
          <w:highlight w:val="none"/>
        </w:rPr>
        <w:t>最高限价（如有）：1562260
</w:t>
      </w:r>
      <w:r>
        <w:rPr>
          <w:rFonts w:ascii="仿宋" w:hAnsi="仿宋" w:eastAsia="仿宋"/>
          <w:bCs/>
          <w:color w:val="auto"/>
          <w:sz w:val="24"/>
          <w:highlight w:val="none"/>
        </w:rPr>
        <w:cr/>
      </w:r>
      <w:r>
        <w:rPr>
          <w:rFonts w:ascii="仿宋" w:hAnsi="仿宋" w:eastAsia="仿宋"/>
          <w:bCs/>
          <w:color w:val="auto"/>
          <w:sz w:val="24"/>
          <w:highlight w:val="none"/>
        </w:rPr>
        <w:t>合同履约期限：自签订合同之日起30个工作日内安装调试完毕，验收合格并交付使用。 
</w:t>
      </w:r>
      <w:r>
        <w:rPr>
          <w:rFonts w:ascii="仿宋" w:hAnsi="仿宋" w:eastAsia="仿宋"/>
          <w:bCs/>
          <w:color w:val="auto"/>
          <w:sz w:val="24"/>
          <w:highlight w:val="none"/>
        </w:rPr>
        <w:cr/>
      </w:r>
      <w:r>
        <w:rPr>
          <w:rFonts w:ascii="仿宋" w:hAnsi="仿宋" w:eastAsia="仿宋"/>
          <w:bCs/>
          <w:color w:val="auto"/>
          <w:sz w:val="24"/>
          <w:highlight w:val="none"/>
        </w:rPr>
        <w:t>本标项（否）接受联合体投标
</w:t>
      </w:r>
      <w:r>
        <w:rPr>
          <w:rFonts w:ascii="仿宋" w:hAnsi="仿宋" w:eastAsia="仿宋"/>
          <w:bCs/>
          <w:color w:val="auto"/>
          <w:sz w:val="24"/>
          <w:highlight w:val="none"/>
        </w:rPr>
        <w:cr/>
      </w:r>
      <w:r>
        <w:rPr>
          <w:rFonts w:ascii="仿宋" w:hAnsi="仿宋" w:eastAsia="仿宋"/>
          <w:bCs/>
          <w:color w:val="auto"/>
          <w:sz w:val="24"/>
          <w:highlight w:val="none"/>
        </w:rPr>
        <w:t>备注：本项目为线上电子招标项目，</w:t>
      </w:r>
      <w:r>
        <w:rPr>
          <w:rFonts w:ascii="仿宋" w:hAnsi="仿宋" w:eastAsia="仿宋"/>
          <w:b/>
          <w:bCs w:val="0"/>
          <w:color w:val="auto"/>
          <w:sz w:val="24"/>
          <w:highlight w:val="none"/>
        </w:rPr>
        <w:t>采用远程异地评标</w:t>
      </w:r>
      <w:r>
        <w:rPr>
          <w:rFonts w:ascii="仿宋" w:hAnsi="仿宋" w:eastAsia="仿宋"/>
          <w:bCs/>
          <w:color w:val="auto"/>
          <w:sz w:val="24"/>
          <w:highlight w:val="none"/>
        </w:rPr>
        <w:t>，有意向参与本项目的供应商应当做好参与全流程电子招投标交易的充分准备。</w:t>
      </w:r>
    </w:p>
    <w:p w14:paraId="464D999A">
      <w:pPr>
        <w:pStyle w:val="5"/>
        <w:spacing w:line="400" w:lineRule="exact"/>
        <w:ind w:right="-21" w:rightChars="-10" w:firstLine="562" w:firstLineChars="200"/>
        <w:jc w:val="both"/>
        <w:rPr>
          <w:rFonts w:hint="eastAsia" w:ascii="黑体" w:hAnsi="黑体" w:eastAsia="黑体" w:cs="黑体"/>
          <w:bCs/>
          <w:color w:val="auto"/>
          <w:sz w:val="28"/>
          <w:szCs w:val="28"/>
          <w:highlight w:val="none"/>
        </w:rPr>
      </w:pPr>
      <w:bookmarkStart w:id="5" w:name="_Hlk53504529"/>
      <w:r>
        <w:rPr>
          <w:rFonts w:hint="eastAsia" w:ascii="黑体" w:hAnsi="黑体" w:eastAsia="黑体" w:cs="黑体"/>
          <w:bCs/>
          <w:color w:val="auto"/>
          <w:sz w:val="28"/>
          <w:szCs w:val="28"/>
          <w:highlight w:val="none"/>
        </w:rPr>
        <w:t>二、申请人的资格要求</w:t>
      </w:r>
    </w:p>
    <w:bookmarkEnd w:id="5"/>
    <w:p w14:paraId="2A0A7F7D">
      <w:pPr>
        <w:pStyle w:val="74"/>
        <w:spacing w:line="400" w:lineRule="exact"/>
        <w:ind w:right="-21" w:rightChars="-10" w:firstLine="560"/>
        <w:rPr>
          <w:rFonts w:ascii="仿宋_GB2312" w:eastAsia="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eastAsia="仿宋_GB2312"/>
          <w:color w:val="auto"/>
          <w:sz w:val="28"/>
          <w:szCs w:val="28"/>
          <w:highlight w:val="none"/>
        </w:rPr>
        <w:t>满足《中华人民共和国政府采购法》第二十二条规定；</w:t>
      </w:r>
    </w:p>
    <w:p w14:paraId="6FC9B061">
      <w:pPr>
        <w:pStyle w:val="74"/>
        <w:spacing w:line="400" w:lineRule="exact"/>
        <w:ind w:right="-21" w:rightChars="-10" w:firstLine="560"/>
        <w:rPr>
          <w:rFonts w:ascii="仿宋_GB2312" w:eastAsia="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ascii="仿宋_GB2312" w:hAnsi="仿宋_GB2312" w:eastAsia="仿宋_GB2312" w:cs="仿宋_GB2312"/>
          <w:color w:val="auto"/>
          <w:sz w:val="28"/>
          <w:szCs w:val="28"/>
          <w:highlight w:val="none"/>
        </w:rPr>
        <w:t>.</w:t>
      </w:r>
      <w:r>
        <w:rPr>
          <w:rFonts w:hint="eastAsia" w:ascii="仿宋_GB2312" w:eastAsia="仿宋_GB2312"/>
          <w:color w:val="auto"/>
          <w:sz w:val="28"/>
          <w:szCs w:val="28"/>
          <w:highlight w:val="none"/>
        </w:rPr>
        <w:t>落实政府采购政策需满足的资格要求：</w:t>
      </w:r>
      <w:r>
        <w:rPr>
          <w:rFonts w:ascii="仿宋_GB2312" w:eastAsia="仿宋_GB2312"/>
          <w:color w:val="auto"/>
          <w:sz w:val="28"/>
          <w:szCs w:val="28"/>
          <w:highlight w:val="none"/>
        </w:rPr>
        <w:t>无；</w:t>
      </w:r>
    </w:p>
    <w:p w14:paraId="27806E81">
      <w:pPr>
        <w:pStyle w:val="74"/>
        <w:spacing w:line="400" w:lineRule="exact"/>
        <w:ind w:right="-21" w:rightChars="-10" w:firstLine="560"/>
        <w:rPr>
          <w:rFonts w:ascii="仿宋_GB2312" w:eastAsia="仿宋_GB2312"/>
          <w:color w:val="auto"/>
          <w:sz w:val="28"/>
          <w:szCs w:val="28"/>
          <w:highlight w:val="none"/>
        </w:rPr>
      </w:pPr>
      <w:r>
        <w:rPr>
          <w:rFonts w:hint="eastAsia" w:ascii="仿宋_GB2312" w:eastAsia="仿宋_GB2312"/>
          <w:color w:val="auto"/>
          <w:sz w:val="28"/>
          <w:szCs w:val="28"/>
          <w:highlight w:val="none"/>
        </w:rPr>
        <w:t>3</w:t>
      </w:r>
      <w:r>
        <w:rPr>
          <w:rFonts w:ascii="仿宋_GB2312" w:eastAsia="仿宋_GB2312"/>
          <w:color w:val="auto"/>
          <w:sz w:val="28"/>
          <w:szCs w:val="28"/>
          <w:highlight w:val="none"/>
        </w:rPr>
        <w:t>.</w:t>
      </w:r>
      <w:r>
        <w:rPr>
          <w:rFonts w:hint="eastAsia" w:ascii="仿宋_GB2312" w:eastAsia="仿宋_GB2312"/>
          <w:color w:val="auto"/>
          <w:sz w:val="28"/>
          <w:szCs w:val="28"/>
          <w:highlight w:val="none"/>
        </w:rPr>
        <w:t>本项目的特定资格要求：</w:t>
      </w:r>
      <w:r>
        <w:rPr>
          <w:rFonts w:ascii="仿宋_GB2312" w:eastAsia="仿宋_GB2312"/>
          <w:color w:val="auto"/>
          <w:sz w:val="28"/>
          <w:szCs w:val="28"/>
          <w:highlight w:val="none"/>
        </w:rPr>
        <w:t>无；</w:t>
      </w:r>
    </w:p>
    <w:p w14:paraId="051C08AF">
      <w:pPr>
        <w:pStyle w:val="5"/>
        <w:spacing w:line="400" w:lineRule="exact"/>
        <w:ind w:right="-21" w:rightChars="-10" w:firstLine="562" w:firstLineChars="200"/>
        <w:jc w:val="both"/>
        <w:rPr>
          <w:rFonts w:hint="eastAsia" w:ascii="黑体" w:hAnsi="黑体" w:eastAsia="黑体" w:cs="黑体"/>
          <w:bCs/>
          <w:color w:val="auto"/>
          <w:sz w:val="28"/>
          <w:szCs w:val="28"/>
          <w:highlight w:val="none"/>
        </w:rPr>
      </w:pPr>
      <w:bookmarkStart w:id="6" w:name="_Toc35393623"/>
      <w:bookmarkStart w:id="7" w:name="_Toc35393792"/>
      <w:r>
        <w:rPr>
          <w:rFonts w:hint="eastAsia" w:ascii="黑体" w:hAnsi="黑体" w:eastAsia="黑体" w:cs="黑体"/>
          <w:bCs/>
          <w:color w:val="auto"/>
          <w:sz w:val="28"/>
          <w:szCs w:val="28"/>
          <w:highlight w:val="none"/>
        </w:rPr>
        <w:t>三、</w:t>
      </w:r>
      <w:bookmarkEnd w:id="6"/>
      <w:bookmarkEnd w:id="7"/>
      <w:r>
        <w:rPr>
          <w:rFonts w:hint="eastAsia" w:ascii="黑体" w:hAnsi="黑体" w:eastAsia="黑体" w:cs="黑体"/>
          <w:bCs/>
          <w:color w:val="auto"/>
          <w:sz w:val="28"/>
          <w:szCs w:val="28"/>
          <w:highlight w:val="none"/>
        </w:rPr>
        <w:t>获取招标文件</w:t>
      </w:r>
    </w:p>
    <w:p w14:paraId="1F85CF6F">
      <w:pPr>
        <w:spacing w:line="400" w:lineRule="exact"/>
        <w:ind w:right="-21" w:rightChars="-10" w:firstLine="540"/>
        <w:rPr>
          <w:rFonts w:ascii="仿宋_GB2312" w:hAnsi="Calibri" w:eastAsia="仿宋_GB2312"/>
          <w:color w:val="auto"/>
          <w:sz w:val="28"/>
          <w:szCs w:val="28"/>
          <w:highlight w:val="none"/>
        </w:rPr>
      </w:pPr>
      <w:r>
        <w:rPr>
          <w:rFonts w:hint="eastAsia" w:ascii="仿宋_GB2312" w:eastAsia="仿宋_GB2312"/>
          <w:color w:val="auto"/>
          <w:sz w:val="28"/>
          <w:szCs w:val="28"/>
          <w:highlight w:val="none"/>
        </w:rPr>
        <w:t>时间：</w:t>
      </w:r>
      <w:r>
        <w:rPr>
          <w:rFonts w:hint="eastAsia" w:ascii="仿宋_GB2312" w:hAnsi="Calibri" w:eastAsia="仿宋_GB2312"/>
          <w:color w:val="auto"/>
          <w:sz w:val="28"/>
          <w:szCs w:val="28"/>
          <w:highlight w:val="none"/>
          <w:lang w:val="en-US" w:eastAsia="zh-CN"/>
        </w:rPr>
        <w:t>2026</w:t>
      </w:r>
      <w:r>
        <w:rPr>
          <w:rFonts w:hint="eastAsia" w:ascii="仿宋_GB2312" w:hAnsi="Calibri" w:eastAsia="仿宋_GB2312"/>
          <w:color w:val="auto"/>
          <w:sz w:val="28"/>
          <w:szCs w:val="28"/>
          <w:highlight w:val="none"/>
        </w:rPr>
        <w:t>年</w:t>
      </w:r>
      <w:r>
        <w:rPr>
          <w:rFonts w:hint="eastAsia" w:ascii="仿宋_GB2312" w:hAnsi="Calibri" w:eastAsia="仿宋_GB2312"/>
          <w:color w:val="auto"/>
          <w:sz w:val="28"/>
          <w:szCs w:val="28"/>
          <w:highlight w:val="none"/>
          <w:lang w:val="en-US" w:eastAsia="zh-CN"/>
        </w:rPr>
        <w:t>8</w:t>
      </w:r>
      <w:r>
        <w:rPr>
          <w:rFonts w:hint="eastAsia" w:ascii="仿宋_GB2312" w:hAnsi="Calibri" w:eastAsia="仿宋_GB2312"/>
          <w:color w:val="auto"/>
          <w:sz w:val="28"/>
          <w:szCs w:val="28"/>
          <w:highlight w:val="none"/>
        </w:rPr>
        <w:t>月</w:t>
      </w:r>
      <w:r>
        <w:rPr>
          <w:rFonts w:hint="eastAsia" w:ascii="仿宋_GB2312" w:hAnsi="Calibri" w:eastAsia="仿宋_GB2312"/>
          <w:color w:val="auto"/>
          <w:sz w:val="28"/>
          <w:szCs w:val="28"/>
          <w:highlight w:val="none"/>
          <w:lang w:val="en-US" w:eastAsia="zh-CN"/>
        </w:rPr>
        <w:t>18</w:t>
      </w:r>
      <w:r>
        <w:rPr>
          <w:rFonts w:hint="eastAsia" w:ascii="仿宋_GB2312" w:hAnsi="Calibri" w:eastAsia="仿宋_GB2312"/>
          <w:color w:val="auto"/>
          <w:sz w:val="28"/>
          <w:szCs w:val="28"/>
          <w:highlight w:val="none"/>
        </w:rPr>
        <w:t>日</w:t>
      </w:r>
      <w:r>
        <w:rPr>
          <w:rFonts w:hint="eastAsia" w:ascii="仿宋_GB2312" w:eastAsia="仿宋_GB2312"/>
          <w:color w:val="auto"/>
          <w:sz w:val="28"/>
          <w:szCs w:val="28"/>
          <w:highlight w:val="none"/>
        </w:rPr>
        <w:t>至</w:t>
      </w:r>
      <w:r>
        <w:rPr>
          <w:rFonts w:hint="eastAsia" w:ascii="仿宋_GB2312" w:hAnsi="Calibri" w:eastAsia="仿宋_GB2312"/>
          <w:color w:val="auto"/>
          <w:sz w:val="28"/>
          <w:szCs w:val="28"/>
          <w:highlight w:val="none"/>
          <w:lang w:val="en-US" w:eastAsia="zh-CN"/>
        </w:rPr>
        <w:t>2026</w:t>
      </w:r>
      <w:r>
        <w:rPr>
          <w:rFonts w:ascii="仿宋_GB2312" w:hAnsi="Calibri" w:eastAsia="仿宋_GB2312"/>
          <w:color w:val="auto"/>
          <w:sz w:val="28"/>
          <w:szCs w:val="28"/>
          <w:highlight w:val="none"/>
        </w:rPr>
        <w:t>年</w:t>
      </w:r>
      <w:r>
        <w:rPr>
          <w:rFonts w:hint="eastAsia" w:ascii="仿宋_GB2312" w:hAnsi="Calibri" w:eastAsia="仿宋_GB2312"/>
          <w:color w:val="auto"/>
          <w:sz w:val="28"/>
          <w:szCs w:val="28"/>
          <w:highlight w:val="none"/>
          <w:lang w:val="en-US" w:eastAsia="zh-CN"/>
        </w:rPr>
        <w:t>8</w:t>
      </w:r>
      <w:r>
        <w:rPr>
          <w:rFonts w:ascii="仿宋_GB2312" w:hAnsi="Calibri" w:eastAsia="仿宋_GB2312"/>
          <w:color w:val="auto"/>
          <w:sz w:val="28"/>
          <w:szCs w:val="28"/>
          <w:highlight w:val="none"/>
        </w:rPr>
        <w:t>月</w:t>
      </w:r>
      <w:r>
        <w:rPr>
          <w:rFonts w:hint="eastAsia" w:ascii="仿宋_GB2312" w:hAnsi="Calibri" w:eastAsia="仿宋_GB2312"/>
          <w:color w:val="auto"/>
          <w:sz w:val="28"/>
          <w:szCs w:val="28"/>
          <w:highlight w:val="none"/>
          <w:lang w:val="en-US" w:eastAsia="zh-CN"/>
        </w:rPr>
        <w:t>26</w:t>
      </w:r>
      <w:r>
        <w:rPr>
          <w:rFonts w:ascii="仿宋_GB2312" w:hAnsi="Calibri" w:eastAsia="仿宋_GB2312"/>
          <w:color w:val="auto"/>
          <w:sz w:val="28"/>
          <w:szCs w:val="28"/>
          <w:highlight w:val="none"/>
        </w:rPr>
        <w:t>日</w:t>
      </w:r>
      <w:r>
        <w:rPr>
          <w:rFonts w:hint="eastAsia" w:ascii="仿宋_GB2312" w:hAnsi="仿宋_GB2312" w:eastAsia="仿宋_GB2312" w:cs="仿宋_GB2312"/>
          <w:color w:val="auto"/>
          <w:sz w:val="28"/>
          <w:szCs w:val="28"/>
          <w:highlight w:val="none"/>
        </w:rPr>
        <w:t>，每天上午08:00至12:00，下午12:00至21:00（北京时间，法定节假日除外）</w:t>
      </w:r>
    </w:p>
    <w:p w14:paraId="6B738F17">
      <w:pPr>
        <w:spacing w:line="480" w:lineRule="exact"/>
        <w:ind w:right="-21" w:rightChars="-1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地点（网址）：广西政府采购云平台（https://www.gcy.zfcg.gxzf.gov.cn/）</w:t>
      </w:r>
    </w:p>
    <w:p w14:paraId="4B456748">
      <w:pPr>
        <w:spacing w:line="480" w:lineRule="exact"/>
        <w:ind w:right="-21" w:rightChars="-10" w:firstLine="560" w:firstLineChars="200"/>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方式：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40980DCC">
      <w:pPr>
        <w:spacing w:line="480" w:lineRule="exact"/>
        <w:ind w:right="-21" w:rightChars="-1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售价（元）：0</w:t>
      </w:r>
    </w:p>
    <w:p w14:paraId="24562061">
      <w:pPr>
        <w:pStyle w:val="5"/>
        <w:spacing w:line="400" w:lineRule="exact"/>
        <w:ind w:right="-21" w:rightChars="-10" w:firstLine="562" w:firstLineChars="200"/>
        <w:jc w:val="both"/>
        <w:rPr>
          <w:rFonts w:hint="eastAsia" w:ascii="黑体" w:hAnsi="黑体" w:eastAsia="黑体" w:cs="黑体"/>
          <w:bCs/>
          <w:color w:val="auto"/>
          <w:sz w:val="28"/>
          <w:szCs w:val="28"/>
          <w:highlight w:val="none"/>
        </w:rPr>
      </w:pPr>
      <w:bookmarkStart w:id="8" w:name="_Toc28359082"/>
      <w:bookmarkStart w:id="9" w:name="_Toc35393624"/>
      <w:bookmarkStart w:id="10" w:name="_Toc28359005"/>
      <w:bookmarkStart w:id="11" w:name="_Toc35393793"/>
      <w:r>
        <w:rPr>
          <w:rFonts w:hint="eastAsia" w:ascii="黑体" w:hAnsi="黑体" w:eastAsia="黑体" w:cs="黑体"/>
          <w:bCs/>
          <w:color w:val="auto"/>
          <w:sz w:val="28"/>
          <w:szCs w:val="28"/>
          <w:highlight w:val="none"/>
        </w:rPr>
        <w:t>四、</w:t>
      </w:r>
      <w:bookmarkEnd w:id="8"/>
      <w:bookmarkEnd w:id="9"/>
      <w:bookmarkEnd w:id="10"/>
      <w:bookmarkEnd w:id="11"/>
      <w:r>
        <w:rPr>
          <w:rFonts w:hint="eastAsia" w:ascii="黑体" w:hAnsi="黑体" w:eastAsia="黑体" w:cs="黑体"/>
          <w:bCs/>
          <w:color w:val="auto"/>
          <w:sz w:val="28"/>
          <w:szCs w:val="28"/>
          <w:highlight w:val="none"/>
        </w:rPr>
        <w:t>提交投标文件截止时间、开标时间和地点</w:t>
      </w:r>
    </w:p>
    <w:p w14:paraId="1724F7D7">
      <w:pPr>
        <w:spacing w:line="400" w:lineRule="exact"/>
        <w:ind w:right="-21" w:rightChars="-10" w:firstLine="560" w:firstLineChars="200"/>
        <w:rPr>
          <w:rFonts w:hint="eastAsia" w:ascii="仿宋" w:hAnsi="仿宋" w:eastAsia="仿宋"/>
          <w:bCs/>
          <w:color w:val="auto"/>
          <w:sz w:val="28"/>
          <w:szCs w:val="28"/>
          <w:highlight w:val="none"/>
          <w:u w:val="single"/>
        </w:rPr>
      </w:pPr>
      <w:r>
        <w:rPr>
          <w:rFonts w:hint="eastAsia" w:ascii="仿宋_GB2312" w:hAnsi="仿宋_GB2312" w:eastAsia="仿宋_GB2312" w:cs="仿宋_GB2312"/>
          <w:color w:val="auto"/>
          <w:sz w:val="28"/>
          <w:szCs w:val="28"/>
          <w:highlight w:val="none"/>
        </w:rPr>
        <w:t>提交投标文件截止时间：</w:t>
      </w:r>
      <w:r>
        <w:rPr>
          <w:rFonts w:ascii="仿宋_GB2312" w:hAnsi="仿宋_GB2312" w:eastAsia="仿宋_GB2312" w:cs="仿宋_GB2312"/>
          <w:bCs/>
          <w:color w:val="auto"/>
          <w:sz w:val="28"/>
          <w:szCs w:val="28"/>
          <w:highlight w:val="none"/>
        </w:rPr>
        <w:t>2026年</w:t>
      </w:r>
      <w:r>
        <w:rPr>
          <w:rFonts w:hint="eastAsia" w:ascii="仿宋_GB2312" w:hAnsi="仿宋_GB2312" w:eastAsia="仿宋_GB2312" w:cs="仿宋_GB2312"/>
          <w:bCs/>
          <w:color w:val="auto"/>
          <w:sz w:val="28"/>
          <w:szCs w:val="28"/>
          <w:highlight w:val="none"/>
          <w:lang w:val="en-US" w:eastAsia="zh-CN"/>
        </w:rPr>
        <w:t>9</w:t>
      </w:r>
      <w:r>
        <w:rPr>
          <w:rFonts w:ascii="仿宋_GB2312" w:hAnsi="仿宋_GB2312" w:eastAsia="仿宋_GB2312" w:cs="仿宋_GB2312"/>
          <w:bCs/>
          <w:color w:val="auto"/>
          <w:sz w:val="28"/>
          <w:szCs w:val="28"/>
          <w:highlight w:val="none"/>
        </w:rPr>
        <w:t>月</w:t>
      </w:r>
      <w:r>
        <w:rPr>
          <w:rFonts w:hint="eastAsia" w:ascii="仿宋_GB2312" w:hAnsi="仿宋_GB2312" w:eastAsia="仿宋_GB2312" w:cs="仿宋_GB2312"/>
          <w:bCs/>
          <w:color w:val="auto"/>
          <w:sz w:val="28"/>
          <w:szCs w:val="28"/>
          <w:highlight w:val="none"/>
          <w:lang w:val="en-US" w:eastAsia="zh-CN"/>
        </w:rPr>
        <w:t>10</w:t>
      </w:r>
      <w:r>
        <w:rPr>
          <w:rFonts w:ascii="仿宋_GB2312" w:hAnsi="仿宋_GB2312" w:eastAsia="仿宋_GB2312" w:cs="仿宋_GB2312"/>
          <w:bCs/>
          <w:color w:val="auto"/>
          <w:sz w:val="28"/>
          <w:szCs w:val="28"/>
          <w:highlight w:val="none"/>
        </w:rPr>
        <w:t>日 09:20</w:t>
      </w:r>
      <w:r>
        <w:rPr>
          <w:rFonts w:hint="eastAsia" w:ascii="仿宋_GB2312" w:eastAsia="仿宋_GB2312"/>
          <w:color w:val="auto"/>
          <w:sz w:val="28"/>
          <w:szCs w:val="28"/>
          <w:highlight w:val="none"/>
        </w:rPr>
        <w:t>（北京时间）</w:t>
      </w:r>
    </w:p>
    <w:p w14:paraId="0044BB57">
      <w:pPr>
        <w:spacing w:line="480" w:lineRule="exact"/>
        <w:ind w:right="-21" w:rightChars="-10"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color w:val="auto"/>
          <w:sz w:val="28"/>
          <w:szCs w:val="28"/>
          <w:highlight w:val="none"/>
        </w:rPr>
        <w:t>投标地点（网址）：广西政府采购云平台（https://www.gcy.zfcg.gxzf.gov.cn/）</w:t>
      </w:r>
      <w:r>
        <w:rPr>
          <w:rFonts w:ascii="仿宋" w:hAnsi="仿宋" w:eastAsia="仿宋" w:cs="仿宋"/>
          <w:color w:val="auto"/>
          <w:sz w:val="27"/>
          <w:szCs w:val="27"/>
          <w:highlight w:val="none"/>
        </w:rPr>
        <w:t>（</w:t>
      </w:r>
      <w:r>
        <w:rPr>
          <w:rFonts w:hint="eastAsia" w:ascii="仿宋_GB2312" w:hAnsi="仿宋_GB2312" w:eastAsia="仿宋_GB2312" w:cs="仿宋_GB2312"/>
          <w:bCs/>
          <w:color w:val="auto"/>
          <w:sz w:val="28"/>
          <w:szCs w:val="28"/>
          <w:highlight w:val="none"/>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color w:val="auto"/>
          <w:sz w:val="28"/>
          <w:szCs w:val="28"/>
          <w:highlight w:val="none"/>
        </w:rPr>
        <w:t>未按规定编制并加密的电子投标文件，</w:t>
      </w:r>
      <w:r>
        <w:rPr>
          <w:rFonts w:hint="eastAsia" w:ascii="仿宋_GB2312" w:hAnsi="仿宋_GB2312" w:eastAsia="仿宋_GB2312" w:cs="仿宋_GB2312"/>
          <w:bCs/>
          <w:color w:val="auto"/>
          <w:sz w:val="28"/>
          <w:szCs w:val="28"/>
          <w:highlight w:val="none"/>
        </w:rPr>
        <w:t>将被广西政府采购云平台拒收。</w:t>
      </w:r>
      <w:r>
        <w:rPr>
          <w:rFonts w:ascii="仿宋" w:hAnsi="仿宋" w:eastAsia="仿宋" w:cs="仿宋"/>
          <w:color w:val="auto"/>
          <w:sz w:val="27"/>
          <w:szCs w:val="27"/>
          <w:highlight w:val="none"/>
        </w:rPr>
        <w:t>）</w:t>
      </w:r>
    </w:p>
    <w:p w14:paraId="67D3AFFA">
      <w:pPr>
        <w:spacing w:line="480" w:lineRule="exact"/>
        <w:ind w:right="-21" w:rightChars="-1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开标时间：</w:t>
      </w:r>
      <w:r>
        <w:rPr>
          <w:rFonts w:ascii="仿宋_GB2312" w:eastAsia="仿宋_GB2312"/>
          <w:bCs/>
          <w:color w:val="auto"/>
          <w:sz w:val="28"/>
          <w:szCs w:val="28"/>
          <w:highlight w:val="none"/>
        </w:rPr>
        <w:t>2026年</w:t>
      </w:r>
      <w:r>
        <w:rPr>
          <w:rFonts w:hint="eastAsia" w:ascii="仿宋_GB2312" w:eastAsia="仿宋_GB2312"/>
          <w:bCs/>
          <w:color w:val="auto"/>
          <w:sz w:val="28"/>
          <w:szCs w:val="28"/>
          <w:highlight w:val="none"/>
          <w:lang w:val="en-US" w:eastAsia="zh-CN"/>
        </w:rPr>
        <w:t>9</w:t>
      </w:r>
      <w:r>
        <w:rPr>
          <w:rFonts w:ascii="仿宋_GB2312" w:eastAsia="仿宋_GB2312"/>
          <w:bCs/>
          <w:color w:val="auto"/>
          <w:sz w:val="28"/>
          <w:szCs w:val="28"/>
          <w:highlight w:val="none"/>
        </w:rPr>
        <w:t>月</w:t>
      </w:r>
      <w:r>
        <w:rPr>
          <w:rFonts w:hint="eastAsia" w:ascii="仿宋_GB2312" w:eastAsia="仿宋_GB2312"/>
          <w:bCs/>
          <w:color w:val="auto"/>
          <w:sz w:val="28"/>
          <w:szCs w:val="28"/>
          <w:highlight w:val="none"/>
          <w:lang w:val="en-US" w:eastAsia="zh-CN"/>
        </w:rPr>
        <w:t>10</w:t>
      </w:r>
      <w:r>
        <w:rPr>
          <w:rFonts w:ascii="仿宋_GB2312" w:eastAsia="仿宋_GB2312"/>
          <w:bCs/>
          <w:color w:val="auto"/>
          <w:sz w:val="28"/>
          <w:szCs w:val="28"/>
          <w:highlight w:val="none"/>
        </w:rPr>
        <w:t>日 09:20</w:t>
      </w:r>
    </w:p>
    <w:p w14:paraId="3F12EC94">
      <w:pPr>
        <w:spacing w:line="480" w:lineRule="exact"/>
        <w:ind w:right="-21" w:rightChars="-10"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color w:val="auto"/>
          <w:sz w:val="28"/>
          <w:szCs w:val="28"/>
          <w:highlight w:val="none"/>
        </w:rPr>
        <w:t> 开标地点：广西政府采购云平台（https://www.gcy.zfcg.gxzf.gov.cn/）</w:t>
      </w:r>
    </w:p>
    <w:p w14:paraId="540ABB10">
      <w:pPr>
        <w:pStyle w:val="5"/>
        <w:spacing w:line="400" w:lineRule="exact"/>
        <w:ind w:right="-21" w:rightChars="-10" w:firstLine="562" w:firstLineChars="200"/>
        <w:jc w:val="both"/>
        <w:rPr>
          <w:rFonts w:hint="eastAsia" w:ascii="黑体" w:hAnsi="黑体" w:eastAsia="黑体" w:cs="黑体"/>
          <w:bCs/>
          <w:color w:val="auto"/>
          <w:sz w:val="28"/>
          <w:szCs w:val="28"/>
          <w:highlight w:val="none"/>
        </w:rPr>
      </w:pPr>
      <w:bookmarkStart w:id="12" w:name="_Toc28359084"/>
      <w:bookmarkStart w:id="13" w:name="_Toc35393625"/>
      <w:bookmarkStart w:id="14" w:name="_Toc35393794"/>
      <w:bookmarkStart w:id="15" w:name="_Toc28359007"/>
      <w:r>
        <w:rPr>
          <w:rFonts w:hint="eastAsia" w:ascii="黑体" w:hAnsi="黑体" w:eastAsia="黑体" w:cs="黑体"/>
          <w:bCs/>
          <w:color w:val="auto"/>
          <w:sz w:val="28"/>
          <w:szCs w:val="28"/>
          <w:highlight w:val="none"/>
        </w:rPr>
        <w:t>五、公告期限</w:t>
      </w:r>
      <w:bookmarkEnd w:id="12"/>
      <w:bookmarkEnd w:id="13"/>
      <w:bookmarkEnd w:id="14"/>
      <w:bookmarkEnd w:id="15"/>
    </w:p>
    <w:p w14:paraId="3AB731B9">
      <w:pPr>
        <w:spacing w:line="400" w:lineRule="exact"/>
        <w:ind w:right="-21" w:rightChars="-10"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自本公告发布之日起5个工作日。</w:t>
      </w:r>
    </w:p>
    <w:p w14:paraId="20FB690A">
      <w:pPr>
        <w:pStyle w:val="5"/>
        <w:spacing w:line="400" w:lineRule="exact"/>
        <w:ind w:right="-21" w:rightChars="-10" w:firstLine="562" w:firstLineChars="200"/>
        <w:jc w:val="both"/>
        <w:rPr>
          <w:rFonts w:hint="eastAsia" w:ascii="仿宋_GB2312" w:hAnsi="仿宋_GB2312" w:eastAsia="仿宋_GB2312" w:cs="仿宋_GB2312"/>
          <w:bCs/>
          <w:color w:val="auto"/>
          <w:sz w:val="28"/>
          <w:szCs w:val="28"/>
          <w:highlight w:val="none"/>
        </w:rPr>
      </w:pPr>
      <w:bookmarkStart w:id="16" w:name="_Toc35393626"/>
      <w:bookmarkStart w:id="17" w:name="_Toc35393795"/>
      <w:r>
        <w:rPr>
          <w:rFonts w:hint="eastAsia" w:ascii="黑体" w:hAnsi="黑体" w:eastAsia="黑体" w:cs="黑体"/>
          <w:bCs/>
          <w:color w:val="auto"/>
          <w:sz w:val="28"/>
          <w:szCs w:val="28"/>
          <w:highlight w:val="none"/>
        </w:rPr>
        <w:t>六、其他补充事宜</w:t>
      </w:r>
      <w:bookmarkEnd w:id="16"/>
      <w:bookmarkEnd w:id="17"/>
    </w:p>
    <w:p w14:paraId="2AD84B71">
      <w:pPr>
        <w:pStyle w:val="74"/>
        <w:spacing w:line="400" w:lineRule="exact"/>
        <w:ind w:right="-21" w:rightChars="-10" w:firstLine="562"/>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（一）是否专门面向中小微企业采购：否</w:t>
      </w:r>
      <w:r>
        <w:rPr>
          <w:rFonts w:hint="eastAsia" w:ascii="仿宋_GB2312" w:hAnsi="仿宋_GB2312" w:eastAsia="仿宋_GB2312" w:cs="仿宋_GB2312"/>
          <w:b/>
          <w:bCs/>
          <w:color w:val="auto"/>
          <w:sz w:val="28"/>
          <w:szCs w:val="28"/>
          <w:highlight w:val="none"/>
        </w:rPr>
        <w:cr/>
      </w:r>
      <w:r>
        <w:rPr>
          <w:rFonts w:hint="eastAsia" w:ascii="仿宋_GB2312" w:hAnsi="仿宋_GB2312" w:eastAsia="仿宋_GB2312" w:cs="仿宋_GB2312"/>
          <w:b/>
          <w:bCs/>
          <w:color w:val="auto"/>
          <w:sz w:val="28"/>
          <w:szCs w:val="28"/>
          <w:highlight w:val="none"/>
        </w:rPr>
        <w:t xml:space="preserve">    （二）投标保证金：</w:t>
      </w:r>
      <w:r>
        <w:rPr>
          <w:rFonts w:hint="eastAsia" w:ascii="仿宋_GB2312" w:hAnsi="仿宋_GB2312" w:eastAsia="仿宋_GB2312" w:cs="仿宋_GB2312"/>
          <w:color w:val="auto"/>
          <w:sz w:val="28"/>
          <w:szCs w:val="28"/>
          <w:highlight w:val="none"/>
        </w:rPr>
        <w:t>本项目无需提交投标保证金。</w:t>
      </w:r>
    </w:p>
    <w:p w14:paraId="46D30498">
      <w:pPr>
        <w:pStyle w:val="74"/>
        <w:spacing w:line="420" w:lineRule="exact"/>
        <w:ind w:firstLine="562"/>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（三）发布媒体：</w:t>
      </w:r>
      <w:r>
        <w:rPr>
          <w:rFonts w:hint="eastAsia" w:ascii="仿宋_GB2312" w:hAnsi="仿宋_GB2312" w:eastAsia="仿宋_GB2312" w:cs="仿宋_GB2312"/>
          <w:color w:val="auto"/>
          <w:sz w:val="28"/>
          <w:szCs w:val="28"/>
          <w:highlight w:val="none"/>
        </w:rPr>
        <w:t>中国政府采购网（www.ccgp.gov.cn）、广西壮族自治区政府采购网（zfcg.gxzf.gov.cn）、柳州市政府采购网（zfcg.lzscz.liuzhou.gov.cn）。</w:t>
      </w:r>
    </w:p>
    <w:p w14:paraId="28640D31">
      <w:pPr>
        <w:pStyle w:val="74"/>
        <w:spacing w:line="420" w:lineRule="exact"/>
        <w:ind w:firstLine="560"/>
        <w:rPr>
          <w:rFonts w:hint="eastAsia" w:ascii="仿宋_GB2312" w:hAnsi="仿宋_GB2312" w:eastAsia="仿宋_GB2312" w:cs="仿宋_GB2312"/>
          <w:color w:val="auto"/>
          <w:sz w:val="28"/>
          <w:szCs w:val="28"/>
          <w:highlight w:val="none"/>
        </w:rPr>
      </w:pPr>
      <w:bookmarkStart w:id="18" w:name="_Hlk93681467"/>
      <w:r>
        <w:rPr>
          <w:rFonts w:hint="eastAsia" w:ascii="仿宋_GB2312" w:hAnsi="仿宋_GB2312" w:eastAsia="仿宋_GB2312" w:cs="仿宋_GB2312"/>
          <w:color w:val="auto"/>
          <w:sz w:val="28"/>
          <w:szCs w:val="28"/>
          <w:highlight w:val="none"/>
        </w:rPr>
        <w:t>（四）</w:t>
      </w:r>
      <w:r>
        <w:rPr>
          <w:rFonts w:ascii="仿宋_GB2312" w:hAnsi="仿宋_GB2312" w:eastAsia="仿宋_GB2312" w:cs="仿宋_GB2312"/>
          <w:color w:val="auto"/>
          <w:sz w:val="28"/>
          <w:szCs w:val="28"/>
          <w:highlight w:val="none"/>
        </w:rPr>
        <w:t>本项目需要落实的政府采购政策：</w:t>
      </w:r>
      <w:r>
        <w:rPr>
          <w:rFonts w:hint="eastAsia" w:ascii="仿宋_GB2312" w:hAnsi="仿宋_GB2312" w:eastAsia="仿宋_GB2312" w:cs="仿宋_GB2312"/>
          <w:color w:val="auto"/>
          <w:sz w:val="28"/>
          <w:szCs w:val="28"/>
          <w:highlight w:val="none"/>
        </w:rPr>
        <w:t>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实施本国产品标准及相关政策。如需进一步了解详细内容，详见公开招标文件第二章《采购需求》及第四章《评标方法及评标标准》。</w:t>
      </w:r>
    </w:p>
    <w:bookmarkEnd w:id="18"/>
    <w:p w14:paraId="0E264BA8">
      <w:pPr>
        <w:spacing w:line="42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（五）对在“信用中国”网站(www.creditchina.gov.cn)、中国政府采购网(www.ccgp.gov.cn)等渠道列入失信被执行人、重大税收违法案件当事人名单、政府采购严重违法失信行为记录名单的投标人，不得参与政府采购活动。</w:t>
      </w:r>
    </w:p>
    <w:p w14:paraId="6E3132FC">
      <w:pPr>
        <w:spacing w:line="420" w:lineRule="exact"/>
        <w:ind w:firstLine="562"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3644BA22">
      <w:pPr>
        <w:spacing w:line="420" w:lineRule="exact"/>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（七）投标人参与电子投标特别说明</w:t>
      </w:r>
    </w:p>
    <w:p w14:paraId="05A5779B">
      <w:pPr>
        <w:pStyle w:val="74"/>
        <w:spacing w:line="42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1.本项目通过广西政府采购云平台实行电子投标，投标人应按照本项目公开招标文件和广西政府采购云平台的要求，通过“广西政府采购云平台客户端”编制、加密并提交电子投标文件。</w:t>
      </w:r>
    </w:p>
    <w:p w14:paraId="37EA3333">
      <w:pPr>
        <w:pStyle w:val="74"/>
        <w:wordWrap w:val="0"/>
        <w:spacing w:line="42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2.参与电子标的投标人必须为广西政府采购云平台的正式供应商且申领CA证书，</w:t>
      </w:r>
      <w:r>
        <w:rPr>
          <w:rFonts w:hint="eastAsia" w:ascii="仿宋_GB2312" w:hAnsi="仿宋_GB2312" w:eastAsia="仿宋_GB2312" w:cs="仿宋_GB2312"/>
          <w:b/>
          <w:bCs/>
          <w:color w:val="auto"/>
          <w:sz w:val="28"/>
          <w:szCs w:val="28"/>
          <w:highlight w:val="none"/>
        </w:rPr>
        <w:t>各投标人应在开标前及时完成</w:t>
      </w:r>
      <w:r>
        <w:rPr>
          <w:rFonts w:hint="eastAsia" w:ascii="仿宋_GB2312" w:hAnsi="仿宋_GB2312" w:eastAsia="仿宋_GB2312" w:cs="仿宋_GB2312"/>
          <w:color w:val="auto"/>
          <w:sz w:val="28"/>
          <w:szCs w:val="28"/>
          <w:highlight w:val="none"/>
        </w:rPr>
        <w:t>平台注册、CA证书申领、CA证书绑定、下载投标客户端，熟悉并掌握广西政府采购云平台电子标系统操作。</w:t>
      </w:r>
    </w:p>
    <w:p w14:paraId="57FD767E">
      <w:pPr>
        <w:pStyle w:val="74"/>
        <w:ind w:firstLine="56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t>1</w:t>
      </w: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t>投标人应及时熟悉掌握电子标系统操作指南（见广西政府采购云平台电子卖场首页—服务中心—帮助中心—项目采购）</w:t>
      </w:r>
    </w:p>
    <w:p w14:paraId="31B79BB6">
      <w:pPr>
        <w:pStyle w:val="74"/>
        <w:ind w:firstLine="56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t>2</w:t>
      </w: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t>投标人</w:t>
      </w:r>
      <w:r>
        <w:rPr>
          <w:rFonts w:ascii="仿宋_GB2312" w:hAnsi="仿宋_GB2312" w:eastAsia="仿宋_GB2312" w:cs="仿宋_GB2312"/>
          <w:color w:val="auto"/>
          <w:sz w:val="28"/>
          <w:szCs w:val="28"/>
          <w:highlight w:val="none"/>
        </w:rPr>
        <w:t>应及时完成CA申领和绑定（见广西壮族自治区政府采购网—办事服务—下载专区-政采云CA证书办理操作指南）</w:t>
      </w:r>
      <w:r>
        <w:rPr>
          <w:rFonts w:hint="eastAsia" w:ascii="仿宋_GB2312" w:hAnsi="仿宋_GB2312" w:eastAsia="仿宋_GB2312" w:cs="仿宋_GB2312"/>
          <w:color w:val="auto"/>
          <w:sz w:val="28"/>
          <w:szCs w:val="28"/>
          <w:highlight w:val="none"/>
        </w:rPr>
        <w:t>：</w:t>
      </w:r>
    </w:p>
    <w:p w14:paraId="6BDD6A15">
      <w:pPr>
        <w:pStyle w:val="74"/>
        <w:ind w:firstLine="56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http://www.ccgp-guangxi.gov.cn/luban/detail?parentId=66479&amp;articleId=giG2hxujOLVnOuVjZr6wgQ</w:t>
      </w:r>
    </w:p>
    <w:p w14:paraId="48C448D2">
      <w:pPr>
        <w:pStyle w:val="74"/>
        <w:wordWrap w:val="0"/>
        <w:spacing w:line="420" w:lineRule="exact"/>
        <w:ind w:firstLine="56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t>3</w:t>
      </w:r>
      <w:r>
        <w:rPr>
          <w:rFonts w:ascii="仿宋_GB2312" w:hAnsi="仿宋_GB2312" w:eastAsia="仿宋_GB2312" w:cs="仿宋_GB2312"/>
          <w:color w:val="auto"/>
          <w:sz w:val="28"/>
          <w:szCs w:val="28"/>
          <w:highlight w:val="none"/>
        </w:rPr>
        <w:t>）</w:t>
      </w:r>
      <w:r>
        <w:rPr>
          <w:rFonts w:hint="eastAsia" w:ascii="仿宋_GB2312" w:hAnsi="仿宋_GB2312" w:eastAsia="仿宋_GB2312" w:cs="仿宋_GB2312"/>
          <w:b/>
          <w:bCs/>
          <w:color w:val="auto"/>
          <w:sz w:val="28"/>
          <w:szCs w:val="28"/>
          <w:highlight w:val="none"/>
        </w:rPr>
        <w:t>各投标人通过新平台参与政府采购项目投标需下载使用新版客户端，广西政府采购云平台客户端</w:t>
      </w:r>
      <w:r>
        <w:rPr>
          <w:rFonts w:hint="eastAsia" w:ascii="仿宋_GB2312" w:hAnsi="仿宋_GB2312" w:eastAsia="仿宋_GB2312" w:cs="仿宋_GB2312"/>
          <w:color w:val="auto"/>
          <w:sz w:val="28"/>
          <w:szCs w:val="28"/>
          <w:highlight w:val="none"/>
        </w:rPr>
        <w:t>软件请投标人自行前往下载并安装：</w:t>
      </w:r>
    </w:p>
    <w:p w14:paraId="283BA715">
      <w:pPr>
        <w:pStyle w:val="74"/>
        <w:wordWrap w:val="0"/>
        <w:spacing w:line="420" w:lineRule="exact"/>
        <w:ind w:firstLine="56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http://www.ccgp-guangxi.gov.cn/site/detail?parentId=66479&amp;articleId=+06E5n62B1RzrGh0ew1OFg==&amp;utm=site.site-PC-38919.1024-pc-wsg-secondLevelPage-front.1.5057b2c0cef811ee9fd599f289f082d5</w:t>
      </w:r>
    </w:p>
    <w:p w14:paraId="1385A96C">
      <w:pPr>
        <w:spacing w:line="420" w:lineRule="exact"/>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color w:val="auto"/>
          <w:sz w:val="28"/>
          <w:szCs w:val="28"/>
          <w:highlight w:val="none"/>
        </w:rPr>
        <w:t>3.</w:t>
      </w:r>
      <w:r>
        <w:rPr>
          <w:rFonts w:hint="eastAsia" w:ascii="仿宋_GB2312" w:hAnsi="仿宋_GB2312" w:eastAsia="仿宋_GB2312" w:cs="仿宋_GB2312"/>
          <w:bCs/>
          <w:color w:val="auto"/>
          <w:sz w:val="28"/>
          <w:szCs w:val="28"/>
          <w:highlight w:val="none"/>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09C15114">
      <w:pPr>
        <w:pStyle w:val="74"/>
        <w:spacing w:line="420" w:lineRule="exact"/>
        <w:ind w:firstLine="562"/>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4.因未注册广西政府采购云平台、未办理CA证书、CA证书故障、操作不当等原因造成无法投标或投标失败等后果由投标人自行承担；</w:t>
      </w:r>
    </w:p>
    <w:p w14:paraId="4B3A60E3">
      <w:pPr>
        <w:pStyle w:val="74"/>
        <w:spacing w:line="420" w:lineRule="exact"/>
        <w:ind w:firstLine="562"/>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color w:val="auto"/>
          <w:sz w:val="28"/>
          <w:szCs w:val="28"/>
          <w:highlight w:val="none"/>
        </w:rPr>
        <w:t>95763</w:t>
      </w:r>
      <w:r>
        <w:rPr>
          <w:rFonts w:hint="eastAsia" w:ascii="仿宋_GB2312" w:hAnsi="仿宋_GB2312" w:eastAsia="仿宋_GB2312" w:cs="仿宋_GB2312"/>
          <w:b/>
          <w:bCs/>
          <w:color w:val="auto"/>
          <w:sz w:val="28"/>
          <w:szCs w:val="28"/>
          <w:highlight w:val="none"/>
        </w:rPr>
        <w:t>。</w:t>
      </w:r>
    </w:p>
    <w:p w14:paraId="429190E7">
      <w:pPr>
        <w:pStyle w:val="5"/>
        <w:spacing w:line="400" w:lineRule="exact"/>
        <w:ind w:right="-21" w:rightChars="-10" w:firstLine="562" w:firstLineChars="200"/>
        <w:jc w:val="both"/>
        <w:rPr>
          <w:rFonts w:hint="eastAsia" w:ascii="黑体" w:hAnsi="黑体" w:eastAsia="黑体" w:cs="黑体"/>
          <w:b w:val="0"/>
          <w:color w:val="auto"/>
          <w:sz w:val="28"/>
          <w:szCs w:val="28"/>
          <w:highlight w:val="none"/>
        </w:rPr>
      </w:pPr>
      <w:bookmarkStart w:id="19" w:name="_Toc35393796"/>
      <w:bookmarkStart w:id="20" w:name="_Toc28359008"/>
      <w:bookmarkStart w:id="21" w:name="_Toc28359085"/>
      <w:bookmarkStart w:id="22" w:name="_Toc35393627"/>
      <w:bookmarkStart w:id="23" w:name="_Hlk50569036"/>
      <w:r>
        <w:rPr>
          <w:rFonts w:hint="eastAsia" w:ascii="黑体" w:hAnsi="黑体" w:eastAsia="黑体" w:cs="黑体"/>
          <w:bCs/>
          <w:color w:val="auto"/>
          <w:sz w:val="28"/>
          <w:szCs w:val="28"/>
          <w:highlight w:val="none"/>
        </w:rPr>
        <w:t>七、对本次招标提出询问，请按以下方式联系</w:t>
      </w:r>
      <w:bookmarkEnd w:id="19"/>
      <w:bookmarkEnd w:id="20"/>
      <w:bookmarkEnd w:id="21"/>
      <w:bookmarkEnd w:id="22"/>
    </w:p>
    <w:p w14:paraId="6570D77D">
      <w:pPr>
        <w:spacing w:line="400" w:lineRule="exact"/>
        <w:ind w:right="-21" w:rightChars="-10"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1.采购人信息</w:t>
      </w:r>
    </w:p>
    <w:p w14:paraId="3507D3FE">
      <w:pPr>
        <w:tabs>
          <w:tab w:val="left" w:pos="851"/>
        </w:tabs>
        <w:spacing w:line="400" w:lineRule="exact"/>
        <w:ind w:right="-21" w:rightChars="-10"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名 称：</w:t>
      </w:r>
      <w:r>
        <w:rPr>
          <w:rFonts w:ascii="仿宋_GB2312" w:eastAsia="仿宋_GB2312"/>
          <w:color w:val="auto"/>
          <w:sz w:val="28"/>
          <w:szCs w:val="28"/>
          <w:highlight w:val="none"/>
        </w:rPr>
        <w:t>柳州市电化教育站</w:t>
      </w:r>
    </w:p>
    <w:p w14:paraId="085C7B3D">
      <w:pPr>
        <w:spacing w:line="400" w:lineRule="exact"/>
        <w:ind w:right="-21" w:rightChars="-10" w:firstLine="555"/>
        <w:rPr>
          <w:rFonts w:ascii="仿宋_GB2312" w:eastAsia="仿宋_GB2312"/>
          <w:color w:val="auto"/>
          <w:sz w:val="28"/>
          <w:szCs w:val="28"/>
          <w:highlight w:val="none"/>
        </w:rPr>
      </w:pPr>
      <w:r>
        <w:rPr>
          <w:rFonts w:hint="eastAsia" w:ascii="仿宋_GB2312" w:eastAsia="仿宋_GB2312"/>
          <w:color w:val="auto"/>
          <w:sz w:val="28"/>
          <w:szCs w:val="28"/>
          <w:highlight w:val="none"/>
        </w:rPr>
        <w:t>地</w:t>
      </w:r>
      <w:r>
        <w:rPr>
          <w:rFonts w:ascii="仿宋_GB2312" w:eastAsia="仿宋_GB2312"/>
          <w:color w:val="auto"/>
          <w:sz w:val="28"/>
          <w:szCs w:val="28"/>
          <w:highlight w:val="none"/>
        </w:rPr>
        <w:t xml:space="preserve"> </w:t>
      </w:r>
      <w:r>
        <w:rPr>
          <w:rFonts w:hint="eastAsia" w:ascii="仿宋_GB2312" w:eastAsia="仿宋_GB2312"/>
          <w:color w:val="auto"/>
          <w:sz w:val="28"/>
          <w:szCs w:val="28"/>
          <w:highlight w:val="none"/>
        </w:rPr>
        <w:t>址：</w:t>
      </w:r>
      <w:r>
        <w:rPr>
          <w:rFonts w:ascii="仿宋_GB2312" w:eastAsia="仿宋_GB2312"/>
          <w:color w:val="auto"/>
          <w:sz w:val="28"/>
          <w:szCs w:val="28"/>
          <w:highlight w:val="none"/>
        </w:rPr>
        <w:t>广西柳州市鱼峰区新柳大道91号启元广场A座</w:t>
      </w:r>
    </w:p>
    <w:p w14:paraId="5EF07CF8">
      <w:pPr>
        <w:spacing w:line="400" w:lineRule="exact"/>
        <w:ind w:right="-21" w:rightChars="-10" w:firstLine="555"/>
        <w:rPr>
          <w:rFonts w:ascii="仿宋_GB2312" w:eastAsia="仿宋_GB2312"/>
          <w:color w:val="auto"/>
          <w:sz w:val="28"/>
          <w:szCs w:val="28"/>
          <w:highlight w:val="none"/>
        </w:rPr>
      </w:pPr>
      <w:r>
        <w:rPr>
          <w:rFonts w:hint="eastAsia" w:ascii="仿宋_GB2312" w:eastAsia="仿宋_GB2312"/>
          <w:color w:val="auto"/>
          <w:sz w:val="28"/>
          <w:szCs w:val="28"/>
          <w:highlight w:val="none"/>
        </w:rPr>
        <w:t>项目联系人：</w:t>
      </w:r>
      <w:r>
        <w:rPr>
          <w:rFonts w:ascii="仿宋_GB2312" w:eastAsia="仿宋_GB2312"/>
          <w:color w:val="auto"/>
          <w:sz w:val="28"/>
          <w:szCs w:val="28"/>
          <w:highlight w:val="none"/>
        </w:rPr>
        <w:t>秦佳乐</w:t>
      </w:r>
    </w:p>
    <w:p w14:paraId="4AF71D92">
      <w:pPr>
        <w:spacing w:line="400" w:lineRule="exact"/>
        <w:ind w:right="-21" w:rightChars="-1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    项目联系方式：</w:t>
      </w:r>
      <w:r>
        <w:rPr>
          <w:rFonts w:ascii="仿宋_GB2312" w:eastAsia="仿宋_GB2312"/>
          <w:color w:val="auto"/>
          <w:sz w:val="28"/>
          <w:szCs w:val="28"/>
          <w:highlight w:val="none"/>
        </w:rPr>
        <w:t>0772-5378972</w:t>
      </w:r>
    </w:p>
    <w:p w14:paraId="05363DF6">
      <w:pPr>
        <w:spacing w:line="400" w:lineRule="exact"/>
        <w:ind w:right="-21" w:rightChars="-10"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2.采购代理机构信息</w:t>
      </w:r>
    </w:p>
    <w:p w14:paraId="0CF3CAA1">
      <w:pPr>
        <w:tabs>
          <w:tab w:val="left" w:pos="851"/>
        </w:tabs>
        <w:spacing w:line="400" w:lineRule="exact"/>
        <w:ind w:right="-21" w:rightChars="-10"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名 称：柳州市政府集中采购中心</w:t>
      </w:r>
    </w:p>
    <w:p w14:paraId="7FB1482B">
      <w:pPr>
        <w:spacing w:line="400" w:lineRule="exact"/>
        <w:ind w:left="2100" w:right="-21" w:rightChars="-10" w:hanging="2100" w:hangingChars="75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    地 址：广西</w:t>
      </w:r>
      <w:r>
        <w:rPr>
          <w:rFonts w:ascii="仿宋_GB2312" w:eastAsia="仿宋_GB2312"/>
          <w:color w:val="auto"/>
          <w:sz w:val="28"/>
          <w:szCs w:val="28"/>
          <w:highlight w:val="none"/>
        </w:rPr>
        <w:t>柳州市三中路6</w:t>
      </w:r>
      <w:r>
        <w:rPr>
          <w:rFonts w:hint="eastAsia" w:ascii="仿宋_GB2312" w:eastAsia="仿宋_GB2312"/>
          <w:color w:val="auto"/>
          <w:sz w:val="28"/>
          <w:szCs w:val="28"/>
          <w:highlight w:val="none"/>
        </w:rPr>
        <w:t>4-2</w:t>
      </w:r>
      <w:r>
        <w:rPr>
          <w:rFonts w:ascii="仿宋_GB2312" w:eastAsia="仿宋_GB2312"/>
          <w:color w:val="auto"/>
          <w:sz w:val="28"/>
          <w:szCs w:val="28"/>
          <w:highlight w:val="none"/>
        </w:rPr>
        <w:t>号</w:t>
      </w:r>
    </w:p>
    <w:p w14:paraId="4F2A96FA">
      <w:pPr>
        <w:spacing w:line="400" w:lineRule="exact"/>
        <w:ind w:right="-21" w:rightChars="-10" w:firstLine="555"/>
        <w:rPr>
          <w:rFonts w:ascii="仿宋_GB2312" w:eastAsia="仿宋_GB2312"/>
          <w:color w:val="auto"/>
          <w:sz w:val="28"/>
          <w:szCs w:val="28"/>
          <w:highlight w:val="none"/>
        </w:rPr>
      </w:pPr>
      <w:r>
        <w:rPr>
          <w:rFonts w:hint="eastAsia" w:ascii="仿宋_GB2312" w:eastAsia="仿宋_GB2312"/>
          <w:color w:val="auto"/>
          <w:sz w:val="28"/>
          <w:szCs w:val="28"/>
          <w:highlight w:val="none"/>
        </w:rPr>
        <w:t>项目联系人：</w:t>
      </w:r>
      <w:r>
        <w:rPr>
          <w:rFonts w:ascii="仿宋_GB2312" w:eastAsia="仿宋_GB2312"/>
          <w:color w:val="auto"/>
          <w:sz w:val="28"/>
          <w:szCs w:val="28"/>
          <w:highlight w:val="none"/>
        </w:rPr>
        <w:t>韦冠琴</w:t>
      </w:r>
    </w:p>
    <w:p w14:paraId="2FEECA51">
      <w:pPr>
        <w:spacing w:line="400" w:lineRule="exact"/>
        <w:ind w:right="-21" w:rightChars="-1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    项目联系方式：</w:t>
      </w:r>
      <w:r>
        <w:rPr>
          <w:rFonts w:ascii="仿宋_GB2312" w:eastAsia="仿宋_GB2312"/>
          <w:color w:val="auto"/>
          <w:sz w:val="28"/>
          <w:szCs w:val="28"/>
          <w:highlight w:val="none"/>
        </w:rPr>
        <w:t>0772-2992003</w:t>
      </w:r>
      <w:bookmarkEnd w:id="23"/>
    </w:p>
    <w:p w14:paraId="41E1C359">
      <w:pPr>
        <w:spacing w:line="400" w:lineRule="exact"/>
        <w:ind w:right="560"/>
        <w:rPr>
          <w:rFonts w:ascii="仿宋_GB2312" w:eastAsia="仿宋_GB2312"/>
          <w:color w:val="auto"/>
          <w:sz w:val="28"/>
          <w:szCs w:val="28"/>
          <w:highlight w:val="none"/>
        </w:rPr>
        <w:sectPr>
          <w:footerReference r:id="rId7" w:type="default"/>
          <w:pgSz w:w="11906" w:h="16838"/>
          <w:pgMar w:top="1440" w:right="991" w:bottom="1440" w:left="1440" w:header="851" w:footer="992" w:gutter="0"/>
          <w:pgNumType w:start="1"/>
          <w:cols w:space="720" w:num="1"/>
          <w:docGrid w:linePitch="312" w:charSpace="0"/>
        </w:sectPr>
      </w:pPr>
    </w:p>
    <w:p w14:paraId="0FD72F81">
      <w:pPr>
        <w:pStyle w:val="4"/>
        <w:spacing w:line="276" w:lineRule="auto"/>
        <w:jc w:val="center"/>
        <w:rPr>
          <w:rFonts w:hint="eastAsia" w:ascii="宋体" w:hAnsi="宋体"/>
          <w:color w:val="auto"/>
          <w:sz w:val="32"/>
          <w:szCs w:val="32"/>
          <w:highlight w:val="none"/>
        </w:rPr>
      </w:pPr>
      <w:bookmarkStart w:id="24" w:name="_Toc4205"/>
      <w:bookmarkStart w:id="25" w:name="_Toc13541"/>
      <w:r>
        <w:rPr>
          <w:rFonts w:hint="eastAsia" w:ascii="宋体" w:hAnsi="宋体"/>
          <w:color w:val="auto"/>
          <w:sz w:val="32"/>
          <w:szCs w:val="32"/>
          <w:highlight w:val="none"/>
        </w:rPr>
        <w:t>第二章 采购需求</w:t>
      </w:r>
      <w:bookmarkEnd w:id="24"/>
      <w:bookmarkEnd w:id="25"/>
    </w:p>
    <w:p w14:paraId="32933568">
      <w:pPr>
        <w:spacing w:line="276" w:lineRule="auto"/>
        <w:ind w:right="-330" w:rightChars="-157"/>
        <w:rPr>
          <w:rFonts w:ascii="仿宋_GB2312" w:eastAsia="仿宋_GB2312"/>
          <w:b/>
          <w:bCs/>
          <w:color w:val="auto"/>
          <w:sz w:val="24"/>
          <w:highlight w:val="none"/>
        </w:rPr>
      </w:pPr>
      <w:r>
        <w:rPr>
          <w:rFonts w:hint="eastAsia" w:ascii="仿宋_GB2312" w:eastAsia="仿宋_GB2312"/>
          <w:b/>
          <w:bCs/>
          <w:color w:val="auto"/>
          <w:sz w:val="24"/>
          <w:highlight w:val="none"/>
        </w:rPr>
        <w:t>说明：</w:t>
      </w:r>
    </w:p>
    <w:p w14:paraId="202BA6EB">
      <w:pPr>
        <w:spacing w:line="380" w:lineRule="exact"/>
        <w:ind w:right="-330" w:rightChars="-157" w:firstLine="482" w:firstLineChars="200"/>
        <w:rPr>
          <w:rFonts w:ascii="仿宋_GB2312" w:eastAsia="仿宋_GB2312"/>
          <w:b/>
          <w:bCs/>
          <w:color w:val="auto"/>
          <w:sz w:val="24"/>
          <w:highlight w:val="none"/>
        </w:rPr>
      </w:pPr>
      <w:bookmarkStart w:id="26" w:name="_Hlk93675025"/>
      <w:r>
        <w:rPr>
          <w:rFonts w:hint="eastAsia" w:ascii="仿宋_GB2312" w:eastAsia="仿宋_GB2312"/>
          <w:b/>
          <w:bCs/>
          <w:color w:val="auto"/>
          <w:sz w:val="24"/>
          <w:highlight w:val="none"/>
        </w:rPr>
        <w:t>（一）本一览表中的品牌、型号仅起参考作用，投标人可选用其他品牌型号替代，但这些替代的产品要实质上满足或优于参考品牌、型号及其技术参数性能（配置）要求。</w:t>
      </w:r>
    </w:p>
    <w:p w14:paraId="45AF4A3B">
      <w:pPr>
        <w:spacing w:line="380" w:lineRule="exact"/>
        <w:ind w:right="-330" w:rightChars="-157" w:firstLine="482" w:firstLineChars="200"/>
        <w:rPr>
          <w:rFonts w:ascii="仿宋_GB2312" w:eastAsia="仿宋_GB2312"/>
          <w:b/>
          <w:bCs/>
          <w:color w:val="auto"/>
          <w:sz w:val="24"/>
          <w:highlight w:val="none"/>
        </w:rPr>
      </w:pPr>
      <w:r>
        <w:rPr>
          <w:rFonts w:hint="eastAsia" w:ascii="仿宋_GB2312" w:eastAsia="仿宋_GB2312"/>
          <w:b/>
          <w:bCs/>
          <w:color w:val="auto"/>
          <w:sz w:val="24"/>
          <w:highlight w:val="none"/>
        </w:rPr>
        <w:t>（二）本一览表中参考品牌、型号及技术参数性能（配置）不明确或有误的，或投标人选用其他品牌型号替代的，请说明品牌型号和详细、正确的技术参数性能（配置）同时填写投标报价明细表和技术响应表。</w:t>
      </w:r>
    </w:p>
    <w:p w14:paraId="3D729DF7">
      <w:pPr>
        <w:spacing w:line="380" w:lineRule="exact"/>
        <w:ind w:right="-330" w:rightChars="-157" w:firstLine="482" w:firstLineChars="200"/>
        <w:rPr>
          <w:rFonts w:ascii="仿宋_GB2312" w:eastAsia="仿宋_GB2312"/>
          <w:b/>
          <w:bCs/>
          <w:color w:val="auto"/>
          <w:sz w:val="24"/>
          <w:highlight w:val="none"/>
        </w:rPr>
      </w:pPr>
      <w:r>
        <w:rPr>
          <w:rFonts w:ascii="仿宋_GB2312" w:eastAsia="仿宋_GB2312"/>
          <w:b/>
          <w:bCs/>
          <w:color w:val="auto"/>
          <w:sz w:val="24"/>
          <w:highlight w:val="none"/>
        </w:rPr>
        <w:t>（三）标记“★”符号的为实质性响应内容，该内容仅限于“第二章 采购需求”，评审时投标人的响应内容发生负偏离一项以上的，视为投标无效。</w:t>
      </w:r>
      <w:r>
        <w:rPr>
          <w:rFonts w:hint="eastAsia" w:ascii="仿宋_GB2312" w:eastAsia="仿宋_GB2312"/>
          <w:b/>
          <w:bCs/>
          <w:color w:val="auto"/>
          <w:sz w:val="24"/>
          <w:highlight w:val="none"/>
        </w:rPr>
        <w:t>分标1</w:t>
      </w:r>
      <w:r>
        <w:rPr>
          <w:rFonts w:ascii="仿宋_GB2312" w:eastAsia="仿宋_GB2312"/>
          <w:b/>
          <w:bCs/>
          <w:color w:val="auto"/>
          <w:sz w:val="24"/>
          <w:highlight w:val="none"/>
        </w:rPr>
        <w:t>没有标记“★”符号的技术参数要求，评审时投标人的响应内容发生负偏离</w:t>
      </w:r>
      <w:r>
        <w:rPr>
          <w:rFonts w:hint="eastAsia" w:ascii="仿宋_GB2312" w:eastAsia="仿宋_GB2312"/>
          <w:b/>
          <w:bCs/>
          <w:color w:val="auto"/>
          <w:sz w:val="24"/>
          <w:highlight w:val="none"/>
          <w:lang w:val="en-US" w:eastAsia="zh-CN"/>
        </w:rPr>
        <w:t>三</w:t>
      </w:r>
      <w:r>
        <w:rPr>
          <w:rFonts w:ascii="仿宋_GB2312" w:eastAsia="仿宋_GB2312"/>
          <w:b/>
          <w:bCs/>
          <w:color w:val="auto"/>
          <w:sz w:val="24"/>
          <w:highlight w:val="none"/>
        </w:rPr>
        <w:t>项以上的，视为投标无效</w:t>
      </w:r>
      <w:r>
        <w:rPr>
          <w:rFonts w:hint="default" w:ascii="仿宋_GB2312" w:eastAsia="仿宋_GB2312"/>
          <w:b/>
          <w:bCs/>
          <w:color w:val="auto"/>
          <w:sz w:val="24"/>
          <w:highlight w:val="none"/>
          <w:lang w:eastAsia="zh-CN"/>
        </w:rPr>
        <w:t>；</w:t>
      </w:r>
      <w:r>
        <w:rPr>
          <w:rFonts w:hint="eastAsia" w:ascii="仿宋_GB2312" w:eastAsia="仿宋_GB2312"/>
          <w:b/>
          <w:bCs/>
          <w:color w:val="auto"/>
          <w:sz w:val="24"/>
          <w:highlight w:val="none"/>
        </w:rPr>
        <w:t>分标</w:t>
      </w:r>
      <w:r>
        <w:rPr>
          <w:rFonts w:hint="default" w:ascii="仿宋_GB2312" w:eastAsia="仿宋_GB2312"/>
          <w:b/>
          <w:bCs/>
          <w:color w:val="auto"/>
          <w:sz w:val="24"/>
          <w:highlight w:val="none"/>
          <w:lang w:val="en-US" w:eastAsia="zh-CN"/>
        </w:rPr>
        <w:t>2</w:t>
      </w:r>
      <w:r>
        <w:rPr>
          <w:rFonts w:ascii="仿宋_GB2312" w:eastAsia="仿宋_GB2312"/>
          <w:b/>
          <w:bCs/>
          <w:color w:val="auto"/>
          <w:sz w:val="24"/>
          <w:highlight w:val="none"/>
        </w:rPr>
        <w:t>没有标记“★”符号的技术参数要求，评审时投标人的响应内容发生负偏离</w:t>
      </w:r>
      <w:r>
        <w:rPr>
          <w:rFonts w:hint="eastAsia" w:ascii="仿宋_GB2312" w:eastAsia="仿宋_GB2312"/>
          <w:b/>
          <w:bCs/>
          <w:color w:val="auto"/>
          <w:sz w:val="24"/>
          <w:highlight w:val="none"/>
          <w:lang w:val="en-US" w:eastAsia="zh-CN"/>
        </w:rPr>
        <w:t>三</w:t>
      </w:r>
      <w:r>
        <w:rPr>
          <w:rFonts w:ascii="仿宋_GB2312" w:eastAsia="仿宋_GB2312"/>
          <w:b/>
          <w:bCs/>
          <w:color w:val="auto"/>
          <w:sz w:val="24"/>
          <w:highlight w:val="none"/>
        </w:rPr>
        <w:t>项以上的，视为投标无效。关于“项数”的规定，凡标有最低一级序号的指标项即为一项技术条款，无论是否隶属于上一级编号（有特别说明的除外）。</w:t>
      </w:r>
    </w:p>
    <w:p w14:paraId="00175AE4">
      <w:pPr>
        <w:spacing w:line="380" w:lineRule="exact"/>
        <w:ind w:right="-330" w:rightChars="-157" w:firstLine="482" w:firstLineChars="200"/>
        <w:rPr>
          <w:rFonts w:ascii="仿宋_GB2312" w:eastAsia="仿宋_GB2312"/>
          <w:b/>
          <w:bCs/>
          <w:color w:val="auto"/>
          <w:sz w:val="24"/>
          <w:highlight w:val="none"/>
        </w:rPr>
      </w:pPr>
      <w:r>
        <w:rPr>
          <w:rFonts w:hint="eastAsia" w:ascii="仿宋_GB2312" w:eastAsia="仿宋_GB2312"/>
          <w:b/>
          <w:bCs/>
          <w:color w:val="auto"/>
          <w:sz w:val="24"/>
          <w:highlight w:val="none"/>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1B068EF5">
      <w:pPr>
        <w:spacing w:line="380" w:lineRule="exact"/>
        <w:ind w:right="-330" w:rightChars="-157" w:firstLine="482" w:firstLineChars="200"/>
        <w:rPr>
          <w:rFonts w:ascii="仿宋_GB2312" w:eastAsia="仿宋_GB2312"/>
          <w:b/>
          <w:bCs/>
          <w:color w:val="auto"/>
          <w:sz w:val="24"/>
          <w:highlight w:val="none"/>
        </w:rPr>
      </w:pPr>
      <w:r>
        <w:rPr>
          <w:rFonts w:hint="eastAsia" w:ascii="仿宋_GB2312" w:eastAsia="仿宋_GB2312"/>
          <w:b/>
          <w:bCs/>
          <w:color w:val="auto"/>
          <w:sz w:val="24"/>
          <w:highlight w:val="none"/>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5A71456">
      <w:pPr>
        <w:spacing w:line="380" w:lineRule="exact"/>
        <w:ind w:right="-330" w:rightChars="-157" w:firstLine="482" w:firstLineChars="200"/>
        <w:rPr>
          <w:rFonts w:ascii="仿宋_GB2312" w:eastAsia="仿宋_GB2312"/>
          <w:b/>
          <w:bCs/>
          <w:color w:val="auto"/>
          <w:sz w:val="24"/>
          <w:highlight w:val="none"/>
        </w:rPr>
      </w:pPr>
      <w:r>
        <w:rPr>
          <w:rFonts w:hint="eastAsia" w:ascii="仿宋_GB2312" w:eastAsia="仿宋_GB2312"/>
          <w:b/>
          <w:bCs/>
          <w:color w:val="auto"/>
          <w:sz w:val="24"/>
          <w:highlight w:val="none"/>
        </w:rPr>
        <w:t>非单一产品采购项目中，多家投标人提供的核心产品品牌相同的，视为提供相同品牌产品，核心产品的名称在招标文件第二章“采购需求”用“▲”标明。</w:t>
      </w:r>
    </w:p>
    <w:p w14:paraId="55C40BB8">
      <w:pPr>
        <w:spacing w:line="380" w:lineRule="exact"/>
        <w:ind w:right="-330" w:rightChars="-157" w:firstLine="482" w:firstLineChars="200"/>
        <w:rPr>
          <w:rFonts w:ascii="仿宋_GB2312" w:eastAsia="仿宋_GB2312"/>
          <w:b/>
          <w:bCs/>
          <w:color w:val="auto"/>
          <w:sz w:val="24"/>
          <w:highlight w:val="none"/>
        </w:rPr>
      </w:pPr>
      <w:r>
        <w:rPr>
          <w:rFonts w:hint="eastAsia" w:ascii="仿宋_GB2312" w:eastAsia="仿宋_GB2312"/>
          <w:b/>
          <w:bCs/>
          <w:color w:val="auto"/>
          <w:sz w:val="24"/>
          <w:highlight w:val="none"/>
        </w:rPr>
        <w:t>（六）本项目包括以下设备，根据财办库〔2008〕248号文件有关规定，本项目不允许进口产品参加报价。</w:t>
      </w:r>
    </w:p>
    <w:p w14:paraId="5D0281EF">
      <w:pPr>
        <w:spacing w:line="380" w:lineRule="exact"/>
        <w:ind w:right="-330" w:rightChars="-157" w:firstLine="482" w:firstLineChars="200"/>
        <w:rPr>
          <w:rFonts w:ascii="仿宋_GB2312" w:eastAsia="仿宋_GB2312"/>
          <w:b/>
          <w:bCs/>
          <w:color w:val="auto"/>
          <w:sz w:val="24"/>
          <w:highlight w:val="none"/>
        </w:rPr>
      </w:pPr>
      <w:r>
        <w:rPr>
          <w:rFonts w:hint="eastAsia" w:ascii="仿宋_GB2312" w:eastAsia="仿宋_GB2312"/>
          <w:b/>
          <w:bCs/>
          <w:color w:val="auto"/>
          <w:sz w:val="24"/>
          <w:highlight w:val="none"/>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14:paraId="443FA3D6">
      <w:pPr>
        <w:spacing w:line="380" w:lineRule="exact"/>
        <w:ind w:right="-330" w:rightChars="-157" w:firstLine="482" w:firstLineChars="200"/>
        <w:rPr>
          <w:rFonts w:ascii="仿宋_GB2312" w:eastAsia="仿宋_GB2312"/>
          <w:b/>
          <w:bCs/>
          <w:color w:val="auto"/>
          <w:sz w:val="24"/>
          <w:highlight w:val="none"/>
        </w:rPr>
      </w:pPr>
      <w:r>
        <w:rPr>
          <w:rFonts w:hint="eastAsia" w:ascii="仿宋_GB2312" w:eastAsia="仿宋_GB2312"/>
          <w:b/>
          <w:bCs/>
          <w:color w:val="auto"/>
          <w:sz w:val="24"/>
          <w:highlight w:val="none"/>
        </w:rPr>
        <w:t>（八）若采购货物属于</w:t>
      </w:r>
      <w:r>
        <w:rPr>
          <w:color w:val="auto"/>
          <w:highlight w:val="none"/>
        </w:rPr>
        <w:fldChar w:fldCharType="begin"/>
      </w:r>
      <w:r>
        <w:rPr>
          <w:color w:val="auto"/>
          <w:highlight w:val="none"/>
        </w:rPr>
        <w:instrText xml:space="preserve">HYPERLINK "http://gks.mof.gov.cn/zhengfucaigouguanli/201904/P020190402638613799126.pdf"</w:instrText>
      </w:r>
      <w:r>
        <w:rPr>
          <w:color w:val="auto"/>
          <w:highlight w:val="none"/>
        </w:rPr>
        <w:fldChar w:fldCharType="separate"/>
      </w:r>
      <w:r>
        <w:rPr>
          <w:rFonts w:hint="eastAsia" w:ascii="仿宋_GB2312" w:eastAsia="仿宋_GB2312"/>
          <w:b/>
          <w:bCs/>
          <w:color w:val="auto"/>
          <w:sz w:val="24"/>
          <w:highlight w:val="none"/>
        </w:rPr>
        <w:t>节能产品政府采购品目清单</w:t>
      </w:r>
      <w:r>
        <w:rPr>
          <w:rFonts w:ascii="仿宋_GB2312" w:eastAsia="仿宋_GB2312"/>
          <w:b/>
          <w:bCs/>
          <w:color w:val="auto"/>
          <w:sz w:val="24"/>
          <w:highlight w:val="none"/>
        </w:rPr>
        <w:fldChar w:fldCharType="end"/>
      </w:r>
      <w:r>
        <w:rPr>
          <w:rFonts w:hint="eastAsia" w:ascii="仿宋_GB2312" w:eastAsia="仿宋_GB2312"/>
          <w:b/>
          <w:bCs/>
          <w:color w:val="auto"/>
          <w:sz w:val="24"/>
          <w:highlight w:val="none"/>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14:paraId="587D25CD">
      <w:pPr>
        <w:spacing w:line="380" w:lineRule="exact"/>
        <w:ind w:right="-330" w:rightChars="-157" w:firstLine="482" w:firstLineChars="200"/>
        <w:rPr>
          <w:rFonts w:hint="eastAsia" w:ascii="仿宋_GB2312" w:eastAsia="仿宋_GB2312"/>
          <w:b/>
          <w:bCs/>
          <w:color w:val="auto"/>
          <w:sz w:val="24"/>
          <w:highlight w:val="none"/>
        </w:rPr>
      </w:pPr>
      <w:r>
        <w:rPr>
          <w:rFonts w:hint="eastAsia" w:ascii="仿宋_GB2312" w:eastAsia="仿宋_GB2312"/>
          <w:b/>
          <w:bCs/>
          <w:color w:val="auto"/>
          <w:sz w:val="24"/>
          <w:highlight w:val="none"/>
        </w:rPr>
        <w:t>（九）本货物需求一览表的技术参数要求中未特别列明的技术要求参照国家相关技术标准执行，如有最新标准，按最新标准执行。</w:t>
      </w:r>
    </w:p>
    <w:p w14:paraId="59B50E11">
      <w:pPr>
        <w:pStyle w:val="5"/>
        <w:jc w:val="left"/>
        <w:rPr>
          <w:rFonts w:hint="default" w:eastAsia="仿宋_GB2312"/>
          <w:color w:val="auto"/>
          <w:highlight w:val="none"/>
          <w:lang w:val="en-US" w:eastAsia="zh-CN"/>
        </w:rPr>
      </w:pPr>
      <w:r>
        <w:rPr>
          <w:rFonts w:hint="eastAsia" w:ascii="仿宋_GB2312" w:eastAsia="仿宋_GB2312"/>
          <w:b/>
          <w:bCs/>
          <w:color w:val="auto"/>
          <w:sz w:val="24"/>
          <w:highlight w:val="none"/>
          <w:lang w:eastAsia="zh-CN"/>
        </w:rPr>
        <w:t>分标</w:t>
      </w:r>
      <w:r>
        <w:rPr>
          <w:rFonts w:hint="eastAsia" w:ascii="仿宋_GB2312" w:eastAsia="仿宋_GB2312"/>
          <w:b/>
          <w:bCs/>
          <w:color w:val="auto"/>
          <w:sz w:val="24"/>
          <w:highlight w:val="none"/>
          <w:lang w:val="en-US" w:eastAsia="zh-CN"/>
        </w:rPr>
        <w:t>1</w:t>
      </w:r>
    </w:p>
    <w:bookmarkEnd w:id="26"/>
    <w:tbl>
      <w:tblPr>
        <w:tblStyle w:val="243"/>
        <w:tblW w:w="9250" w:type="dxa"/>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
        <w:gridCol w:w="1118"/>
        <w:gridCol w:w="6707"/>
        <w:gridCol w:w="812"/>
      </w:tblGrid>
      <w:tr w14:paraId="4A11E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50" w:type="dxa"/>
            <w:gridSpan w:val="4"/>
            <w:tcBorders>
              <w:top w:val="single" w:color="auto" w:sz="4" w:space="0"/>
              <w:left w:val="single" w:color="auto" w:sz="4" w:space="0"/>
              <w:bottom w:val="single" w:color="auto" w:sz="4" w:space="0"/>
              <w:right w:val="single" w:color="auto" w:sz="4" w:space="0"/>
            </w:tcBorders>
            <w:vAlign w:val="center"/>
          </w:tcPr>
          <w:p w14:paraId="1CCF0F1C">
            <w:pPr>
              <w:spacing w:line="400" w:lineRule="exact"/>
              <w:jc w:val="left"/>
              <w:rPr>
                <w:rFonts w:hint="eastAsia"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rPr>
              <w:t>一、项目技术规格参数及要求</w:t>
            </w:r>
          </w:p>
        </w:tc>
      </w:tr>
      <w:tr w14:paraId="27978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7D103118">
            <w:pPr>
              <w:pStyle w:val="244"/>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序号</w:t>
            </w:r>
          </w:p>
        </w:tc>
        <w:tc>
          <w:tcPr>
            <w:tcW w:w="1118" w:type="dxa"/>
            <w:tcBorders>
              <w:top w:val="single" w:color="auto" w:sz="4" w:space="0"/>
              <w:left w:val="single" w:color="auto" w:sz="4" w:space="0"/>
              <w:bottom w:val="single" w:color="auto" w:sz="4" w:space="0"/>
              <w:right w:val="single" w:color="auto" w:sz="4" w:space="0"/>
            </w:tcBorders>
            <w:vAlign w:val="center"/>
          </w:tcPr>
          <w:p w14:paraId="2D2D2C02">
            <w:pPr>
              <w:pStyle w:val="244"/>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标的名称</w:t>
            </w:r>
          </w:p>
        </w:tc>
        <w:tc>
          <w:tcPr>
            <w:tcW w:w="6707" w:type="dxa"/>
            <w:tcBorders>
              <w:top w:val="single" w:color="auto" w:sz="4" w:space="0"/>
              <w:left w:val="single" w:color="auto" w:sz="4" w:space="0"/>
              <w:bottom w:val="single" w:color="auto" w:sz="4" w:space="0"/>
              <w:right w:val="single" w:color="auto" w:sz="4" w:space="0"/>
            </w:tcBorders>
            <w:vAlign w:val="center"/>
          </w:tcPr>
          <w:p w14:paraId="666140EC">
            <w:pPr>
              <w:pStyle w:val="244"/>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技术参数</w:t>
            </w:r>
          </w:p>
        </w:tc>
        <w:tc>
          <w:tcPr>
            <w:tcW w:w="812" w:type="dxa"/>
            <w:tcBorders>
              <w:top w:val="single" w:color="auto" w:sz="4" w:space="0"/>
              <w:left w:val="single" w:color="auto" w:sz="4" w:space="0"/>
              <w:bottom w:val="single" w:color="auto" w:sz="4" w:space="0"/>
              <w:right w:val="single" w:color="auto" w:sz="4" w:space="0"/>
            </w:tcBorders>
            <w:vAlign w:val="center"/>
          </w:tcPr>
          <w:p w14:paraId="540AB0A2">
            <w:pPr>
              <w:pStyle w:val="244"/>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数量及单位</w:t>
            </w:r>
          </w:p>
        </w:tc>
      </w:tr>
      <w:tr w14:paraId="60CD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9250" w:type="dxa"/>
            <w:gridSpan w:val="4"/>
            <w:tcBorders>
              <w:top w:val="single" w:color="auto" w:sz="4" w:space="0"/>
              <w:left w:val="single" w:color="auto" w:sz="4" w:space="0"/>
              <w:bottom w:val="single" w:color="auto" w:sz="4" w:space="0"/>
              <w:right w:val="single" w:color="auto" w:sz="4" w:space="0"/>
            </w:tcBorders>
            <w:vAlign w:val="center"/>
          </w:tcPr>
          <w:p w14:paraId="285BA5D7">
            <w:pPr>
              <w:pStyle w:val="244"/>
              <w:snapToGrid w:val="0"/>
              <w:spacing w:line="400" w:lineRule="exact"/>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kern w:val="0"/>
                <w:sz w:val="24"/>
                <w:szCs w:val="24"/>
                <w:highlight w:val="none"/>
              </w:rPr>
              <w:t>（一）</w:t>
            </w:r>
            <w:r>
              <w:rPr>
                <w:rFonts w:hint="eastAsia" w:ascii="仿宋_GB2312" w:hAnsi="仿宋_GB2312" w:eastAsia="仿宋_GB2312" w:cs="仿宋_GB2312"/>
                <w:b/>
                <w:bCs/>
                <w:color w:val="auto"/>
                <w:kern w:val="0"/>
                <w:sz w:val="24"/>
                <w:szCs w:val="24"/>
                <w:highlight w:val="none"/>
                <w:lang w:val="en-US" w:eastAsia="zh-CN"/>
              </w:rPr>
              <w:t>教师台式机</w:t>
            </w:r>
          </w:p>
        </w:tc>
      </w:tr>
      <w:tr w14:paraId="11173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2BFDF0DA">
            <w:pPr>
              <w:pStyle w:val="244"/>
              <w:snapToGrid w:val="0"/>
              <w:spacing w:line="40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1118" w:type="dxa"/>
            <w:tcBorders>
              <w:top w:val="single" w:color="auto" w:sz="4" w:space="0"/>
              <w:left w:val="single" w:color="auto" w:sz="4" w:space="0"/>
              <w:bottom w:val="single" w:color="auto" w:sz="4" w:space="0"/>
              <w:right w:val="single" w:color="auto" w:sz="4" w:space="0"/>
            </w:tcBorders>
            <w:vAlign w:val="center"/>
          </w:tcPr>
          <w:p w14:paraId="62D2CD11">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eastAsia="zh-CN"/>
              </w:rPr>
              <w:t>教师台式机</w:t>
            </w: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b/>
                <w:bCs/>
                <w:color w:val="auto"/>
                <w:kern w:val="0"/>
                <w:sz w:val="24"/>
                <w:highlight w:val="none"/>
              </w:rPr>
              <w:t>强制采购节能产品，详见采购需求说明第八点）</w:t>
            </w:r>
          </w:p>
        </w:tc>
        <w:tc>
          <w:tcPr>
            <w:tcW w:w="6707" w:type="dxa"/>
            <w:tcBorders>
              <w:top w:val="single" w:color="auto" w:sz="4" w:space="0"/>
              <w:left w:val="single" w:color="auto" w:sz="4" w:space="0"/>
              <w:bottom w:val="single" w:color="auto" w:sz="4" w:space="0"/>
              <w:right w:val="single" w:color="auto" w:sz="4" w:space="0"/>
            </w:tcBorders>
            <w:vAlign w:val="center"/>
          </w:tcPr>
          <w:p w14:paraId="282AC267">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一、CPU规格</w:t>
            </w:r>
          </w:p>
          <w:p w14:paraId="1E99125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1.CPU物理核心数：≥8核8线程，主频≥2.7GHz，末级缓存容量≥8M，内存≥双通道DDR4-2666，热设计功耗≥70W，位宽≥64位；</w:t>
            </w:r>
          </w:p>
          <w:p w14:paraId="7C5002B9">
            <w:pPr>
              <w:widowControl/>
              <w:spacing w:line="400" w:lineRule="exact"/>
              <w:ind w:firstLine="482"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二、内存规格</w:t>
            </w:r>
          </w:p>
          <w:p w14:paraId="5771EA5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1.内存配置容量：≥16GB；</w:t>
            </w:r>
          </w:p>
          <w:p w14:paraId="0A89C7A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2.内存类型：支持 DDR4/LPDDR4/LPDDR4X及以上内存类型；</w:t>
            </w:r>
          </w:p>
          <w:p w14:paraId="3C8102F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3.内存条配置数量（板载内存不涉及）：≥1；</w:t>
            </w:r>
          </w:p>
          <w:p w14:paraId="673F810D">
            <w:pPr>
              <w:widowControl/>
              <w:spacing w:line="400" w:lineRule="exact"/>
              <w:ind w:firstLine="482"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三、主板规格</w:t>
            </w:r>
          </w:p>
          <w:p w14:paraId="6DBBB5A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1.主板集成模块：集成资源扩展模块、计算处理模块、音频扩展模块等，主板的互联拓扑可通过处理器或交换电路实现；</w:t>
            </w:r>
          </w:p>
          <w:p w14:paraId="605F5DB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2.主板支持的CPU和内存情况：≥8核8线程，主频≥2.7GHz，末级缓存容量≥8M，内存≥双通道DDR4-2666，热设计功耗≥70W，位宽≥64位；内存条数量≥1；</w:t>
            </w:r>
          </w:p>
          <w:p w14:paraId="0ED5A8A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3.主板其他内置接口：≥SATA接口*2，≥M.2接口*1，≥USB接口*10，固态硬盘占用M.2接口*1，机械硬盘占用SATA接口*1</w:t>
            </w:r>
          </w:p>
          <w:p w14:paraId="356540C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4.单内存插槽最大可支持容量（板载内存不涉及）：≥8GB；</w:t>
            </w:r>
          </w:p>
          <w:p w14:paraId="7D0ADC9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5.内存插槽满配时提供的最高内存总容量：≥16GB；</w:t>
            </w:r>
          </w:p>
          <w:p w14:paraId="3D0CD8A0">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四、存储设备规格</w:t>
            </w:r>
          </w:p>
          <w:p w14:paraId="18150E4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1.固态盘数量：≥1 个；</w:t>
            </w:r>
          </w:p>
          <w:p w14:paraId="4B79B91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2.固态存储容量：≥512GB；</w:t>
            </w:r>
          </w:p>
          <w:p w14:paraId="126CC39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3.机械硬盘数量：≥1 个；</w:t>
            </w:r>
          </w:p>
          <w:p w14:paraId="4567153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4.机械硬盘总容量：≥1TB；</w:t>
            </w:r>
          </w:p>
          <w:p w14:paraId="3ED61C7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5.机械硬盘转速：≥5400rpm；</w:t>
            </w:r>
          </w:p>
          <w:p w14:paraId="4C05E2F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6.机械硬盘形态：2.5英寸或3.5英寸等；</w:t>
            </w:r>
          </w:p>
          <w:p w14:paraId="447D3B8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7.固态存储形态：采用插卡或板载等形态，可选用符合M.2 或2.5寸SATA或mSATA等标准的插卡形态；</w:t>
            </w:r>
          </w:p>
          <w:p w14:paraId="4D7B7EA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8.存储设备其他参数要求：a）固态盘应符合 SJ/T 11654 相关规定；b）机械硬盘准备时间应不大于30s；侧面固定螺丝孔数量可为4孔或6孔；工作状态环境温度应满足5℃-55℃；其他参数应符合GB/T 12628相关规定；</w:t>
            </w:r>
          </w:p>
          <w:p w14:paraId="461A1978">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五、显卡规格</w:t>
            </w:r>
          </w:p>
          <w:p w14:paraId="41984C0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1.显卡类型：独立显卡；</w:t>
            </w:r>
          </w:p>
          <w:p w14:paraId="68B9ED2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2.独立显卡显存类型：显存类型为DDR3/DDR4/GDDR5/GDDR6/LPDDR4；</w:t>
            </w:r>
          </w:p>
          <w:p w14:paraId="72C0846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3.独立显卡显存位宽：显存位宽≥16位；</w:t>
            </w:r>
          </w:p>
          <w:p w14:paraId="5D439AB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4.独立显卡显存容量：显存容量≥2GB；</w:t>
            </w:r>
          </w:p>
          <w:p w14:paraId="45DA8DFB">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六、显示设备规格</w:t>
            </w:r>
          </w:p>
          <w:p w14:paraId="1B1B8DE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1.显示屏屏占比：≥90%；</w:t>
            </w:r>
          </w:p>
          <w:p w14:paraId="7957CC6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2.显示屏分辨率：≥1920*1080；</w:t>
            </w:r>
          </w:p>
          <w:p w14:paraId="62889C3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3.显示屏尺寸：≥23.8英寸；</w:t>
            </w:r>
          </w:p>
          <w:p w14:paraId="66B7B63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4.显示屏屏幕比例：16:9；</w:t>
            </w:r>
          </w:p>
          <w:p w14:paraId="024D571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5.显示器外观颜色：黑色商务色系；</w:t>
            </w:r>
          </w:p>
          <w:p w14:paraId="195FD03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6.显示屏防蓝光：支持防蓝光模式，蓝光加权辐射亮度比应≤0.0012W/（·cd·sr）（瓦每坎特拉每球面度）；</w:t>
            </w:r>
          </w:p>
          <w:p w14:paraId="3B3F439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7.显示屏低频闪：显示屏应支持低频闪≤-35dB；</w:t>
            </w:r>
          </w:p>
          <w:p w14:paraId="3593995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8.显示屏防眩目：显示屏镜面反射率≤10%；</w:t>
            </w:r>
          </w:p>
          <w:p w14:paraId="34E4EBE7">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七、外设规格</w:t>
            </w:r>
          </w:p>
          <w:p w14:paraId="3FCED5F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1.鼠标数量：≥1个；</w:t>
            </w:r>
          </w:p>
          <w:p w14:paraId="714CFF0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2.键盘数量：≥1个；</w:t>
            </w:r>
          </w:p>
          <w:p w14:paraId="68341B1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3.键盘按键数目：101键；</w:t>
            </w:r>
          </w:p>
          <w:p w14:paraId="11D03CE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4.键盘连接方式：有线；</w:t>
            </w:r>
          </w:p>
          <w:p w14:paraId="52D51AE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5.键盘键程：2.3mm—4.0mm；</w:t>
            </w:r>
          </w:p>
          <w:p w14:paraId="151C438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6.键盘按键压力：按键压力应在0.54N±0.14N；</w:t>
            </w:r>
          </w:p>
          <w:p w14:paraId="17FDAFF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7.有线键盘连接线：≥1.5 米；</w:t>
            </w:r>
          </w:p>
          <w:p w14:paraId="1E5277A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8.键盘颜色：黑色商务色系；</w:t>
            </w:r>
          </w:p>
          <w:p w14:paraId="5BAE0AD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9.鼠标连接方式：有线；</w:t>
            </w:r>
          </w:p>
          <w:p w14:paraId="1C2A31E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10.有线鼠标连接线：≥1.5米；</w:t>
            </w:r>
          </w:p>
          <w:p w14:paraId="1BDCE1A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11.鼠标DPI分辨率：800-1600（CPI）；</w:t>
            </w:r>
          </w:p>
          <w:p w14:paraId="7012917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12.鼠标颜色：黑色商务色系；</w:t>
            </w:r>
          </w:p>
          <w:p w14:paraId="463D42E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13.鼠标其他要求：其他参数应符合GB/T 26245的相关规定；</w:t>
            </w:r>
          </w:p>
          <w:p w14:paraId="41C2FBB7">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八、网络设备规格</w:t>
            </w:r>
          </w:p>
          <w:p w14:paraId="2F61C1B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1.有线网卡数量：≥1；</w:t>
            </w:r>
          </w:p>
          <w:p w14:paraId="65CFC76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2.无线网卡数量：≥1；</w:t>
            </w:r>
          </w:p>
          <w:p w14:paraId="1EBF916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3.单无线网卡天线数量：≥1；</w:t>
            </w:r>
          </w:p>
          <w:p w14:paraId="3D8E8D3D">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九、外部接口规格</w:t>
            </w:r>
          </w:p>
          <w:p w14:paraId="7FAD72E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1.USB 接口数量：机箱前面板应提供不少于3个USB接口（含2个USB3.0及以上接口，且支持在关机状态下对外供电）；</w:t>
            </w:r>
          </w:p>
          <w:p w14:paraId="01438DE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2.视频接口数量：≥1；</w:t>
            </w:r>
          </w:p>
          <w:p w14:paraId="07B8800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3.音频接口数量：≥1；</w:t>
            </w:r>
          </w:p>
          <w:p w14:paraId="11B02C13">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十、整机基础规格</w:t>
            </w:r>
          </w:p>
          <w:p w14:paraId="78A0616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整机外观：a)产品表面不应有凹痕、划伤、裂缝、变形和污染等。表面涂层均匀，不应起泡、龟裂、脱落和磨损，金属零部件无锈蚀及其它机械损伤；b)产品表面说明功能的文字、符号、标志，应清晰、端正、牢固；</w:t>
            </w:r>
          </w:p>
          <w:p w14:paraId="4A7E62B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2.状态指示灯：在产品显著位置提供状态指示功能；</w:t>
            </w:r>
          </w:p>
          <w:p w14:paraId="39FD7C0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3.整机结构：a)机箱应符合GB/T 4208、GB/T 26246的相关规定；b)产品内部结构应符合通用部件的安装需求；c)所有输入输出接口应符合相关国家或行业标准；d)产品零部件应紧固无松动，可插拔部件应可靠连接，开关、按钮和其他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l)各主要部件拆装步骤要少，各自拆装需避免相互干扰；m)对于整机或零部件外表面为高亮面的，应粘贴保护膜，保护膜需粘贴牢固，运输、组装等过程不易脱落，撕下无残留；n)其他要求应符合GB/T 9813.1的相关规定；</w:t>
            </w:r>
          </w:p>
          <w:p w14:paraId="75CEE80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4.机箱防护要求：机箱应符合GB/T 4208中IP20防护要求；</w:t>
            </w:r>
          </w:p>
          <w:p w14:paraId="7BD8D02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5.整机噪声：产品工作在空闲状态下，产品的声功率级应不超过4.5Bel；</w:t>
            </w:r>
          </w:p>
          <w:p w14:paraId="4A929B0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6.整机散热：在环境温度 25℃及处理器满载情况下，产品表面温度应符合如下要求：a)出风口在机箱后面板情况下，出风口温度不高于55℃；b)可触及面温度不高于 45℃；c)显示器表面温度：显示屏不高于38℃，显示屏上下灯带位置温度（如涉及）不高于40℃，出风口温度不高于45℃；</w:t>
            </w:r>
          </w:p>
          <w:p w14:paraId="3C0DBD7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7.整机能效限定值：产品能效限定值应达到GB28380-2012标准中能效等级2级及以上；</w:t>
            </w:r>
          </w:p>
          <w:p w14:paraId="12CBA07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8.机身材质：金属等；</w:t>
            </w:r>
          </w:p>
          <w:p w14:paraId="1BF33F0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9.机身颜色：黑色商务色系；</w:t>
            </w:r>
          </w:p>
          <w:p w14:paraId="78D51AE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10.机箱尺寸容量：机箱体积应不大于9L；</w:t>
            </w:r>
          </w:p>
          <w:p w14:paraId="79682FF2">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十一、CPU性能</w:t>
            </w:r>
          </w:p>
          <w:p w14:paraId="6039E21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1.CPU物理核数：≥8；</w:t>
            </w:r>
          </w:p>
          <w:p w14:paraId="68E40DB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2.CPU主频：≥2.7GHz；</w:t>
            </w:r>
          </w:p>
          <w:p w14:paraId="48BFC3C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3.CPU末级缓存容量：≥8MB；</w:t>
            </w:r>
          </w:p>
          <w:p w14:paraId="6CC94A1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4.CPU支持的内存最高速率：≥2666MT/s；</w:t>
            </w:r>
          </w:p>
          <w:p w14:paraId="5BC9AC0A">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十二、内存性能</w:t>
            </w:r>
          </w:p>
          <w:p w14:paraId="5670F4B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1.内存读写速率：≥2666MT/s；</w:t>
            </w:r>
          </w:p>
          <w:p w14:paraId="5B742D05">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十三、显卡性能</w:t>
            </w:r>
          </w:p>
          <w:p w14:paraId="1FB9B90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1.显示分辨率：≥1920*1080；</w:t>
            </w:r>
          </w:p>
          <w:p w14:paraId="2AF2A59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2.显卡显示芯片核心频率：≥300MHz；</w:t>
            </w:r>
          </w:p>
          <w:p w14:paraId="382357D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3.显存等效频率：≥1000MT/s；</w:t>
            </w:r>
          </w:p>
          <w:p w14:paraId="20B9B71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4.显卡可支持多屏同时显示数量：显卡应支持2块屏幕同时显示，分辨率应不低于1920*1080；</w:t>
            </w:r>
          </w:p>
          <w:p w14:paraId="753014EA">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十四、显示设备性能</w:t>
            </w:r>
          </w:p>
          <w:p w14:paraId="6FC480C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1.显示屏刷新率：≥90Hz；</w:t>
            </w:r>
          </w:p>
          <w:p w14:paraId="503D149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2.显示屏位深：≥8位；</w:t>
            </w:r>
          </w:p>
          <w:p w14:paraId="5E0DC13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3.显示屏色域：≥99% sRGB，DCI-P3色域覆盖率≥90%；</w:t>
            </w:r>
          </w:p>
          <w:p w14:paraId="7797C33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4.显示屏色准：△E≤4；</w:t>
            </w:r>
          </w:p>
          <w:p w14:paraId="77E7146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5.显示屏响应时间：≤4ms；</w:t>
            </w:r>
          </w:p>
          <w:p w14:paraId="42B59B6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6.显示屏亮度：≥250尼特；</w:t>
            </w:r>
          </w:p>
          <w:p w14:paraId="0B11780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7.显示屏亮度一致性：≥70%；</w:t>
            </w:r>
          </w:p>
          <w:p w14:paraId="1DDEA68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8.显示屏对比度：≥500:1；</w:t>
            </w:r>
          </w:p>
          <w:p w14:paraId="4D4A567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9.显示屏其他参数：其他参数应符合SJ/T 11292的相关规定；</w:t>
            </w:r>
          </w:p>
          <w:p w14:paraId="3C80247D">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十五、网络设备性能</w:t>
            </w:r>
          </w:p>
          <w:p w14:paraId="4072D3A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 有线网卡速率：最高速率应不低于1000Mbps，应支持10Mbps、100Mbps、1000Mbps速率自适应；</w:t>
            </w:r>
          </w:p>
          <w:p w14:paraId="49764EB8">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十六、主板功能</w:t>
            </w:r>
          </w:p>
          <w:p w14:paraId="338DA81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1.内存扩展接口（板载内存不涉及）：≥2个；</w:t>
            </w:r>
          </w:p>
          <w:p w14:paraId="109AA45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2.主板 USB瞬间过流保护：支持瞬间过流保护功能；</w:t>
            </w:r>
          </w:p>
          <w:p w14:paraId="18AE6B1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3.主板防静电保护：支持防静电保护功能；</w:t>
            </w:r>
          </w:p>
          <w:p w14:paraId="2E8FBB6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4.I/O 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p>
          <w:p w14:paraId="380B4AE6">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十七、显卡功能</w:t>
            </w:r>
          </w:p>
          <w:p w14:paraId="0D6E2C5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1.显卡外接显示接口：显卡至少支持VGA、HDMI、DVI、DP、Type-C中1种显示接口，并与显示器接口相匹配；</w:t>
            </w:r>
          </w:p>
          <w:p w14:paraId="325A7B11">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十八、显示设备功能</w:t>
            </w:r>
          </w:p>
          <w:p w14:paraId="0472C42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1.显示器接口：显示器应与显卡外接显示接口匹配；</w:t>
            </w:r>
          </w:p>
          <w:p w14:paraId="4744F38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2.显示器支架：显示器应提供显示器支架；</w:t>
            </w:r>
          </w:p>
          <w:p w14:paraId="47A96C2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3.显示器参数调节：a）提供OSD选单按钮用于调节色彩、模式等；b）支持色温、亮度、对比度调节；</w:t>
            </w:r>
          </w:p>
          <w:p w14:paraId="0ED33BB1">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十九、存储功能</w:t>
            </w:r>
          </w:p>
          <w:p w14:paraId="32A0F10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1.存储功能：通过SATA固态存储/PCIe固态存储/UFS固态存储/SATA硬磁盘等存储部件提供存储功能；</w:t>
            </w:r>
          </w:p>
          <w:p w14:paraId="6FBF40FF">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二十、网络设备功能</w:t>
            </w:r>
          </w:p>
          <w:p w14:paraId="7A457E1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1.网络功能：a）支持网络连接、网络开启/关闭功能；b）支持访问网络和数据交换功能；</w:t>
            </w:r>
          </w:p>
          <w:p w14:paraId="16A6010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2.数据传输：支持数据传输能力，并提供数据流量和异常日志记录功能；</w:t>
            </w:r>
          </w:p>
          <w:p w14:paraId="60D6431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3.有线网卡接口类型：支持RJ45接口；</w:t>
            </w:r>
          </w:p>
          <w:p w14:paraId="55D441F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4.网络设备拆装：网络设备支持物理拆装，包括无线网卡和蓝牙模块等；</w:t>
            </w:r>
          </w:p>
          <w:p w14:paraId="6B0F5451">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二十一、外部接口功能</w:t>
            </w:r>
          </w:p>
          <w:p w14:paraId="7A688CD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1.音频接口类型：支持3.5mm孔径3段式或4段式接口；</w:t>
            </w:r>
          </w:p>
          <w:p w14:paraId="2EF7EF3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2.视频接口类型：至少支持VGA、HDMI、DVI、DP、Type-C中1种显示接口；</w:t>
            </w:r>
          </w:p>
          <w:p w14:paraId="4291AE1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3.HDMI、DP、Type-C显示接口要求：若提供HDMI或DP或Type-C作为显示接口，应支持音频和视频同步输出；</w:t>
            </w:r>
          </w:p>
          <w:p w14:paraId="0D79C977">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二十二、电源功能</w:t>
            </w:r>
          </w:p>
          <w:p w14:paraId="1AD0E4C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1.电源线适配能力：电源适配器电线组件应符合GB/T 15934的要求；</w:t>
            </w:r>
          </w:p>
          <w:p w14:paraId="286F85FD">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二十三、操作系统及软件功能</w:t>
            </w:r>
          </w:p>
          <w:p w14:paraId="2366B10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1.中文信息处理要求：符合GB 18030的相关规定；</w:t>
            </w:r>
          </w:p>
          <w:p w14:paraId="46B5D2D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2.操作系统备份及还原功能：支持操作系统备份及还原功能；</w:t>
            </w:r>
          </w:p>
          <w:p w14:paraId="38B4CC6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3.固件备份还原能力：支持备份及还原固件的功能；</w:t>
            </w:r>
          </w:p>
          <w:p w14:paraId="605D913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4.操作系统及驱动升级：支持通过网络、闪存盘等方式对操作系统、驱动进行升级；</w:t>
            </w:r>
          </w:p>
          <w:p w14:paraId="23CC2FF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5.固件升级：支持通过网络、闪存盘等方式对固件进行升级；</w:t>
            </w:r>
          </w:p>
          <w:p w14:paraId="13C93CB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6.BIOS支持关闭通讯接口：支持BIOS关闭以太网及USB接口；</w:t>
            </w:r>
          </w:p>
          <w:p w14:paraId="023EE0A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7.固件查看信息：支持查看固件版本、内存信息、主板信息、处理器信息和系统时间信息等功能；</w:t>
            </w:r>
          </w:p>
          <w:p w14:paraId="3B2A5FB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8.固件设置启动顺序：支持设置启动顺序功能，并按照设置的启动顺序启动；</w:t>
            </w:r>
          </w:p>
          <w:p w14:paraId="0DD3AEC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9.固件设置口令：支持设置口令、修改口令、验证口令功能；</w:t>
            </w:r>
          </w:p>
          <w:p w14:paraId="225C39D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10.固件设置网络引导：支持网络引导启动和关闭功能；</w:t>
            </w:r>
          </w:p>
          <w:p w14:paraId="1B0142C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11.提供功能至少有文字处理、电子表格、演示文稿三大应用模块的正版办公软件，授权≥3年。</w:t>
            </w:r>
          </w:p>
          <w:p w14:paraId="168D1E6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12.windows应用迁移软件</w:t>
            </w:r>
          </w:p>
          <w:p w14:paraId="48F3262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①用户首次使用软件时，软件会自动完成GA安装，保障Windows应用的体验效果。</w:t>
            </w:r>
          </w:p>
          <w:p w14:paraId="07640A7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②产品支持Legacy+MBR和UEFI+GPT引导安装。</w:t>
            </w:r>
          </w:p>
          <w:p w14:paraId="7E05310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③产品支持一键检测设备软硬件环境是否满足部署要求，输出满足项和不满足项。</w:t>
            </w:r>
          </w:p>
          <w:p w14:paraId="5DDA075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④产品提供双工作区和系统融合两种模式供用户选择。</w:t>
            </w:r>
          </w:p>
          <w:p w14:paraId="4AC48E9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⑤产品支持图形化引导，自助安装：全图形化引导安装，支持一键扫描安装环境，用户单双击即可完成安装。</w:t>
            </w:r>
          </w:p>
          <w:p w14:paraId="7454F1B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⑥产品支持网络自动匹配、网络禁用等企业级网络管理，实现对迁移后系统的安全管控。</w:t>
            </w:r>
          </w:p>
          <w:p w14:paraId="5F6BEA6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⑦为保证八桂教学通和柳州教育资源公共服务平台等应用的兼容性和稳定性，windows应用迁移软件需与所投产品的操作系统兼容。</w:t>
            </w:r>
          </w:p>
          <w:p w14:paraId="02930F2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13.AI电脑助手</w:t>
            </w:r>
          </w:p>
          <w:p w14:paraId="7B94F2D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（1）登录方式多样性：支持账号/密码和手机微信扫码两种登录方式。用户首次登录时绑定微信ID与账号的对应关系。</w:t>
            </w:r>
          </w:p>
          <w:p w14:paraId="38B40A7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（2）设备详情：能查看当前设备的硬件信息和系统信息。可查看的硬件信息包含CPU、主板、显卡、硬盘、显示器、网卡、声卡。可查看的系统信息包括操作系统、系统激活状态、SN号MAC地址、内外网IP。</w:t>
            </w:r>
          </w:p>
          <w:p w14:paraId="310B8C8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（3）设备运行状态：能查看当前设备的内存、CPU、硬盘、系统盘、网速的实时占用状态信息。</w:t>
            </w:r>
          </w:p>
          <w:p w14:paraId="04A21FD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（4）文件发送：支持一次发送≥15个文件给多个公共接收端软件。接收端离线时文件能够暂存在云端，在线后可进行自动下载。支持发送图片、视频、文档等类型的文件，支持查看发送进度。</w:t>
            </w:r>
          </w:p>
          <w:p w14:paraId="707EC5C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文件列表：接收到新文件时有提示新文件。支持查看当前已接收的文件列表。可对文件进行下载或打开操作。支持自动清理超过14天的文件，保障存储容量的充裕。为方便用户分辨自己的文件夹，可对自己的文件夹的图标颜色和命名进行个性化设置。</w:t>
            </w:r>
          </w:p>
          <w:p w14:paraId="0A3CF29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（6）存储路径变更：支持用户选择文件存储的路径在任意盘符，修改盘符的过程中支持用户对原盘符的文件进行迁移还是删除。</w:t>
            </w:r>
          </w:p>
          <w:p w14:paraId="08CD234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查看和编辑：采用云端存储的方式，用户可自定义创建文件夹和上传文件，用户可在终端应用软件查看下载文件，支持对文件排序、筛选，对文件和文件夹进行移动、删除、重命名操作。支持用户在移动端应用软件中查看上传和下载的文件。</w:t>
            </w:r>
          </w:p>
          <w:p w14:paraId="674D3FF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预览：能够在线预览图片、音视频、文档。支持预览的格式，包括但不限于：图片：BMP、GIF、JPE、JPEG、JPG、PNG。音频：WAV、MP3、OGG。视频：3GP、F4V、M4V、MKV、MP4、OGV、MOV。文档：DOC、DOCX、PDF、PPT、XLS、XLSX。</w:t>
            </w:r>
          </w:p>
          <w:p w14:paraId="62CD83D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（9）发送到接收端：用户可在云盘中把多个文件发送至接收端软件中，发送的文件不限格式，接收端软件自动下载该文件。</w:t>
            </w:r>
          </w:p>
          <w:p w14:paraId="0A00E9C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（10）快捷打开：终端应用软件具备桌面快捷操作栏功能，固定在桌面，可具备展示用户添加的应用、网站和组件，点击后即可快速打开。支持在软件内切换、关闭标签。能对窗口进行最小化、最大化、关闭。</w:t>
            </w:r>
          </w:p>
          <w:p w14:paraId="613D8B5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（11）快捷打开AI应用：终端应用软件的桌面快捷操作栏可为用户提供主流大模型应用的快捷入口，用户可自主添加常用AI网站。</w:t>
            </w:r>
          </w:p>
          <w:p w14:paraId="2D56C01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12）编辑：用户可自定义桌面快捷操作栏展示的内容，根据自己的需求对内容进行移除、添加、移动位置，可自定义添加所需要的网站，变更后数据会跟随当前登录的账号，登录另一台电脑时会同步当前编辑的结果。</w:t>
            </w:r>
          </w:p>
          <w:p w14:paraId="0006589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13）移动：终端应用软件支持用户将固定在桌面上的快捷操作栏拖动到屏幕的任意位置，当用户拖动快捷操作栏靠近屏幕边缘时会自动收到侧边。鼠标悬浮在侧边的时候，会弹出该快捷操作栏，再次拖动快捷操作栏会取消收起。</w:t>
            </w:r>
          </w:p>
          <w:p w14:paraId="10A848B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（14）提示词：进入百宝箱后支持展示≥2条提示词，支持试一试选型一键问询问题。</w:t>
            </w:r>
          </w:p>
          <w:p w14:paraId="55E96E0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（15）对话式生成：根据输入的文字生成文本，并通过对话的形式表达，可对输入内容进行安全性检测，还支持根据上下文进行多轮连续对话，支持对AI生成的内容复制或重新生成以及查看历史输入内容。</w:t>
            </w:r>
          </w:p>
          <w:p w14:paraId="02F3089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（16）独占模式：支持批量生成≥3张奖状，可对奖励内容、奖励称号、颁奖人/单位、颁发日期、印章内容进行编辑。</w:t>
            </w:r>
          </w:p>
          <w:p w14:paraId="0519D92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17）PDF格式转化：通过终端应用内置PDF格式转换功能，支持对PDF的文件进行转换格式，转换为XLSX、DOCX、PPT；转换后文件内容的排布与源PDF保持基本一致。支持对转换后的文件进行编辑，包括（编辑文本、编辑表格、编辑图片）；转换后支持下载文件至电脑本地。</w:t>
            </w:r>
          </w:p>
          <w:p w14:paraId="0B6E91C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（18）图片转格式：支持对图片进行格式转换，图片原始格式为bmp、jpg、jpeg、png、tif、webp、heic；转换为jpg、png；转换后支持下载图片到电脑本地。</w:t>
            </w:r>
          </w:p>
          <w:p w14:paraId="4E097D6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（19）提取文字：支持对图片进行在线文字识别，识别后支持对文字进行复制。</w:t>
            </w:r>
          </w:p>
          <w:p w14:paraId="7CDA5E2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（20）内容总结：支持对格式为txt、html、doc、docx等≥5种文件类型进行大模型识别并进行内容总结，总结后的内容可复制，并可根据总结内容自动生成思维导图，思维导图可以编辑。</w:t>
            </w:r>
          </w:p>
          <w:p w14:paraId="1E2EC08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（21）划词提问：支持对网页，文件等中的内容进行鼠标划词选中，选中后出现AI解释功能选项，可对选中内容进行大模型理解及AI问答，支持对回答内容进行复制。</w:t>
            </w:r>
          </w:p>
          <w:p w14:paraId="0772FBA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22）划词翻译：支持对网页，文件等中的内容进行鼠标划词选中，可选择翻译功能，翻译选中内容，自动识别选中内容语言进行翻译，支持用户手动选择翻译语种，支持包括但不限于简体中文、繁体中文、英语、日语、德语、阿拉伯语、西班牙语、法语、葡萄牙语、俄语、韩语11种语言，支持对翻译内容进行复制。</w:t>
            </w:r>
          </w:p>
          <w:p w14:paraId="692C0B0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（23）划词总结、缩写、扩写：支持对网页，文件等中的内容进行鼠标划词选中，可选择≥2种功能，可对选中内容进行大模型理解，可进行总结或扩写，支持生成内容进行复制。</w:t>
            </w:r>
          </w:p>
          <w:p w14:paraId="51D4DB7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24）AI搜索文件：支持通过桌面快捷操作栏或快捷键进入AI搜索对话框，快捷键可自定义。支持通过Ai搜索快速搜索本地文件，可对文件或文件夹名称进行精确匹配，可展示显示搜索的文件个数、打开文件所在目录，进行复制、剪切、删除、查看文件属性。</w:t>
            </w:r>
          </w:p>
          <w:p w14:paraId="6226049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25）AI意图识别：支持用户输入文字，对输入文字的意图进行大模型的语义分析，理解和判断，识别其可能期望进行的动作，并推荐对应功能，对会议、待办、AI传屏等≥3种内容，可以自动识别主题并填入，可以快速拉起对应应用中对应模块，提升效率。</w:t>
            </w:r>
          </w:p>
          <w:p w14:paraId="4440106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（26）视频在线播放：粘贴视频网页链接可一键解析视频，插入课件页后支持在线播放。支持本地上传视频插入课件页播放。</w:t>
            </w:r>
          </w:p>
          <w:p w14:paraId="6A22C1A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27）支持任意终端作为发送端在云桌面系统、Windows、统信UOS、银河麒麟等操作系统下直接发起镜像同传，接收端在云桌面系统、Windows、统信UOS、银河麒麟等操作系统下直接接收镜像，无需重启或者进入特定运行模式接收镜像；</w:t>
            </w:r>
          </w:p>
          <w:p w14:paraId="2D0B4F6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28）为便于分享文件，集成局域网内网盘功能，可直接访问局域网网盘管理端；并根据不同的年级、班级或者需求，创建多个共享空间，每个共享空间可独立设置单文件大小限制、空间总大小限制、文件保护类型和设置用户操作权限，用户操作权限包括：上传、下载、删除、重命名、移动、回收站、新建文件夹；</w:t>
            </w:r>
          </w:p>
          <w:p w14:paraId="3D2D888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29）支持局域网网盘的个人空间，为便于使用访问入口集成在资源管理器中；网盘管理端支持用户创建、编辑、禁用、设置密码、重置密码和删除操作，并支持设置用户的文件大小限制、总空间限制，每个用户拥有自己独立的个人空间，在终端打开个人空间，输入用户名、密码登录后可以访问个人空间的资源；</w:t>
            </w:r>
          </w:p>
          <w:p w14:paraId="0465DCA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30）为方便网盘使用信息统计和管理，支持局域网网盘监控统计，可统计PV、UV、总文件数、文件总大小以及对应的周环比和日环比指标；支持统计下载量TOP10的文件和活跃TOP10的IP；支持修改网盘存储目录，修改后可迁移或删除之前文件；支持网盘容量显示；支持设置回收站保留天数；</w:t>
            </w:r>
          </w:p>
          <w:p w14:paraId="044B662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14.备、授课，教研平台</w:t>
            </w:r>
          </w:p>
          <w:p w14:paraId="668E897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（1）备授课一体化，具有备课模式及授课模式，且内置的操作界面可根据备课和授课使用场景不同而选择。</w:t>
            </w:r>
          </w:p>
          <w:p w14:paraId="3B64678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（2）备课模式工具栏具备自动根据教师账号中关联的学科不同而提供相对应的教学工具。</w:t>
            </w:r>
          </w:p>
          <w:p w14:paraId="5C1F601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AI智能备课助手：在备课场景中支持搜索课件库课件资源，具有≥15万份的课件资源，支持整份课件或按照课件页插入课件中。支持按照教学环节筛选对应课件页一键插入课件中，可导入新课、作者简介。支持按照元素类型思维导图、课堂活动选取需要的部分补充课件缺失的部分。支持在查看部分课件的同时查看对应整份课件，了解作者整体教学思路。</w:t>
            </w:r>
          </w:p>
          <w:p w14:paraId="75D541F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p>
          <w:p w14:paraId="4EF9192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（5）云教案模板：提供教案模板以供教师撰写教案，预置表格式、提纲式、集备式、多课时式等≥4个教案模板。</w:t>
            </w:r>
          </w:p>
          <w:p w14:paraId="1510E43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（6）支持校本教案模板设计，管理员在教研管理后台设置校本模板后，教师可在云教案模板直接调用。</w:t>
            </w:r>
          </w:p>
          <w:p w14:paraId="6D3C731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（7）云教案与云课件可一对多关联绑定，产生绑定后，在课件页和教案页均支持在同一面板打开关联的云课件或云教案预览，便于教师备课时相互对照。</w:t>
            </w:r>
          </w:p>
          <w:p w14:paraId="0E036A2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（8）AI智能生成课堂活动：具有课堂活动智能填写功能，支持选词填空、判断对错等≥2类课堂活动。输入文本后可以一键解析，自动将文本内容结构化填充至题干和正确选项，完成课堂活动的制作。</w:t>
            </w:r>
          </w:p>
          <w:p w14:paraId="5B9FC05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（9）课堂互动游戏支持云储存功能：编辑完成的活动可一键存储至教师云空间，便于在不同课件中直接调用，无需反复编辑。</w:t>
            </w:r>
          </w:p>
          <w:p w14:paraId="18F8694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智能选词填空：支持创建智能选词填空游戏，填空选项支持并列选项，并列选项支持答案互换，教师可随意编辑填空题题干以及相应的答案选项，将选项拖到对应题干空白处，系统自动判断答案正误，系统需提供≥9种游戏模板，且模板样式支持自定义修改。</w:t>
            </w:r>
          </w:p>
          <w:p w14:paraId="64C65AF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11）智能配对游戏：支持创建配对游戏，教师可随意将知识点进行配对。当开始配对游戏时，拖动知识点进行配对，系统将自动判断是否正确。系统提供≥10种游戏模板，且模板样式支持自定义修改，同时支持设置干扰项。</w:t>
            </w:r>
          </w:p>
          <w:p w14:paraId="4DA07D0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12）分组竞争游戏：支持创建分组竞争游戏，教师可设置正确项／干扰项，让两组学生开展竞争游戏。提供不少于3种难度、10种游戏模板供选择，且模板样式支持自定义修改。支持记录和展示学生作答结果，便于课堂知识点对比讲解。</w:t>
            </w:r>
          </w:p>
          <w:p w14:paraId="358ABD0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（13）课件背景：提供≥12种以上背景模板供用户选择，支持自定义背景。</w:t>
            </w:r>
          </w:p>
          <w:p w14:paraId="07395BC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（14）软件内置的AI智能语义分析模块，可对输入的英文文本的拼写、句型、语法进行错误检查，并支持一键纠错。</w:t>
            </w:r>
          </w:p>
          <w:p w14:paraId="44FE474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15）英汉字典：支持输入英文单词生成单词卡和详解页，包含单词的释义、读音、例句、词组、近义词等，可插入多个单词卡，同时支持教师自定义编辑单词释义、创建未收录的生僻单词供授课使用。可将插入的单词卡一键切换至详解页进入单词详解模式，支持教师自定义编辑单词释义、例句、词组和近义词，且提供≥4种详解页背景模板供选择。</w:t>
            </w:r>
          </w:p>
          <w:p w14:paraId="2E08A38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（16）AI音标助手：支持浏览和插入国际音标表，可直接点击发音，支持已整表和单个音标卡片插入。支持智能将字母、单词、句子转写为音标，并可一键插入到备课课件中形成文本</w:t>
            </w:r>
          </w:p>
          <w:p w14:paraId="0A3311A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（17）快捷抠图：即可在白板软件中对导入的图片进行快捷抠图、去背景，处理后的图片主体边缘没有明显毛边，可导出保存成PNG格式。</w:t>
            </w:r>
          </w:p>
          <w:p w14:paraId="24B8FA6E">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二十四、存储设备可靠性</w:t>
            </w:r>
          </w:p>
          <w:p w14:paraId="36D6050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1.固态存储寿命：TBW≥80TB（条件：512GB硬盘容量）；</w:t>
            </w:r>
          </w:p>
          <w:p w14:paraId="09CAB90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2.机械硬盘寿命：通电时间≥5万小时；</w:t>
            </w:r>
          </w:p>
          <w:p w14:paraId="71969EF9">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二十五、显示设备可靠性</w:t>
            </w:r>
          </w:p>
          <w:p w14:paraId="6089B51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1.显示屏屏幕失效点：符合GB/T 9813.2的要求；</w:t>
            </w:r>
          </w:p>
          <w:p w14:paraId="773D935F">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二十六、外设可靠性</w:t>
            </w:r>
          </w:p>
          <w:p w14:paraId="0601E10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1.键盘按键寿命：≥1000万次；</w:t>
            </w:r>
          </w:p>
          <w:p w14:paraId="67D738D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2.鼠标按键寿命：≥500万次；</w:t>
            </w:r>
          </w:p>
          <w:p w14:paraId="5198E22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3.键盘鼠标线材寿命：键盘鼠标所用线材经±60°弯折不低于3000次，功能、外观完好；</w:t>
            </w:r>
          </w:p>
          <w:p w14:paraId="2BBFF71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4.风扇寿命：≥4万小时；</w:t>
            </w:r>
          </w:p>
          <w:p w14:paraId="4E8DDA17">
            <w:pPr>
              <w:widowControl/>
              <w:spacing w:line="400" w:lineRule="exact"/>
              <w:ind w:firstLine="482"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二十七、整机可靠性要求</w:t>
            </w:r>
          </w:p>
          <w:p w14:paraId="4B1EC73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1.电磁兼容性要求的抗扰度：符合GB/T 9254.2的规定；</w:t>
            </w:r>
          </w:p>
          <w:p w14:paraId="496F842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2.环境条件要求的气候环境适应性：符合GB/T 9813.1中规定；</w:t>
            </w:r>
          </w:p>
          <w:p w14:paraId="2CE5606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3.环境条件要求的振动适应性：符合GB/T 9813.1中规定；</w:t>
            </w:r>
          </w:p>
          <w:p w14:paraId="7F2A320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4.环境条件要求的冲击适应性：符合GB/T 9813.1中规定；</w:t>
            </w:r>
          </w:p>
          <w:p w14:paraId="3196E90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5.环境条件要求的碰撞适应性：符合GB/T 9813.1中规定；</w:t>
            </w:r>
          </w:p>
          <w:p w14:paraId="144CD40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6.环境条件要求的运输包装件跌落适应性：符合GB/T 9813.1中规定；</w:t>
            </w:r>
          </w:p>
          <w:p w14:paraId="64A3AF4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7.MTBF测试：MTBF(m1)≥130万小时；</w:t>
            </w:r>
          </w:p>
          <w:p w14:paraId="1627A807">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二十八、兼容要求</w:t>
            </w:r>
          </w:p>
          <w:p w14:paraId="10282C1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1.常用软件兼容：支持流式软件、版式软件、浏览器、邮件采购人端、解压软件、多媒体、图形图像处理等常用软件；</w:t>
            </w:r>
          </w:p>
          <w:p w14:paraId="333E1AE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2.数据库兼容：兼容3个及以上厂商的数据库产品；</w:t>
            </w:r>
          </w:p>
          <w:p w14:paraId="31D8725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3.中间件兼容：兼容3个及以上厂商中间件产品；</w:t>
            </w:r>
          </w:p>
          <w:p w14:paraId="5A702ED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4.平台软件兼容：兼容3个及以上厂商云计算及大数据平台；</w:t>
            </w:r>
          </w:p>
          <w:p w14:paraId="50570791">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二十九、包装及运输要求</w:t>
            </w:r>
          </w:p>
          <w:p w14:paraId="169535B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1.标志、包装、运输和贮存：符合GB/T 9813.1和商品包装政府采购需求标准的相关规定；</w:t>
            </w:r>
          </w:p>
          <w:p w14:paraId="0CEAD42C">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三十、服务要求</w:t>
            </w:r>
          </w:p>
          <w:p w14:paraId="3D5B72E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1.配置检查工具：供应商提供自检测试工具；</w:t>
            </w:r>
          </w:p>
          <w:p w14:paraId="255824E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服务响应：a）供应商提供电话、电子邮件、远程连接等多种形式服务；b）供应商提供同城4h、异地12h技术响应服务，在2个工作日内解决问题，对于未能解决的问题和故障应提供可行的升级方案，并提供周转设备或更换设备；c）建立全国技术服务体系和服务团体，符合专业服务体系标准要求，提供原厂中文服务；d）在服务周期内提供产品的维修、换件和升级服务；</w:t>
            </w:r>
          </w:p>
          <w:p w14:paraId="4EB318D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3.服务周期：a)设备停产后应继续提供质量保障服务（含备品备件），服务终止时间与最后一批设备交付时间间隔不低于6年；b)产品停止服务时间应提前1年告知；c)应明确产品发布日期；</w:t>
            </w:r>
          </w:p>
          <w:p w14:paraId="2020EB9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4.预装操作系统：预装符合桌面操作系统政府采购需求标准的正版操作系统；预装的操作系统符合《操作系统政府采购需求标准》中加*指标要求（财政部 工业和信息化部关于印发《操作系统政府采购需求标准（2023年版）》的通知）；</w:t>
            </w:r>
          </w:p>
          <w:p w14:paraId="06EE5EA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5.培训服务：供应商提供培训材料、产品手册、培训视频等培训相关内容；</w:t>
            </w:r>
          </w:p>
          <w:p w14:paraId="43788F8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6.典型问题解决手册：供应商提供典型问题解决说明文档或视频；</w:t>
            </w:r>
          </w:p>
          <w:p w14:paraId="5601F50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7.厂家升级软件与扩容服务：供应商提供上门升级部件/软件与扩容的增值服务；</w:t>
            </w:r>
          </w:p>
          <w:p w14:paraId="371D73F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8.整机质量服务要求：免费服务周期（含换件和维修）应不小于3年；</w:t>
            </w:r>
          </w:p>
          <w:p w14:paraId="168340E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9.合格证书要求：供应商提供产品合格证；</w:t>
            </w:r>
          </w:p>
          <w:p w14:paraId="0121BBE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10.开箱组装/使用指导要求：供应商提供开箱组装/使用指导；</w:t>
            </w:r>
          </w:p>
          <w:p w14:paraId="6287BAB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11.驱动下载服务要求：供应商提供驱动光盘或下载方式；</w:t>
            </w:r>
          </w:p>
          <w:p w14:paraId="232FA1E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12.兼容适配软件下载服务要求：供应商提供兼容适配软件下载渠道（光盘、网站）；</w:t>
            </w:r>
          </w:p>
          <w:p w14:paraId="76FE5FD6">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三十一、供应链合规性</w:t>
            </w:r>
          </w:p>
          <w:p w14:paraId="37612FB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1.产品部件保障：供应商保障产品主要部件，提供6年的备件服务能力（自购买之日起），或提供可兼容原设备的升级换代产品；</w:t>
            </w:r>
          </w:p>
          <w:p w14:paraId="33D63A9C">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三十二、供应链质量</w:t>
            </w:r>
          </w:p>
          <w:p w14:paraId="11DDDCE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1.抗干扰性：当产品部件出现供应风险时，供应商应通知采购人并提供风险应对方案确保产品的服务保障；</w:t>
            </w:r>
          </w:p>
          <w:p w14:paraId="15EA49D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2.供应能力证明：确保产品的部件在产品服务周期内稳定供货；</w:t>
            </w:r>
          </w:p>
          <w:p w14:paraId="213D7877">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三十三、关键部件安全</w:t>
            </w:r>
          </w:p>
          <w:p w14:paraId="7E165ED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1.关键部件安全要求：CPU和操作系统等关键部件应当符合安全可靠测评要求，</w:t>
            </w:r>
            <w:r>
              <w:rPr>
                <w:rFonts w:hint="eastAsia" w:ascii="仿宋_GB2312" w:hAnsi="仿宋_GB2312" w:eastAsia="仿宋_GB2312" w:cs="仿宋_GB2312"/>
                <w:color w:val="auto"/>
                <w:spacing w:val="0"/>
                <w:kern w:val="0"/>
                <w:sz w:val="24"/>
                <w:highlight w:val="none"/>
              </w:rPr>
              <w:t>通过政府有关部门指定的中国信息安全测评中心和国家保密科技测评中心网站查看安全可靠测评结果</w:t>
            </w:r>
            <w:r>
              <w:rPr>
                <w:rFonts w:hint="eastAsia" w:ascii="仿宋_GB2312" w:hAnsi="仿宋_GB2312" w:eastAsia="仿宋_GB2312" w:cs="仿宋_GB2312"/>
                <w:color w:val="auto"/>
                <w:kern w:val="0"/>
                <w:sz w:val="24"/>
                <w:highlight w:val="none"/>
                <w:lang w:val="en-US" w:eastAsia="zh-CN"/>
              </w:rPr>
              <w:t>；</w:t>
            </w:r>
          </w:p>
          <w:p w14:paraId="52DDBF97">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lang w:val="en-US" w:eastAsia="zh-CN"/>
              </w:rPr>
              <w:t>注：投标人在填写《技术响应表》时，在“投标文件响应技术参数”明确给出所投教师台式机“CPU型号”及“操作系统”名称，否则视为投标无效。</w:t>
            </w:r>
          </w:p>
          <w:p w14:paraId="6F774452">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三十四、整机安全性要求</w:t>
            </w:r>
          </w:p>
          <w:p w14:paraId="626C82E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1.密码算法实现：CPU芯片应符合GM/T 0008的相关规定，或芯片密码模块应符合GB/T 37092或GM/T 0028的相关规定（通过商用密码检测机构检测并经商用密码认证机构认证合格）；</w:t>
            </w:r>
          </w:p>
          <w:p w14:paraId="49C5CDC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2.信息安全基本要求：a)产品应符合GB/T 39276的5.2的规定；b)生产厂商应建立漏洞跟踪表，保证产品版本涉及的漏洞（如驱动程序等）可查看；c)产品不得包含已知的恶意代码或漏洞，不存在未声明的指令、功能、接口；</w:t>
            </w:r>
          </w:p>
          <w:p w14:paraId="2969FF1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3.固件安全启动：支持固件安全启动功能，固件启动过程中只有通过启动校验才能正常启动；</w:t>
            </w:r>
          </w:p>
          <w:p w14:paraId="67C7D198">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4.限用物质的限量要求：符合GB/T 26572中规定</w:t>
            </w:r>
            <w:r>
              <w:rPr>
                <w:rFonts w:hint="eastAsia" w:ascii="仿宋_GB2312" w:hAnsi="仿宋_GB2312" w:eastAsia="仿宋_GB2312" w:cs="仿宋_GB2312"/>
                <w:color w:val="auto"/>
                <w:kern w:val="0"/>
                <w:sz w:val="24"/>
                <w:highlight w:val="none"/>
                <w:lang w:eastAsia="zh-CN"/>
              </w:rPr>
              <w:t>。</w:t>
            </w:r>
          </w:p>
        </w:tc>
        <w:tc>
          <w:tcPr>
            <w:tcW w:w="812" w:type="dxa"/>
            <w:tcBorders>
              <w:top w:val="single" w:color="auto" w:sz="4" w:space="0"/>
              <w:left w:val="single" w:color="auto" w:sz="4" w:space="0"/>
              <w:bottom w:val="single" w:color="auto" w:sz="4" w:space="0"/>
              <w:right w:val="single" w:color="auto" w:sz="4" w:space="0"/>
            </w:tcBorders>
            <w:vAlign w:val="center"/>
          </w:tcPr>
          <w:p w14:paraId="3E64B306">
            <w:pPr>
              <w:pStyle w:val="244"/>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color w:val="auto"/>
                <w:sz w:val="24"/>
                <w:szCs w:val="24"/>
                <w:highlight w:val="none"/>
                <w:lang w:val="en-US" w:eastAsia="zh-CN"/>
              </w:rPr>
              <w:t>45</w:t>
            </w:r>
            <w:r>
              <w:rPr>
                <w:rFonts w:hint="eastAsia" w:ascii="仿宋_GB2312" w:hAnsi="仿宋_GB2312" w:eastAsia="仿宋_GB2312" w:cs="仿宋_GB2312"/>
                <w:color w:val="auto"/>
                <w:sz w:val="24"/>
                <w:szCs w:val="24"/>
                <w:highlight w:val="none"/>
              </w:rPr>
              <w:t>台</w:t>
            </w:r>
          </w:p>
        </w:tc>
      </w:tr>
      <w:tr w14:paraId="71E6B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9250" w:type="dxa"/>
            <w:gridSpan w:val="4"/>
            <w:tcBorders>
              <w:top w:val="single" w:color="auto" w:sz="4" w:space="0"/>
              <w:left w:val="single" w:color="auto" w:sz="4" w:space="0"/>
              <w:bottom w:val="single" w:color="auto" w:sz="4" w:space="0"/>
              <w:right w:val="single" w:color="auto" w:sz="4" w:space="0"/>
            </w:tcBorders>
            <w:vAlign w:val="center"/>
          </w:tcPr>
          <w:p w14:paraId="0D02D0AB">
            <w:pPr>
              <w:pStyle w:val="244"/>
              <w:snapToGrid w:val="0"/>
              <w:spacing w:line="400" w:lineRule="exact"/>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eastAsia="zh-CN"/>
              </w:rPr>
              <w:t>二</w:t>
            </w: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val="en-US" w:eastAsia="zh-CN"/>
              </w:rPr>
              <w:t>2间</w:t>
            </w:r>
            <w:r>
              <w:rPr>
                <w:rFonts w:hint="eastAsia" w:ascii="仿宋_GB2312" w:hAnsi="仿宋_GB2312" w:eastAsia="仿宋_GB2312" w:cs="仿宋_GB2312"/>
                <w:b/>
                <w:bCs/>
                <w:color w:val="auto"/>
                <w:kern w:val="0"/>
                <w:sz w:val="24"/>
                <w:szCs w:val="24"/>
                <w:highlight w:val="none"/>
              </w:rPr>
              <w:t>计算机网络教室</w:t>
            </w:r>
          </w:p>
        </w:tc>
      </w:tr>
      <w:tr w14:paraId="42B0D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6D4D6157">
            <w:pPr>
              <w:pStyle w:val="244"/>
              <w:snapToGrid w:val="0"/>
              <w:spacing w:line="40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1118" w:type="dxa"/>
            <w:tcBorders>
              <w:top w:val="single" w:color="auto" w:sz="4" w:space="0"/>
              <w:left w:val="single" w:color="auto" w:sz="4" w:space="0"/>
              <w:bottom w:val="single" w:color="auto" w:sz="4" w:space="0"/>
              <w:right w:val="single" w:color="auto" w:sz="4" w:space="0"/>
            </w:tcBorders>
            <w:vAlign w:val="center"/>
          </w:tcPr>
          <w:p w14:paraId="582A4F41">
            <w:pPr>
              <w:widowControl/>
              <w:spacing w:line="400" w:lineRule="exact"/>
              <w:jc w:val="center"/>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网络教室教师机</w:t>
            </w: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b/>
                <w:bCs/>
                <w:color w:val="auto"/>
                <w:kern w:val="0"/>
                <w:sz w:val="24"/>
                <w:highlight w:val="none"/>
              </w:rPr>
              <w:t>强制采购节能产品，详见采购需求说明第八点）</w:t>
            </w:r>
          </w:p>
        </w:tc>
        <w:tc>
          <w:tcPr>
            <w:tcW w:w="6707" w:type="dxa"/>
            <w:tcBorders>
              <w:top w:val="single" w:color="auto" w:sz="4" w:space="0"/>
              <w:left w:val="single" w:color="auto" w:sz="4" w:space="0"/>
              <w:bottom w:val="single" w:color="auto" w:sz="4" w:space="0"/>
              <w:right w:val="single" w:color="auto" w:sz="4" w:space="0"/>
            </w:tcBorders>
            <w:vAlign w:val="center"/>
          </w:tcPr>
          <w:p w14:paraId="060827CC">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★一、CPU规格</w:t>
            </w:r>
          </w:p>
          <w:p w14:paraId="6915FEA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rPr>
              <w:t>1.CPU物理核心数</w:t>
            </w:r>
            <w:r>
              <w:rPr>
                <w:rFonts w:hint="eastAsia" w:ascii="仿宋_GB2312" w:hAnsi="仿宋_GB2312" w:eastAsia="仿宋_GB2312" w:cs="仿宋_GB2312"/>
                <w:color w:val="auto"/>
                <w:kern w:val="0"/>
                <w:sz w:val="24"/>
                <w:highlight w:val="none"/>
                <w:lang w:val="en-US" w:eastAsia="zh-CN"/>
              </w:rPr>
              <w:t>:≥8核8线程，主频≥2.7GHz，末级缓存容量≥2M，内存≥双通道DDR4-3000，热设计功耗≤20W，位宽≥64位；</w:t>
            </w:r>
          </w:p>
          <w:p w14:paraId="7888F705">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二、内存规格</w:t>
            </w:r>
          </w:p>
          <w:p w14:paraId="7333197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1.内存配置容量：≥16GB；</w:t>
            </w:r>
          </w:p>
          <w:p w14:paraId="01899B2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2.内存类型：支持DDR4/LPDDR4/LPDDR4X及以上内存类型；</w:t>
            </w:r>
          </w:p>
          <w:p w14:paraId="2D03DB8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3.内存条配置数量（板载内存不涉及）：≥1；</w:t>
            </w:r>
          </w:p>
          <w:p w14:paraId="160A23B7">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三、主板规格</w:t>
            </w:r>
          </w:p>
          <w:p w14:paraId="125FB81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1.主板集成模块：集成资源扩展模块、计算处理模块、音频扩展模块等，主板的互联拓扑可通过处理器或交换电路实现；</w:t>
            </w:r>
          </w:p>
          <w:p w14:paraId="0B4745A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2.主板支持的CPU和内存情况：≥8核8线程，主频≥2.7GHz，末级缓存容量≥2M，内存≥双通道DDR4-3000，热设计功耗≤20W，位宽≥64位；内存条数量≥1；</w:t>
            </w:r>
          </w:p>
          <w:p w14:paraId="3CDD195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3.主板其他内置接口：≥SATA接口*2，≥M.2接口*1，≥USB接口*7，固态硬盘占用M.2接口*1，机械硬盘占用SATA接口*1</w:t>
            </w:r>
          </w:p>
          <w:p w14:paraId="3BC6138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4.单内存插槽最大可支持容量（板载内存不涉及）：≥8GB；</w:t>
            </w:r>
          </w:p>
          <w:p w14:paraId="24B9DFF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5.内存插槽满配时提供的最高内存总容量：≥16GB；</w:t>
            </w:r>
          </w:p>
          <w:p w14:paraId="6ECDD75E">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四、存储设备规格</w:t>
            </w:r>
          </w:p>
          <w:p w14:paraId="77F0957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1.固态盘数量：≥1个；</w:t>
            </w:r>
          </w:p>
          <w:p w14:paraId="6FA1CC8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2.固态存储容量：≥512GB；</w:t>
            </w:r>
          </w:p>
          <w:p w14:paraId="64E1699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3.机械硬盘数量：≥1个；</w:t>
            </w:r>
          </w:p>
          <w:p w14:paraId="09044C9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4.机械硬盘总容量：≥1TB；</w:t>
            </w:r>
          </w:p>
          <w:p w14:paraId="79797EA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5.机械硬盘转速：≥5400rpm；</w:t>
            </w:r>
          </w:p>
          <w:p w14:paraId="7EB580E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6.机械硬盘形态：2.5英寸或3.5英寸等；</w:t>
            </w:r>
          </w:p>
          <w:p w14:paraId="7B7FA57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7.固态存储形态：采用插卡或板载等形态，可选用符合M.2或2.5寸SATA或mSATA等标准的插卡形态；</w:t>
            </w:r>
          </w:p>
          <w:p w14:paraId="05187FE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8.存储设备其他参数要求：a）固态盘应符合SJ/T 11654相关规定；b）机械硬盘准备时间应不大于30s；侧面固定螺丝孔数量可为4孔或6孔；工作状态环境温度应满足5℃-55℃；其他参数应符合GB/T 12628相关规定；</w:t>
            </w:r>
          </w:p>
          <w:p w14:paraId="38990317">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五、显卡规格</w:t>
            </w:r>
          </w:p>
          <w:p w14:paraId="0A65E97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1.显卡类型：集成显卡；</w:t>
            </w:r>
          </w:p>
          <w:p w14:paraId="1D456293">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六、显示设备规格</w:t>
            </w:r>
          </w:p>
          <w:p w14:paraId="7184CC9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1.显示屏屏占比：≥80%；</w:t>
            </w:r>
          </w:p>
          <w:p w14:paraId="34BE7F3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2.显示屏分辨率：≥1920*1080；</w:t>
            </w:r>
          </w:p>
          <w:p w14:paraId="1285C74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3.显示屏尺寸：≥23.8英寸；</w:t>
            </w:r>
          </w:p>
          <w:p w14:paraId="38E3DAF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4.显示屏屏幕比例：16:9；</w:t>
            </w:r>
          </w:p>
          <w:p w14:paraId="5724681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5.显示器外观颜色：黑色商务色系；</w:t>
            </w:r>
          </w:p>
          <w:p w14:paraId="0856636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6.显示屏防蓝光：支持防蓝光模式，蓝光加权辐射亮度比应≤0.0012W/（·cd·sr）（瓦每坎特拉每球面度）；</w:t>
            </w:r>
          </w:p>
          <w:p w14:paraId="761AF75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7.显示屏低频闪：显示屏应支持低频闪≤-35dB；</w:t>
            </w:r>
          </w:p>
          <w:p w14:paraId="389515B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8.显示屏防眩目：显示屏镜面反射率≤6%；</w:t>
            </w:r>
          </w:p>
          <w:p w14:paraId="0A20C018">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七、外设规格</w:t>
            </w:r>
          </w:p>
          <w:p w14:paraId="183E34F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1.鼠标数量：≥1个；</w:t>
            </w:r>
          </w:p>
          <w:p w14:paraId="0ACD1D7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2.键盘数量：≥1个；</w:t>
            </w:r>
          </w:p>
          <w:p w14:paraId="1BE02CB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3.键盘按键数目：101键；</w:t>
            </w:r>
          </w:p>
          <w:p w14:paraId="0F41B8B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4.键盘连接方式：有线；</w:t>
            </w:r>
          </w:p>
          <w:p w14:paraId="2661E38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5.键盘键程：2.3mm—4.0mm；</w:t>
            </w:r>
          </w:p>
          <w:p w14:paraId="208C1E7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6.键盘按键压力：按键压力应在0.54N±0.14N；</w:t>
            </w:r>
          </w:p>
          <w:p w14:paraId="23F389F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7.有线键盘连接线：≥1.5米；</w:t>
            </w:r>
          </w:p>
          <w:p w14:paraId="7B00F0A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8.键盘颜色：黑色商务色系；</w:t>
            </w:r>
          </w:p>
          <w:p w14:paraId="49506BC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9.鼠标连接方式：有线；</w:t>
            </w:r>
          </w:p>
          <w:p w14:paraId="38110E8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10.有线鼠标连接线：≥1.5米；</w:t>
            </w:r>
          </w:p>
          <w:p w14:paraId="7A083ED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11.鼠标DPI分辨率：800-1600（CPI）；</w:t>
            </w:r>
          </w:p>
          <w:p w14:paraId="4B2D116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12.鼠标颜色：黑色商务色系；</w:t>
            </w:r>
          </w:p>
          <w:p w14:paraId="63D5B07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13.鼠标其他要求：其他参数应符合GB/T 26245的相关规定；</w:t>
            </w:r>
          </w:p>
          <w:p w14:paraId="1E2E4CE2">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八、网络设备规格</w:t>
            </w:r>
          </w:p>
          <w:p w14:paraId="40F77F9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1.有线网卡数量：≥1；</w:t>
            </w:r>
          </w:p>
          <w:p w14:paraId="6408E75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2.无线网卡数量：≥1；</w:t>
            </w:r>
          </w:p>
          <w:p w14:paraId="053B8E3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3.单无线网卡天线数量：≥1；</w:t>
            </w:r>
          </w:p>
          <w:p w14:paraId="64ACD52E">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九、外部接口规格</w:t>
            </w:r>
          </w:p>
          <w:p w14:paraId="7FE5BD0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1.USB接口数量：机箱前面板应提供不少于3个USB接口（含2个USB3.0及以上接口）；</w:t>
            </w:r>
          </w:p>
          <w:p w14:paraId="48972AD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2.视频接口数量：≥1；</w:t>
            </w:r>
          </w:p>
          <w:p w14:paraId="74C66DE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3.音频接口数量：≥1；</w:t>
            </w:r>
          </w:p>
          <w:p w14:paraId="16F15A1B">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十、整机基础规格</w:t>
            </w:r>
          </w:p>
          <w:p w14:paraId="55F6277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整机外观：a)产品表面不应有凹痕、划伤、裂缝、变形和污染等。表面涂层均匀，不应起泡、龟裂、脱落和磨损，金属零部件无锈蚀及其它机械损伤；b)产品表面说明功能的文字、符号、标志，应清晰、端正、牢固；</w:t>
            </w:r>
          </w:p>
          <w:p w14:paraId="1F69089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2.状态指示灯：在产品显著位置提供状态指示功能；</w:t>
            </w:r>
          </w:p>
          <w:p w14:paraId="406355C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3.整机结构：a)机箱应符合GB/T 4208、GB/T 26246的相关规定；b)产品内部结构应符合通用部件的安装需求；c)所有输入输出接口应符合相关国家或行业标准；d)产品零部件应紧固无松动，可插拔部件应可靠连接，开关、按钮和其他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l)各主要部件拆装步骤要少，各自拆装需避免相互干扰；m)对于整机或零部件外表面为高亮面的，应粘贴保护膜，保护膜需粘贴牢固，运输、组装等过程不易脱落，撕下无残留；n)其他要求应符合GB/T 9813.1的相关规定；</w:t>
            </w:r>
          </w:p>
          <w:p w14:paraId="6479AD4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4.机箱防护要求：机箱应符合GB/T 4208中IP20防护要求；</w:t>
            </w:r>
          </w:p>
          <w:p w14:paraId="0581D28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5.整机噪声：产品工作在空闲状态下，产品的声功率级应不超过4.5Bel；</w:t>
            </w:r>
          </w:p>
          <w:p w14:paraId="3E0EB86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整机散热：在环境温度25℃及处理器满载情况下，产品表面温度应符合如下要求：a)出风口在机箱后面板情况下，出风口温度不高于55℃；b)可触及面温度不高于45℃；c)显示器表面温度：显示屏不高于38℃，显示屏上下灯带位置温度（如涉及）不高于40℃，出风口温度不高于45℃；</w:t>
            </w:r>
          </w:p>
          <w:p w14:paraId="68BFF4A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7.整机能效限定值：产品能效限定值应达到GB 28380-2012标准中能效等级2级及以上；</w:t>
            </w:r>
          </w:p>
          <w:p w14:paraId="2F9D728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8.机身材质：金属等；</w:t>
            </w:r>
          </w:p>
          <w:p w14:paraId="13A5CC0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9.机身颜色：黑色商务色系；</w:t>
            </w:r>
          </w:p>
          <w:p w14:paraId="373538F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10.机箱尺寸容量：机箱体积应不大于9L；</w:t>
            </w:r>
          </w:p>
          <w:p w14:paraId="42B56452">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十一、CPU性能</w:t>
            </w:r>
          </w:p>
          <w:p w14:paraId="4A684F9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1.CPU物理核数：≥8；</w:t>
            </w:r>
          </w:p>
          <w:p w14:paraId="74D65BF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2.CPU主频：≥2.7GHz；</w:t>
            </w:r>
          </w:p>
          <w:p w14:paraId="3220E19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3.CPU末级缓存容量：≥2MB；</w:t>
            </w:r>
          </w:p>
          <w:p w14:paraId="5FE9B60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4.CPU支持的内存最高速率：≥3000MT/s；</w:t>
            </w:r>
          </w:p>
          <w:p w14:paraId="6FCC363B">
            <w:pPr>
              <w:widowControl/>
              <w:spacing w:line="400" w:lineRule="exact"/>
              <w:ind w:firstLine="482"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十二、内存性能</w:t>
            </w:r>
          </w:p>
          <w:p w14:paraId="6C89404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1.内存读写速率：≥3000MT/s；</w:t>
            </w:r>
          </w:p>
          <w:p w14:paraId="193BFAA2">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十三、显卡性能</w:t>
            </w:r>
          </w:p>
          <w:p w14:paraId="376747F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1.显示分辨率：≥1920*1080；</w:t>
            </w:r>
          </w:p>
          <w:p w14:paraId="553C029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2.显卡显示芯片核心频率：≥300MHz；</w:t>
            </w:r>
          </w:p>
          <w:p w14:paraId="21581A9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3.显存等效频率：≥3000MT/s；</w:t>
            </w:r>
          </w:p>
          <w:p w14:paraId="219370F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4.显卡可支持多屏同时显示数量：显卡应支持2块屏幕同时显示，分辨率应不低于1920*1080；</w:t>
            </w:r>
          </w:p>
          <w:p w14:paraId="1D8A3389">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十四、显示设备性能</w:t>
            </w:r>
          </w:p>
          <w:p w14:paraId="78ECA6D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1.显示屏刷新率：≥90Hz；</w:t>
            </w:r>
          </w:p>
          <w:p w14:paraId="76BA213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2.显示屏位深：≥8位；</w:t>
            </w:r>
          </w:p>
          <w:p w14:paraId="6B3E230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3.显示屏色域：≥99% sRGB；</w:t>
            </w:r>
          </w:p>
          <w:p w14:paraId="373E135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4.显示屏色准：△E≤1；</w:t>
            </w:r>
          </w:p>
          <w:p w14:paraId="7B6A573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5.显示屏响应时间：≤8ms；</w:t>
            </w:r>
          </w:p>
          <w:p w14:paraId="07BD1B7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6.显示屏亮度：≥250尼特；</w:t>
            </w:r>
          </w:p>
          <w:p w14:paraId="7569DCD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7.显示屏亮度一致性：≥70%；</w:t>
            </w:r>
          </w:p>
          <w:p w14:paraId="2D109F8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8.显示屏对比度：≥500:1；</w:t>
            </w:r>
          </w:p>
          <w:p w14:paraId="566527D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9.显示屏其他参数：其他参数应符合SJ/T 11292的相关规定；</w:t>
            </w:r>
          </w:p>
          <w:p w14:paraId="055116F2">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十五、网络设备性能</w:t>
            </w:r>
          </w:p>
          <w:p w14:paraId="658EF39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1.有线网卡速率：最高速率应不低于1000Mbps，应支持10Mbps、100Mbps、1000Mbps速率自适应；</w:t>
            </w:r>
          </w:p>
          <w:p w14:paraId="44292841">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十六、主板功能</w:t>
            </w:r>
          </w:p>
          <w:p w14:paraId="31DDDB2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1.内存扩展接口（板载内存不涉及）：≥2个；</w:t>
            </w:r>
          </w:p>
          <w:p w14:paraId="0F03EAA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2.主板USB瞬间过流保护：支持瞬间过流保护功能；</w:t>
            </w:r>
          </w:p>
          <w:p w14:paraId="041C1B0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3.主板防静电保护：支持防静电保护功能；</w:t>
            </w:r>
          </w:p>
          <w:p w14:paraId="40518ED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p>
          <w:p w14:paraId="732FB301">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十七、显卡功能</w:t>
            </w:r>
          </w:p>
          <w:p w14:paraId="2390CEF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1.显卡外接显示接口：显卡至少支持VGA、HDMI、DVI、DP、Type-C中1种显示接口，并与显示器接口相匹配；</w:t>
            </w:r>
          </w:p>
          <w:p w14:paraId="242E1C41">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十八、显示设备功能</w:t>
            </w:r>
          </w:p>
          <w:p w14:paraId="1AC49CD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1.显示器接口：显示器应与显卡外接显示接口匹配；</w:t>
            </w:r>
          </w:p>
          <w:p w14:paraId="681C286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2.显示器支架：显示器应提供显示器支架；</w:t>
            </w:r>
          </w:p>
          <w:p w14:paraId="03646CD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3.显示器参数调节：a）提供OSD选单按钮用于调节色彩、模式等；b）支持色温、亮度、对比度调节；</w:t>
            </w:r>
          </w:p>
          <w:p w14:paraId="795CEC40">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十九、存储功能</w:t>
            </w:r>
          </w:p>
          <w:p w14:paraId="322487E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1.存储功能：通过SATA固态存储/PCIe固态存储/UFS固态存储/SATA硬磁盘等存储部件提供存储功能；</w:t>
            </w:r>
          </w:p>
          <w:p w14:paraId="6926B589">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二十、网络设备功能</w:t>
            </w:r>
          </w:p>
          <w:p w14:paraId="6F27DA7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1.网络功能：a）支持网络连接、网络开启/关闭功能；b）支持访问网络和数据交换功能；</w:t>
            </w:r>
          </w:p>
          <w:p w14:paraId="47F46E5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2.数据传输：支持数据传输能力，并提供数据流量和异常日志记录功能；</w:t>
            </w:r>
          </w:p>
          <w:p w14:paraId="556276A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3.有线网卡接口类型：支持RJ45接口；</w:t>
            </w:r>
          </w:p>
          <w:p w14:paraId="3C4992F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4.网络设备拆装：网络设备支持物理拆装，包括无线网卡和蓝牙模块等；</w:t>
            </w:r>
          </w:p>
          <w:p w14:paraId="1831B1F3">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二十一、外部接口功能</w:t>
            </w:r>
          </w:p>
          <w:p w14:paraId="138424F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1.音频接口类型：支持3.5mm孔径3段式或4段式接口；</w:t>
            </w:r>
          </w:p>
          <w:p w14:paraId="057ED1F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2.视频接口类型：至少支持VGA、HDMI、DVI、DP、Type-C中1种显示接口；</w:t>
            </w:r>
          </w:p>
          <w:p w14:paraId="3723FC7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3.HDMI、DP、Type-C显示接口要求：若提供HDMI或DP或Type-C作为显示接口，应支持音频和视频同步输出；</w:t>
            </w:r>
          </w:p>
          <w:p w14:paraId="7DE3EBC3">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二十二、电源功能</w:t>
            </w:r>
          </w:p>
          <w:p w14:paraId="0F9BC8D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1.电源线适配能力：电源适配器电线组件应符合GB/T 15934的要求；</w:t>
            </w:r>
          </w:p>
          <w:p w14:paraId="6455DBAF">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二十三、操作系统及软件功能</w:t>
            </w:r>
          </w:p>
          <w:p w14:paraId="4C24F53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1.中文信息处理要求：符合GB 18030的相关规定；</w:t>
            </w:r>
          </w:p>
          <w:p w14:paraId="0EC96F9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2.操作系统备份及还原功能：支持操作系统备份及还原功能；</w:t>
            </w:r>
          </w:p>
          <w:p w14:paraId="2C02A78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3.固件备份还原能力：支持备份及还原固件的功能；</w:t>
            </w:r>
          </w:p>
          <w:p w14:paraId="45F77DF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4.操作系统及驱动升级：支持通过网络、闪存盘等方式对操作系统、驱动进行升级；</w:t>
            </w:r>
          </w:p>
          <w:p w14:paraId="4A6BBCD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5.固件升级：支持通过网络、闪存盘等方式对固件进行升级；</w:t>
            </w:r>
          </w:p>
          <w:p w14:paraId="1EE0306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6.BIOS支持关闭通讯接口：支持BIOS关闭以太网及USB接口；</w:t>
            </w:r>
          </w:p>
          <w:p w14:paraId="5E056C7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7.固件查看信息：支持查看固件版本、内存信息、主板信息、处理器信息和系统时间信息等功能；</w:t>
            </w:r>
          </w:p>
          <w:p w14:paraId="157BB4A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8.固件设置启动顺序：支持设置启动顺序功能，并按照设置的启动顺序启动；</w:t>
            </w:r>
          </w:p>
          <w:p w14:paraId="389A31F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9.固件设置口令：支持设置口令、修改口令、验证口令功能；</w:t>
            </w:r>
          </w:p>
          <w:p w14:paraId="7719216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10.固件设置网络引导：支持网络引导启动和关闭功能；</w:t>
            </w:r>
          </w:p>
          <w:p w14:paraId="006507B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11.提供功能至少有文字处理、电子表格、演示文稿三大应用模块的正版办公软件，授权≥3年。</w:t>
            </w:r>
          </w:p>
          <w:p w14:paraId="008C102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12.windows应用迁移软件</w:t>
            </w:r>
          </w:p>
          <w:p w14:paraId="69CDD38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①用户首次使用软件时，软件会自动完成GA安装，保障Windows应用的体验效果。</w:t>
            </w:r>
          </w:p>
          <w:p w14:paraId="17BF563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②产品支持Legacy+MBR和UEFI+GPT引导安装。</w:t>
            </w:r>
          </w:p>
          <w:p w14:paraId="0E51365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③产品支持一键检测设备软硬件环境是否满足部署要求，输出满足项和不满足项。</w:t>
            </w:r>
          </w:p>
          <w:p w14:paraId="124CDB6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④产品提供双工作区和系统融合两种模式供用户选择。</w:t>
            </w:r>
          </w:p>
          <w:p w14:paraId="61E13A5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⑤产品支持图形化引导，自助安装：全图形化引导安装，支持一键扫描安装环境，用户单双击即可完成安装。</w:t>
            </w:r>
          </w:p>
          <w:p w14:paraId="55D54CE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⑥产品支持网络自动匹配、网络禁用等企业级网络管理，实现对迁移后系统的安全管控。</w:t>
            </w:r>
          </w:p>
          <w:p w14:paraId="5EEADC5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⑦为保证八桂教学通和柳州教育资源公共服务平台等应用的兼容性和稳定性，windows应用迁移软件需与所投产品的操作系统兼容。</w:t>
            </w:r>
          </w:p>
          <w:p w14:paraId="143029A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13.AI电脑助手</w:t>
            </w:r>
          </w:p>
          <w:p w14:paraId="343DB3F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（1）登录方式多样性：支持账号/密码和手机微信扫码两种登录方式。用户首次登录时绑定微信ID与账号的对应关系。</w:t>
            </w:r>
          </w:p>
          <w:p w14:paraId="2F21A20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（2）设备详情：能查看当前设备的硬件信息和系统信息。可查看的硬件信息包含CPU、主板、显卡、硬盘、显示器、网卡、声卡。可查看的系统信息包括操作系统、系统激活状态、SN号MAC地址、内外网IP。</w:t>
            </w:r>
          </w:p>
          <w:p w14:paraId="7D4A5BE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（3）设备运行状态：能查看当前设备的内存、CPU、硬盘、系统盘、网速的实时占用状态信息。</w:t>
            </w:r>
          </w:p>
          <w:p w14:paraId="4D48ADA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（4）文件发送：支持一次发送≥15个文件给多个公共接收端软件。接收端离线时文件能够暂存在云端，在线后可进行自动下载。支持发送图片、视频、文档等类型的文件，支持查看发送进度。</w:t>
            </w:r>
          </w:p>
          <w:p w14:paraId="647BFAB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文件列表：接收到新文件时有提示新文件。支持查看当前已接收的文件列表。可对文件进行下载或打开操作。支持自动清理超过14天的文件，保障存储容量的充裕。为方便用户分辨自己的文件夹，可对自己的文件夹的图标颜色和命名进行个性化设置。</w:t>
            </w:r>
          </w:p>
          <w:p w14:paraId="5F272E5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（6）存储路径变更：支持用户选择文件存储的路径在任意盘符，修改盘符的过程中支持用户对原盘符的文件进行迁移还是删除。</w:t>
            </w:r>
          </w:p>
          <w:p w14:paraId="61DE3F3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查看和编辑：采用云端存储的方式，用户可自定义创建文件夹和上传文件，用户可在终端应用软件查看下载文件，支持对文件排序、筛选，对文件和文件夹进行移动、删除、重命名操作。支持用户在移动端应用软件中查看上传和下载的文件。</w:t>
            </w:r>
          </w:p>
          <w:p w14:paraId="6A5E745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预览：能够在线预览图片、音视频、文档。支持预览的格式，包括但不限于：图片：BMP、GIF、JPE、JPEG、JPG、PNG。音频：WAV、MP3、OGG。视频：3GP、F4V、M4V、MKV、MP4、OGV、MOV。文档：DOC、DOCX、PDF、PPT、XLS、XLSX。</w:t>
            </w:r>
          </w:p>
          <w:p w14:paraId="5CE1805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（9）发送到接收端：用户可在云盘中把多个文件发送至接收端软件中，发送的文件不限格式，接收端软件自动下载该文件。</w:t>
            </w:r>
          </w:p>
          <w:p w14:paraId="7A319B9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（10）快捷打开：终端应用软件具备桌面快捷操作栏功能，固定在桌面，可具备展示用户添加的应用、网站和组件，点击后即可快速打开。支持在软件内切换、关闭标签。能对窗口进行最小化、最大化、关闭。</w:t>
            </w:r>
          </w:p>
          <w:p w14:paraId="6E1EC93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（11）快捷打开AI应用：终端应用软件的桌面快捷操作栏可为用户提供主流大模型应用的快捷入口，用户可自主添加常用AI网站。</w:t>
            </w:r>
          </w:p>
          <w:p w14:paraId="5E9165A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12）编辑：用户可自定义桌面快捷操作栏展示的内容，根据自己的需求对内容进行移除、添加、移动位置，可自定义添加所需要的网站，变更后数据会跟随当前登录的账号，登录另一台电脑时会同步当前编辑的结果。</w:t>
            </w:r>
          </w:p>
          <w:p w14:paraId="02F047C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13）移动：终端应用软件支持用户将固定在桌面上的快捷操作栏拖动到屏幕的任意位置，当用户拖动快捷操作栏靠近屏幕边缘时会自动收到侧边。鼠标悬浮在侧边的时候，会弹出该快捷操作栏，再次拖动快捷操作栏会取消收起。</w:t>
            </w:r>
          </w:p>
          <w:p w14:paraId="25C005D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（14）提示词：进入百宝箱后支持展示≥2条提示词，支持试一试选型一键问询问题。</w:t>
            </w:r>
          </w:p>
          <w:p w14:paraId="3C49A9F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（15）对话式生成：根据输入的文字生成文本，并通过对话的形式表达，可对输入内容进行安全性检测，还支持根据上下文进行多轮连续对话，支持对AI生成的内容复制或重新生成以及查看历史输入内容。</w:t>
            </w:r>
          </w:p>
          <w:p w14:paraId="721711D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（16）独占模式：支持批量生成≥3张奖状，可对奖励内容、奖励称号、颁奖人/单位、颁发日期、印章内容进行编辑。</w:t>
            </w:r>
          </w:p>
          <w:p w14:paraId="1433D77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17）PDF格式转化：通过终端应用内置PDF格式转换功能，支持对PDF的文件进行转换格式，转换为XLSX、DOCX、PPT；转换后文件内容的排布与源PDF保持基本一致。支持对转换后的文件进行编辑，包括（编辑文本、编辑表格、编辑图片）；转换后支持下载文件至电脑本地。</w:t>
            </w:r>
          </w:p>
          <w:p w14:paraId="19C1164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（18）图片转格式：支持对图片进行格式转换，图片原始格式为bmp、jpg、jpeg、png、tif、webp、heic；转换为jpg、png；转换后支持下载图片到电脑本地。</w:t>
            </w:r>
          </w:p>
          <w:p w14:paraId="0F347B5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（19）提取文字：支持对图片进行在线文字识别，识别后支持对文字进行复制。</w:t>
            </w:r>
          </w:p>
          <w:p w14:paraId="4373BDA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（20）内容总结：支持对格式为txt、html、doc、docx等≥5种文件类型进行大模型识别并进行内容总结，总结后的内容可复制，并可根据总结内容自动生成思维导图，思维导图可以编辑。</w:t>
            </w:r>
          </w:p>
          <w:p w14:paraId="03FD21A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（21）长截图：支持长截图功能，可通过滚动鼠标滚轮方式对可截取区域进行长截图；截取完毕后，支持保存截图到电脑本地；支持保存截图到剪切板，并能粘贴到目标位置。</w:t>
            </w:r>
          </w:p>
          <w:p w14:paraId="31E79AF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22）划词翻译：支持对网页，文件等中的内容进行鼠标划词选中，可选择翻译功能，翻译选中内容，自动识别选中内容语言进行翻译，支持用户手动选择翻译语种，支持包括但不限于简体中文、繁体中文、英语、日语、德语、阿拉伯语、西班牙语、法语、葡萄牙语、俄语、韩语11种语言，支持对翻译内容进行复制。</w:t>
            </w:r>
          </w:p>
          <w:p w14:paraId="6F7DB14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（23）划词总结、缩写、扩写：支持对网页，文件等中的内容进行鼠标划词选中，可选择≥2种功能，可对选中内容进行大模型理解，可进行总结或扩写，支持生成内容进行复制。</w:t>
            </w:r>
          </w:p>
          <w:p w14:paraId="47589EE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24）AI搜索文件：支持通过桌面快捷操作栏或快捷键进入AI搜索对话框，快捷键可自定义。支持通过Ai搜索快速搜索本地文件，可对文件或文件夹名称进行精确匹配，可展示显示搜索的文件个数、打开文件所在目录，进行复制、剪切、删除、查看文件属性。</w:t>
            </w:r>
          </w:p>
          <w:p w14:paraId="4B9881A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25）AI意图识别：支持用户输入文字，对输入文字的意图进行大模型的语义分析，理解和判断，识别其可能期望进行的动作，并推荐对应功能，对会议、待办、AI传屏等≥3种内容，可以自动识别主题并填入，可以快速拉起对应应用中对应模块，提升效率。</w:t>
            </w:r>
          </w:p>
          <w:p w14:paraId="32A8B4F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（26）视频在线播放：粘贴视频网页链接可一键解析视频，插入课件页后支持在线播放。支持本地上传视频插入课件页播放。</w:t>
            </w:r>
          </w:p>
          <w:p w14:paraId="0ADCAB7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27）支持任意终端作为发送端在云桌面系统、Windows、统信UOS、银河麒麟等操作系统下直接发起镜像同传，接收端在云桌面系统、Windows、统信UOS、银河麒麟等操作系统下直接接收镜像，无需重启或者进入特定运行模式接收镜像；</w:t>
            </w:r>
          </w:p>
          <w:p w14:paraId="1E7CF82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28）智能生成课件：支持基于已明确的教学大纲，生成完整的教学课件；支持智能扩展单页课件，允许手动输入描述和根据上下文智能推荐内容；支持对大纲节点进行编辑并同步更新课件；支持对生成的文字进行润色、扩写、精简三种操作模式；支持修改、删除课件文字；支持更换课件生成的图片；支持通过拖动方式调整文字的布局；支持一键更换课件主题风格；支持演示预览课件，支持分享课件，一键复制教学设计。</w:t>
            </w:r>
          </w:p>
          <w:p w14:paraId="70619AA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29）数学公式联想及输入：用户可输入小学、初中、高中阶段所对应数学公式，只需要输入对应公式的名称，会自动匹配到对应的公式，支持键盘或鼠标选择，使公式快速上屏，如长方形的周长、长方形的面积、三角形的面积、圆的周长、圆柱的体积、指数函数、对数函数、导数、积分、三角函数、韦达定理、勾股定理；支持在Word、WPS等应用软件中对上屏的数学公式进行编辑，可编辑公式的符号、数字、角标。</w:t>
            </w:r>
          </w:p>
          <w:p w14:paraId="490925D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30）化学公式/元素联想及输入：用户可输入初中、高中阶段所对应化学公式，只需要输入对应公式的名称，会自动匹配到对应的公式；输入元素名称会关联对应的公式，如需要“镁在空气中的燃烧”只需要输入“镁”元素名称拼音即可关联联想对应公式，并且可匹配到所输入的化学元素其他对应的公式，支持键盘或鼠标选择，使公式快速上屏。支持在Word、WPS等应用软件中对上屏的化学公式进行编辑，可编辑公式的符号、数字、角标、条件、沉淀和气体状态等；</w:t>
            </w:r>
          </w:p>
          <w:p w14:paraId="4147C7C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14.备、授课，教研平台</w:t>
            </w:r>
          </w:p>
          <w:p w14:paraId="0A18148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（1）备授课一体化，具有备课模式及授课模式，且内置的操作界面可根据备课和授课使用场景不同而选择。</w:t>
            </w:r>
          </w:p>
          <w:p w14:paraId="0B6C06B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（2）备课模式工具栏具备自动根据教师账号中关联的学科不同而提供相对应的教学工具。</w:t>
            </w:r>
          </w:p>
          <w:p w14:paraId="13FC5A7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AI智能备课助手：在备课场景中支持搜索课件库课件资源，具有≥15万份的课件资源，支持整份课件或按照课件页插入课件中。支持按照教学环节筛选对应课件页一键插入课件中，可导入新课、作者简介。支持按照元素类型思维导图、课堂活动选取需要的部分补充课件缺失的部分。支持在查看部分课件的同时查看对应整份课件，了解作者整体教学思路。</w:t>
            </w:r>
          </w:p>
          <w:p w14:paraId="627956A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p>
          <w:p w14:paraId="0FD60E9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（5）云教案模板：提供教案模板以供教师撰写教案，预置表格式、提纲式、集备式、多课时式等≥4个教案模板。</w:t>
            </w:r>
          </w:p>
          <w:p w14:paraId="7EC096D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（6）支持校本教案模板设计，管理员在教研管理后台设置校本模板后，教师可在云教案模板直接调用。</w:t>
            </w:r>
          </w:p>
          <w:p w14:paraId="22498A5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（7）云教案与云课件可一对多关联绑定，产生绑定后，在课件页和教案页均支持在同一面板打开关联的云课件或云教案预览，便于教师备课时相互对照。</w:t>
            </w:r>
          </w:p>
          <w:p w14:paraId="0DF6214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（8）AI智能生成课堂活动：具有课堂活动智能填写功能，支持选词填空、判断对错等≥2类课堂活动。输入文本后可以一键解析，自动将文本内容结构化填充至题干和正确选项，完成课堂活动的制作。</w:t>
            </w:r>
          </w:p>
          <w:p w14:paraId="1AA69EC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（9）课堂互动游戏支持云储存功能：编辑完成的活动可一键存储至教师云空间，便于在不同课件中直接调用，无需反复编辑。</w:t>
            </w:r>
          </w:p>
          <w:p w14:paraId="01BA583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智能选词填空：支持创建智能选词填空游戏，填空选项支持并列选项，并列选项支持答案互换，教师可随意编辑填空题题干以及相应的答案选项，将选项拖到对应题干空白处，系统自动判断答案正误，系统需提供≥9种游戏模板，且模板样式支持自定义修改。</w:t>
            </w:r>
          </w:p>
          <w:p w14:paraId="6D0965B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11）智能配对游戏：支持创建配对游戏，教师可随意将知识点进行配对。当开始配对游戏时，拖动知识点进行配对，系统将自动判断是否正确。系统提供≥10种游戏模板，且模板样式支持自定义修改，同时支持设置干扰项。</w:t>
            </w:r>
          </w:p>
          <w:p w14:paraId="15ACFB6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12）分组竞争游戏：支持创建分组竞争游戏，教师可设置正确项／干扰项，让两组学生开展竞争游戏。提供不少于3种难度、10种游戏模板供选择，且模板样式支持自定义修改。支持记录和展示学生作答结果，便于课堂知识点对比讲解。</w:t>
            </w:r>
          </w:p>
          <w:p w14:paraId="5B57814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（13）课件背景：提供≥12种以上背景模板供用户选择，支持自定义背景。</w:t>
            </w:r>
          </w:p>
          <w:p w14:paraId="3F43619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（14）软件内置的AI智能语义分析模块，可对输入的英文文本的拼写、句型、语法进行错误检查，并支持一键纠错。</w:t>
            </w:r>
          </w:p>
          <w:p w14:paraId="07FEC1E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15）英汉字典：支持输入英文单词生成单词卡和详解页，包含单词的释义、读音、例句、词组、近义词等，可插入多个单词卡，同时支持教师自定义编辑单词释义、创建未收录的生僻单词供授课使用。可将插入的单词卡一键切换至详解页进入单词详解模式，支持教师自定义编辑单词释义、例句、词组和近义词，且提供≥4种详解页背景模板供选择。</w:t>
            </w:r>
          </w:p>
          <w:p w14:paraId="7BA1D0D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（16）AI音标助手：支持浏览和插入国际音标表，可直接点击发音，支持已整表和单个音标卡片插入。支持智能将字母、单词、句子转写为音标，并可一键插入到备课课件中形成文本</w:t>
            </w:r>
          </w:p>
          <w:p w14:paraId="5898E95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（17）快捷抠图：即可在白板软件中对导入的图片进行快捷抠图、去背景，处理后的图片主体边缘没有明显毛边，可导出保存成PNG格式。</w:t>
            </w:r>
          </w:p>
          <w:p w14:paraId="465845EC">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二十四、存储设备可靠性</w:t>
            </w:r>
          </w:p>
          <w:p w14:paraId="35FE560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1.固态存储寿命：TBW≥80TB（条件：512GB硬盘容量）；</w:t>
            </w:r>
          </w:p>
          <w:p w14:paraId="70FE182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2.机械硬盘寿命：通电时间≥5万小时；</w:t>
            </w:r>
          </w:p>
          <w:p w14:paraId="7EFCB157">
            <w:pPr>
              <w:widowControl/>
              <w:spacing w:line="400" w:lineRule="exact"/>
              <w:ind w:firstLine="482"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二十五、显示设备可靠性</w:t>
            </w:r>
          </w:p>
          <w:p w14:paraId="23220A3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1.显示屏屏幕失效点：符合GB/T 9813.2的要求；</w:t>
            </w:r>
          </w:p>
          <w:p w14:paraId="532B0AE8">
            <w:pPr>
              <w:widowControl/>
              <w:spacing w:line="400" w:lineRule="exact"/>
              <w:ind w:firstLine="482"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二十六、外设可靠性</w:t>
            </w:r>
          </w:p>
          <w:p w14:paraId="788EE7F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1.键盘按键寿命：≥1000万次；</w:t>
            </w:r>
          </w:p>
          <w:p w14:paraId="603955F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2.鼠标按键寿命：≥500万次；</w:t>
            </w:r>
          </w:p>
          <w:p w14:paraId="11D1AFE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3.键盘鼠标线材寿命：键盘鼠标所用线材经±60°弯折不低于3000次，功能、外观完好；</w:t>
            </w:r>
          </w:p>
          <w:p w14:paraId="6E4CF54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4.风扇寿命：≥4万小时；</w:t>
            </w:r>
          </w:p>
          <w:p w14:paraId="78958CE2">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二十七、整机可靠性要求</w:t>
            </w:r>
          </w:p>
          <w:p w14:paraId="2D03775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1.电磁兼容性要求的抗扰度：符合GB/T 9254.2的规定；</w:t>
            </w:r>
          </w:p>
          <w:p w14:paraId="2246FA7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2.环境条件要求的气候环境适应性：符合GB/T 9813.1中规定；</w:t>
            </w:r>
          </w:p>
          <w:p w14:paraId="79172EC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3.环境条件要求的振动适应性：符合GB/T 9813.1中规定；</w:t>
            </w:r>
          </w:p>
          <w:p w14:paraId="600727D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4.环境条件要求的冲击适应性：符合GB/T 9813.1中规定；</w:t>
            </w:r>
          </w:p>
          <w:p w14:paraId="0509369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5.环境条件要求的碰撞适应性：符合GB/T 9813.1中规定；</w:t>
            </w:r>
          </w:p>
          <w:p w14:paraId="2FC4805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6.环境条件要求的运输包装件跌落适应性：符合GB/T 9813.1中规定；</w:t>
            </w:r>
          </w:p>
          <w:p w14:paraId="04E097F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7.MTBF测试：MTBF(m1)≥3万小时；</w:t>
            </w:r>
          </w:p>
          <w:p w14:paraId="1C97A8BB">
            <w:pPr>
              <w:widowControl/>
              <w:spacing w:line="400" w:lineRule="exact"/>
              <w:ind w:firstLine="482"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二十八、兼容要求</w:t>
            </w:r>
          </w:p>
          <w:p w14:paraId="55025B0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1.常用软件兼容：支持流式软件、版式软件、浏览器、邮件采购人端、解压软件、多媒体、图形图像处理等常用软件；</w:t>
            </w:r>
          </w:p>
          <w:p w14:paraId="7F50F96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2.数据库兼容：兼容3个及以上厂商的数据库产品；</w:t>
            </w:r>
          </w:p>
          <w:p w14:paraId="13AC6D4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3.中间件兼容：兼容3个及以上厂商中间件产品；</w:t>
            </w:r>
          </w:p>
          <w:p w14:paraId="2D22C1E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4.平台软件兼容：兼容3个及以上厂商云计算及大数据平台；</w:t>
            </w:r>
          </w:p>
          <w:p w14:paraId="22C89936">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二十九、包装及运输要求</w:t>
            </w:r>
          </w:p>
          <w:p w14:paraId="343DCD9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1.标志、包装、运输和贮存：符合GB/T 9813.1和商品包装政府采购需求标准的相关规定；</w:t>
            </w:r>
          </w:p>
          <w:p w14:paraId="140F5D3D">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三十、服务要求</w:t>
            </w:r>
          </w:p>
          <w:p w14:paraId="30E30BD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1.配置检查工具：供应商提供自检测试工具；</w:t>
            </w:r>
          </w:p>
          <w:p w14:paraId="4EC5AC8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服务响应：a）供应商提供电话、电子邮件、远程连接等多种形式服务；b）供应商提供同城4h、异地12h技术响应服务，在2个工作日内解决问题，对于未能解决的问题和故障应提供可行的升级方案，并提供周转设备或更换设备；c）建立全国技术服务体系和服务团体，符合专业服务体系标准要求，提供原厂中文服务；d）在服务周期内提供产品的维修、换件和升级服务；</w:t>
            </w:r>
          </w:p>
          <w:p w14:paraId="0C076BE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3.服务周期：a)设备停产后应继续提供质量保障服务（含备品备件），服务终止时间与最后一批设备交付时间间隔不低于6年；b)产品停止服务时间应提前1年告知；c)应明确产品发布日期；</w:t>
            </w:r>
          </w:p>
          <w:p w14:paraId="4BFC6AE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4.预装操作系统：预装符合桌面操作系统政府采购需求标准的正版操作系统；预装的操作系统符合《操作系统政府采购需求标准》中加*指标要求（财政部 工业和信息化部关于印发《操作系统政府采购需求标准（2023年版）》的通知）；</w:t>
            </w:r>
          </w:p>
          <w:p w14:paraId="4DB213C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5.培训服务：供应商提供培训材料、产品手册、培训视频等培训相关内容；</w:t>
            </w:r>
          </w:p>
          <w:p w14:paraId="567C4A1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6.典型问题解决手册：供应商提供典型问题解决说明文档或视频；</w:t>
            </w:r>
          </w:p>
          <w:p w14:paraId="0452EB0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7.厂家升级软件与扩容服务：供应商提供上门升级部件/软件与扩容的增值服务；</w:t>
            </w:r>
          </w:p>
          <w:p w14:paraId="77617E7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8.整机质量服务要求：免费服务周期（含换件和维修）应不小于3年；</w:t>
            </w:r>
          </w:p>
          <w:p w14:paraId="43F7E85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9.合格证书要求：供应商提供产品合格证；</w:t>
            </w:r>
          </w:p>
          <w:p w14:paraId="08BDD6E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10.开箱组装/使用指导要求：供应商提供开箱组装/使用指导；</w:t>
            </w:r>
          </w:p>
          <w:p w14:paraId="263BFCB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11.驱动下载服务要求：供应商提供驱动光盘或下载方式；</w:t>
            </w:r>
          </w:p>
          <w:p w14:paraId="34CB78B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12.兼容适配软件下载服务要求：供应商提供兼容适配软件下载渠道（光盘、网站）；</w:t>
            </w:r>
          </w:p>
          <w:p w14:paraId="6328FFC7">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三十一、供应链合规性</w:t>
            </w:r>
          </w:p>
          <w:p w14:paraId="04E7774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1.产品部件保障：供应商保障产品主要部件，提供6年的备件服务能力（自购买之日起），或提供可兼容原设备的升级换代产品；</w:t>
            </w:r>
          </w:p>
          <w:p w14:paraId="7E04A3D2">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三十二、供应链质量</w:t>
            </w:r>
          </w:p>
          <w:p w14:paraId="6C6F04F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1.抗干扰性：当产品部件出现供应风险时，供应商应通知采购人并提供风险应对方案确保产品的服务保障；</w:t>
            </w:r>
          </w:p>
          <w:p w14:paraId="25255A9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2.供应能力证明：确保产品的部件在产品服务周期内稳定供货；</w:t>
            </w:r>
          </w:p>
          <w:p w14:paraId="7E92DD31">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三十三、关键部件安全</w:t>
            </w:r>
          </w:p>
          <w:p w14:paraId="63838A1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1.关键部件安全要求：CPU和操作系统等关键部件应当符合安全可靠测评要求；</w:t>
            </w:r>
            <w:r>
              <w:rPr>
                <w:rFonts w:hint="eastAsia" w:ascii="仿宋_GB2312" w:hAnsi="仿宋_GB2312" w:eastAsia="仿宋_GB2312" w:cs="仿宋_GB2312"/>
                <w:color w:val="auto"/>
                <w:spacing w:val="0"/>
                <w:kern w:val="0"/>
                <w:sz w:val="24"/>
                <w:highlight w:val="none"/>
              </w:rPr>
              <w:t>通过政府有关部门指定的中国信息安全测评中心和国家保密科技测评中心网站查看安全可靠测评结果</w:t>
            </w:r>
          </w:p>
          <w:p w14:paraId="46406797">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lang w:val="en-US" w:eastAsia="zh-CN"/>
              </w:rPr>
              <w:t>注：投标人在填写《技术响应表》时，在“投标文件响应技术参数”明确给出所投网络教室教师机“CPU型号”及“操作系统”名称，否则视为投标无效。</w:t>
            </w:r>
          </w:p>
          <w:p w14:paraId="328BFA94">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三十四、整机安全性要求</w:t>
            </w:r>
          </w:p>
          <w:p w14:paraId="74AFD41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1.密码算法实现：CPU芯片应符合GM/T 0008的相关规定，或芯片密码模块应符合GB/T 37092或GM/T 0028的相关规定（通过商用密码检测机构检测并经商用密码认证机构认证合格）；</w:t>
            </w:r>
          </w:p>
          <w:p w14:paraId="23D798D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2.信息安全基本要求：a)产品应符合GB/T 39276的5.2的规定；b)生产厂商应建立漏洞跟踪表，保证产品版本涉及的漏洞（如驱动程序等）可查看；c)产品不得包含已知的恶意代码或漏洞，不存在未声明的指令、功能、接口；</w:t>
            </w:r>
          </w:p>
          <w:p w14:paraId="31A3A07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3.固件安全启动：支持固件安全启动功能，固件启动过程中只有通过启动校验才能正常启动；</w:t>
            </w:r>
          </w:p>
          <w:p w14:paraId="14841FC9">
            <w:pPr>
              <w:widowControl/>
              <w:spacing w:line="400" w:lineRule="exact"/>
              <w:ind w:firstLine="480" w:firstLineChars="200"/>
              <w:jc w:val="left"/>
              <w:rPr>
                <w:rFonts w:hint="eastAsia"/>
                <w:color w:val="auto"/>
                <w:highlight w:val="none"/>
              </w:rPr>
            </w:pPr>
            <w:r>
              <w:rPr>
                <w:rFonts w:hint="eastAsia" w:ascii="仿宋_GB2312" w:hAnsi="仿宋_GB2312" w:eastAsia="仿宋_GB2312" w:cs="仿宋_GB2312"/>
                <w:color w:val="auto"/>
                <w:kern w:val="0"/>
                <w:sz w:val="24"/>
                <w:highlight w:val="none"/>
                <w:lang w:val="en-US" w:eastAsia="zh-CN"/>
              </w:rPr>
              <w:t>4.限用物质的限量要求：符合GB/T 26572中规定</w:t>
            </w:r>
            <w:r>
              <w:rPr>
                <w:rFonts w:hint="eastAsia" w:ascii="仿宋_GB2312" w:hAnsi="仿宋_GB2312" w:eastAsia="仿宋_GB2312" w:cs="仿宋_GB2312"/>
                <w:color w:val="auto"/>
                <w:kern w:val="0"/>
                <w:sz w:val="24"/>
                <w:highlight w:val="none"/>
                <w:lang w:eastAsia="zh-CN"/>
              </w:rPr>
              <w:t>。</w:t>
            </w:r>
          </w:p>
        </w:tc>
        <w:tc>
          <w:tcPr>
            <w:tcW w:w="812" w:type="dxa"/>
            <w:tcBorders>
              <w:top w:val="single" w:color="auto" w:sz="4" w:space="0"/>
              <w:left w:val="single" w:color="auto" w:sz="4" w:space="0"/>
              <w:bottom w:val="single" w:color="auto" w:sz="4" w:space="0"/>
              <w:right w:val="single" w:color="auto" w:sz="4" w:space="0"/>
            </w:tcBorders>
            <w:vAlign w:val="center"/>
          </w:tcPr>
          <w:p w14:paraId="5F680C49">
            <w:pPr>
              <w:pStyle w:val="244"/>
              <w:snapToGrid w:val="0"/>
              <w:spacing w:line="40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台</w:t>
            </w:r>
          </w:p>
        </w:tc>
      </w:tr>
      <w:tr w14:paraId="5395E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613" w:type="dxa"/>
            <w:tcBorders>
              <w:top w:val="single" w:color="auto" w:sz="4" w:space="0"/>
              <w:left w:val="single" w:color="auto" w:sz="4" w:space="0"/>
              <w:bottom w:val="single" w:color="auto" w:sz="4" w:space="0"/>
              <w:right w:val="single" w:color="auto" w:sz="4" w:space="0"/>
            </w:tcBorders>
            <w:vAlign w:val="center"/>
          </w:tcPr>
          <w:p w14:paraId="52814C81">
            <w:pPr>
              <w:spacing w:line="400" w:lineRule="exact"/>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2</w:t>
            </w:r>
          </w:p>
        </w:tc>
        <w:tc>
          <w:tcPr>
            <w:tcW w:w="1118" w:type="dxa"/>
            <w:tcBorders>
              <w:top w:val="single" w:color="auto" w:sz="4" w:space="0"/>
              <w:left w:val="single" w:color="auto" w:sz="4" w:space="0"/>
              <w:bottom w:val="single" w:color="auto" w:sz="4" w:space="0"/>
              <w:right w:val="single" w:color="auto" w:sz="4" w:space="0"/>
            </w:tcBorders>
            <w:vAlign w:val="center"/>
          </w:tcPr>
          <w:p w14:paraId="3D5C937D">
            <w:pPr>
              <w:spacing w:line="400" w:lineRule="exact"/>
              <w:jc w:val="center"/>
              <w:rPr>
                <w:rFonts w:hint="eastAsia" w:ascii="仿宋_GB2312" w:hAnsi="仿宋_GB2312" w:eastAsia="仿宋_GB2312" w:cs="仿宋_GB2312"/>
                <w:color w:val="auto"/>
                <w:sz w:val="24"/>
                <w:highlight w:val="none"/>
              </w:rPr>
            </w:pPr>
            <w:r>
              <w:rPr>
                <w:rFonts w:hint="eastAsia" w:ascii="仿宋_GB2312" w:eastAsia="仿宋_GB2312"/>
                <w:b/>
                <w:bCs/>
                <w:color w:val="auto"/>
                <w:sz w:val="24"/>
                <w:highlight w:val="none"/>
              </w:rPr>
              <w:t>▲</w:t>
            </w:r>
            <w:r>
              <w:rPr>
                <w:rFonts w:hint="eastAsia" w:ascii="仿宋_GB2312" w:hAnsi="仿宋_GB2312" w:eastAsia="仿宋_GB2312" w:cs="仿宋_GB2312"/>
                <w:color w:val="auto"/>
                <w:sz w:val="24"/>
                <w:highlight w:val="none"/>
              </w:rPr>
              <w:t>网络教室学生机</w:t>
            </w: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b/>
                <w:bCs/>
                <w:color w:val="auto"/>
                <w:kern w:val="0"/>
                <w:sz w:val="24"/>
                <w:highlight w:val="none"/>
              </w:rPr>
              <w:t>强制采购节能产品，详见采购需求说明第八点）</w:t>
            </w:r>
          </w:p>
        </w:tc>
        <w:tc>
          <w:tcPr>
            <w:tcW w:w="6707" w:type="dxa"/>
            <w:tcBorders>
              <w:top w:val="single" w:color="auto" w:sz="4" w:space="0"/>
              <w:left w:val="single" w:color="auto" w:sz="4" w:space="0"/>
              <w:bottom w:val="single" w:color="auto" w:sz="4" w:space="0"/>
              <w:right w:val="single" w:color="auto" w:sz="4" w:space="0"/>
            </w:tcBorders>
            <w:vAlign w:val="center"/>
          </w:tcPr>
          <w:p w14:paraId="19AEAE57">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★一、CPU规格</w:t>
            </w:r>
          </w:p>
          <w:p w14:paraId="62F0E863">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1.CPU</w:t>
            </w:r>
            <w:r>
              <w:rPr>
                <w:rFonts w:hint="eastAsia" w:ascii="仿宋_GB2312" w:hAnsi="仿宋_GB2312" w:eastAsia="仿宋_GB2312" w:cs="仿宋_GB2312"/>
                <w:color w:val="auto"/>
                <w:kern w:val="0"/>
                <w:sz w:val="24"/>
                <w:highlight w:val="none"/>
              </w:rPr>
              <w:t>物理核心数</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rPr>
              <w:t>核8线程，主频≥</w:t>
            </w:r>
            <w:r>
              <w:rPr>
                <w:rFonts w:hint="eastAsia" w:ascii="仿宋_GB2312" w:hAnsi="仿宋_GB2312" w:eastAsia="仿宋_GB2312" w:cs="仿宋_GB2312"/>
                <w:color w:val="auto"/>
                <w:sz w:val="24"/>
                <w:highlight w:val="none"/>
                <w:lang w:eastAsia="zh-CN"/>
              </w:rPr>
              <w:t>2.7GHz</w:t>
            </w:r>
            <w:r>
              <w:rPr>
                <w:rFonts w:hint="eastAsia" w:ascii="仿宋_GB2312" w:hAnsi="仿宋_GB2312" w:eastAsia="仿宋_GB2312" w:cs="仿宋_GB2312"/>
                <w:color w:val="auto"/>
                <w:sz w:val="24"/>
                <w:highlight w:val="none"/>
              </w:rPr>
              <w:t>，末级缓存</w:t>
            </w:r>
            <w:r>
              <w:rPr>
                <w:rFonts w:hint="eastAsia" w:ascii="仿宋_GB2312" w:hAnsi="仿宋_GB2312" w:eastAsia="仿宋_GB2312" w:cs="仿宋_GB2312"/>
                <w:color w:val="auto"/>
                <w:sz w:val="24"/>
                <w:highlight w:val="none"/>
                <w:lang w:eastAsia="zh-CN"/>
              </w:rPr>
              <w:t>容量</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M，内存≥双通道DDR4-</w:t>
            </w:r>
            <w:r>
              <w:rPr>
                <w:rFonts w:hint="eastAsia" w:ascii="仿宋_GB2312" w:hAnsi="仿宋_GB2312" w:eastAsia="仿宋_GB2312" w:cs="仿宋_GB2312"/>
                <w:color w:val="auto"/>
                <w:sz w:val="24"/>
                <w:highlight w:val="none"/>
                <w:lang w:val="en-US" w:eastAsia="zh-CN"/>
              </w:rPr>
              <w:t>3000</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热</w:t>
            </w:r>
            <w:r>
              <w:rPr>
                <w:rFonts w:hint="eastAsia" w:ascii="仿宋_GB2312" w:hAnsi="仿宋_GB2312" w:eastAsia="仿宋_GB2312" w:cs="仿宋_GB2312"/>
                <w:color w:val="auto"/>
                <w:sz w:val="24"/>
                <w:highlight w:val="none"/>
              </w:rPr>
              <w:t>设计功耗</w:t>
            </w:r>
            <w:r>
              <w:rPr>
                <w:rFonts w:hint="eastAsia" w:ascii="仿宋_GB2312" w:hAnsi="仿宋_GB2312" w:eastAsia="仿宋_GB2312" w:cs="仿宋_GB2312"/>
                <w:color w:val="auto"/>
                <w:sz w:val="24"/>
                <w:highlight w:val="none"/>
                <w:lang w:val="en-US" w:eastAsia="zh-CN"/>
              </w:rPr>
              <w:t>≤20</w:t>
            </w:r>
            <w:r>
              <w:rPr>
                <w:rFonts w:hint="eastAsia" w:ascii="仿宋_GB2312" w:hAnsi="仿宋_GB2312" w:eastAsia="仿宋_GB2312" w:cs="仿宋_GB2312"/>
                <w:color w:val="auto"/>
                <w:sz w:val="24"/>
                <w:highlight w:val="none"/>
              </w:rPr>
              <w:t>W，位宽≥64位；</w:t>
            </w:r>
          </w:p>
          <w:p w14:paraId="4AB02CC8">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★二、内存规格</w:t>
            </w:r>
          </w:p>
          <w:p w14:paraId="368DDE9A">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1.内存配置容量：≥8GB；</w:t>
            </w:r>
          </w:p>
          <w:p w14:paraId="1E988BA7">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2.内存类型：支持DDR4/LPDDR4/LPDDR4X及以上内存类型；</w:t>
            </w:r>
          </w:p>
          <w:p w14:paraId="6146B7CE">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3.内存条配置数量（板载内存不涉及）：≥1；</w:t>
            </w:r>
          </w:p>
          <w:p w14:paraId="70B34C0C">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★三、主板规格</w:t>
            </w:r>
          </w:p>
          <w:p w14:paraId="156797ED">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1.主板集成模块：集成资源扩展模块、计算处理模块、音频扩展模块等，主板的互联拓扑可通过处理器或交换电路实现；</w:t>
            </w:r>
          </w:p>
          <w:p w14:paraId="141D68C4">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2.主板支持的CPU和内存情况：≥</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rPr>
              <w:t>核8线程，主频≥</w:t>
            </w:r>
            <w:r>
              <w:rPr>
                <w:rFonts w:hint="eastAsia" w:ascii="仿宋_GB2312" w:hAnsi="仿宋_GB2312" w:eastAsia="仿宋_GB2312" w:cs="仿宋_GB2312"/>
                <w:color w:val="auto"/>
                <w:sz w:val="24"/>
                <w:highlight w:val="none"/>
                <w:lang w:eastAsia="zh-CN"/>
              </w:rPr>
              <w:t>2.7GHz</w:t>
            </w:r>
            <w:r>
              <w:rPr>
                <w:rFonts w:hint="eastAsia" w:ascii="仿宋_GB2312" w:hAnsi="仿宋_GB2312" w:eastAsia="仿宋_GB2312" w:cs="仿宋_GB2312"/>
                <w:color w:val="auto"/>
                <w:sz w:val="24"/>
                <w:highlight w:val="none"/>
              </w:rPr>
              <w:t>，末级缓存</w:t>
            </w:r>
            <w:r>
              <w:rPr>
                <w:rFonts w:hint="eastAsia" w:ascii="仿宋_GB2312" w:hAnsi="仿宋_GB2312" w:eastAsia="仿宋_GB2312" w:cs="仿宋_GB2312"/>
                <w:color w:val="auto"/>
                <w:sz w:val="24"/>
                <w:highlight w:val="none"/>
                <w:lang w:eastAsia="zh-CN"/>
              </w:rPr>
              <w:t>容量</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M，内存≥双通道DDR4-</w:t>
            </w:r>
            <w:r>
              <w:rPr>
                <w:rFonts w:hint="eastAsia" w:ascii="仿宋_GB2312" w:hAnsi="仿宋_GB2312" w:eastAsia="仿宋_GB2312" w:cs="仿宋_GB2312"/>
                <w:color w:val="auto"/>
                <w:sz w:val="24"/>
                <w:highlight w:val="none"/>
                <w:lang w:val="en-US" w:eastAsia="zh-CN"/>
              </w:rPr>
              <w:t>3000</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热</w:t>
            </w:r>
            <w:r>
              <w:rPr>
                <w:rFonts w:hint="eastAsia" w:ascii="仿宋_GB2312" w:hAnsi="仿宋_GB2312" w:eastAsia="仿宋_GB2312" w:cs="仿宋_GB2312"/>
                <w:color w:val="auto"/>
                <w:sz w:val="24"/>
                <w:highlight w:val="none"/>
              </w:rPr>
              <w:t>设计功耗</w:t>
            </w:r>
            <w:r>
              <w:rPr>
                <w:rFonts w:hint="eastAsia" w:ascii="仿宋_GB2312" w:hAnsi="仿宋_GB2312" w:eastAsia="仿宋_GB2312" w:cs="仿宋_GB2312"/>
                <w:color w:val="auto"/>
                <w:sz w:val="24"/>
                <w:highlight w:val="none"/>
                <w:lang w:val="en-US" w:eastAsia="zh-CN"/>
              </w:rPr>
              <w:t>≤20</w:t>
            </w:r>
            <w:r>
              <w:rPr>
                <w:rFonts w:hint="eastAsia" w:ascii="仿宋_GB2312" w:hAnsi="仿宋_GB2312" w:eastAsia="仿宋_GB2312" w:cs="仿宋_GB2312"/>
                <w:color w:val="auto"/>
                <w:sz w:val="24"/>
                <w:highlight w:val="none"/>
              </w:rPr>
              <w:t>W，位宽≥64位；内存条数量≥</w:t>
            </w: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w:t>
            </w:r>
          </w:p>
          <w:p w14:paraId="0B05A5F1">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3.主板其他内置接口：≥SATA接口*1，≥M.2接口*1，≥USB接口*</w:t>
            </w: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rPr>
              <w:t>，固态硬盘占用M.2接口*1，机械硬盘占用SATA接口*1；</w:t>
            </w:r>
          </w:p>
          <w:p w14:paraId="2CAD5D1C">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4.单内存插槽最大可支持容量（板载内存不涉及）：≥</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rPr>
              <w:t>GB；</w:t>
            </w:r>
          </w:p>
          <w:p w14:paraId="31DBA2B9">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5.内存插槽满配时提供的最高内存总容量：≥</w:t>
            </w:r>
            <w:r>
              <w:rPr>
                <w:rFonts w:hint="eastAsia" w:ascii="仿宋_GB2312" w:hAnsi="仿宋_GB2312" w:eastAsia="仿宋_GB2312" w:cs="仿宋_GB2312"/>
                <w:color w:val="auto"/>
                <w:sz w:val="24"/>
                <w:highlight w:val="none"/>
                <w:lang w:val="en-US" w:eastAsia="zh-CN"/>
              </w:rPr>
              <w:t>16</w:t>
            </w:r>
            <w:r>
              <w:rPr>
                <w:rFonts w:hint="eastAsia" w:ascii="仿宋_GB2312" w:hAnsi="仿宋_GB2312" w:eastAsia="仿宋_GB2312" w:cs="仿宋_GB2312"/>
                <w:color w:val="auto"/>
                <w:sz w:val="24"/>
                <w:highlight w:val="none"/>
              </w:rPr>
              <w:t>GB；</w:t>
            </w:r>
          </w:p>
          <w:p w14:paraId="0DC1D90F">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★四、存储设备规格</w:t>
            </w:r>
          </w:p>
          <w:p w14:paraId="3C4F30E8">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1.固态盘数量：≥1个；</w:t>
            </w:r>
          </w:p>
          <w:p w14:paraId="23EA0B09">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2.固态存储容量：≥256GB；</w:t>
            </w:r>
          </w:p>
          <w:p w14:paraId="31588E2D">
            <w:pPr>
              <w:spacing w:line="400" w:lineRule="exact"/>
              <w:ind w:left="479" w:leftChars="228" w:firstLine="0" w:firstLine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3.机械硬盘数量：≥1个；</w:t>
            </w:r>
            <w:r>
              <w:rPr>
                <w:rFonts w:hint="eastAsia" w:ascii="仿宋_GB2312" w:hAnsi="仿宋_GB2312" w:eastAsia="仿宋_GB2312" w:cs="仿宋_GB2312"/>
                <w:color w:val="auto"/>
                <w:sz w:val="24"/>
                <w:highlight w:val="none"/>
              </w:rPr>
              <w:cr/>
            </w:r>
            <w:r>
              <w:rPr>
                <w:rFonts w:hint="eastAsia" w:ascii="仿宋_GB2312" w:hAnsi="仿宋_GB2312" w:eastAsia="仿宋_GB2312" w:cs="仿宋_GB2312"/>
                <w:color w:val="auto"/>
                <w:sz w:val="24"/>
                <w:highlight w:val="none"/>
              </w:rPr>
              <w:t>4.机械硬盘总容量：≥1TB；</w:t>
            </w:r>
          </w:p>
          <w:p w14:paraId="2DE6D2C5">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5.机械硬盘转速：≥5400rpm；</w:t>
            </w:r>
          </w:p>
          <w:p w14:paraId="3F383871">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6.机械硬盘形态：</w:t>
            </w:r>
            <w:r>
              <w:rPr>
                <w:rFonts w:hint="eastAsia" w:ascii="仿宋_GB2312" w:hAnsi="仿宋_GB2312" w:eastAsia="仿宋_GB2312" w:cs="仿宋_GB2312"/>
                <w:color w:val="auto"/>
                <w:sz w:val="24"/>
                <w:highlight w:val="none"/>
                <w:lang w:eastAsia="zh-CN"/>
              </w:rPr>
              <w:t>2.5英寸或3.5英寸等</w:t>
            </w:r>
            <w:r>
              <w:rPr>
                <w:rFonts w:hint="eastAsia" w:ascii="仿宋_GB2312" w:hAnsi="仿宋_GB2312" w:eastAsia="仿宋_GB2312" w:cs="仿宋_GB2312"/>
                <w:color w:val="auto"/>
                <w:sz w:val="24"/>
                <w:highlight w:val="none"/>
              </w:rPr>
              <w:t>；</w:t>
            </w:r>
          </w:p>
          <w:p w14:paraId="6DF269D7">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7.固态存储形态：采用插卡或板载等形态，可选用符合M.2或2.5寸SATA或mSATA等标准的插卡形态；</w:t>
            </w:r>
          </w:p>
          <w:p w14:paraId="3D3EF56F">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8.存储设备其他参数要求：a</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固态盘应符合SJ/T 11654相关规定；b</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机械硬盘准备时间应不大于30s；侧面固定螺丝孔数量可为4孔或6孔；工作状态环境温度应满足5℃</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55℃；</w:t>
            </w:r>
            <w:r>
              <w:rPr>
                <w:rFonts w:hint="eastAsia" w:ascii="仿宋_GB2312" w:hAnsi="仿宋_GB2312" w:eastAsia="仿宋_GB2312" w:cs="仿宋_GB2312"/>
                <w:color w:val="auto"/>
                <w:sz w:val="24"/>
                <w:highlight w:val="none"/>
                <w:lang w:eastAsia="zh-CN"/>
              </w:rPr>
              <w:t>其他</w:t>
            </w:r>
            <w:r>
              <w:rPr>
                <w:rFonts w:hint="eastAsia" w:ascii="仿宋_GB2312" w:hAnsi="仿宋_GB2312" w:eastAsia="仿宋_GB2312" w:cs="仿宋_GB2312"/>
                <w:color w:val="auto"/>
                <w:sz w:val="24"/>
                <w:highlight w:val="none"/>
              </w:rPr>
              <w:t>参数应符合GB/T 12628相关规定；</w:t>
            </w:r>
          </w:p>
          <w:p w14:paraId="65E17F86">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★五、显卡规格</w:t>
            </w:r>
          </w:p>
          <w:p w14:paraId="3A75A3D9">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1.显卡类型：集成显卡；</w:t>
            </w:r>
          </w:p>
          <w:p w14:paraId="3B13F537">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★六、显示设备规格</w:t>
            </w:r>
          </w:p>
          <w:p w14:paraId="55883284">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1.显示屏屏占比：≥</w:t>
            </w:r>
            <w:r>
              <w:rPr>
                <w:rFonts w:hint="eastAsia" w:ascii="仿宋_GB2312" w:hAnsi="仿宋_GB2312" w:eastAsia="仿宋_GB2312" w:cs="仿宋_GB2312"/>
                <w:color w:val="auto"/>
                <w:sz w:val="24"/>
                <w:highlight w:val="none"/>
                <w:lang w:val="en-US" w:eastAsia="zh-CN"/>
              </w:rPr>
              <w:t>90</w:t>
            </w:r>
            <w:r>
              <w:rPr>
                <w:rFonts w:hint="eastAsia" w:ascii="仿宋_GB2312" w:hAnsi="仿宋_GB2312" w:eastAsia="仿宋_GB2312" w:cs="仿宋_GB2312"/>
                <w:color w:val="auto"/>
                <w:sz w:val="24"/>
                <w:highlight w:val="none"/>
              </w:rPr>
              <w:t>%；</w:t>
            </w:r>
          </w:p>
          <w:p w14:paraId="02E1D3DA">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2.显示屏分辨率：≥1920*1080；</w:t>
            </w:r>
          </w:p>
          <w:p w14:paraId="3C7EB025">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3.显示屏尺寸：</w:t>
            </w:r>
            <w:r>
              <w:rPr>
                <w:rFonts w:hint="eastAsia" w:ascii="仿宋_GB2312" w:hAnsi="仿宋_GB2312" w:eastAsia="仿宋_GB2312" w:cs="仿宋_GB2312"/>
                <w:color w:val="auto"/>
                <w:sz w:val="24"/>
                <w:highlight w:val="none"/>
                <w:lang w:eastAsia="zh-CN"/>
              </w:rPr>
              <w:t>≥23.8英寸</w:t>
            </w:r>
            <w:r>
              <w:rPr>
                <w:rFonts w:hint="eastAsia" w:ascii="仿宋_GB2312" w:hAnsi="仿宋_GB2312" w:eastAsia="仿宋_GB2312" w:cs="仿宋_GB2312"/>
                <w:color w:val="auto"/>
                <w:sz w:val="24"/>
                <w:highlight w:val="none"/>
              </w:rPr>
              <w:t>；</w:t>
            </w:r>
          </w:p>
          <w:p w14:paraId="3609E2D1">
            <w:pPr>
              <w:spacing w:line="400" w:lineRule="exact"/>
              <w:ind w:left="479" w:leftChars="228" w:firstLine="0" w:firstLine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4.显示屏屏幕比例：16:9；</w:t>
            </w:r>
            <w:r>
              <w:rPr>
                <w:rFonts w:hint="eastAsia" w:ascii="仿宋_GB2312" w:hAnsi="仿宋_GB2312" w:eastAsia="仿宋_GB2312" w:cs="仿宋_GB2312"/>
                <w:color w:val="auto"/>
                <w:sz w:val="24"/>
                <w:highlight w:val="none"/>
              </w:rPr>
              <w:cr/>
            </w:r>
            <w:r>
              <w:rPr>
                <w:rFonts w:hint="eastAsia" w:ascii="仿宋_GB2312" w:hAnsi="仿宋_GB2312" w:eastAsia="仿宋_GB2312" w:cs="仿宋_GB2312"/>
                <w:color w:val="auto"/>
                <w:sz w:val="24"/>
                <w:highlight w:val="none"/>
              </w:rPr>
              <w:t>5.显示器外观颜色：黑色商务色系；</w:t>
            </w:r>
          </w:p>
          <w:p w14:paraId="05E001B9">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6.显示屏防蓝光：支持防蓝光模式，蓝光加权辐射亮度比应≤0.0012W/</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·cd·sr</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（瓦每坎特拉每球面度）；</w:t>
            </w:r>
          </w:p>
          <w:p w14:paraId="425900BD">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7.显示屏低频闪：显示屏应支持低频闪≤-35dB；</w:t>
            </w:r>
          </w:p>
          <w:p w14:paraId="2048B432">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8.显示屏</w:t>
            </w:r>
            <w:r>
              <w:rPr>
                <w:rFonts w:hint="eastAsia" w:ascii="仿宋_GB2312" w:hAnsi="仿宋_GB2312" w:eastAsia="仿宋_GB2312" w:cs="仿宋_GB2312"/>
                <w:color w:val="auto"/>
                <w:sz w:val="24"/>
                <w:highlight w:val="none"/>
                <w:lang w:eastAsia="zh-CN"/>
              </w:rPr>
              <w:t>防眩目</w:t>
            </w:r>
            <w:r>
              <w:rPr>
                <w:rFonts w:hint="eastAsia" w:ascii="仿宋_GB2312" w:hAnsi="仿宋_GB2312" w:eastAsia="仿宋_GB2312" w:cs="仿宋_GB2312"/>
                <w:color w:val="auto"/>
                <w:sz w:val="24"/>
                <w:highlight w:val="none"/>
              </w:rPr>
              <w:t>：显示屏镜面反射率≤10%；</w:t>
            </w:r>
          </w:p>
          <w:p w14:paraId="28FBF116">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★七、外设规格</w:t>
            </w:r>
          </w:p>
          <w:p w14:paraId="091501D5">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1.鼠标数量：≥1个；</w:t>
            </w:r>
          </w:p>
          <w:p w14:paraId="0E185CA0">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2.键盘数量：≥1个；</w:t>
            </w:r>
          </w:p>
          <w:p w14:paraId="276EEEA1">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3.键盘按键数目：101键；</w:t>
            </w:r>
          </w:p>
          <w:p w14:paraId="43F436FC">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4.键盘连接方式：有线；</w:t>
            </w:r>
          </w:p>
          <w:p w14:paraId="67F32052">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5.键盘键程：2.3mm</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4.0mm；</w:t>
            </w:r>
          </w:p>
          <w:p w14:paraId="2EAF078D">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6.键盘按键压力：按键压力应在0.54N±0.14N；</w:t>
            </w:r>
          </w:p>
          <w:p w14:paraId="1FF9A78F">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7.有线键盘连接线：≥1.5米；</w:t>
            </w:r>
          </w:p>
          <w:p w14:paraId="174D9116">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8.键盘颜色：黑色/白色/银色等商务色系；</w:t>
            </w:r>
          </w:p>
          <w:p w14:paraId="49E95448">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9.鼠标连接方式：有线；</w:t>
            </w:r>
          </w:p>
          <w:p w14:paraId="4A0678C6">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10.有线鼠标连接线：≥1.5米；</w:t>
            </w:r>
          </w:p>
          <w:p w14:paraId="4FF1BE67">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11.鼠标DPI分辨率：</w:t>
            </w:r>
            <w:r>
              <w:rPr>
                <w:rFonts w:hint="eastAsia" w:ascii="仿宋_GB2312" w:hAnsi="仿宋_GB2312" w:eastAsia="仿宋_GB2312" w:cs="仿宋_GB2312"/>
                <w:color w:val="auto"/>
                <w:sz w:val="24"/>
                <w:highlight w:val="none"/>
                <w:lang w:eastAsia="zh-CN"/>
              </w:rPr>
              <w:t>800～1600（CPI）</w:t>
            </w:r>
            <w:r>
              <w:rPr>
                <w:rFonts w:hint="eastAsia" w:ascii="仿宋_GB2312" w:hAnsi="仿宋_GB2312" w:eastAsia="仿宋_GB2312" w:cs="仿宋_GB2312"/>
                <w:color w:val="auto"/>
                <w:sz w:val="24"/>
                <w:highlight w:val="none"/>
              </w:rPr>
              <w:t>；</w:t>
            </w:r>
          </w:p>
          <w:p w14:paraId="10DB5349">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12.鼠标颜色：黑色/银色/白色等商务色系；</w:t>
            </w:r>
            <w:r>
              <w:rPr>
                <w:rFonts w:hint="eastAsia" w:ascii="仿宋_GB2312" w:hAnsi="仿宋_GB2312" w:eastAsia="仿宋_GB2312" w:cs="仿宋_GB2312"/>
                <w:color w:val="auto"/>
                <w:sz w:val="24"/>
                <w:highlight w:val="none"/>
              </w:rPr>
              <w:cr/>
            </w:r>
            <w:r>
              <w:rPr>
                <w:rFonts w:hint="eastAsia" w:ascii="仿宋_GB2312" w:hAnsi="仿宋_GB2312" w:eastAsia="仿宋_GB2312" w:cs="仿宋_GB2312"/>
                <w:color w:val="auto"/>
                <w:sz w:val="24"/>
                <w:highlight w:val="none"/>
              </w:rPr>
              <w:t>13.鼠标其他要求：</w:t>
            </w:r>
            <w:r>
              <w:rPr>
                <w:rFonts w:hint="eastAsia" w:ascii="仿宋_GB2312" w:hAnsi="仿宋_GB2312" w:eastAsia="仿宋_GB2312" w:cs="仿宋_GB2312"/>
                <w:color w:val="auto"/>
                <w:sz w:val="24"/>
                <w:highlight w:val="none"/>
                <w:lang w:eastAsia="zh-CN"/>
              </w:rPr>
              <w:t>其他</w:t>
            </w:r>
            <w:r>
              <w:rPr>
                <w:rFonts w:hint="eastAsia" w:ascii="仿宋_GB2312" w:hAnsi="仿宋_GB2312" w:eastAsia="仿宋_GB2312" w:cs="仿宋_GB2312"/>
                <w:color w:val="auto"/>
                <w:sz w:val="24"/>
                <w:highlight w:val="none"/>
              </w:rPr>
              <w:t>参数应符合GB/T 26245的相关规定；</w:t>
            </w:r>
          </w:p>
          <w:p w14:paraId="287909E4">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★八、网络设备规格</w:t>
            </w:r>
          </w:p>
          <w:p w14:paraId="2065F390">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1.有线网卡数量：≥1；</w:t>
            </w:r>
          </w:p>
          <w:p w14:paraId="1A478E9D">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★九、外部接口规格</w:t>
            </w:r>
          </w:p>
          <w:p w14:paraId="0F795121">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1.USB接口数量：机箱前面板应提供不少于3个USB接口（含2个USB3.0及以上接口）；</w:t>
            </w:r>
            <w:r>
              <w:rPr>
                <w:rFonts w:hint="eastAsia" w:ascii="仿宋_GB2312" w:hAnsi="仿宋_GB2312" w:eastAsia="仿宋_GB2312" w:cs="仿宋_GB2312"/>
                <w:color w:val="auto"/>
                <w:sz w:val="24"/>
                <w:highlight w:val="none"/>
              </w:rPr>
              <w:cr/>
            </w:r>
            <w:r>
              <w:rPr>
                <w:rFonts w:hint="eastAsia" w:ascii="仿宋_GB2312" w:hAnsi="仿宋_GB2312" w:eastAsia="仿宋_GB2312" w:cs="仿宋_GB2312"/>
                <w:color w:val="auto"/>
                <w:sz w:val="24"/>
                <w:highlight w:val="none"/>
                <w:lang w:val="en-US" w:eastAsia="zh-CN"/>
              </w:rPr>
              <w:t xml:space="preserve">    </w:t>
            </w:r>
            <w:r>
              <w:rPr>
                <w:rFonts w:hint="eastAsia" w:ascii="仿宋_GB2312" w:hAnsi="仿宋_GB2312" w:eastAsia="仿宋_GB2312" w:cs="仿宋_GB2312"/>
                <w:color w:val="auto"/>
                <w:sz w:val="24"/>
                <w:highlight w:val="none"/>
              </w:rPr>
              <w:t>2.视频接口数量：≥1；</w:t>
            </w:r>
          </w:p>
          <w:p w14:paraId="6A6653F9">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3.音频接口数量：≥1；</w:t>
            </w:r>
          </w:p>
          <w:p w14:paraId="6ED6645D">
            <w:pPr>
              <w:spacing w:line="400" w:lineRule="exact"/>
              <w:ind w:firstLine="482"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b/>
                <w:bCs/>
                <w:color w:val="auto"/>
                <w:kern w:val="0"/>
                <w:sz w:val="24"/>
                <w:highlight w:val="none"/>
              </w:rPr>
              <w:t>★十、整机基础规格</w:t>
            </w:r>
          </w:p>
          <w:p w14:paraId="5B662886">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1.整机外观：a</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产品表面不应有凹痕、划伤、裂缝、变形和污染等。表面涂层均匀，不应起泡、龟裂、脱落和磨损，金属零部件无锈蚀及其它机械损伤；b</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产品表面说明功能的文字、符号、标志，应清晰、端正、牢固；</w:t>
            </w:r>
          </w:p>
          <w:p w14:paraId="48E21682">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2.状态指示灯：在产品显著位置提供状态指示功能；</w:t>
            </w:r>
          </w:p>
          <w:p w14:paraId="035C4D9E">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3.整机结构：a</w:t>
            </w:r>
            <w:r>
              <w:rPr>
                <w:rFonts w:hint="eastAsia" w:ascii="仿宋_GB2312" w:hAnsi="仿宋_GB2312" w:eastAsia="仿宋_GB2312" w:cs="仿宋_GB2312"/>
                <w:color w:val="auto"/>
                <w:sz w:val="24"/>
                <w:highlight w:val="none"/>
                <w:lang w:eastAsia="zh-CN"/>
              </w:rPr>
              <w:t>)机箱应符合GB/T 4208、GB/T 26246</w:t>
            </w:r>
            <w:r>
              <w:rPr>
                <w:rFonts w:hint="eastAsia" w:ascii="仿宋_GB2312" w:hAnsi="仿宋_GB2312" w:eastAsia="仿宋_GB2312" w:cs="仿宋_GB2312"/>
                <w:color w:val="auto"/>
                <w:sz w:val="24"/>
                <w:highlight w:val="none"/>
              </w:rPr>
              <w:t>的相关规定；b</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产品内部结构应符合通用部件的安装需求；c</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所有输入输出接口应符合相关国家或行业标准；d</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产品零部件应紧固无松动，可插拔部件应可靠连接，开关、按钮和</w:t>
            </w:r>
            <w:r>
              <w:rPr>
                <w:rFonts w:hint="eastAsia" w:ascii="仿宋_GB2312" w:hAnsi="仿宋_GB2312" w:eastAsia="仿宋_GB2312" w:cs="仿宋_GB2312"/>
                <w:color w:val="auto"/>
                <w:sz w:val="24"/>
                <w:highlight w:val="none"/>
                <w:lang w:eastAsia="zh-CN"/>
              </w:rPr>
              <w:t>其他</w:t>
            </w:r>
            <w:r>
              <w:rPr>
                <w:rFonts w:hint="eastAsia" w:ascii="仿宋_GB2312" w:hAnsi="仿宋_GB2312" w:eastAsia="仿宋_GB2312" w:cs="仿宋_GB2312"/>
                <w:color w:val="auto"/>
                <w:sz w:val="24"/>
                <w:highlight w:val="none"/>
              </w:rPr>
              <w:t>控制部件应灵活可靠，布局应方便使用；e</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所有I/O连接器及需插接线缆的部位应预留采购人操作空间，方便插拔解锁与插拔线缆；f</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可插拔板卡插槽部位应预留安装、拆卸或更换板卡空间；g</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拆装可能接触到的金属剪口或金属尖角部位应做防划伤处理，以保证安全；h</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整机内部走线应规整，固线结构和位置要合理可靠并做防割线处理，需便于理线和插拔操作，走线应不影响系统各主要部件组装和拆卸；i</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如需通过孔走线，过线孔应做防割线处理；j</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各插头位置和插拔方向应合理，应做到插拔无障碍设计，具备防呆设计，有效避免误操作；k</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各主要部件拆装无障碍，使用常规工具拆装，无特殊拆装工具需求；l</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各主要部件拆装步骤要少，各自拆装需避免相互干扰；m</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对于整机或零部件外表面为高亮面的，应粘贴保护膜，保护膜需粘贴牢固，运输、组装等过程不易脱落，撕下无残留；n</w:t>
            </w:r>
            <w:r>
              <w:rPr>
                <w:rFonts w:hint="eastAsia" w:ascii="仿宋_GB2312" w:hAnsi="仿宋_GB2312" w:eastAsia="仿宋_GB2312" w:cs="仿宋_GB2312"/>
                <w:color w:val="auto"/>
                <w:sz w:val="24"/>
                <w:highlight w:val="none"/>
                <w:lang w:eastAsia="zh-CN"/>
              </w:rPr>
              <w:t>)其他</w:t>
            </w:r>
            <w:r>
              <w:rPr>
                <w:rFonts w:hint="eastAsia" w:ascii="仿宋_GB2312" w:hAnsi="仿宋_GB2312" w:eastAsia="仿宋_GB2312" w:cs="仿宋_GB2312"/>
                <w:color w:val="auto"/>
                <w:sz w:val="24"/>
                <w:highlight w:val="none"/>
              </w:rPr>
              <w:t>要求应符合GB/T 9813.1的相关规定；</w:t>
            </w:r>
          </w:p>
          <w:p w14:paraId="07A25ED4">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4.机箱防护要求：机箱应符合GB/T 4208中IP20防护要求；</w:t>
            </w:r>
          </w:p>
          <w:p w14:paraId="32C0640B">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5.整机</w:t>
            </w:r>
            <w:r>
              <w:rPr>
                <w:rFonts w:hint="eastAsia" w:ascii="仿宋_GB2312" w:hAnsi="仿宋_GB2312" w:eastAsia="仿宋_GB2312" w:cs="仿宋_GB2312"/>
                <w:color w:val="auto"/>
                <w:sz w:val="24"/>
                <w:highlight w:val="none"/>
                <w:lang w:eastAsia="zh-CN"/>
              </w:rPr>
              <w:t>噪声</w:t>
            </w:r>
            <w:r>
              <w:rPr>
                <w:rFonts w:hint="eastAsia" w:ascii="仿宋_GB2312" w:hAnsi="仿宋_GB2312" w:eastAsia="仿宋_GB2312" w:cs="仿宋_GB2312"/>
                <w:color w:val="auto"/>
                <w:sz w:val="24"/>
                <w:highlight w:val="none"/>
              </w:rPr>
              <w:t>：产品工作在空闲状态下，产品的声功率级应不超过4.5Bel；</w:t>
            </w:r>
          </w:p>
          <w:p w14:paraId="10F792CB">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6.整机散热：在环境温度25℃及处理器满载情况下，产品表面温度应符合如下要求：a</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出风口在机箱后面板情况下，出风口温度不高于55℃；b</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可触及面温度不高于45℃；c</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显示器表面温度：显示屏不高于38℃，显示屏上下灯带位置温度（如涉及）不高于40℃，出风口温度不高于45℃；</w:t>
            </w:r>
          </w:p>
          <w:p w14:paraId="341FBD6C">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7.整机能效限定值：产品能效限定值应达到GB 28380-2012标准中能效等级2级及以上；</w:t>
            </w:r>
          </w:p>
          <w:p w14:paraId="79090B34">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8.机身材质：塑料/金属等；</w:t>
            </w:r>
          </w:p>
          <w:p w14:paraId="28B4BC66">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9.机身颜色：灰色/黑色等商务色系；</w:t>
            </w:r>
          </w:p>
          <w:p w14:paraId="23EC674A">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10.机箱尺寸容量：机箱体积应</w:t>
            </w:r>
            <w:r>
              <w:rPr>
                <w:rFonts w:hint="eastAsia" w:ascii="仿宋_GB2312" w:hAnsi="仿宋_GB2312" w:eastAsia="仿宋_GB2312" w:cs="仿宋_GB2312"/>
                <w:color w:val="auto"/>
                <w:sz w:val="24"/>
                <w:highlight w:val="none"/>
                <w:lang w:eastAsia="zh-CN"/>
              </w:rPr>
              <w:t>不大于9L</w:t>
            </w:r>
            <w:r>
              <w:rPr>
                <w:rFonts w:hint="eastAsia" w:ascii="仿宋_GB2312" w:hAnsi="仿宋_GB2312" w:eastAsia="仿宋_GB2312" w:cs="仿宋_GB2312"/>
                <w:color w:val="auto"/>
                <w:sz w:val="24"/>
                <w:highlight w:val="none"/>
              </w:rPr>
              <w:t>；</w:t>
            </w:r>
          </w:p>
          <w:p w14:paraId="594CFB94">
            <w:pPr>
              <w:spacing w:line="400" w:lineRule="exact"/>
              <w:ind w:firstLine="482" w:firstLineChars="200"/>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★十一、CPU性能</w:t>
            </w:r>
          </w:p>
          <w:p w14:paraId="273F9EAE">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1.CPU物理核数：≥</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rPr>
              <w:t>；</w:t>
            </w:r>
          </w:p>
          <w:p w14:paraId="2A099749">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2.CPU主频：≥2.</w:t>
            </w: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rPr>
              <w:t>GHz；</w:t>
            </w:r>
          </w:p>
          <w:p w14:paraId="2E07CE0D">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3.CPU末级缓存容量：≥</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MB；</w:t>
            </w:r>
          </w:p>
          <w:p w14:paraId="26AC4C1E">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4.CPU支持的内存最高速率：≥</w:t>
            </w:r>
            <w:r>
              <w:rPr>
                <w:rFonts w:hint="eastAsia" w:ascii="仿宋_GB2312" w:hAnsi="仿宋_GB2312" w:eastAsia="仿宋_GB2312" w:cs="仿宋_GB2312"/>
                <w:color w:val="auto"/>
                <w:sz w:val="24"/>
                <w:highlight w:val="none"/>
                <w:lang w:val="en-US" w:eastAsia="zh-CN"/>
              </w:rPr>
              <w:t>3000</w:t>
            </w:r>
            <w:r>
              <w:rPr>
                <w:rFonts w:hint="eastAsia" w:ascii="仿宋_GB2312" w:hAnsi="仿宋_GB2312" w:eastAsia="仿宋_GB2312" w:cs="仿宋_GB2312"/>
                <w:color w:val="auto"/>
                <w:sz w:val="24"/>
                <w:highlight w:val="none"/>
              </w:rPr>
              <w:t>MT/s；</w:t>
            </w:r>
          </w:p>
          <w:p w14:paraId="53BF3D32">
            <w:pPr>
              <w:spacing w:line="400" w:lineRule="exact"/>
              <w:ind w:firstLine="482"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b/>
                <w:bCs/>
                <w:color w:val="auto"/>
                <w:kern w:val="0"/>
                <w:sz w:val="24"/>
                <w:highlight w:val="none"/>
              </w:rPr>
              <w:t>★十二、内存性能</w:t>
            </w:r>
          </w:p>
          <w:p w14:paraId="71284B6C">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1.内存读写速率：≥</w:t>
            </w:r>
            <w:r>
              <w:rPr>
                <w:rFonts w:hint="eastAsia" w:ascii="仿宋_GB2312" w:hAnsi="仿宋_GB2312" w:eastAsia="仿宋_GB2312" w:cs="仿宋_GB2312"/>
                <w:color w:val="auto"/>
                <w:sz w:val="24"/>
                <w:highlight w:val="none"/>
                <w:lang w:val="en-US" w:eastAsia="zh-CN"/>
              </w:rPr>
              <w:t>3000</w:t>
            </w:r>
            <w:r>
              <w:rPr>
                <w:rFonts w:hint="eastAsia" w:ascii="仿宋_GB2312" w:hAnsi="仿宋_GB2312" w:eastAsia="仿宋_GB2312" w:cs="仿宋_GB2312"/>
                <w:color w:val="auto"/>
                <w:sz w:val="24"/>
                <w:highlight w:val="none"/>
              </w:rPr>
              <w:t>MT/s；</w:t>
            </w:r>
          </w:p>
          <w:p w14:paraId="0EC92D70">
            <w:pPr>
              <w:spacing w:line="400" w:lineRule="exact"/>
              <w:ind w:firstLine="482"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b/>
                <w:bCs/>
                <w:color w:val="auto"/>
                <w:kern w:val="0"/>
                <w:sz w:val="24"/>
                <w:highlight w:val="none"/>
              </w:rPr>
              <w:t>★十三、显卡性能</w:t>
            </w:r>
          </w:p>
          <w:p w14:paraId="08AA3660">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1.显示分辨率：≥1920*1080；</w:t>
            </w:r>
          </w:p>
          <w:p w14:paraId="56BD4C7F">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2.显卡显示芯片核心频率：≥300MHz；</w:t>
            </w:r>
          </w:p>
          <w:p w14:paraId="0040D3AC">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3.显存等效频率：≥</w:t>
            </w:r>
            <w:r>
              <w:rPr>
                <w:rFonts w:hint="eastAsia" w:ascii="仿宋_GB2312" w:hAnsi="仿宋_GB2312" w:eastAsia="仿宋_GB2312" w:cs="仿宋_GB2312"/>
                <w:color w:val="auto"/>
                <w:sz w:val="24"/>
                <w:highlight w:val="none"/>
                <w:lang w:val="en-US" w:eastAsia="zh-CN"/>
              </w:rPr>
              <w:t>3000</w:t>
            </w:r>
            <w:r>
              <w:rPr>
                <w:rFonts w:hint="eastAsia" w:ascii="仿宋_GB2312" w:hAnsi="仿宋_GB2312" w:eastAsia="仿宋_GB2312" w:cs="仿宋_GB2312"/>
                <w:color w:val="auto"/>
                <w:sz w:val="24"/>
                <w:highlight w:val="none"/>
              </w:rPr>
              <w:t>MT/s；</w:t>
            </w:r>
          </w:p>
          <w:p w14:paraId="305A93E0">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4.显卡可支持多屏同时显示数量：显卡应支持2块屏幕同时显示，分辨率应不低于1920*1080；</w:t>
            </w:r>
          </w:p>
          <w:p w14:paraId="7D31E88C">
            <w:pPr>
              <w:spacing w:line="400" w:lineRule="exact"/>
              <w:ind w:firstLine="482"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b/>
                <w:bCs/>
                <w:color w:val="auto"/>
                <w:kern w:val="0"/>
                <w:sz w:val="24"/>
                <w:highlight w:val="none"/>
              </w:rPr>
              <w:t>★十四、显示设备性能</w:t>
            </w:r>
          </w:p>
          <w:p w14:paraId="104C3FA1">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1.显示屏刷新率：≥</w:t>
            </w:r>
            <w:r>
              <w:rPr>
                <w:rFonts w:hint="eastAsia" w:ascii="仿宋_GB2312" w:hAnsi="仿宋_GB2312" w:eastAsia="仿宋_GB2312" w:cs="仿宋_GB2312"/>
                <w:color w:val="auto"/>
                <w:sz w:val="24"/>
                <w:highlight w:val="none"/>
                <w:lang w:val="en-US" w:eastAsia="zh-CN"/>
              </w:rPr>
              <w:t>90</w:t>
            </w:r>
            <w:r>
              <w:rPr>
                <w:rFonts w:hint="eastAsia" w:ascii="仿宋_GB2312" w:hAnsi="仿宋_GB2312" w:eastAsia="仿宋_GB2312" w:cs="仿宋_GB2312"/>
                <w:color w:val="auto"/>
                <w:sz w:val="24"/>
                <w:highlight w:val="none"/>
              </w:rPr>
              <w:t>Hz；</w:t>
            </w:r>
          </w:p>
          <w:p w14:paraId="79925209">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2.显示屏位深：≥8位；</w:t>
            </w:r>
          </w:p>
          <w:p w14:paraId="4F5172E0">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3.显示屏色域：≥99%</w:t>
            </w:r>
            <w:r>
              <w:rPr>
                <w:rFonts w:hint="eastAsia" w:ascii="仿宋_GB2312" w:hAnsi="仿宋_GB2312" w:eastAsia="仿宋_GB2312" w:cs="仿宋_GB2312"/>
                <w:color w:val="auto"/>
                <w:sz w:val="24"/>
                <w:highlight w:val="none"/>
                <w:lang w:val="en-US" w:eastAsia="zh-CN"/>
              </w:rPr>
              <w:t xml:space="preserve"> </w:t>
            </w:r>
            <w:r>
              <w:rPr>
                <w:rFonts w:hint="eastAsia" w:ascii="仿宋_GB2312" w:hAnsi="仿宋_GB2312" w:eastAsia="仿宋_GB2312" w:cs="仿宋_GB2312"/>
                <w:color w:val="auto"/>
                <w:sz w:val="24"/>
                <w:highlight w:val="none"/>
              </w:rPr>
              <w:t>sRGB；≥</w:t>
            </w:r>
            <w:r>
              <w:rPr>
                <w:rFonts w:hint="eastAsia" w:ascii="仿宋_GB2312" w:hAnsi="仿宋_GB2312" w:eastAsia="仿宋_GB2312" w:cs="仿宋_GB2312"/>
                <w:color w:val="auto"/>
                <w:sz w:val="24"/>
                <w:highlight w:val="none"/>
                <w:lang w:val="en-US" w:eastAsia="zh-CN"/>
              </w:rPr>
              <w:t>80</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(NTSC CIE1976)</w:t>
            </w:r>
          </w:p>
          <w:p w14:paraId="2C4F3CD0">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4.显示屏色准：△E≤4；</w:t>
            </w:r>
          </w:p>
          <w:p w14:paraId="167043BF">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5.显示屏响应时间：≤8ms；</w:t>
            </w:r>
          </w:p>
          <w:p w14:paraId="5432DC0C">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6.显示屏亮度：≥250尼特；</w:t>
            </w:r>
          </w:p>
          <w:p w14:paraId="115735EB">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7.显示屏亮度一致性：≥70%；</w:t>
            </w:r>
          </w:p>
          <w:p w14:paraId="7B3FF090">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8.显示屏对比度：≥500</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w:t>
            </w:r>
          </w:p>
          <w:p w14:paraId="027ABB9C">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9.显示屏其他参数：</w:t>
            </w:r>
            <w:r>
              <w:rPr>
                <w:rFonts w:hint="eastAsia" w:ascii="仿宋_GB2312" w:hAnsi="仿宋_GB2312" w:eastAsia="仿宋_GB2312" w:cs="仿宋_GB2312"/>
                <w:color w:val="auto"/>
                <w:sz w:val="24"/>
                <w:highlight w:val="none"/>
                <w:lang w:eastAsia="zh-CN"/>
              </w:rPr>
              <w:t>其他</w:t>
            </w:r>
            <w:r>
              <w:rPr>
                <w:rFonts w:hint="eastAsia" w:ascii="仿宋_GB2312" w:hAnsi="仿宋_GB2312" w:eastAsia="仿宋_GB2312" w:cs="仿宋_GB2312"/>
                <w:color w:val="auto"/>
                <w:sz w:val="24"/>
                <w:highlight w:val="none"/>
              </w:rPr>
              <w:t>参数应符合SJ/T 11292的相关规定；</w:t>
            </w:r>
            <w:r>
              <w:rPr>
                <w:rFonts w:hint="eastAsia" w:ascii="仿宋_GB2312" w:hAnsi="仿宋_GB2312" w:eastAsia="仿宋_GB2312" w:cs="仿宋_GB2312"/>
                <w:color w:val="auto"/>
                <w:sz w:val="24"/>
                <w:highlight w:val="none"/>
              </w:rPr>
              <w:cr/>
            </w:r>
            <w:r>
              <w:rPr>
                <w:rFonts w:hint="eastAsia" w:ascii="仿宋_GB2312" w:hAnsi="仿宋_GB2312" w:eastAsia="仿宋_GB2312" w:cs="仿宋_GB2312"/>
                <w:color w:val="auto"/>
                <w:sz w:val="24"/>
                <w:highlight w:val="none"/>
                <w:lang w:val="en-US" w:eastAsia="zh-CN"/>
              </w:rPr>
              <w:t xml:space="preserve">    </w:t>
            </w:r>
            <w:r>
              <w:rPr>
                <w:rFonts w:hint="eastAsia" w:ascii="仿宋_GB2312" w:hAnsi="仿宋_GB2312" w:eastAsia="仿宋_GB2312" w:cs="仿宋_GB2312"/>
                <w:b/>
                <w:bCs/>
                <w:color w:val="auto"/>
                <w:kern w:val="0"/>
                <w:sz w:val="24"/>
                <w:highlight w:val="none"/>
              </w:rPr>
              <w:t>★十五、网络设备性能</w:t>
            </w:r>
          </w:p>
          <w:p w14:paraId="1E099CC8">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1.有线网卡速率：最高速率应不低于1000Mbps，应支持10Mbps、100Mbps、1000Mbps速率自适应；</w:t>
            </w:r>
          </w:p>
          <w:p w14:paraId="46F4A953">
            <w:pPr>
              <w:spacing w:line="400" w:lineRule="exact"/>
              <w:ind w:firstLine="482"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b/>
                <w:bCs/>
                <w:color w:val="auto"/>
                <w:kern w:val="0"/>
                <w:sz w:val="24"/>
                <w:highlight w:val="none"/>
              </w:rPr>
              <w:t>★十六、主板功能</w:t>
            </w:r>
          </w:p>
          <w:p w14:paraId="43661A43">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1.内存扩展接口</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板载内存不涉及</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个；</w:t>
            </w:r>
          </w:p>
          <w:p w14:paraId="067657D2">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2.主板USB瞬间过流保护：</w:t>
            </w:r>
            <w:r>
              <w:rPr>
                <w:rFonts w:hint="eastAsia" w:ascii="仿宋_GB2312" w:hAnsi="仿宋_GB2312" w:eastAsia="仿宋_GB2312" w:cs="仿宋_GB2312"/>
                <w:color w:val="auto"/>
                <w:sz w:val="24"/>
                <w:highlight w:val="none"/>
                <w:lang w:eastAsia="zh-CN"/>
              </w:rPr>
              <w:t>支持</w:t>
            </w:r>
            <w:r>
              <w:rPr>
                <w:rFonts w:hint="eastAsia" w:ascii="仿宋_GB2312" w:hAnsi="仿宋_GB2312" w:eastAsia="仿宋_GB2312" w:cs="仿宋_GB2312"/>
                <w:color w:val="auto"/>
                <w:sz w:val="24"/>
                <w:highlight w:val="none"/>
              </w:rPr>
              <w:t>瞬间过流保护功能；</w:t>
            </w:r>
          </w:p>
          <w:p w14:paraId="284291A4">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3.主板防静电保护：支持防静电保护功能；</w:t>
            </w:r>
          </w:p>
          <w:p w14:paraId="75977161">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p>
          <w:p w14:paraId="62884FCB">
            <w:pPr>
              <w:spacing w:line="400" w:lineRule="exact"/>
              <w:ind w:firstLine="482" w:firstLineChars="200"/>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★十七、显卡功能</w:t>
            </w:r>
          </w:p>
          <w:p w14:paraId="5AA3CDD1">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1.显卡外接显示接口：显卡至少支持VGA、HDMI、DVI、DP、Type-C中1种显示接口，并与显示器接口相匹配；</w:t>
            </w:r>
          </w:p>
          <w:p w14:paraId="43714936">
            <w:pPr>
              <w:spacing w:line="400" w:lineRule="exact"/>
              <w:ind w:firstLine="482" w:firstLineChars="200"/>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★十八、显示设备功能</w:t>
            </w:r>
          </w:p>
          <w:p w14:paraId="7C4C9916">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1.显示器接口：显示器应与显卡外接显示接口匹配；</w:t>
            </w:r>
          </w:p>
          <w:p w14:paraId="492B3D61">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2.显示器支架：显示器应提供显示器支架；</w:t>
            </w:r>
          </w:p>
          <w:p w14:paraId="1CB52B30">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3.显示器参数调节：a</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提供OSD选单按钮用于调节色彩、模式等；b</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支持色温、亮度、对比度调节；</w:t>
            </w:r>
          </w:p>
          <w:p w14:paraId="2D7174CA">
            <w:pPr>
              <w:spacing w:line="400" w:lineRule="exact"/>
              <w:ind w:firstLine="482" w:firstLineChars="200"/>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★十九、存储功能</w:t>
            </w:r>
          </w:p>
          <w:p w14:paraId="6428A118">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1.存储功能：通过SATA固态存储/PCIe固态存储/UFS固态存储/SATA硬磁盘等存储部件提供存储功能；</w:t>
            </w:r>
          </w:p>
          <w:p w14:paraId="03EC3FE1">
            <w:pPr>
              <w:spacing w:line="400" w:lineRule="exact"/>
              <w:ind w:firstLine="482" w:firstLineChars="200"/>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b/>
                <w:bCs/>
                <w:color w:val="auto"/>
                <w:kern w:val="0"/>
                <w:sz w:val="24"/>
                <w:highlight w:val="none"/>
              </w:rPr>
              <w:t>★二十、网络设备功能</w:t>
            </w:r>
            <w:r>
              <w:rPr>
                <w:rFonts w:hint="eastAsia" w:ascii="仿宋_GB2312" w:hAnsi="仿宋_GB2312" w:eastAsia="仿宋_GB2312" w:cs="仿宋_GB2312"/>
                <w:color w:val="auto"/>
                <w:sz w:val="24"/>
                <w:highlight w:val="none"/>
              </w:rPr>
              <w:cr/>
            </w:r>
            <w:r>
              <w:rPr>
                <w:rFonts w:hint="eastAsia" w:ascii="仿宋_GB2312" w:hAnsi="仿宋_GB2312" w:eastAsia="仿宋_GB2312" w:cs="仿宋_GB2312"/>
                <w:color w:val="auto"/>
                <w:sz w:val="24"/>
                <w:highlight w:val="none"/>
                <w:lang w:val="en-US" w:eastAsia="zh-CN"/>
              </w:rPr>
              <w:t xml:space="preserve">    </w:t>
            </w:r>
            <w:r>
              <w:rPr>
                <w:rFonts w:hint="eastAsia" w:ascii="仿宋_GB2312" w:hAnsi="仿宋_GB2312" w:eastAsia="仿宋_GB2312" w:cs="仿宋_GB2312"/>
                <w:color w:val="auto"/>
                <w:sz w:val="24"/>
                <w:highlight w:val="none"/>
              </w:rPr>
              <w:t>1.网络功能：a</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支持网络连接、网络开启/关闭功能；b</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支持访问网络和数据交换功能；</w:t>
            </w:r>
          </w:p>
          <w:p w14:paraId="5E8A9EFD">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2.数据传输：支持数据传输能力，并提供数据流量和异常日志记录功能；</w:t>
            </w:r>
          </w:p>
          <w:p w14:paraId="415C86AA">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3.有线网卡接口类型：支持RJ45接口；</w:t>
            </w:r>
          </w:p>
          <w:p w14:paraId="60C1F305">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4.网络设备拆装：网络设备支持物理拆装，包括无线网卡和蓝牙模块等；</w:t>
            </w:r>
          </w:p>
          <w:p w14:paraId="091FF973">
            <w:pPr>
              <w:spacing w:line="400" w:lineRule="exact"/>
              <w:ind w:firstLine="482" w:firstLineChars="200"/>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★二十一、外部接口功能</w:t>
            </w:r>
          </w:p>
          <w:p w14:paraId="37E53C1D">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1.音频接口类型：支持3.5mm孔径3段式或4段式接口；</w:t>
            </w:r>
          </w:p>
          <w:p w14:paraId="624CEEBB">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2.视频接口类型：至少支持VGA、HDMI、DVI、DP、Type-C中1种显示接口；</w:t>
            </w:r>
          </w:p>
          <w:p w14:paraId="43635EF9">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3.HDMI、DP、Type-C显示接口要求：若提供HDMI或DP或Type-C作为显示接口，应支持音频和视频同步输出；</w:t>
            </w:r>
          </w:p>
          <w:p w14:paraId="0DDFE94A">
            <w:pPr>
              <w:spacing w:line="400" w:lineRule="exact"/>
              <w:ind w:firstLine="482" w:firstLineChars="200"/>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★二十二、电源功能</w:t>
            </w:r>
          </w:p>
          <w:p w14:paraId="7076206C">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1.电源线适配能力：电源适配器电线组件应符合GB/T</w:t>
            </w:r>
            <w:r>
              <w:rPr>
                <w:rFonts w:hint="eastAsia" w:ascii="仿宋_GB2312" w:hAnsi="仿宋_GB2312" w:eastAsia="仿宋_GB2312" w:cs="仿宋_GB2312"/>
                <w:color w:val="auto"/>
                <w:sz w:val="24"/>
                <w:highlight w:val="none"/>
                <w:lang w:val="en-US" w:eastAsia="zh-CN"/>
              </w:rPr>
              <w:t xml:space="preserve"> </w:t>
            </w:r>
            <w:r>
              <w:rPr>
                <w:rFonts w:hint="eastAsia" w:ascii="仿宋_GB2312" w:hAnsi="仿宋_GB2312" w:eastAsia="仿宋_GB2312" w:cs="仿宋_GB2312"/>
                <w:color w:val="auto"/>
                <w:sz w:val="24"/>
                <w:highlight w:val="none"/>
              </w:rPr>
              <w:t>15934的要求；</w:t>
            </w:r>
          </w:p>
          <w:p w14:paraId="5E32E9A5">
            <w:pPr>
              <w:spacing w:line="400" w:lineRule="exact"/>
              <w:ind w:firstLine="482" w:firstLineChars="200"/>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二十三、操作系统及软件功能</w:t>
            </w:r>
          </w:p>
          <w:p w14:paraId="3BDCDF44">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1.中文信息处理要求：符合GB 18030的相关规定；</w:t>
            </w:r>
          </w:p>
          <w:p w14:paraId="6519FAAC">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2.操作系统备份及还原功能：支持操作系统备份及还原功能；</w:t>
            </w:r>
          </w:p>
          <w:p w14:paraId="202B427F">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3.固件备份还原能力：支持备份及还原固件的功能；</w:t>
            </w:r>
          </w:p>
          <w:p w14:paraId="3BC1C8E5">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4.操作系统及驱动升级：支持通过网络、闪存盘等方式对操作系统、驱动进行升级；</w:t>
            </w:r>
          </w:p>
          <w:p w14:paraId="595EEFB8">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5.固件升级：支持通过网络、闪存盘等方式对固件进行升级；</w:t>
            </w:r>
          </w:p>
          <w:p w14:paraId="04202D34">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6.BIOS支持关闭通讯接口：支持BIOS关闭以太网及USB接口；</w:t>
            </w:r>
          </w:p>
          <w:p w14:paraId="5210E7D4">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7.固件查看信息：支持查看固件版本、内存信息、主板信息、处理器信息和系统时间信息等功能；</w:t>
            </w:r>
          </w:p>
          <w:p w14:paraId="2466F985">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8.固件设置启动顺序：支持设置启动顺序功能，并按照设置的启动顺序启动；</w:t>
            </w:r>
          </w:p>
          <w:p w14:paraId="30A052BC">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9.固件设置口令：支持设置口令、修改口令、验证口令功能；</w:t>
            </w:r>
          </w:p>
          <w:p w14:paraId="07609C61">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10.固件设置网络引导：支持网络引导启动和关闭功能；</w:t>
            </w:r>
          </w:p>
          <w:p w14:paraId="30B19C7E">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11.提供功能至少有文字处理、电子表格、演示文稿三大应用模块的正版办公软件，授权≥3年。</w:t>
            </w:r>
          </w:p>
          <w:p w14:paraId="767AEC21">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12.AI电脑助手</w:t>
            </w:r>
          </w:p>
          <w:p w14:paraId="62879D06">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（1）登录方式多样性：支持账号/密码和手机微信扫码两种登录方式。用户首次登录时绑定微信ID与账号的对应关系。</w:t>
            </w:r>
          </w:p>
          <w:p w14:paraId="7E4FC02D">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（2）设备详情：能查看当前设备的硬件信息和系统信息。可查看的硬件信息包含CPU、主板、显卡、硬盘、显示器、网卡、声卡。可查看的系统信息包括操作系统、系统激活状态、SN号MAC地址、内外网IP。</w:t>
            </w:r>
          </w:p>
          <w:p w14:paraId="32EB1FF5">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（3）设备运行状态：能查看当前设备的内存、CPU、硬盘、系统盘、网速的实时占用状态信息。</w:t>
            </w:r>
          </w:p>
          <w:p w14:paraId="5D2A8A01">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（4）文件发送：支持一次发送≥15个文件给多个公共接收端软件。接收端离线时文件能够暂存在云端，在线后可进行自动下载。支持发送图片、视频、文档等类型的文件，支持查看发送进度。</w:t>
            </w:r>
          </w:p>
          <w:p w14:paraId="55D111CC">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文件列表：接收到新文件时有提示新文件。支持查看当前已接收的文件列表。可对文件进行下载或打开操作。支持自动清理超过14天的文件，保障存储容量的充裕。为方便用户分辨自己的文件夹，可对自己的文件夹的图标颜色和命名进行个性化设置。</w:t>
            </w:r>
          </w:p>
          <w:p w14:paraId="34DD2A63">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（6）存储路径变更：支持用户选择文件存储的路径在任意盘符，修改盘符的过程中支持用户对原盘符的文件进行迁移还是删除。</w:t>
            </w:r>
          </w:p>
          <w:p w14:paraId="6DB7A91D">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查看和编辑：采用云端存储的方式，用户可自定义创建文件夹和上传文件，用户可在终端应用软件查看下载文件，支持对文件排序、筛选，对文件和文件夹进行移动、删除、重命名操作。支持用户在移动端应用软件中查看上传和下载的文件。</w:t>
            </w:r>
          </w:p>
          <w:p w14:paraId="6592DDCC">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8）预览：能够在线预览图片、音视频、文档。支持预览的格式，包括但不限于：图片：BMP、GIF、JPE、JPEG、JPG、PNG。音频：WAV、MP3、OGG。视频：3GP、F4V、M4V、MKV、MP4、OGV、MOV。文档：DOC、DOCX、PDF、PPT、XLS、XLSX。</w:t>
            </w:r>
          </w:p>
          <w:p w14:paraId="35FB1002">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（9）发送到接收端：用户可在云盘中把多个文件发送至接收端软件中，发送的文件不限格式，接收端软件自动下载该文件。</w:t>
            </w:r>
          </w:p>
          <w:p w14:paraId="346FE15D">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（10）快捷打开：终端应用软件具备桌面快捷操作栏功能，固定在桌面，可具备展示用户添加的应用、网站和组件，点击后即可快速打开。支持在软件内切换、关闭标签。能对窗口进行最小化、最大化、关闭。</w:t>
            </w:r>
          </w:p>
          <w:p w14:paraId="3DB20050">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（11）快捷打开AI应用：终端应用软件的桌面快捷操作栏可为用户提供主流大模型应用的快捷入口，用户可自主添加常用AI网站。</w:t>
            </w:r>
          </w:p>
          <w:p w14:paraId="2B2E8FB0">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12）编辑：用户可自定义桌面快捷操作栏展示的内容，根据自己的需求对内容进行移除、添加、移动位置，可自定义添加所需要的网站，变更后数据会跟随当前登录的账号，登录另一台电脑时会同步当前编辑的结果。</w:t>
            </w:r>
          </w:p>
          <w:p w14:paraId="085E1F1B">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13）移动：终端应用软件支持用户将固定在桌面上的快捷操作栏拖动到屏幕的任意位置，当用户拖动快捷操作栏靠近屏幕边缘时会自动收到侧边。鼠标悬浮在侧边的时候，会弹出该快捷操作栏，再次拖动快捷操作栏会取消收起。</w:t>
            </w:r>
          </w:p>
          <w:p w14:paraId="2C1D3139">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（14）提示词：进入百宝箱后支持展示≥2条提示词，支持试一试选型一键问询问题。</w:t>
            </w:r>
          </w:p>
          <w:p w14:paraId="44AFC51E">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（15）对话式生成：根据输入的文字生成文本，并通过对话的形式表达，可对输入内容进行安全性检测，还支持根据上下文进行多轮连续对话，支持对AI生成的内容复制或重新生成以及查看历史输入内容。</w:t>
            </w:r>
          </w:p>
          <w:p w14:paraId="4528E390">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（16）独占模式：支持批量生成≥3张奖状，可对奖励内容、奖励称号、颁奖人/单位、颁发日期、印章内容进行编辑。</w:t>
            </w:r>
          </w:p>
          <w:p w14:paraId="7CC04A6C">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17）PDF格式转化：通过终端应用内置PDF格式转换功能，支持对PDF的文件进行转换格式，转换为XLSX、DOCX、PPT；转换后文件内容的排布与源PDF保持基本一致。支持对转换后的文件进行编辑，包括（编辑文本、编辑表格、编辑图片）；转换后支持下载文件至电脑本地。</w:t>
            </w:r>
          </w:p>
          <w:p w14:paraId="5D1B1BC4">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（18）图片转格式：支持对图片进行格式转换，图片原始格式为bmp、jpg、jpeg、png、tif、webp、heic；转换为jpg、png；转换后支持下载图片到电脑本地。</w:t>
            </w:r>
          </w:p>
          <w:p w14:paraId="55DFB50D">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（19）提取文字：支持对图片进行在线文字识别，识别后支持对文字进行复制。</w:t>
            </w:r>
          </w:p>
          <w:p w14:paraId="247910BD">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（20）内容总结：支持对格式为txt、html、doc、docx等≥5种文件类型进行大模型识别并进行内容总结，总结后的内容可复制，并可根据总结内容自动生成思维导图，思维导图可以编辑。</w:t>
            </w:r>
          </w:p>
          <w:p w14:paraId="1BE5550A">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（21）长截图：支持长截图功能，可通过滚动鼠标滚轮方式对可截取区域进行长截图；截取完毕后，支持保存截图到电脑本地；支持保存截图到剪切板，并能粘贴到目标位置。</w:t>
            </w:r>
          </w:p>
          <w:p w14:paraId="6581EC2A">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划词翻译：支持对网页，文件等中的内容进行鼠标划词选中，可选择翻译功能，翻译选中内容，自动识别选中内容语言进行翻译，支持用户手动选择翻译语种，支持包括但不限于简体中文、繁体中文、英语、日语、德语、阿拉伯语、西班牙语、法语、葡萄牙语、俄语、韩语11种语言，支持对翻译内容进行复制。</w:t>
            </w:r>
          </w:p>
          <w:p w14:paraId="0A9256AF">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（23）划词总结、缩写、扩写：支持对网页，文件等中的内容进行鼠标划词选中，可选择≥2种功能，可对选中内容进行大模型理解，可进行总结或扩写，支持生成内容进行复制。</w:t>
            </w:r>
          </w:p>
          <w:p w14:paraId="2B185814">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24）AI搜索文件：支持通过桌面快捷操作栏或快捷键进入AI搜索对话框，快捷键可自定义。支持通过Ai搜索快速搜索本地文件，可对文件或文件夹名称进行精确匹配，可展示显示搜索的文件个数、打开文件所在目录，进行复制、剪切、删除、查看文件属性。</w:t>
            </w:r>
          </w:p>
          <w:p w14:paraId="1473D7C7">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25）AI意图识别：支持用户输入文字，对输入文字的意图进行大模型的语义分析，理解和判断，识别其可能期望进行的动作，并推荐对应功能，对会议、待办、AI传屏等≥3种内容，可以自动识别主题并填入，可以快速拉起对应应用中对应模块，提升效率。</w:t>
            </w:r>
          </w:p>
          <w:p w14:paraId="1FA9AFE1">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（26）视频在线播放：粘贴视频网页链接可一键解析视频，插入课件页后支持在线播放。支持本地上传视频插入课件页播放。</w:t>
            </w:r>
          </w:p>
          <w:p w14:paraId="2595B6C9">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27）支持任意终端作为发送端在云桌面系统、Windows、统信UOS、银河麒麟等操作系统下直接发起镜像同传，接收端在云桌面系统、Windows、统信UOS、银河麒麟等操作系统下直接接收镜像，无需重启或者进入特定运行模式接收镜像；</w:t>
            </w:r>
          </w:p>
          <w:p w14:paraId="67343DA4">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28）智能生成课件：支持基于已明确的教学大纲，生成完整的教学课件；支持智能扩展单页课件，允许手动输入描述和根据上下文智能推荐内容；支持对大纲节点进行编辑并同步更新课件；支持对生成的文字进行润色、扩写、精简三种操作模式；支持修改、删除课件文字；支持更换课件生成的图片；支持通过拖动方式调整文字的布局；支持一键更换课件主题风格；支持演示预览课件，支持分享课件，一键复制教学设计。</w:t>
            </w:r>
          </w:p>
          <w:p w14:paraId="59571881">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29）数学公式联想及输入：用户可输入小学、初中、高中阶段所对应数学公式，只需要输入对应公式的名称，会自动匹配到对应的公式，支持键盘或鼠标选择，使公式快速上屏，如长方形的周长、长方形的面积、三角形的面积、圆的周长、圆柱的体积、指数函数、对数函数、导数、积分、三角函数、韦达定理、勾股定理；支持在Word、WPS等应用软件中对上屏的数学公式进行编辑，可编辑公式的符号、数字、角标。</w:t>
            </w:r>
          </w:p>
          <w:p w14:paraId="264115FA">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30）化学公式/元素联想及输入：用户可输入初中、高中阶段所对应化学公式，只需要输入对应公式的名称，会自动匹配到对应的公式；输入元素名称会关联对应的公式，如需要“镁在空气中的燃烧”只需要输入“镁”元素名称拼音即可关联联想对应公式，并且可匹配到所输入的化学元素其他对应的公式，支持键盘或鼠标选择，使公式快速上屏。支持在Word、WPS等应用软件中对上屏的化学公式进行编辑，可编辑公式的符号、数字、角标、条件、沉淀和气体状态等；</w:t>
            </w:r>
          </w:p>
          <w:p w14:paraId="06FFBFB8">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14.备、授课，教研平台</w:t>
            </w:r>
          </w:p>
          <w:p w14:paraId="08F723C8">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（1）备授课一体化，具有备课模式及授课模式，且内置的操作界面可根据备课和授课使用场景不同而选择。</w:t>
            </w:r>
          </w:p>
          <w:p w14:paraId="71DCCE86">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（2）备课模式工具栏具备自动根据教师账号中关联的学科不同而提供相对应的教学工具。</w:t>
            </w:r>
          </w:p>
          <w:p w14:paraId="61A74887">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AI智能备课助手：在备课场景中支持搜索课件库课件资源，具有≥15万份的课件资源，支持整份课件或按照课件页插入课件中。支持按照教学环节筛选对应课件页一键插入课件中，可导入新课、作者简介。支持按照元素类型思维导图、课堂活动选取需要的部分补充课件缺失的部分。支持在查看部分课件的同时查看对应整份课件，了解作者整体教学思路。</w:t>
            </w:r>
          </w:p>
          <w:p w14:paraId="6912009F">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p>
          <w:p w14:paraId="5B144584">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（5）云教案模板：提供教案模板以供教师撰写教案，预置表格式、提纲式、集备式、多课时式等≥4个教案模板。</w:t>
            </w:r>
          </w:p>
          <w:p w14:paraId="79A2BB6C">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（6）支持校本教案模板设计，管理员在教研管理后台设置校本模板后，教师可在云教案模板直接调用。</w:t>
            </w:r>
          </w:p>
          <w:p w14:paraId="68ED0030">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（7）云教案与云课件可一对多关联绑定，产生绑定后，在课件页和教案页均支持在同一面板打开关联的云课件或云教案预览，便于教师备课时相互对照。</w:t>
            </w:r>
          </w:p>
          <w:p w14:paraId="1E271D01">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（8）AI智能生成课堂活动：具有课堂活动智能填写功能，支持选词填空、判断对错等≥2类课堂活动。输入文本后可以一键解析，自动将文本内容结构化填充至题干和正确选项，完成课堂活动的制作。</w:t>
            </w:r>
          </w:p>
          <w:p w14:paraId="05F2FA08">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（9）课堂互动游戏支持云储存功能：编辑完成的活动可一键存储至教师云空间，便于在不同课件中直接调用，无需反复编辑。</w:t>
            </w:r>
          </w:p>
          <w:p w14:paraId="06F9551F">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10）智能选词填空：支持创建智能选词填空游戏，填空选项支持并列选项，并列选项支持答案互换，教师可随意编辑填空题题干以及相应的答案选项，将选项拖到对应题干空白处，系统自动判断答案正误，系统需提供≥9种游戏模板，且模板样式支持自定义修改。</w:t>
            </w:r>
          </w:p>
          <w:p w14:paraId="6BAA499E">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11）智能配对游戏：支持创建配对游戏，教师可随意将知识点进行配对。当开始配对游戏时，拖动知识点进行配对，系统将自动判断是否正确。系统提供≥10种游戏模板，且模板样式支持自定义修改，同时支持设置干扰项。</w:t>
            </w:r>
          </w:p>
          <w:p w14:paraId="05547B1F">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12）分组竞争游戏：支持创建分组竞争游戏，教师可设置正确项／干扰项，让两组学生开展竞争游戏。提供不少于3种难度、10种游戏模板供选择，且模板样式支持自定义修改。支持记录和展示学生作答结果，便于课堂知识点对比讲解。</w:t>
            </w:r>
          </w:p>
          <w:p w14:paraId="59B531D1">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（13）课件背景：提供≥12种以上背景模板供用户选择，支持自定义背景。</w:t>
            </w:r>
          </w:p>
          <w:p w14:paraId="6DE30AC6">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（14）软件内置的AI智能语义分析模块，可对输入的英文文本的拼写、句型、语法进行错误检查，并支持一键纠错。</w:t>
            </w:r>
          </w:p>
          <w:p w14:paraId="46C80A45">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15）英汉字典：支持输入英文单词生成单词卡和详解页，包含单词的释义、读音、例句、词组、近义词等，可插入多个单词卡，同时支持教师自定义编辑单词释义、创建未收录的生僻单词供授课使用。可将插入的单词卡一键切换至详解页进入单词详解模式，支持教师自定义编辑单词释义、例句、词组和近义词，且提供≥4种详解页背景模板供选择。</w:t>
            </w:r>
          </w:p>
          <w:p w14:paraId="30B1CAAF">
            <w:pPr>
              <w:spacing w:line="40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（16）AI音标助手：支持浏览和插入国际音标表，可直接点击发音，支持已整表和单个音标卡片插入。支持智能将字母、单词、句子转写为音标，并可一键插入到备课课件中形成文本</w:t>
            </w:r>
          </w:p>
          <w:p w14:paraId="4DA7F2F5">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（17）快捷抠图：即可在白板软件中对导入的图片进行快捷抠图、去背景，处理后的图片主体边缘没有明显毛边，可导出保存成PNG格式。</w:t>
            </w:r>
          </w:p>
          <w:p w14:paraId="6BF40433">
            <w:pPr>
              <w:spacing w:line="400" w:lineRule="exact"/>
              <w:ind w:firstLine="482" w:firstLineChars="200"/>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★二十四、存储设备可靠性</w:t>
            </w:r>
          </w:p>
          <w:p w14:paraId="1CEA4B24">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1.固态存储寿命：TBW≥80TB（条件：256GB硬盘容量）；</w:t>
            </w:r>
          </w:p>
          <w:p w14:paraId="3ADECC76">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2.机械硬盘寿命：通电时间≥5万小时；</w:t>
            </w:r>
          </w:p>
          <w:p w14:paraId="1DDB0F77">
            <w:pPr>
              <w:spacing w:line="400" w:lineRule="exact"/>
              <w:ind w:firstLine="482" w:firstLineChars="200"/>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★二十五、显示设备可靠性</w:t>
            </w:r>
          </w:p>
          <w:p w14:paraId="125AA8A8">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1.显示屏屏幕失效点：符合GB/T 9813.2的要求；</w:t>
            </w:r>
          </w:p>
          <w:p w14:paraId="083D1F42">
            <w:pPr>
              <w:spacing w:line="400" w:lineRule="exact"/>
              <w:ind w:firstLine="482" w:firstLineChars="200"/>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★二十六、外设可靠性</w:t>
            </w:r>
          </w:p>
          <w:p w14:paraId="7E345819">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1.键盘按键寿命：≥1000万次；</w:t>
            </w:r>
          </w:p>
          <w:p w14:paraId="1AB4432B">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2.鼠标按键寿命：≥500万次；</w:t>
            </w:r>
          </w:p>
          <w:p w14:paraId="5D151676">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3.键盘鼠标线材寿命：键盘鼠标所用线材经±60°弯折不低于3000次，功能、外观完好；</w:t>
            </w:r>
          </w:p>
          <w:p w14:paraId="3450F8F5">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4.风扇寿命：≥4万小时；</w:t>
            </w:r>
          </w:p>
          <w:p w14:paraId="52D3E1A1">
            <w:pPr>
              <w:spacing w:line="400" w:lineRule="exact"/>
              <w:ind w:firstLine="482" w:firstLineChars="200"/>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★二十七、整机可靠性要求</w:t>
            </w:r>
          </w:p>
          <w:p w14:paraId="519467E9">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1.电磁兼容性要求的抗扰度：符合GB/T 9254.2的规定；</w:t>
            </w:r>
          </w:p>
          <w:p w14:paraId="684989B0">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2.环境条件要求的气候环境适应性：符合GB/T 9813.1中规定；</w:t>
            </w:r>
          </w:p>
          <w:p w14:paraId="7844441B">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3.环境条件要求的振动适应性：符合GB/T 9813.1中规定；</w:t>
            </w:r>
          </w:p>
          <w:p w14:paraId="52082153">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4.环境条件要求的冲击适应性：符合GB/T 9813.1中规定；</w:t>
            </w:r>
          </w:p>
          <w:p w14:paraId="75DBF66D">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5.环境条件要求的碰撞适应性：符合GB/T 9813.1中规定；</w:t>
            </w:r>
          </w:p>
          <w:p w14:paraId="5FBD03D4">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6.环境条件要求的运输包装件跌落适应性：符合GB/T 9813.1中规定；</w:t>
            </w:r>
          </w:p>
          <w:p w14:paraId="138DDDB0">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7.MTBF测试：MTBF(m1)≥3万小时；</w:t>
            </w:r>
          </w:p>
          <w:p w14:paraId="509E2E9A">
            <w:pPr>
              <w:spacing w:line="400" w:lineRule="exact"/>
              <w:ind w:firstLine="482" w:firstLineChars="200"/>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★二十八、兼容要求</w:t>
            </w:r>
          </w:p>
          <w:p w14:paraId="200C8ED4">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1.常用软件兼容：支持流式软件、版式软件、浏览器、邮件采购人端、解压软件、多媒体、图形图像处理等常用软件；</w:t>
            </w:r>
            <w:r>
              <w:rPr>
                <w:rFonts w:hint="eastAsia" w:ascii="仿宋_GB2312" w:hAnsi="仿宋_GB2312" w:eastAsia="仿宋_GB2312" w:cs="仿宋_GB2312"/>
                <w:color w:val="auto"/>
                <w:sz w:val="24"/>
                <w:highlight w:val="none"/>
              </w:rPr>
              <w:cr/>
            </w:r>
            <w:r>
              <w:rPr>
                <w:rFonts w:hint="eastAsia" w:ascii="仿宋_GB2312" w:hAnsi="仿宋_GB2312" w:eastAsia="仿宋_GB2312" w:cs="仿宋_GB2312"/>
                <w:color w:val="auto"/>
                <w:sz w:val="24"/>
                <w:highlight w:val="none"/>
                <w:lang w:val="en-US" w:eastAsia="zh-CN"/>
              </w:rPr>
              <w:t xml:space="preserve">    </w:t>
            </w:r>
            <w:r>
              <w:rPr>
                <w:rFonts w:hint="eastAsia" w:ascii="仿宋_GB2312" w:hAnsi="仿宋_GB2312" w:eastAsia="仿宋_GB2312" w:cs="仿宋_GB2312"/>
                <w:color w:val="auto"/>
                <w:sz w:val="24"/>
                <w:highlight w:val="none"/>
              </w:rPr>
              <w:t>2.数据库兼容：兼容3个及以上厂商的数据库产品；</w:t>
            </w:r>
          </w:p>
          <w:p w14:paraId="0C45C6C7">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3.中间件兼容：兼容3个及以上厂商中间件产品；</w:t>
            </w:r>
          </w:p>
          <w:p w14:paraId="61A7F2F8">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4.平台软件兼容：兼容3个及以上厂商云计算及大数据平台；</w:t>
            </w:r>
            <w:r>
              <w:rPr>
                <w:rFonts w:hint="eastAsia" w:ascii="仿宋_GB2312" w:hAnsi="仿宋_GB2312" w:eastAsia="仿宋_GB2312" w:cs="仿宋_GB2312"/>
                <w:color w:val="auto"/>
                <w:sz w:val="24"/>
                <w:highlight w:val="none"/>
              </w:rPr>
              <w:cr/>
            </w:r>
            <w:r>
              <w:rPr>
                <w:rFonts w:hint="eastAsia" w:ascii="仿宋_GB2312" w:hAnsi="仿宋_GB2312" w:eastAsia="仿宋_GB2312" w:cs="仿宋_GB2312"/>
                <w:color w:val="auto"/>
                <w:sz w:val="24"/>
                <w:highlight w:val="none"/>
                <w:lang w:val="en-US" w:eastAsia="zh-CN"/>
              </w:rPr>
              <w:t xml:space="preserve">    </w:t>
            </w:r>
            <w:r>
              <w:rPr>
                <w:rFonts w:hint="eastAsia" w:ascii="仿宋_GB2312" w:hAnsi="仿宋_GB2312" w:eastAsia="仿宋_GB2312" w:cs="仿宋_GB2312"/>
                <w:b/>
                <w:bCs/>
                <w:color w:val="auto"/>
                <w:kern w:val="0"/>
                <w:sz w:val="24"/>
                <w:highlight w:val="none"/>
              </w:rPr>
              <w:t>★二十九、包装及运输要求</w:t>
            </w:r>
          </w:p>
          <w:p w14:paraId="51CDB104">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1.标志、包装、运输和贮存：符合GB/T 9813.1和商品包装政府采购需求标准的相关规定；</w:t>
            </w:r>
          </w:p>
          <w:p w14:paraId="6D9A49C9">
            <w:pPr>
              <w:spacing w:line="400" w:lineRule="exact"/>
              <w:ind w:firstLine="482" w:firstLineChars="200"/>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★三十、服务要求</w:t>
            </w:r>
          </w:p>
          <w:p w14:paraId="07573BF9">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1.配置检查工具：供应商提供自检测试工具；</w:t>
            </w:r>
          </w:p>
          <w:p w14:paraId="173D9D7B">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2.服务响应：a</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供应商提供电话、电子邮件、远程连接等多种形式服务；b</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供应商提供同城4h、异地12h技术响应服务</w:t>
            </w:r>
            <w:r>
              <w:rPr>
                <w:rFonts w:hint="eastAsia" w:ascii="仿宋_GB2312" w:hAnsi="仿宋_GB2312" w:eastAsia="仿宋_GB2312" w:cs="仿宋_GB2312"/>
                <w:color w:val="auto"/>
                <w:sz w:val="24"/>
                <w:highlight w:val="none"/>
                <w:lang w:eastAsia="zh-CN"/>
              </w:rPr>
              <w:t>，在</w:t>
            </w:r>
            <w:r>
              <w:rPr>
                <w:rFonts w:hint="eastAsia" w:ascii="仿宋_GB2312" w:hAnsi="仿宋_GB2312" w:eastAsia="仿宋_GB2312" w:cs="仿宋_GB2312"/>
                <w:color w:val="auto"/>
                <w:sz w:val="24"/>
                <w:highlight w:val="none"/>
              </w:rPr>
              <w:t>2个工作</w:t>
            </w:r>
            <w:r>
              <w:rPr>
                <w:rFonts w:hint="eastAsia" w:ascii="仿宋_GB2312" w:hAnsi="仿宋_GB2312" w:eastAsia="仿宋_GB2312" w:cs="仿宋_GB2312"/>
                <w:color w:val="auto"/>
                <w:sz w:val="24"/>
                <w:highlight w:val="none"/>
                <w:lang w:eastAsia="zh-CN"/>
              </w:rPr>
              <w:t>日内</w:t>
            </w:r>
            <w:r>
              <w:rPr>
                <w:rFonts w:hint="eastAsia" w:ascii="仿宋_GB2312" w:hAnsi="仿宋_GB2312" w:eastAsia="仿宋_GB2312" w:cs="仿宋_GB2312"/>
                <w:color w:val="auto"/>
                <w:sz w:val="24"/>
                <w:highlight w:val="none"/>
              </w:rPr>
              <w:t>解决问题，对于未能解决的问题和故障应提供可行的升级方案，并提供周转设备或更换设备；c</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建立全国技术服务体系和服务团体，符合专业服务体系标准要求，提供原厂中文服务；d</w:t>
            </w:r>
            <w:r>
              <w:rPr>
                <w:rFonts w:hint="eastAsia" w:ascii="仿宋_GB2312" w:hAnsi="仿宋_GB2312" w:eastAsia="仿宋_GB2312" w:cs="仿宋_GB2312"/>
                <w:color w:val="auto"/>
                <w:sz w:val="24"/>
                <w:highlight w:val="none"/>
                <w:lang w:eastAsia="zh-CN"/>
              </w:rPr>
              <w:t>）在</w:t>
            </w:r>
            <w:r>
              <w:rPr>
                <w:rFonts w:hint="eastAsia" w:ascii="仿宋_GB2312" w:hAnsi="仿宋_GB2312" w:eastAsia="仿宋_GB2312" w:cs="仿宋_GB2312"/>
                <w:color w:val="auto"/>
                <w:sz w:val="24"/>
                <w:highlight w:val="none"/>
              </w:rPr>
              <w:t>服务周期内提供产品的维修、换件和升级服务；</w:t>
            </w:r>
          </w:p>
          <w:p w14:paraId="4C1B0005">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3.服务周期：a</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设备停产后应继续提供质量保障服务（含备品备件），服务终止时间与最后一批设备交付时间间隔不低于6年；b</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产品停止服务时间应提前1年告知；c</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应明确产品发布日期；</w:t>
            </w:r>
          </w:p>
          <w:p w14:paraId="54493B67">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4.预装操作系统：预装符合桌面操作系统政府采购需求标准的正版操作系统；</w:t>
            </w:r>
            <w:r>
              <w:rPr>
                <w:rFonts w:hint="eastAsia" w:ascii="仿宋_GB2312" w:hAnsi="仿宋_GB2312" w:eastAsia="仿宋_GB2312" w:cs="仿宋_GB2312"/>
                <w:color w:val="auto"/>
                <w:sz w:val="24"/>
                <w:highlight w:val="none"/>
              </w:rPr>
              <w:cr/>
            </w:r>
            <w:r>
              <w:rPr>
                <w:rFonts w:hint="eastAsia" w:ascii="仿宋_GB2312" w:hAnsi="仿宋_GB2312" w:eastAsia="仿宋_GB2312" w:cs="仿宋_GB2312"/>
                <w:color w:val="auto"/>
                <w:sz w:val="24"/>
                <w:highlight w:val="none"/>
                <w:lang w:val="en-US" w:eastAsia="zh-CN"/>
              </w:rPr>
              <w:t xml:space="preserve">    </w:t>
            </w:r>
            <w:r>
              <w:rPr>
                <w:rFonts w:hint="eastAsia" w:ascii="仿宋_GB2312" w:hAnsi="仿宋_GB2312" w:eastAsia="仿宋_GB2312" w:cs="仿宋_GB2312"/>
                <w:color w:val="auto"/>
                <w:sz w:val="24"/>
                <w:highlight w:val="none"/>
              </w:rPr>
              <w:t>5.培训服务：供应商提供培训材料、产品手册、培训视频等培训相关内容；</w:t>
            </w:r>
          </w:p>
          <w:p w14:paraId="799BB1EB">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6.典型问题解决手册：供应商提供典型问题解决说明文档或视频；</w:t>
            </w:r>
          </w:p>
          <w:p w14:paraId="08EE1F51">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7.厂家升级软件与扩容服务：供应商提供上门升级部件/软件与扩容的增值服务；</w:t>
            </w:r>
          </w:p>
          <w:p w14:paraId="011603E0">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8.整机质量服务要求：免费服务周期（含换件和维修）应不小于3年；</w:t>
            </w:r>
          </w:p>
          <w:p w14:paraId="39FB6310">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9.合格证书要求：供应商提供产品合格证；</w:t>
            </w:r>
          </w:p>
          <w:p w14:paraId="77A60F87">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10.开箱组装/使用指导要求：供应商提供开箱组装/使用指导；</w:t>
            </w:r>
          </w:p>
          <w:p w14:paraId="0FC9F6CE">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11.驱动下载服务要求：供应商提供驱动光盘或下载方式；</w:t>
            </w:r>
          </w:p>
          <w:p w14:paraId="38FFF455">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12.兼容适配软件下载服务要求：供应商提供兼容适配软件下载渠道（光盘、网站）；</w:t>
            </w:r>
          </w:p>
          <w:p w14:paraId="3BDCB996">
            <w:pPr>
              <w:spacing w:line="400" w:lineRule="exact"/>
              <w:ind w:firstLine="482" w:firstLineChars="200"/>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★三十一、供应链合规性</w:t>
            </w:r>
          </w:p>
          <w:p w14:paraId="488E91DB">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1.产品部件保障：供应商保障产品主要部件，提供6年的备件服务能力（自购买之日起），或提供可兼容原设备的升级换代产品；</w:t>
            </w:r>
          </w:p>
          <w:p w14:paraId="12C4A5EE">
            <w:pPr>
              <w:spacing w:line="400" w:lineRule="exact"/>
              <w:ind w:firstLine="482"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b/>
                <w:bCs/>
                <w:color w:val="auto"/>
                <w:kern w:val="0"/>
                <w:sz w:val="24"/>
                <w:highlight w:val="none"/>
              </w:rPr>
              <w:t>★三十二、供应链质量</w:t>
            </w:r>
          </w:p>
          <w:p w14:paraId="7CAB5B74">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1.抗干扰性：当产品部件出现供应风险时，供应商应通知采购人并提供风险应对方案确保产品的服务保障；</w:t>
            </w:r>
          </w:p>
          <w:p w14:paraId="4A097BE1">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供应能力证明：供应商提供供应链稳定承诺书，确保产品的部件在产品服务周期内稳定供货；</w:t>
            </w:r>
          </w:p>
          <w:p w14:paraId="3212F910">
            <w:pPr>
              <w:spacing w:line="400" w:lineRule="exact"/>
              <w:ind w:firstLine="482" w:firstLineChars="200"/>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★三十三、关键部件安全</w:t>
            </w:r>
          </w:p>
          <w:p w14:paraId="5C05C366">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1.关键部件安全要求：CPU和操作系统等关键部件应当符合安全可靠测评要求</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pacing w:val="0"/>
                <w:kern w:val="0"/>
                <w:sz w:val="24"/>
                <w:highlight w:val="none"/>
              </w:rPr>
              <w:t>通过政府有关部门指定的中国信息安全测评中心和国家保密科技测评中心网站查看安全可靠测评结果</w:t>
            </w:r>
            <w:r>
              <w:rPr>
                <w:rFonts w:hint="eastAsia" w:ascii="仿宋_GB2312" w:hAnsi="仿宋_GB2312" w:eastAsia="仿宋_GB2312" w:cs="仿宋_GB2312"/>
                <w:color w:val="auto"/>
                <w:sz w:val="24"/>
                <w:highlight w:val="none"/>
              </w:rPr>
              <w:t>；</w:t>
            </w:r>
          </w:p>
          <w:p w14:paraId="0FC23469">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lang w:val="en-US" w:eastAsia="zh-CN"/>
              </w:rPr>
              <w:t>注：投标人在填写《技术响应表》时，在“投标文件响应技术参数”明确给出所投网络教室学生机“CPU型号”及“操作系统”名称，否则视为投标无效。</w:t>
            </w:r>
          </w:p>
          <w:p w14:paraId="5D753FD3">
            <w:pPr>
              <w:spacing w:line="400" w:lineRule="exact"/>
              <w:ind w:firstLine="482" w:firstLineChars="200"/>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★三十四、整机安全性要求</w:t>
            </w:r>
          </w:p>
          <w:p w14:paraId="4ABBF3E0">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1.密码算法实现：CPU芯片应符合GM/T 0008的相关规定，或芯片密码模块应符合GB/T 37092或GM/T 0028的相关规定（通过商用密码检测机构检测并经商用密码认证机构认证合格）；</w:t>
            </w:r>
          </w:p>
          <w:p w14:paraId="40F57B5D">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2.信息安全基本要求：a</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产品应符合GB/T 39276的5.2的规定；b</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生产厂商应建立漏洞跟踪表，保证产品版本</w:t>
            </w:r>
            <w:r>
              <w:rPr>
                <w:rFonts w:hint="eastAsia" w:ascii="仿宋_GB2312" w:hAnsi="仿宋_GB2312" w:eastAsia="仿宋_GB2312" w:cs="仿宋_GB2312"/>
                <w:color w:val="auto"/>
                <w:sz w:val="24"/>
                <w:highlight w:val="none"/>
                <w:lang w:eastAsia="zh-CN"/>
              </w:rPr>
              <w:t>涉及</w:t>
            </w:r>
            <w:r>
              <w:rPr>
                <w:rFonts w:hint="eastAsia" w:ascii="仿宋_GB2312" w:hAnsi="仿宋_GB2312" w:eastAsia="仿宋_GB2312" w:cs="仿宋_GB2312"/>
                <w:color w:val="auto"/>
                <w:sz w:val="24"/>
                <w:highlight w:val="none"/>
              </w:rPr>
              <w:t>的漏洞</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如驱动程序等</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可查看；c</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产品不得包含已知的恶意代码或漏洞，不存在未声明的指令、功能、接口；</w:t>
            </w:r>
          </w:p>
          <w:p w14:paraId="0A42CA52">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3.固件安全启动：支持固件安全启动功能，固件启动过程中只有通过启动校验才能正常启动；</w:t>
            </w:r>
          </w:p>
          <w:p w14:paraId="4826A54E">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4.限用物质的限量要求：符合GB/T 26572中规定。</w:t>
            </w:r>
          </w:p>
        </w:tc>
        <w:tc>
          <w:tcPr>
            <w:tcW w:w="812" w:type="dxa"/>
            <w:tcBorders>
              <w:top w:val="single" w:color="auto" w:sz="4" w:space="0"/>
              <w:left w:val="single" w:color="auto" w:sz="4" w:space="0"/>
              <w:bottom w:val="single" w:color="auto" w:sz="4" w:space="0"/>
              <w:right w:val="single" w:color="auto" w:sz="4" w:space="0"/>
            </w:tcBorders>
            <w:vAlign w:val="center"/>
          </w:tcPr>
          <w:p w14:paraId="380BDB31">
            <w:pPr>
              <w:spacing w:line="400" w:lineRule="exact"/>
              <w:jc w:val="center"/>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100台</w:t>
            </w:r>
          </w:p>
        </w:tc>
      </w:tr>
      <w:tr w14:paraId="7959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613" w:type="dxa"/>
            <w:tcBorders>
              <w:top w:val="single" w:color="auto" w:sz="4" w:space="0"/>
              <w:left w:val="single" w:color="auto" w:sz="4" w:space="0"/>
              <w:bottom w:val="single" w:color="auto" w:sz="4" w:space="0"/>
              <w:right w:val="single" w:color="auto" w:sz="4" w:space="0"/>
            </w:tcBorders>
            <w:vAlign w:val="center"/>
          </w:tcPr>
          <w:p w14:paraId="0728D1AB">
            <w:pPr>
              <w:pStyle w:val="244"/>
              <w:snapToGrid w:val="0"/>
              <w:spacing w:line="40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3</w:t>
            </w:r>
          </w:p>
        </w:tc>
        <w:tc>
          <w:tcPr>
            <w:tcW w:w="1118" w:type="dxa"/>
            <w:tcBorders>
              <w:top w:val="single" w:color="auto" w:sz="4" w:space="0"/>
              <w:left w:val="single" w:color="auto" w:sz="4" w:space="0"/>
              <w:bottom w:val="single" w:color="auto" w:sz="4" w:space="0"/>
              <w:right w:val="single" w:color="auto" w:sz="4" w:space="0"/>
            </w:tcBorders>
            <w:vAlign w:val="center"/>
          </w:tcPr>
          <w:p w14:paraId="0C95AEA7">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网络教室教学软件</w:t>
            </w:r>
          </w:p>
        </w:tc>
        <w:tc>
          <w:tcPr>
            <w:tcW w:w="6707" w:type="dxa"/>
            <w:tcBorders>
              <w:top w:val="single" w:color="auto" w:sz="4" w:space="0"/>
              <w:left w:val="single" w:color="auto" w:sz="4" w:space="0"/>
              <w:bottom w:val="single" w:color="auto" w:sz="4" w:space="0"/>
              <w:right w:val="single" w:color="auto" w:sz="4" w:space="0"/>
            </w:tcBorders>
            <w:vAlign w:val="center"/>
          </w:tcPr>
          <w:p w14:paraId="0CB0E0FD">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1.登录方式多样性：</w:t>
            </w:r>
          </w:p>
          <w:p w14:paraId="0C5E53B9">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①支持二维码扫码登录和账号密码登录</w:t>
            </w:r>
          </w:p>
          <w:p w14:paraId="1E1905E7">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②支持使用社交软件或教学软件实现一键扫码联合登录</w:t>
            </w:r>
          </w:p>
          <w:p w14:paraId="735DC4D9">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③提供无账号登录选项，无需账号信息即可进入系统授课</w:t>
            </w:r>
          </w:p>
          <w:p w14:paraId="1B75A0E7">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2.设备管理：可实现实时监控学生机画面、以及进行统一的教学管理，文件共享和回收。</w:t>
            </w:r>
          </w:p>
          <w:p w14:paraId="18DF21F5">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3.人员管理：学校超级管理员可以添加教师和管理员的角色，添加之后管理员能够绑定设备和进行正常的授课工作，教师只能在终端应用软件进行授课操作。</w:t>
            </w:r>
          </w:p>
          <w:p w14:paraId="2D7F1B7E">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4.教师云空间：支持教师自定义上传、存储文件内容。</w:t>
            </w:r>
          </w:p>
          <w:p w14:paraId="30F3AA42">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支持上传的格式有：</w:t>
            </w:r>
          </w:p>
          <w:p w14:paraId="4256540C">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文档：ppt、pptx、word、pdf;</w:t>
            </w:r>
          </w:p>
          <w:p w14:paraId="11912730">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图片：bmp、png、jpg、jpeg、gif;</w:t>
            </w:r>
          </w:p>
          <w:p w14:paraId="50523304">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音视频：mp3、wav、vma、ogg、aac、mp4</w:t>
            </w:r>
          </w:p>
          <w:p w14:paraId="31548155">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5.教师广播：不需要借助任何外接设备，支持将教师机的画面以及声音广播给全班学生。</w:t>
            </w:r>
          </w:p>
          <w:p w14:paraId="3CE78D56">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6.教师广播关闭接收端设备音频：教师发起屏幕广播后支持把学生接收端原先播放的音频输出关闭。</w:t>
            </w:r>
          </w:p>
          <w:p w14:paraId="11AA71BC">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7.教师广播批注：在屏幕广播状态下，</w:t>
            </w:r>
            <w:r>
              <w:rPr>
                <w:rFonts w:hint="eastAsia" w:ascii="仿宋_GB2312" w:hAnsi="仿宋_GB2312" w:eastAsia="仿宋_GB2312" w:cs="仿宋_GB2312"/>
                <w:color w:val="auto"/>
                <w:kern w:val="0"/>
                <w:sz w:val="24"/>
                <w:highlight w:val="none"/>
                <w:lang w:val="en-US" w:eastAsia="zh-CN"/>
              </w:rPr>
              <w:t>为教师</w:t>
            </w:r>
            <w:r>
              <w:rPr>
                <w:rFonts w:hint="eastAsia" w:ascii="仿宋_GB2312" w:hAnsi="仿宋_GB2312" w:eastAsia="仿宋_GB2312" w:cs="仿宋_GB2312"/>
                <w:color w:val="auto"/>
                <w:kern w:val="0"/>
                <w:sz w:val="24"/>
                <w:highlight w:val="none"/>
                <w:lang w:eastAsia="zh-CN"/>
              </w:rPr>
              <w:t>提供授课小工具，包括提供可自由调整笔迹颜色及笔触粗细的画笔、黑板、橡皮擦、以及支持撤销和加页码，最多支持增加页数到10页。</w:t>
            </w:r>
          </w:p>
          <w:p w14:paraId="3BB5820B">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8.学生演示：支持教师将指定学生的屏幕画面广播给其他所有学生，同时教师也能看到该指定学生的屏幕图像。</w:t>
            </w:r>
          </w:p>
          <w:p w14:paraId="1B55F676">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9.课件答题互动：支持同步课堂活动的课件并支持下发，下发后学生拖动答案进行作答，系统将自动判断正误。</w:t>
            </w:r>
          </w:p>
          <w:p w14:paraId="0CF3D287">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10.课堂活动作答：支持学生在完成教师下发的课堂活动时，查看自己本次作答完成的排名、耗时以及答题情况。</w:t>
            </w:r>
          </w:p>
          <w:p w14:paraId="00F69E21">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11.学生未进入课堂通知：教师可以在管理后台预先录入学生名单。授课时，教师选择相应的班级，学生在课程开始后只需输入自己的姓名即可完成签到。同时，教师端能够实时显示尚未签到的学生名单。</w:t>
            </w:r>
          </w:p>
          <w:p w14:paraId="4CABC895">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12.切换课堂通知：当课堂通知大于或等于2条时，支持用户手动切换查看。</w:t>
            </w:r>
          </w:p>
          <w:p w14:paraId="20CE8C1B">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13.广播互动答题：在教师广播过程中，支持自动截取屏幕内容供学生答题，并在学生回答后在教师端展示答题数据。</w:t>
            </w:r>
          </w:p>
          <w:p w14:paraId="05CF317D">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14.离线续播：当教师对一台或多台学生设备进行广播教学时，学生终端在重启后能够自动重新加入当前的广播教学，实现离线续播。</w:t>
            </w:r>
          </w:p>
          <w:p w14:paraId="496F3837">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15.移动传屏广播：教师可通过同品牌移动教学软件，在不同局域网环境下实现屏幕共享，支持屏幕画面自动广播至学生端。</w:t>
            </w:r>
          </w:p>
          <w:p w14:paraId="7D88FDB8">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16.移动摄像广播：教师可通过同品牌移动教学软件，在不同局域网环境下实现摄像直播，支持摄像画面自动广播至学生端。</w:t>
            </w:r>
          </w:p>
          <w:p w14:paraId="7CE94CCA">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17.课件答题参与：课堂活动的参与按钮根据开课状态智能显示</w:t>
            </w:r>
          </w:p>
          <w:p w14:paraId="3B8155DB">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18.登录模式支持免输入姓名：在登录模式下，教师可选择允许特定设备免输入姓名直接进入课堂。</w:t>
            </w:r>
          </w:p>
          <w:p w14:paraId="188E99FF">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19.远程控制：支持教师端远程控制学生端的画面操作。</w:t>
            </w:r>
          </w:p>
          <w:p w14:paraId="214E27ED">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20.教学白板课件同步：支持同步教学软件的课件内容，支持按照大小、更新时间进行排序，支持按照文件类型进行筛选。</w:t>
            </w:r>
          </w:p>
          <w:p w14:paraId="30FD2E88">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21.文件上传：支持上传“本地文件”到终端应用软件的教师云空间。</w:t>
            </w:r>
          </w:p>
          <w:p w14:paraId="14069C56">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22.文件共享：支持教师把云空间的文件批量共享给指定的多个授课班级，设备重启还原后，学生进入授课班级后仍可重新下载。支持教师把已共享的资料进行取消共享。</w:t>
            </w:r>
          </w:p>
          <w:p w14:paraId="1D74F0D2">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23.授课班级状态：当作业空间存在多个班级的时候，支持显示当前正在授课班级。</w:t>
            </w:r>
          </w:p>
          <w:p w14:paraId="1022EBD1">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24.作业回收进度查看：回收作业过程中，支持自动统计已提交和未提交的学生名单。</w:t>
            </w:r>
          </w:p>
          <w:p w14:paraId="5817EE0B">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25.文件传输：显示上传和下载完成的文件历史记录。</w:t>
            </w:r>
          </w:p>
          <w:p w14:paraId="4A956683">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26.导入文件共享：支持教师直接把内容导入共享给班级学生。</w:t>
            </w:r>
          </w:p>
          <w:p w14:paraId="31650FD3">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27.文件自动补发：学生端设备重启被还原时，系统自动重新下发资料，无需手动操作。</w:t>
            </w:r>
          </w:p>
          <w:p w14:paraId="26A2E068">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28.黑屏管控：教师可以选定学生执行黑屏操作。</w:t>
            </w:r>
          </w:p>
          <w:p w14:paraId="1A442792">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29.离线自动黑屏：教师可统一配置授课是否开启离线自动黑屏。</w:t>
            </w:r>
          </w:p>
          <w:p w14:paraId="4741F725">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30.设备环境检测：开始授课后，若学生设备离线时会自动在教师端显示离线的设备总量以及对应离线的设备IP。</w:t>
            </w:r>
          </w:p>
          <w:p w14:paraId="62BEF682">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31.程序限制：支持设置应用程序白名单。</w:t>
            </w:r>
          </w:p>
          <w:p w14:paraId="116827E2">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32.自动获取学生端应用环境：开启授课后自动获取授课学生设备安装的应用环境，教师可以直接禁用管理学生设备的实际真实应用。</w:t>
            </w:r>
          </w:p>
          <w:p w14:paraId="643F23FE">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33.违规使用记录：支持显示最近一节课违规使用应用程序的操作人员、应用名称和设备IP，教师可对违规应用程序执行禁用/取消禁用操作。</w:t>
            </w:r>
          </w:p>
          <w:p w14:paraId="2A4A1F6B">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34.一键禁用违规应用：支持教师对最近一节课的违规应用程序进行一键禁用。</w:t>
            </w:r>
          </w:p>
          <w:p w14:paraId="699ABE29">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35.网页限制：支持设定学生访问网站的白名单信息，对学生可以访问的网址进行管理。</w:t>
            </w:r>
          </w:p>
          <w:p w14:paraId="203AA203">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36.应用防卸载：支持学生端应用的防卸载保护，防止未经授权的卸载操作。</w:t>
            </w:r>
          </w:p>
          <w:p w14:paraId="68FA14AD">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37.应用进程防杀：支持结束学生端应用进程时，立即自动重启应用。</w:t>
            </w:r>
          </w:p>
          <w:p w14:paraId="5BF9D454">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38.</w:t>
            </w:r>
            <w:r>
              <w:rPr>
                <w:rFonts w:hint="eastAsia" w:ascii="仿宋_GB2312" w:hAnsi="仿宋_GB2312" w:eastAsia="仿宋_GB2312" w:cs="仿宋_GB2312"/>
                <w:color w:val="auto"/>
                <w:kern w:val="0"/>
                <w:sz w:val="24"/>
                <w:highlight w:val="none"/>
                <w:lang w:eastAsia="zh-CN"/>
              </w:rPr>
              <w:t>学生画面监看：教师机可以监看全体、单一学生机的实时画面。</w:t>
            </w:r>
          </w:p>
        </w:tc>
        <w:tc>
          <w:tcPr>
            <w:tcW w:w="812" w:type="dxa"/>
            <w:tcBorders>
              <w:top w:val="single" w:color="auto" w:sz="4" w:space="0"/>
              <w:left w:val="single" w:color="auto" w:sz="4" w:space="0"/>
              <w:bottom w:val="single" w:color="auto" w:sz="4" w:space="0"/>
              <w:right w:val="single" w:color="auto" w:sz="4" w:space="0"/>
            </w:tcBorders>
            <w:vAlign w:val="center"/>
          </w:tcPr>
          <w:p w14:paraId="542E18B5">
            <w:pPr>
              <w:pStyle w:val="244"/>
              <w:snapToGrid w:val="0"/>
              <w:spacing w:line="400" w:lineRule="exact"/>
              <w:jc w:val="center"/>
              <w:rPr>
                <w:rFonts w:hint="default"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2套</w:t>
            </w:r>
          </w:p>
        </w:tc>
      </w:tr>
      <w:tr w14:paraId="3115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5100772C">
            <w:pPr>
              <w:pStyle w:val="244"/>
              <w:snapToGrid w:val="0"/>
              <w:spacing w:line="40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4</w:t>
            </w:r>
          </w:p>
        </w:tc>
        <w:tc>
          <w:tcPr>
            <w:tcW w:w="1118" w:type="dxa"/>
            <w:tcBorders>
              <w:top w:val="single" w:color="auto" w:sz="4" w:space="0"/>
              <w:left w:val="single" w:color="auto" w:sz="4" w:space="0"/>
              <w:bottom w:val="single" w:color="auto" w:sz="4" w:space="0"/>
              <w:right w:val="single" w:color="auto" w:sz="4" w:space="0"/>
            </w:tcBorders>
            <w:vAlign w:val="center"/>
          </w:tcPr>
          <w:p w14:paraId="459B7394">
            <w:pPr>
              <w:widowControl/>
              <w:spacing w:line="400" w:lineRule="exact"/>
              <w:jc w:val="center"/>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24口千兆交换机</w:t>
            </w:r>
          </w:p>
        </w:tc>
        <w:tc>
          <w:tcPr>
            <w:tcW w:w="6707" w:type="dxa"/>
            <w:tcBorders>
              <w:top w:val="single" w:color="auto" w:sz="4" w:space="0"/>
              <w:left w:val="single" w:color="auto" w:sz="4" w:space="0"/>
              <w:bottom w:val="single" w:color="auto" w:sz="4" w:space="0"/>
              <w:right w:val="single" w:color="auto" w:sz="4" w:space="0"/>
            </w:tcBorders>
            <w:vAlign w:val="center"/>
          </w:tcPr>
          <w:p w14:paraId="158D49D2">
            <w:pPr>
              <w:widowControl/>
              <w:numPr>
                <w:ilvl w:val="-1"/>
                <w:numId w:val="0"/>
              </w:numPr>
              <w:spacing w:line="400" w:lineRule="exact"/>
              <w:ind w:firstLine="480" w:firstLineChars="20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1.二层网管交换机，交换容量336Gbps，包转发率42Mpps，24口10/100/1000Mbps自适应电口交换机；</w:t>
            </w:r>
          </w:p>
          <w:p w14:paraId="432F0BBF">
            <w:pPr>
              <w:widowControl/>
              <w:numPr>
                <w:ilvl w:val="-1"/>
                <w:numId w:val="0"/>
              </w:numPr>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szCs w:val="24"/>
                <w:highlight w:val="none"/>
                <w:lang w:val="en-US" w:eastAsia="zh-CN" w:bidi="ar-SA"/>
              </w:rPr>
              <w:t>2.固化4个SFP千兆光口，支持VLAN、ACL、端口镜像、端口聚合等功能</w:t>
            </w:r>
            <w:r>
              <w:rPr>
                <w:rFonts w:hint="eastAsia" w:ascii="仿宋_GB2312" w:hAnsi="仿宋_GB2312" w:eastAsia="仿宋_GB2312" w:cs="仿宋_GB2312"/>
                <w:color w:val="auto"/>
                <w:kern w:val="0"/>
                <w:sz w:val="24"/>
                <w:highlight w:val="none"/>
              </w:rPr>
              <w:t>。</w:t>
            </w:r>
          </w:p>
        </w:tc>
        <w:tc>
          <w:tcPr>
            <w:tcW w:w="812" w:type="dxa"/>
            <w:tcBorders>
              <w:top w:val="single" w:color="auto" w:sz="4" w:space="0"/>
              <w:left w:val="single" w:color="auto" w:sz="4" w:space="0"/>
              <w:bottom w:val="single" w:color="auto" w:sz="4" w:space="0"/>
              <w:right w:val="single" w:color="auto" w:sz="4" w:space="0"/>
            </w:tcBorders>
            <w:vAlign w:val="center"/>
          </w:tcPr>
          <w:p w14:paraId="14718A8D">
            <w:pPr>
              <w:pStyle w:val="244"/>
              <w:snapToGrid w:val="0"/>
              <w:spacing w:line="40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lang w:eastAsia="zh-CN"/>
              </w:rPr>
              <w:t>台</w:t>
            </w:r>
          </w:p>
        </w:tc>
      </w:tr>
      <w:tr w14:paraId="43970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14:paraId="4E8598EB">
            <w:pPr>
              <w:pStyle w:val="244"/>
              <w:snapToGrid w:val="0"/>
              <w:spacing w:line="400" w:lineRule="exact"/>
              <w:jc w:val="center"/>
              <w:rPr>
                <w:rFonts w:hint="default" w:ascii="仿宋_GB2312" w:hAnsi="仿宋_GB2312" w:eastAsia="仿宋_GB2312" w:cs="仿宋_GB2312"/>
                <w:color w:val="auto"/>
                <w:kern w:val="2"/>
                <w:sz w:val="24"/>
                <w:szCs w:val="24"/>
                <w:highlight w:val="none"/>
                <w:lang w:val="en-US" w:eastAsia="zh-CN" w:bidi="ar-SA"/>
              </w:rPr>
            </w:pPr>
            <w:r>
              <w:rPr>
                <w:rFonts w:hint="default" w:ascii="仿宋_GB2312" w:hAnsi="仿宋_GB2312" w:eastAsia="仿宋_GB2312" w:cs="仿宋_GB2312"/>
                <w:color w:val="auto"/>
                <w:sz w:val="24"/>
                <w:szCs w:val="24"/>
                <w:highlight w:val="none"/>
              </w:rPr>
              <w:t>5</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55B1D48A">
            <w:pPr>
              <w:pStyle w:val="244"/>
              <w:snapToGrid w:val="0"/>
              <w:spacing w:line="400" w:lineRule="exact"/>
              <w:jc w:val="center"/>
              <w:rPr>
                <w:rFonts w:hint="default" w:ascii="仿宋_GB2312" w:hAnsi="仿宋_GB2312" w:eastAsia="仿宋_GB2312" w:cs="仿宋_GB2312"/>
                <w:color w:val="auto"/>
                <w:kern w:val="2"/>
                <w:sz w:val="24"/>
                <w:szCs w:val="24"/>
                <w:highlight w:val="none"/>
                <w:lang w:val="en-US" w:eastAsia="zh-CN" w:bidi="ar-SA"/>
              </w:rPr>
            </w:pPr>
            <w:r>
              <w:rPr>
                <w:rFonts w:hint="default" w:ascii="仿宋_GB2312" w:hAnsi="仿宋_GB2312" w:eastAsia="仿宋_GB2312" w:cs="仿宋_GB2312"/>
                <w:color w:val="auto"/>
                <w:sz w:val="24"/>
                <w:szCs w:val="24"/>
                <w:highlight w:val="none"/>
              </w:rPr>
              <w:t>挂墙式机柜</w:t>
            </w:r>
          </w:p>
        </w:tc>
        <w:tc>
          <w:tcPr>
            <w:tcW w:w="6707" w:type="dxa"/>
            <w:tcBorders>
              <w:top w:val="single" w:color="auto" w:sz="4" w:space="0"/>
              <w:left w:val="single" w:color="auto" w:sz="4" w:space="0"/>
              <w:bottom w:val="single" w:color="auto" w:sz="4" w:space="0"/>
              <w:right w:val="single" w:color="auto" w:sz="4" w:space="0"/>
            </w:tcBorders>
            <w:vAlign w:val="center"/>
          </w:tcPr>
          <w:p w14:paraId="0F8538B2">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1.12U标准机柜，带风扇。</w:t>
            </w:r>
          </w:p>
          <w:p w14:paraId="23139299">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2.规格：≥550mm（W）×450mm（D）×620mm（H）。</w:t>
            </w:r>
          </w:p>
          <w:p w14:paraId="630515F7">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3.采用高强度的优质镀锌板，机柜主体骨架材料厚度≥1.0mm，其他材料厚度≥0.8mm。</w:t>
            </w:r>
          </w:p>
          <w:p w14:paraId="7CC69111">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4.机柜设计底部走线方式，顶、底预留进线孔。</w:t>
            </w:r>
          </w:p>
        </w:tc>
        <w:tc>
          <w:tcPr>
            <w:tcW w:w="812" w:type="dxa"/>
            <w:tcBorders>
              <w:top w:val="single" w:color="auto" w:sz="4" w:space="0"/>
              <w:left w:val="single" w:color="auto" w:sz="4" w:space="0"/>
              <w:bottom w:val="single" w:color="auto" w:sz="4" w:space="0"/>
              <w:right w:val="single" w:color="auto" w:sz="4" w:space="0"/>
            </w:tcBorders>
            <w:vAlign w:val="center"/>
          </w:tcPr>
          <w:p w14:paraId="2FE07322">
            <w:pPr>
              <w:pStyle w:val="244"/>
              <w:snapToGrid w:val="0"/>
              <w:spacing w:line="40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个</w:t>
            </w:r>
          </w:p>
        </w:tc>
      </w:tr>
      <w:tr w14:paraId="78E20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14:paraId="47405BF1">
            <w:pPr>
              <w:pStyle w:val="244"/>
              <w:snapToGrid w:val="0"/>
              <w:spacing w:line="400" w:lineRule="exact"/>
              <w:jc w:val="center"/>
              <w:rPr>
                <w:rFonts w:hint="default" w:ascii="仿宋_GB2312" w:hAnsi="仿宋_GB2312" w:eastAsia="仿宋_GB2312" w:cs="仿宋_GB2312"/>
                <w:color w:val="auto"/>
                <w:kern w:val="2"/>
                <w:sz w:val="24"/>
                <w:szCs w:val="24"/>
                <w:highlight w:val="none"/>
                <w:lang w:val="en-US" w:eastAsia="zh-CN" w:bidi="ar-SA"/>
              </w:rPr>
            </w:pPr>
            <w:r>
              <w:rPr>
                <w:rFonts w:hint="default" w:ascii="仿宋_GB2312" w:hAnsi="仿宋_GB2312" w:eastAsia="仿宋_GB2312" w:cs="仿宋_GB2312"/>
                <w:color w:val="auto"/>
                <w:sz w:val="24"/>
                <w:szCs w:val="24"/>
                <w:highlight w:val="none"/>
              </w:rPr>
              <w:t>6</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0B4571D6">
            <w:pPr>
              <w:pStyle w:val="244"/>
              <w:snapToGrid w:val="0"/>
              <w:spacing w:line="400" w:lineRule="exact"/>
              <w:jc w:val="center"/>
              <w:rPr>
                <w:rFonts w:hint="default" w:ascii="仿宋_GB2312" w:hAnsi="仿宋_GB2312" w:eastAsia="仿宋_GB2312" w:cs="仿宋_GB2312"/>
                <w:color w:val="auto"/>
                <w:kern w:val="2"/>
                <w:sz w:val="24"/>
                <w:szCs w:val="24"/>
                <w:highlight w:val="none"/>
                <w:lang w:val="en-US" w:eastAsia="zh-CN" w:bidi="ar-SA"/>
              </w:rPr>
            </w:pPr>
            <w:r>
              <w:rPr>
                <w:rFonts w:hint="default" w:ascii="仿宋_GB2312" w:hAnsi="仿宋_GB2312" w:eastAsia="仿宋_GB2312" w:cs="仿宋_GB2312"/>
                <w:color w:val="auto"/>
                <w:sz w:val="24"/>
                <w:szCs w:val="24"/>
                <w:highlight w:val="none"/>
              </w:rPr>
              <w:t>电脑桌</w:t>
            </w:r>
          </w:p>
        </w:tc>
        <w:tc>
          <w:tcPr>
            <w:tcW w:w="6707" w:type="dxa"/>
            <w:tcBorders>
              <w:top w:val="single" w:color="auto" w:sz="4" w:space="0"/>
              <w:left w:val="single" w:color="auto" w:sz="4" w:space="0"/>
              <w:bottom w:val="single" w:color="auto" w:sz="4" w:space="0"/>
              <w:right w:val="single" w:color="auto" w:sz="4" w:space="0"/>
            </w:tcBorders>
            <w:vAlign w:val="center"/>
          </w:tcPr>
          <w:p w14:paraId="53FE760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材质：全部材料采用高密中纤板，三聚氰胺贴面。颜色：灰白色。参考尺寸：长宽高≥1200mm×600mm×700㎜。双人位，无键盘托盘。边缘做圆角处理。由学校选择配置显示器固定卡槽。摆放位置需校方书面确认。</w:t>
            </w:r>
          </w:p>
        </w:tc>
        <w:tc>
          <w:tcPr>
            <w:tcW w:w="812" w:type="dxa"/>
            <w:tcBorders>
              <w:top w:val="single" w:color="auto" w:sz="4" w:space="0"/>
              <w:left w:val="single" w:color="auto" w:sz="4" w:space="0"/>
              <w:bottom w:val="single" w:color="auto" w:sz="4" w:space="0"/>
              <w:right w:val="single" w:color="auto" w:sz="4" w:space="0"/>
            </w:tcBorders>
            <w:vAlign w:val="center"/>
          </w:tcPr>
          <w:p w14:paraId="00CFA1C8">
            <w:pPr>
              <w:pStyle w:val="244"/>
              <w:snapToGrid w:val="0"/>
              <w:spacing w:line="40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50张</w:t>
            </w:r>
          </w:p>
        </w:tc>
      </w:tr>
      <w:tr w14:paraId="019AC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14:paraId="2F8488AF">
            <w:pPr>
              <w:pStyle w:val="244"/>
              <w:snapToGrid w:val="0"/>
              <w:spacing w:line="400" w:lineRule="exact"/>
              <w:jc w:val="center"/>
              <w:rPr>
                <w:rFonts w:hint="default" w:ascii="仿宋_GB2312" w:hAnsi="仿宋_GB2312" w:eastAsia="仿宋_GB2312" w:cs="仿宋_GB2312"/>
                <w:color w:val="auto"/>
                <w:kern w:val="2"/>
                <w:sz w:val="24"/>
                <w:szCs w:val="24"/>
                <w:highlight w:val="none"/>
                <w:lang w:val="en-US" w:eastAsia="zh-CN" w:bidi="ar-SA"/>
              </w:rPr>
            </w:pPr>
            <w:r>
              <w:rPr>
                <w:rFonts w:hint="default" w:ascii="仿宋_GB2312" w:hAnsi="仿宋_GB2312" w:eastAsia="仿宋_GB2312" w:cs="仿宋_GB2312"/>
                <w:color w:val="auto"/>
                <w:sz w:val="24"/>
                <w:szCs w:val="24"/>
                <w:highlight w:val="none"/>
              </w:rPr>
              <w:t>7</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0D94BD70">
            <w:pPr>
              <w:pStyle w:val="244"/>
              <w:snapToGrid w:val="0"/>
              <w:spacing w:line="400" w:lineRule="exact"/>
              <w:jc w:val="center"/>
              <w:rPr>
                <w:rFonts w:hint="default" w:ascii="仿宋_GB2312" w:hAnsi="仿宋_GB2312" w:eastAsia="仿宋_GB2312" w:cs="仿宋_GB2312"/>
                <w:color w:val="auto"/>
                <w:kern w:val="2"/>
                <w:sz w:val="24"/>
                <w:szCs w:val="24"/>
                <w:highlight w:val="none"/>
                <w:lang w:val="en-US" w:eastAsia="zh-CN" w:bidi="ar-SA"/>
              </w:rPr>
            </w:pPr>
            <w:r>
              <w:rPr>
                <w:rFonts w:hint="default" w:ascii="仿宋_GB2312" w:hAnsi="仿宋_GB2312" w:eastAsia="仿宋_GB2312" w:cs="仿宋_GB2312"/>
                <w:color w:val="auto"/>
                <w:kern w:val="2"/>
                <w:sz w:val="24"/>
                <w:szCs w:val="24"/>
                <w:highlight w:val="none"/>
              </w:rPr>
              <w:t>电脑凳</w:t>
            </w:r>
          </w:p>
        </w:tc>
        <w:tc>
          <w:tcPr>
            <w:tcW w:w="6707" w:type="dxa"/>
            <w:tcBorders>
              <w:top w:val="single" w:color="auto" w:sz="4" w:space="0"/>
              <w:left w:val="single" w:color="auto" w:sz="4" w:space="0"/>
              <w:bottom w:val="single" w:color="auto" w:sz="4" w:space="0"/>
              <w:right w:val="single" w:color="auto" w:sz="4" w:space="0"/>
            </w:tcBorders>
            <w:vAlign w:val="center"/>
          </w:tcPr>
          <w:p w14:paraId="72E02AF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参考尺寸：长宽高≥320mm×240mm×430mm。小方凳，冷轧钢方管凳，环保油漆，五金配件，边缘做圆角处理。</w:t>
            </w:r>
          </w:p>
        </w:tc>
        <w:tc>
          <w:tcPr>
            <w:tcW w:w="812" w:type="dxa"/>
            <w:tcBorders>
              <w:top w:val="single" w:color="auto" w:sz="4" w:space="0"/>
              <w:left w:val="single" w:color="auto" w:sz="4" w:space="0"/>
              <w:bottom w:val="single" w:color="auto" w:sz="4" w:space="0"/>
              <w:right w:val="single" w:color="auto" w:sz="4" w:space="0"/>
            </w:tcBorders>
            <w:vAlign w:val="center"/>
          </w:tcPr>
          <w:p w14:paraId="7F235A6E">
            <w:pPr>
              <w:pStyle w:val="244"/>
              <w:snapToGrid w:val="0"/>
              <w:spacing w:line="40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100张</w:t>
            </w:r>
          </w:p>
        </w:tc>
      </w:tr>
      <w:tr w14:paraId="78D2E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14:paraId="2F80218E">
            <w:pPr>
              <w:pStyle w:val="244"/>
              <w:snapToGrid w:val="0"/>
              <w:spacing w:line="400" w:lineRule="exact"/>
              <w:jc w:val="center"/>
              <w:rPr>
                <w:rFonts w:hint="default" w:ascii="仿宋_GB2312" w:hAnsi="仿宋_GB2312" w:eastAsia="仿宋_GB2312" w:cs="仿宋_GB2312"/>
                <w:color w:val="auto"/>
                <w:kern w:val="2"/>
                <w:sz w:val="24"/>
                <w:szCs w:val="24"/>
                <w:highlight w:val="none"/>
                <w:lang w:val="en-US" w:eastAsia="zh-CN" w:bidi="ar-SA"/>
              </w:rPr>
            </w:pPr>
            <w:r>
              <w:rPr>
                <w:rFonts w:hint="default" w:ascii="仿宋_GB2312" w:hAnsi="仿宋_GB2312" w:eastAsia="仿宋_GB2312" w:cs="仿宋_GB2312"/>
                <w:color w:val="auto"/>
                <w:sz w:val="24"/>
                <w:szCs w:val="24"/>
                <w:highlight w:val="none"/>
              </w:rPr>
              <w:t>8</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5F088AF2">
            <w:pPr>
              <w:pStyle w:val="244"/>
              <w:snapToGrid w:val="0"/>
              <w:spacing w:line="400" w:lineRule="exact"/>
              <w:jc w:val="center"/>
              <w:rPr>
                <w:rFonts w:hint="default" w:ascii="仿宋_GB2312" w:hAnsi="仿宋_GB2312" w:eastAsia="仿宋_GB2312" w:cs="仿宋_GB2312"/>
                <w:color w:val="auto"/>
                <w:kern w:val="2"/>
                <w:sz w:val="24"/>
                <w:szCs w:val="24"/>
                <w:highlight w:val="none"/>
                <w:lang w:val="en-US" w:eastAsia="zh-CN" w:bidi="ar-SA"/>
              </w:rPr>
            </w:pPr>
            <w:r>
              <w:rPr>
                <w:rFonts w:hint="default" w:ascii="仿宋_GB2312" w:hAnsi="仿宋_GB2312" w:eastAsia="仿宋_GB2312" w:cs="仿宋_GB2312"/>
                <w:color w:val="auto"/>
                <w:sz w:val="24"/>
                <w:szCs w:val="24"/>
                <w:highlight w:val="none"/>
              </w:rPr>
              <w:t>教师讲台</w:t>
            </w:r>
          </w:p>
        </w:tc>
        <w:tc>
          <w:tcPr>
            <w:tcW w:w="6707" w:type="dxa"/>
            <w:tcBorders>
              <w:top w:val="single" w:color="auto" w:sz="4" w:space="0"/>
              <w:left w:val="single" w:color="auto" w:sz="4" w:space="0"/>
              <w:bottom w:val="single" w:color="auto" w:sz="4" w:space="0"/>
              <w:right w:val="single" w:color="auto" w:sz="4" w:space="0"/>
            </w:tcBorders>
            <w:vAlign w:val="center"/>
          </w:tcPr>
          <w:p w14:paraId="66ED8A5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材质：全部材料采用高密中纤板，三聚氰胺贴面，键盘托盘采用下螺钉固定牢固。颜色：灰白色。参考尺寸：长宽高≥1400mm×650mm×700㎜。边缘做圆角处理。</w:t>
            </w:r>
          </w:p>
        </w:tc>
        <w:tc>
          <w:tcPr>
            <w:tcW w:w="812" w:type="dxa"/>
            <w:tcBorders>
              <w:top w:val="single" w:color="auto" w:sz="4" w:space="0"/>
              <w:left w:val="single" w:color="auto" w:sz="4" w:space="0"/>
              <w:bottom w:val="single" w:color="auto" w:sz="4" w:space="0"/>
              <w:right w:val="single" w:color="auto" w:sz="4" w:space="0"/>
            </w:tcBorders>
            <w:vAlign w:val="center"/>
          </w:tcPr>
          <w:p w14:paraId="77753C6B">
            <w:pPr>
              <w:pStyle w:val="244"/>
              <w:snapToGrid w:val="0"/>
              <w:spacing w:line="40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2张</w:t>
            </w:r>
          </w:p>
        </w:tc>
      </w:tr>
      <w:tr w14:paraId="135D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14:paraId="384003A4">
            <w:pPr>
              <w:pStyle w:val="244"/>
              <w:snapToGrid w:val="0"/>
              <w:spacing w:line="400" w:lineRule="exact"/>
              <w:jc w:val="center"/>
              <w:rPr>
                <w:rFonts w:hint="default" w:ascii="仿宋_GB2312" w:hAnsi="仿宋_GB2312" w:eastAsia="仿宋_GB2312" w:cs="仿宋_GB2312"/>
                <w:color w:val="auto"/>
                <w:kern w:val="2"/>
                <w:sz w:val="24"/>
                <w:szCs w:val="24"/>
                <w:highlight w:val="none"/>
                <w:lang w:val="en-US" w:eastAsia="zh-CN" w:bidi="ar-SA"/>
              </w:rPr>
            </w:pPr>
            <w:r>
              <w:rPr>
                <w:rFonts w:hint="default" w:ascii="仿宋_GB2312" w:hAnsi="仿宋_GB2312" w:eastAsia="仿宋_GB2312" w:cs="仿宋_GB2312"/>
                <w:color w:val="auto"/>
                <w:sz w:val="24"/>
                <w:szCs w:val="24"/>
                <w:highlight w:val="none"/>
              </w:rPr>
              <w:t>9</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2C76E2DF">
            <w:pPr>
              <w:pStyle w:val="244"/>
              <w:snapToGrid w:val="0"/>
              <w:spacing w:line="400" w:lineRule="exact"/>
              <w:jc w:val="center"/>
              <w:rPr>
                <w:rFonts w:hint="default" w:ascii="仿宋_GB2312" w:hAnsi="仿宋_GB2312" w:eastAsia="仿宋_GB2312" w:cs="仿宋_GB2312"/>
                <w:color w:val="auto"/>
                <w:kern w:val="2"/>
                <w:sz w:val="24"/>
                <w:szCs w:val="24"/>
                <w:highlight w:val="none"/>
                <w:lang w:val="en-US" w:eastAsia="zh-CN" w:bidi="ar-SA"/>
              </w:rPr>
            </w:pPr>
            <w:r>
              <w:rPr>
                <w:rFonts w:hint="default" w:ascii="仿宋_GB2312" w:hAnsi="仿宋_GB2312" w:eastAsia="仿宋_GB2312" w:cs="仿宋_GB2312"/>
                <w:color w:val="auto"/>
                <w:sz w:val="24"/>
                <w:szCs w:val="24"/>
                <w:highlight w:val="none"/>
              </w:rPr>
              <w:t>电脑椅</w:t>
            </w:r>
          </w:p>
        </w:tc>
        <w:tc>
          <w:tcPr>
            <w:tcW w:w="6707" w:type="dxa"/>
            <w:tcBorders>
              <w:top w:val="single" w:color="auto" w:sz="4" w:space="0"/>
              <w:left w:val="single" w:color="auto" w:sz="4" w:space="0"/>
              <w:bottom w:val="single" w:color="auto" w:sz="4" w:space="0"/>
              <w:right w:val="single" w:color="auto" w:sz="4" w:space="0"/>
            </w:tcBorders>
            <w:vAlign w:val="center"/>
          </w:tcPr>
          <w:p w14:paraId="733A207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实木靠背椅，采用经干燥、除虫处理后的实木。边缘做圆角处理。油漆：面漆采用PU聚氨酯环保漆，底漆采用PU聚酯耐黄变透明底漆和白底漆。</w:t>
            </w:r>
          </w:p>
        </w:tc>
        <w:tc>
          <w:tcPr>
            <w:tcW w:w="812" w:type="dxa"/>
            <w:tcBorders>
              <w:top w:val="single" w:color="auto" w:sz="4" w:space="0"/>
              <w:left w:val="single" w:color="auto" w:sz="4" w:space="0"/>
              <w:bottom w:val="single" w:color="auto" w:sz="4" w:space="0"/>
              <w:right w:val="single" w:color="auto" w:sz="4" w:space="0"/>
            </w:tcBorders>
            <w:vAlign w:val="center"/>
          </w:tcPr>
          <w:p w14:paraId="7645C1B6">
            <w:pPr>
              <w:pStyle w:val="244"/>
              <w:snapToGrid w:val="0"/>
              <w:spacing w:line="40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2张</w:t>
            </w:r>
          </w:p>
        </w:tc>
      </w:tr>
      <w:tr w14:paraId="5AA0D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14:paraId="76D0F059">
            <w:pPr>
              <w:pStyle w:val="244"/>
              <w:snapToGrid w:val="0"/>
              <w:spacing w:line="400" w:lineRule="exact"/>
              <w:jc w:val="center"/>
              <w:rPr>
                <w:rFonts w:hint="default" w:ascii="仿宋_GB2312" w:hAnsi="仿宋_GB2312" w:eastAsia="仿宋_GB2312" w:cs="仿宋_GB2312"/>
                <w:color w:val="auto"/>
                <w:kern w:val="2"/>
                <w:sz w:val="24"/>
                <w:szCs w:val="24"/>
                <w:highlight w:val="none"/>
                <w:lang w:val="en-US" w:eastAsia="zh-CN" w:bidi="ar-SA"/>
              </w:rPr>
            </w:pPr>
            <w:r>
              <w:rPr>
                <w:rFonts w:hint="default" w:ascii="仿宋_GB2312" w:hAnsi="仿宋_GB2312" w:eastAsia="仿宋_GB2312" w:cs="仿宋_GB2312"/>
                <w:color w:val="auto"/>
                <w:sz w:val="24"/>
                <w:szCs w:val="24"/>
                <w:highlight w:val="none"/>
              </w:rPr>
              <w:t>10</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0D4A6837">
            <w:pPr>
              <w:pStyle w:val="244"/>
              <w:snapToGrid w:val="0"/>
              <w:spacing w:line="400" w:lineRule="exact"/>
              <w:jc w:val="center"/>
              <w:rPr>
                <w:rFonts w:hint="default" w:ascii="仿宋_GB2312" w:hAnsi="仿宋_GB2312" w:eastAsia="仿宋_GB2312" w:cs="仿宋_GB2312"/>
                <w:color w:val="auto"/>
                <w:kern w:val="2"/>
                <w:sz w:val="24"/>
                <w:szCs w:val="24"/>
                <w:highlight w:val="none"/>
                <w:lang w:val="en-US" w:eastAsia="zh-CN" w:bidi="ar-SA"/>
              </w:rPr>
            </w:pPr>
            <w:r>
              <w:rPr>
                <w:rFonts w:hint="default" w:ascii="仿宋_GB2312" w:hAnsi="仿宋_GB2312" w:eastAsia="仿宋_GB2312" w:cs="仿宋_GB2312"/>
                <w:color w:val="auto"/>
                <w:kern w:val="2"/>
                <w:sz w:val="24"/>
                <w:szCs w:val="24"/>
                <w:highlight w:val="none"/>
              </w:rPr>
              <w:t>辅助材料及施工等</w:t>
            </w:r>
          </w:p>
        </w:tc>
        <w:tc>
          <w:tcPr>
            <w:tcW w:w="6707" w:type="dxa"/>
            <w:tcBorders>
              <w:top w:val="single" w:color="auto" w:sz="4" w:space="0"/>
              <w:left w:val="single" w:color="auto" w:sz="4" w:space="0"/>
              <w:bottom w:val="single" w:color="auto" w:sz="4" w:space="0"/>
              <w:right w:val="single" w:color="auto" w:sz="4" w:space="0"/>
            </w:tcBorders>
            <w:vAlign w:val="center"/>
          </w:tcPr>
          <w:p w14:paraId="61E7AA5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符合国家标准的超五类双绞网线、水晶头、线槽、插座、空开、电源箱、杂件及其他辅助材料，含施工安装。按柳州市教育系统工程施工规范要求实施。</w:t>
            </w:r>
          </w:p>
        </w:tc>
        <w:tc>
          <w:tcPr>
            <w:tcW w:w="812" w:type="dxa"/>
            <w:tcBorders>
              <w:top w:val="single" w:color="auto" w:sz="4" w:space="0"/>
              <w:left w:val="single" w:color="auto" w:sz="4" w:space="0"/>
              <w:bottom w:val="single" w:color="auto" w:sz="4" w:space="0"/>
              <w:right w:val="single" w:color="auto" w:sz="4" w:space="0"/>
            </w:tcBorders>
            <w:vAlign w:val="center"/>
          </w:tcPr>
          <w:p w14:paraId="66E7983E">
            <w:pPr>
              <w:pStyle w:val="244"/>
              <w:snapToGrid w:val="0"/>
              <w:spacing w:line="40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2项</w:t>
            </w:r>
          </w:p>
        </w:tc>
      </w:tr>
      <w:tr w14:paraId="50661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9250" w:type="dxa"/>
            <w:gridSpan w:val="4"/>
            <w:tcBorders>
              <w:top w:val="single" w:color="auto" w:sz="4" w:space="0"/>
              <w:left w:val="single" w:color="auto" w:sz="4" w:space="0"/>
              <w:bottom w:val="single" w:color="auto" w:sz="4" w:space="0"/>
              <w:right w:val="single" w:color="auto" w:sz="4" w:space="0"/>
            </w:tcBorders>
            <w:vAlign w:val="center"/>
          </w:tcPr>
          <w:p w14:paraId="40592108">
            <w:pPr>
              <w:pStyle w:val="244"/>
              <w:snapToGrid w:val="0"/>
              <w:spacing w:line="400" w:lineRule="exact"/>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eastAsia="zh-CN"/>
              </w:rPr>
              <w:t>三</w:t>
            </w: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val="en-US" w:eastAsia="zh-CN"/>
              </w:rPr>
              <w:t>32套普通教室互动平板一体机教学系统</w:t>
            </w:r>
          </w:p>
        </w:tc>
      </w:tr>
      <w:tr w14:paraId="064D3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1DE91CE8">
            <w:pPr>
              <w:pStyle w:val="244"/>
              <w:snapToGrid w:val="0"/>
              <w:spacing w:line="40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1</w:t>
            </w:r>
          </w:p>
        </w:tc>
        <w:tc>
          <w:tcPr>
            <w:tcW w:w="1118" w:type="dxa"/>
            <w:tcBorders>
              <w:top w:val="single" w:color="auto" w:sz="4" w:space="0"/>
              <w:left w:val="single" w:color="auto" w:sz="4" w:space="0"/>
              <w:bottom w:val="single" w:color="auto" w:sz="4" w:space="0"/>
              <w:right w:val="single" w:color="auto" w:sz="4" w:space="0"/>
            </w:tcBorders>
            <w:vAlign w:val="center"/>
          </w:tcPr>
          <w:p w14:paraId="5769761F">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互动平板一体机</w:t>
            </w:r>
          </w:p>
        </w:tc>
        <w:tc>
          <w:tcPr>
            <w:tcW w:w="6707" w:type="dxa"/>
            <w:tcBorders>
              <w:top w:val="single" w:color="auto" w:sz="4" w:space="0"/>
              <w:left w:val="single" w:color="auto" w:sz="4" w:space="0"/>
              <w:bottom w:val="single" w:color="auto" w:sz="4" w:space="0"/>
              <w:right w:val="single" w:color="auto" w:sz="4" w:space="0"/>
            </w:tcBorders>
            <w:vAlign w:val="center"/>
          </w:tcPr>
          <w:p w14:paraId="0F66794F">
            <w:pPr>
              <w:widowControl/>
              <w:spacing w:line="400" w:lineRule="exact"/>
              <w:ind w:firstLine="482" w:firstLineChars="200"/>
              <w:jc w:val="left"/>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一、整机电脑设计</w:t>
            </w:r>
          </w:p>
          <w:p w14:paraId="11883FBD">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（一）电脑系统</w:t>
            </w:r>
          </w:p>
          <w:p w14:paraId="514A1974">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1.整机架构：为降低电脑模块维护成本，针脚数为行业通用≥80Pin，与大屏无单独接线。</w:t>
            </w:r>
          </w:p>
          <w:p w14:paraId="229887ED">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2.整机OPS电脑安装结构需支持按压式卡扣或螺丝固定模式，抽拉式安装，无需工具即可快速拆卸电脑模块。</w:t>
            </w:r>
          </w:p>
          <w:p w14:paraId="147DC3AF">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3.CPU：≥8核12线程，主频≥2GHz，内存≥16G（每根通道最大支持扩展到32G，总容量64GB），硬盘≥512G SSD（单盘最大支持扩展到1TB）。</w:t>
            </w:r>
          </w:p>
          <w:p w14:paraId="737B817B">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4.USB接口要求：USB3.0和USB2.0共计≥6个。</w:t>
            </w:r>
          </w:p>
          <w:p w14:paraId="1C0BD459">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5.其他接口要求：支持网络接口不少于1个，DP输出接口不少于1个，HDMI≥1个，耳机输出接口≥1个，麦克风输入接口≥1个。</w:t>
            </w:r>
          </w:p>
          <w:p w14:paraId="21617348">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6.Wi-Fi 6：需支持802.11b/g/n/ac/ax；蓝牙支持Bluetooth 4.2及以上。</w:t>
            </w:r>
          </w:p>
          <w:p w14:paraId="6E9BE18D">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7.含正版操作系统及提供功能至少有文字处理、电子表格、演示文稿三大应用模块的办公软件，授权≥3年。</w:t>
            </w:r>
          </w:p>
          <w:p w14:paraId="38D24A71">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（二）触摸系统</w:t>
            </w:r>
          </w:p>
          <w:p w14:paraId="16987D11">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1.在整机系统下触控需支持≥40点触控及同时书写，触摸分辨率≥32768×32768。</w:t>
            </w:r>
          </w:p>
          <w:p w14:paraId="16FDA6CA">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2.整机在Windows系统下触控需支持≥50点触控及同时书写，触摸分辨率≥32768×32768。</w:t>
            </w:r>
          </w:p>
          <w:p w14:paraId="63E45D00">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3.需采用红外触控技术，触控方式支持手指或书写笔等非透明物体，支持多点触摸。</w:t>
            </w:r>
          </w:p>
          <w:p w14:paraId="15CE8A48">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4.需支持触控精度≤±1mm，触控体最小识别直径≤2mm，触摸高度≤3mm，触摸响应时间≤4ms，帧率≥250Hz。</w:t>
            </w:r>
          </w:p>
          <w:p w14:paraId="01039BA4">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5.整机系统下书写延迟需≤25ms。</w:t>
            </w:r>
          </w:p>
          <w:p w14:paraId="60695B3E">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6.需支持从安卓通道切换到内置电脑通道后，触摸框在1s内可进行触控书写；从内置电脑切换到外部通道后，触摸框在3s内可进行触控书写。</w:t>
            </w:r>
          </w:p>
          <w:p w14:paraId="408923EE">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7.需支持Windows 7、Windows 8、Windows 10、Linux、MacOS、UOS（统信）、KYLIN（麒麟）、中科方德操作系统，外置电脑操作系统接入时，无需安装触摸驱动。</w:t>
            </w:r>
          </w:p>
          <w:p w14:paraId="586F436D">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8.触摸框需具有防粉笔灰遮挡功能，支持触摸框未被粉笔灰完全遮挡时可正常书写。</w:t>
            </w:r>
          </w:p>
          <w:p w14:paraId="7DF25B27">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（三）整机系统</w:t>
            </w:r>
          </w:p>
          <w:p w14:paraId="50A132FE">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1.整机需自带安卓操作系统，系统版本≥安卓14，处理器≥八核，内存≥4GB，存储空间≥32GB。</w:t>
            </w:r>
          </w:p>
          <w:p w14:paraId="1C4EC760">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2.整机系统需支持在线升级，升级过程中电源中断，恢复后可重新升级，避免升级失败。支持云端在线触摸框、麦克风、路由模块、音频处理单元的固件升级，支持其他部件升级扩展功能。</w:t>
            </w:r>
          </w:p>
          <w:p w14:paraId="0875D8DC">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3.整机须具有悬浮菜单，可通过单指调用到屏幕任意位置；在任意信号源通道下均可调用悬浮菜单，悬浮菜单具有批注、擦除，切换信号源等功能，悬浮菜单中的信号源支持自定义修改且可一键直达常用信号源。</w:t>
            </w:r>
          </w:p>
          <w:p w14:paraId="0B9540F5">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4.整机系统下，整机需内置书写白板，支持新建、橡皮擦、圈选、思维导图工具、本地保存、网络分享、扫码分享、邮件分享、打开、设置、退出，支持布局切换功能。</w:t>
            </w:r>
          </w:p>
          <w:p w14:paraId="2EF197BD">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5.整机系统下，书写白板需支持手掌/手背、圈擦、路径和滑动清屏擦除。</w:t>
            </w:r>
          </w:p>
          <w:p w14:paraId="198610F2">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6.整机系统下，书写白板需支持对已书写的画笔笔迹和形状进行选择后进行颜色更换。</w:t>
            </w:r>
          </w:p>
          <w:p w14:paraId="7629591A">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7.整机系统下，书写白板需支持双屏和三屏分屏或四分屏书写，各分屏可以自由书写互不干扰。</w:t>
            </w:r>
          </w:p>
          <w:p w14:paraId="4475283A">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8.整机系统下，应用程序需包含：浏览器，文件管理器，相机，系统自检工具，远程OTA升级工具，投屏工具，欢迎词，日历，计算器，录屏，图库和计时器。</w:t>
            </w:r>
          </w:p>
          <w:p w14:paraId="6C0824C9">
            <w:pPr>
              <w:widowControl/>
              <w:spacing w:line="400" w:lineRule="exact"/>
              <w:ind w:firstLine="482" w:firstLineChars="200"/>
              <w:jc w:val="left"/>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二、整机屏幕及护眼设计</w:t>
            </w:r>
          </w:p>
          <w:p w14:paraId="00D34FD5">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1.整机屏幕需采用UHD超高清A规LED液晶屏，屏幕显示尺寸≥86英寸，显示比例16:9，屏幕图像分辨率≥3840*2160。</w:t>
            </w:r>
          </w:p>
          <w:p w14:paraId="731EB1E9">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2.整机屏体需支持亮度≥350cd/m²，色彩覆盖率≥85%NTSC，对比度≥5000:1。</w:t>
            </w:r>
          </w:p>
          <w:p w14:paraId="3D9A09E3">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3.整机屏体需支持最大可视角度≥178°（H）/178°（V）。</w:t>
            </w:r>
          </w:p>
          <w:p w14:paraId="66278BA6">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4.整机需支持色彩空间可选，包含标准模式和sRGB模式，在sRGB模式下可做到高色准△E≤1.5。</w:t>
            </w:r>
          </w:p>
          <w:p w14:paraId="75233F1E">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整机屏体需支持无需操作即可实现蓝光防护，具备物理防蓝光（过滤蓝光）功能，有效抗蓝光、防眩光，蓝光占比（有害蓝光415～455nm能量综合）/（整体蓝光400～500nm能量综合）≤50%，低蓝光保护显示不偏色、不泛黄。</w:t>
            </w:r>
          </w:p>
          <w:p w14:paraId="562ECD03">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6.整机须具备可达到4K分辨率，屏幕刷新率≥60Hz，无频闪。</w:t>
            </w:r>
          </w:p>
          <w:p w14:paraId="14E16203">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7.需支持自定义图像设置，支持对对比度、色调、图像亮度进行调节设置。</w:t>
            </w:r>
          </w:p>
          <w:p w14:paraId="62D1BBB4">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8.钢化玻璃透光率需≥88%。</w:t>
            </w:r>
          </w:p>
          <w:p w14:paraId="351F4BE6">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★9.整机须具备智能书写护眼模式，可做到屏幕书写过程中逐步降低整机背光亮度至50%，符合D65标准光源色温值，降低色温≤6500K。</w:t>
            </w:r>
            <w:r>
              <w:rPr>
                <w:rFonts w:hint="eastAsia" w:ascii="仿宋_GB2312" w:hAnsi="仿宋_GB2312" w:eastAsia="仿宋_GB2312" w:cs="仿宋_GB2312"/>
                <w:b/>
                <w:bCs/>
                <w:color w:val="auto"/>
                <w:sz w:val="24"/>
                <w:highlight w:val="none"/>
                <w:lang w:val="en-US" w:eastAsia="zh-CN"/>
              </w:rPr>
              <w:t>[投标时提供本项所有功能的证明材料，否则投标无效，证明材料可以是检测（检验）报告、彩页、官网或功能截图等任意一种，并加盖投标人CA电子签章]</w:t>
            </w:r>
          </w:p>
          <w:p w14:paraId="7E6E748B">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10.整机全通道需支持纸质护眼模式，可实现画面纹理的实时调整，支持牛皮纸、素描纸、宣纸、水彩纸、水纹纸纸质纹理，支持透明度调节和色温调节。</w:t>
            </w:r>
          </w:p>
          <w:p w14:paraId="10C1B4EF">
            <w:pPr>
              <w:widowControl/>
              <w:spacing w:line="400" w:lineRule="exact"/>
              <w:ind w:firstLine="482" w:firstLineChars="200"/>
              <w:jc w:val="left"/>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三、音视频功能设计</w:t>
            </w:r>
          </w:p>
          <w:p w14:paraId="71E9B7A6">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★1.整机需内置2.2声道扬声器，位于设备下边框出音，≥20W全频扬声器2个，≥15W高音扬声器2个，额定总功率≥60W，最大峰值功率≥70W，语言清晰度（STI-PA）≥0.7。</w:t>
            </w:r>
            <w:r>
              <w:rPr>
                <w:rFonts w:hint="eastAsia" w:ascii="仿宋_GB2312" w:hAnsi="仿宋_GB2312" w:eastAsia="仿宋_GB2312" w:cs="仿宋_GB2312"/>
                <w:b/>
                <w:bCs/>
                <w:color w:val="auto"/>
                <w:sz w:val="24"/>
                <w:highlight w:val="none"/>
                <w:lang w:val="en-US" w:eastAsia="zh-CN"/>
              </w:rPr>
              <w:t>[投标时提供本项所有功能的证明材料，否则投标无效，证明材料可以是检测（检验）报告、彩页、官网或功能截图等任意一种，并加盖投标人CA电子签章]</w:t>
            </w:r>
          </w:p>
          <w:p w14:paraId="53A5B7F0">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2.喇叭声音需包含但不限于“标准”、“会议”、“影音”、“教室”、“AI音效”、“自定义音效”六种声音模式切换，适应各个教学场景。</w:t>
            </w:r>
          </w:p>
          <w:p w14:paraId="24D6FE03">
            <w:pPr>
              <w:widowControl/>
              <w:spacing w:line="400" w:lineRule="exact"/>
              <w:ind w:firstLine="480" w:firstLineChars="200"/>
              <w:jc w:val="left"/>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★3.AI音效模式需支持可通过内置麦克风功能采集教室物理环境声音，自动生成符合当前教室物理环境音效，包括高频段5KHz</w:t>
            </w:r>
            <w:r>
              <w:rPr>
                <w:rFonts w:hint="eastAsia" w:ascii="宋体" w:hAnsi="宋体" w:cs="宋体"/>
                <w:color w:val="auto"/>
                <w:sz w:val="24"/>
                <w:highlight w:val="none"/>
                <w:lang w:val="en-US" w:eastAsia="zh-CN"/>
              </w:rPr>
              <w:t>～</w:t>
            </w:r>
            <w:r>
              <w:rPr>
                <w:rFonts w:hint="eastAsia" w:ascii="仿宋_GB2312" w:hAnsi="仿宋_GB2312" w:eastAsia="仿宋_GB2312" w:cs="仿宋_GB2312"/>
                <w:color w:val="auto"/>
                <w:sz w:val="24"/>
                <w:highlight w:val="none"/>
                <w:lang w:val="en-US" w:eastAsia="zh-CN"/>
              </w:rPr>
              <w:t>10KHz和中低频段120Hz</w:t>
            </w:r>
            <w:r>
              <w:rPr>
                <w:rFonts w:hint="eastAsia" w:ascii="宋体" w:hAnsi="宋体" w:cs="宋体"/>
                <w:color w:val="auto"/>
                <w:sz w:val="24"/>
                <w:highlight w:val="none"/>
                <w:lang w:val="en-US" w:eastAsia="zh-CN"/>
              </w:rPr>
              <w:t>～</w:t>
            </w:r>
            <w:r>
              <w:rPr>
                <w:rFonts w:hint="eastAsia" w:ascii="仿宋_GB2312" w:hAnsi="仿宋_GB2312" w:eastAsia="仿宋_GB2312" w:cs="仿宋_GB2312"/>
                <w:color w:val="auto"/>
                <w:sz w:val="24"/>
                <w:highlight w:val="none"/>
                <w:lang w:val="en-US" w:eastAsia="zh-CN"/>
              </w:rPr>
              <w:t>1.5KHz数值项、音量0-100数值项、分贝-12dB</w:t>
            </w:r>
            <w:r>
              <w:rPr>
                <w:rFonts w:hint="eastAsia" w:ascii="宋体" w:hAnsi="宋体" w:cs="宋体"/>
                <w:color w:val="auto"/>
                <w:sz w:val="24"/>
                <w:highlight w:val="none"/>
                <w:lang w:val="en-US" w:eastAsia="zh-CN"/>
              </w:rPr>
              <w:t>～</w:t>
            </w:r>
            <w:r>
              <w:rPr>
                <w:rFonts w:hint="eastAsia" w:ascii="仿宋_GB2312" w:hAnsi="仿宋_GB2312" w:eastAsia="仿宋_GB2312" w:cs="仿宋_GB2312"/>
                <w:color w:val="auto"/>
                <w:sz w:val="24"/>
                <w:highlight w:val="none"/>
                <w:lang w:val="en-US" w:eastAsia="zh-CN"/>
              </w:rPr>
              <w:t>12dB数值项调节。</w:t>
            </w:r>
            <w:r>
              <w:rPr>
                <w:rFonts w:hint="eastAsia" w:ascii="仿宋_GB2312" w:hAnsi="仿宋_GB2312" w:eastAsia="仿宋_GB2312" w:cs="仿宋_GB2312"/>
                <w:b/>
                <w:bCs/>
                <w:color w:val="auto"/>
                <w:sz w:val="24"/>
                <w:highlight w:val="none"/>
                <w:lang w:val="en-US" w:eastAsia="zh-CN"/>
              </w:rPr>
              <w:t>[投标时提供本项所有功能的证明材料，否则投标无效，证明材料可以是检测（检验）报告、彩页、官网或功能截图等任意一种，并加盖投标人CA电子签章]</w:t>
            </w:r>
          </w:p>
          <w:p w14:paraId="7A91C1E5">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4.整机需支持自定义音频设置功能，在左右声道平衡显示范围中进行更改，分贝显示-12dB</w:t>
            </w:r>
            <w:r>
              <w:rPr>
                <w:rFonts w:hint="eastAsia" w:ascii="宋体" w:hAnsi="宋体" w:cs="宋体"/>
                <w:color w:val="auto"/>
                <w:sz w:val="24"/>
                <w:highlight w:val="none"/>
                <w:lang w:val="en-US" w:eastAsia="zh-CN"/>
              </w:rPr>
              <w:t>～</w:t>
            </w:r>
            <w:r>
              <w:rPr>
                <w:rFonts w:hint="eastAsia" w:ascii="仿宋_GB2312" w:hAnsi="仿宋_GB2312" w:eastAsia="仿宋_GB2312" w:cs="仿宋_GB2312"/>
                <w:color w:val="auto"/>
                <w:sz w:val="24"/>
                <w:highlight w:val="none"/>
                <w:lang w:val="en-US" w:eastAsia="zh-CN"/>
              </w:rPr>
              <w:t>12dB调节范围，中低频段显示调节范围120Hz</w:t>
            </w:r>
            <w:r>
              <w:rPr>
                <w:rFonts w:hint="eastAsia" w:ascii="宋体" w:hAnsi="宋体" w:cs="宋体"/>
                <w:color w:val="auto"/>
                <w:sz w:val="24"/>
                <w:highlight w:val="none"/>
                <w:lang w:val="en-US" w:eastAsia="zh-CN"/>
              </w:rPr>
              <w:t>～</w:t>
            </w:r>
            <w:r>
              <w:rPr>
                <w:rFonts w:hint="eastAsia" w:ascii="仿宋_GB2312" w:hAnsi="仿宋_GB2312" w:eastAsia="仿宋_GB2312" w:cs="仿宋_GB2312"/>
                <w:color w:val="auto"/>
                <w:sz w:val="24"/>
                <w:highlight w:val="none"/>
                <w:lang w:val="en-US" w:eastAsia="zh-CN"/>
              </w:rPr>
              <w:t>1.5KHz，高频段显示调节范围5KHz～10KHz。</w:t>
            </w:r>
          </w:p>
          <w:p w14:paraId="0897AB96">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5.整机扬声器需支持在100%音量下，1米处声压级≥90dB，10米处声压级≥85dB，1米到10米距离内响度差距≤5dB，声场覆盖85%区域内响度差异≤5dB。</w:t>
            </w:r>
          </w:p>
          <w:p w14:paraId="03A22CF6">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◆6.整机需内置高清广角摄像头，结构采用非独立设计；需支持3D降噪算法，</w:t>
            </w:r>
            <w:r>
              <w:rPr>
                <w:rFonts w:hint="eastAsia" w:ascii="仿宋_GB2312" w:hAnsi="仿宋_GB2312" w:eastAsia="仿宋_GB2312" w:cs="仿宋_GB2312"/>
                <w:color w:val="auto"/>
                <w:sz w:val="24"/>
                <w:highlight w:val="none"/>
                <w:u w:val="wave"/>
                <w:lang w:val="en-US" w:eastAsia="zh-CN"/>
              </w:rPr>
              <w:t>图像信噪比≥35db</w:t>
            </w:r>
            <w:r>
              <w:rPr>
                <w:rFonts w:hint="eastAsia" w:ascii="仿宋_GB2312" w:hAnsi="仿宋_GB2312" w:eastAsia="仿宋_GB2312" w:cs="仿宋_GB2312"/>
                <w:color w:val="auto"/>
                <w:sz w:val="24"/>
                <w:highlight w:val="none"/>
                <w:u w:val="none"/>
                <w:lang w:val="en-US" w:eastAsia="zh-CN"/>
              </w:rPr>
              <w:t>，支持输出MJPG视频格式</w:t>
            </w:r>
            <w:r>
              <w:rPr>
                <w:rFonts w:hint="eastAsia" w:ascii="仿宋_GB2312" w:hAnsi="仿宋_GB2312" w:eastAsia="仿宋_GB2312" w:cs="仿宋_GB2312"/>
                <w:color w:val="auto"/>
                <w:sz w:val="24"/>
                <w:highlight w:val="none"/>
                <w:lang w:val="en-US" w:eastAsia="zh-CN"/>
              </w:rPr>
              <w:t>。</w:t>
            </w:r>
          </w:p>
          <w:p w14:paraId="150C0BA3">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7.整机需内置非独立外扩展麦克风阵列，麦克风数量≥8个，可用于对教室环境音频进行采集，整机拾音距离≥12m，拾音角度≥180°。</w:t>
            </w:r>
          </w:p>
          <w:p w14:paraId="73B44C5D">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◆8.智能降噪麦克风阵列，需支持远场拾音，</w:t>
            </w:r>
            <w:r>
              <w:rPr>
                <w:rFonts w:hint="eastAsia" w:ascii="仿宋_GB2312" w:hAnsi="仿宋_GB2312" w:eastAsia="仿宋_GB2312" w:cs="仿宋_GB2312"/>
                <w:color w:val="auto"/>
                <w:sz w:val="24"/>
                <w:highlight w:val="none"/>
                <w:u w:val="wave"/>
                <w:lang w:val="en-US" w:eastAsia="zh-CN"/>
              </w:rPr>
              <w:t>信噪比≥55dB</w:t>
            </w:r>
            <w:r>
              <w:rPr>
                <w:rFonts w:hint="eastAsia" w:ascii="仿宋_GB2312" w:hAnsi="仿宋_GB2312" w:eastAsia="仿宋_GB2312" w:cs="仿宋_GB2312"/>
                <w:color w:val="auto"/>
                <w:sz w:val="24"/>
                <w:highlight w:val="none"/>
                <w:lang w:val="en-US" w:eastAsia="zh-CN"/>
              </w:rPr>
              <w:t>，超高灵敏度≥-38dB；支持AGC、AEC、NN智能AI降噪算法技术，环境信噪比（SNR）为0dB的情况依然可以清晰拾音，回声≤100dB可消除。</w:t>
            </w:r>
          </w:p>
          <w:p w14:paraId="6366E4B7">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◆9.</w:t>
            </w:r>
            <w:r>
              <w:rPr>
                <w:rFonts w:hint="eastAsia" w:ascii="仿宋_GB2312" w:hAnsi="仿宋_GB2312" w:eastAsia="仿宋_GB2312" w:cs="仿宋_GB2312"/>
                <w:color w:val="auto"/>
                <w:sz w:val="24"/>
                <w:highlight w:val="none"/>
                <w:u w:val="none"/>
                <w:lang w:val="en-US" w:eastAsia="zh-CN"/>
              </w:rPr>
              <w:t>摄像头须具备下倾设计，</w:t>
            </w:r>
            <w:r>
              <w:rPr>
                <w:rFonts w:hint="eastAsia" w:ascii="仿宋_GB2312" w:hAnsi="仿宋_GB2312" w:eastAsia="仿宋_GB2312" w:cs="仿宋_GB2312"/>
                <w:color w:val="auto"/>
                <w:sz w:val="24"/>
                <w:highlight w:val="none"/>
                <w:u w:val="wave"/>
                <w:lang w:val="en-US" w:eastAsia="zh-CN"/>
              </w:rPr>
              <w:t>下倾角度≥8°</w:t>
            </w:r>
            <w:r>
              <w:rPr>
                <w:rFonts w:hint="eastAsia" w:ascii="仿宋_GB2312" w:hAnsi="仿宋_GB2312" w:eastAsia="仿宋_GB2312" w:cs="仿宋_GB2312"/>
                <w:color w:val="auto"/>
                <w:sz w:val="24"/>
                <w:highlight w:val="none"/>
                <w:lang w:val="en-US" w:eastAsia="zh-CN"/>
              </w:rPr>
              <w:t>，拍摄画面全面。</w:t>
            </w:r>
          </w:p>
          <w:p w14:paraId="4C0C2851">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10.整机高清摄像头，需支持生物特征识别，如面部识别功能，支持AI识别人像，最大距离≥10米。</w:t>
            </w:r>
          </w:p>
          <w:p w14:paraId="46F75F65">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11.摄像头像素≥4800万像素，需支持输出8000×6000pix的照片，对角视场角≥135°，水平视场角≥120°，垂直视场角≥80°。</w:t>
            </w:r>
          </w:p>
          <w:p w14:paraId="659EC02D">
            <w:pPr>
              <w:widowControl/>
              <w:spacing w:line="400" w:lineRule="exact"/>
              <w:ind w:firstLine="482" w:firstLineChars="200"/>
              <w:jc w:val="left"/>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四、传屏及连接功能</w:t>
            </w:r>
          </w:p>
          <w:p w14:paraId="5661DFDD">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1.需支持一网通，仅需连接一根网线，Windows和整机系统均可实现上网功能。</w:t>
            </w:r>
          </w:p>
          <w:p w14:paraId="70962D2C">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2.需支持Wi-Fi 6，为提高无线信号接发稳定性并避免信号遮挡，整机内置2.4GHz/5GHz双频Wi-Fi，满足IEEE 802.11 a/b/g/n/ac/ax</w:t>
            </w:r>
          </w:p>
          <w:p w14:paraId="3450ADB3">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3.整机需内置蓝牙模块，支持蓝牙Bluetooth 5.4标准。</w:t>
            </w:r>
          </w:p>
          <w:p w14:paraId="79B18BE5">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4.整机需支持HDMI投屏及type-C有线投屏及无线投屏。</w:t>
            </w:r>
          </w:p>
          <w:p w14:paraId="3177DF4D">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5.需内置无线传屏接收端，无需外接接收部件，无线传屏发射器与整机匹配后即可实现传屏功能，可以将外部电脑的屏幕画面通过无线方式传输到整机上。</w:t>
            </w:r>
          </w:p>
          <w:p w14:paraId="50E52409">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6.整机系统需内置第三方投屏软件。</w:t>
            </w:r>
          </w:p>
          <w:p w14:paraId="60EEE0BC">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需支持外接电脑设备连接整机且触控信号连通时，外接电脑设备可识别整机前置USB接口设备，支持读取前置USB接口的移动存储设备数据；连接整机前置USB接口的翻页笔和无线键鼠外接设备可直接使用于外接电脑。</w:t>
            </w:r>
          </w:p>
          <w:p w14:paraId="569C48A4">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8.需支持通过Type-C接口接入外接移动存储设备进行文件传输，兼容Type-C接口快速充电功能。</w:t>
            </w:r>
          </w:p>
          <w:p w14:paraId="33AB663E">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9.整机须具备前置Type-C接口，需支持音视频输入。通过双头Type-C线将外接电脑设备连接至整机，可把外接电脑设备画面投到整机上，同时可在整机上操作画面，可实现反向触控电脑的操作，无需再连接额外的触控USB线。</w:t>
            </w:r>
          </w:p>
          <w:p w14:paraId="103016D4">
            <w:pPr>
              <w:widowControl/>
              <w:spacing w:line="400" w:lineRule="exact"/>
              <w:ind w:firstLine="482" w:firstLineChars="200"/>
              <w:jc w:val="left"/>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五、按键及接口设计</w:t>
            </w:r>
          </w:p>
          <w:p w14:paraId="60E0D9C1">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需支持含电源开关、音量+/-、护眼、主页、录课等基础功能按键，整机支持全局自定义按键，可通过自定义设置实现前置面板功能按键一键启用小工具或快捷功能（主页，截屏，倒计时，屏幕下移，日历，白板，计算器，聚光灯，投票器，自动亮度，触摸锁，音量，录课）。</w:t>
            </w:r>
          </w:p>
          <w:p w14:paraId="575F493A">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2.具备三合一电源按键，需支持整机大屏开关机、OPS电脑开关机和熄屏三合一，熄屏后可实现降低功耗≥90%。</w:t>
            </w:r>
          </w:p>
          <w:p w14:paraId="5FC8DF3E">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整机支持前置物理接口≥5个，所有接口均采用非转接方式，包含≥1路HDMI接口、≥2路双通道USB3.0接口（Windows和整机系统均能被识别）、≥1路Type-C接口（支持全功能PD65W）、≥1路USB-Type-B接口（Touch接口支持触摸功能）。</w:t>
            </w:r>
          </w:p>
          <w:p w14:paraId="5BE13F26">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◆4.Type-C接口具备全功能，支持USB-PD3.0快充协议，</w:t>
            </w:r>
            <w:r>
              <w:rPr>
                <w:rFonts w:hint="eastAsia" w:ascii="仿宋_GB2312" w:hAnsi="仿宋_GB2312" w:eastAsia="仿宋_GB2312" w:cs="仿宋_GB2312"/>
                <w:color w:val="auto"/>
                <w:sz w:val="24"/>
                <w:highlight w:val="none"/>
                <w:u w:val="none"/>
                <w:lang w:val="en-US" w:eastAsia="zh-CN"/>
              </w:rPr>
              <w:t>且</w:t>
            </w:r>
            <w:r>
              <w:rPr>
                <w:rFonts w:hint="eastAsia" w:ascii="仿宋_GB2312" w:hAnsi="仿宋_GB2312" w:eastAsia="仿宋_GB2312" w:cs="仿宋_GB2312"/>
                <w:color w:val="auto"/>
                <w:sz w:val="24"/>
                <w:highlight w:val="none"/>
                <w:u w:val="wave"/>
                <w:lang w:val="en-US" w:eastAsia="zh-CN"/>
              </w:rPr>
              <w:t>最大输出功率达到≥60W</w:t>
            </w:r>
            <w:r>
              <w:rPr>
                <w:rFonts w:hint="eastAsia" w:ascii="仿宋_GB2312" w:hAnsi="仿宋_GB2312" w:eastAsia="仿宋_GB2312" w:cs="仿宋_GB2312"/>
                <w:color w:val="auto"/>
                <w:sz w:val="24"/>
                <w:highlight w:val="none"/>
                <w:lang w:val="en-US" w:eastAsia="zh-CN"/>
              </w:rPr>
              <w:t>；支持Type-C线正反插；支持DP1.4，最高可达18Gbps视频输入功能，支持4K60Hz视频格式；支持USB3.0，最大传输带宽高达5.0Gbps。</w:t>
            </w:r>
          </w:p>
          <w:p w14:paraId="393B250C">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5.整机前置接口（不限USB接口）均具备防撞挡板设计，防撞挡板需采用转轴式翻转设计。</w:t>
            </w:r>
          </w:p>
          <w:p w14:paraId="70CD0FB4">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u w:val="wave"/>
                <w:lang w:val="en-US" w:eastAsia="zh-CN"/>
              </w:rPr>
              <w:t>整机后置物理接口需≥8个，包含≥1路HDMI2.0、≥1路USB2.0、≥1路RS232.≥1路RJ45.≥1路TOUCHUSB（触控输出接口）、≥1路micin3.5mm、≥1路LINEout3.5mm、≥1路HDMIOUT。</w:t>
            </w:r>
          </w:p>
          <w:p w14:paraId="0065D361">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7.整机需支持外接电脑设备通过双头Type-C数据线连接至整机，可调用整机内置的摄像头、麦克风、扬声器，可在外接电脑上控制整机拍摄教室画面。</w:t>
            </w:r>
          </w:p>
          <w:p w14:paraId="490DA7EF">
            <w:pPr>
              <w:widowControl/>
              <w:spacing w:line="400" w:lineRule="exact"/>
              <w:ind w:firstLine="482" w:firstLineChars="200"/>
              <w:jc w:val="left"/>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六、教学工具栏设计</w:t>
            </w:r>
          </w:p>
          <w:p w14:paraId="39E38D71">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1.整机双系统下，需支持在任意信号源通道下，都可调出侧边栏快捷菜单，菜单含中控导航、系统切换、小工具、快捷设置、亮度/音量调节。</w:t>
            </w:r>
          </w:p>
          <w:p w14:paraId="0579C766">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2.整机侧边栏小工具需包括但不限于：批注、截屏、计时、降半屏、冻屏、投票器、日历、聚光灯、放大。</w:t>
            </w:r>
          </w:p>
          <w:p w14:paraId="522F7A53">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3.整机系统下需支持使用批注功能，清空批注内容、本地保存、添加新的批注页面、可切换书写笔颜色、粗细大小、扫码共享、板擦和最小化批注模式。</w:t>
            </w:r>
          </w:p>
          <w:p w14:paraId="3779DDEC">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4.整机系统下需支持截屏功能，选择所需截取屏幕范围、全屏截图、点击截屏即可快速截取屏幕内容并保存。</w:t>
            </w:r>
          </w:p>
          <w:p w14:paraId="2C2177A6">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整机系统下需支持在线投票器功能，可设置单选/多选、匿名/实名要求，点击投票后呈现投票二维码并刷码进入投票，实时刷新投票结果；投票结束后呈现投票统计结果，支持投票结果本地保存以及置入白板显示。</w:t>
            </w:r>
          </w:p>
          <w:p w14:paraId="14AA750B">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6.整机系统需支持秒表计时和倒计时功能，秒表计时，点击开始计时便自动开始，并实时显示时间。倒计时，输入某特定时间值，可精确到秒，点击开始进入倒计时，当倒计时结束时，系统会有声音提醒。</w:t>
            </w:r>
          </w:p>
          <w:p w14:paraId="6010A962">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7.在整机系统下，需支持文字和图形智能识别功能，可识别手写中英文内容。</w:t>
            </w:r>
          </w:p>
          <w:p w14:paraId="74AB7B9D">
            <w:pPr>
              <w:widowControl/>
              <w:spacing w:line="400" w:lineRule="exact"/>
              <w:ind w:firstLine="482" w:firstLineChars="200"/>
              <w:jc w:val="left"/>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七、智能教学系统</w:t>
            </w:r>
          </w:p>
          <w:p w14:paraId="623D23C8">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1.支持一键开机后即刻进入教学应用系统界面，无需额外点击操作运行应用系统；支持教师通过二维码扫码、账密输入、人脸识别登录方式进入教学应用系统。</w:t>
            </w:r>
          </w:p>
          <w:p w14:paraId="462BF13D">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2.教学应用快捷入口：教学桌面支持教学常用的功能，包括电子白板、文件管理、电子课本、视频展台、授课助手；需提供Windows桌面应用入口，无需切换到Windows系统桌面即可点击运行已安装的第三方应用。</w:t>
            </w:r>
          </w:p>
          <w:p w14:paraId="3144B3A4">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3.学科应用入口：教学桌面需支持语文、数学、英语、物理、化学、生物、地理、历史、信息技术共9个学科的学科应用，需支持教师直接下载并使用。</w:t>
            </w:r>
          </w:p>
          <w:p w14:paraId="41AFEA1F">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4.需提供罗盘工具，需支持五指点击屏幕调出罗盘工具栏，需支持在屏幕任意位置停留或左右侧边隐藏；需提供用于教学的便捷工具，包括选择、画笔、板擦、撤销、回退。</w:t>
            </w:r>
          </w:p>
          <w:p w14:paraId="2B5FF26A">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5.选择工具：需支持在电子白板软件下，对手写笔迹、学科工具、插入的图片至少需支持2种方式，如框选、圈选；选择后至少支持≥3种操作如置顶、克隆、删除功能。</w:t>
            </w:r>
          </w:p>
          <w:p w14:paraId="0F5A39B5">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画笔工具：需支持一键调取3层功能，包含笔触粗细、颜色、笔形，教师随机选择；需提供≥4种笔型，如钢笔、毛笔、铅笔、印刷笔；需支持将手写体转写成标准印刷体，印刷体支持自动识别≥5种格式，如中文、英文、数学公式、化学无机方程式、有机分子式。</w:t>
            </w:r>
          </w:p>
          <w:p w14:paraId="78F806BF">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7.聚焦工具：需支持≥3种格式进行快速截取，如电子课件、电子课本、电子习题；同时，需支持≥5种调整模式，如截取范围大小、内容进行放大、插入白板、关灯讲解、保存至桌面。</w:t>
            </w:r>
          </w:p>
          <w:p w14:paraId="42AC1DA4">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8.录课功能：需支持录课功能，需支持≥2种调取方式，如前置物理按键一键调取或罗盘工具调取；支持对微课内容进行关键视频切片提取。</w:t>
            </w:r>
          </w:p>
          <w:p w14:paraId="424D5435">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9.录制功能：需支持屏幕内容及教室声音画面同时进行录制；生成视频后支持分享链接；支持录制任意全屏画面、局部画面，支持录制保存音频、屏幕画面、摄像头画面，支持在录制过程中进行书写和擦除。</w:t>
            </w:r>
          </w:p>
          <w:p w14:paraId="38DE767C">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10.需覆盖小学、初中、高中学段的电子版本教材，需支持提供≥2000本电子教材资源（其中小学≥1500本，初中≥1000本，高中≥500本）；其中语文、英语、音乐学科提供点读功能，支持分句、段、篇章进行点读；需给每个教师账号提供至少10本电子课本下载权限，并支持教师课本上课时，一键云同步获取备课资源，并下载至课本中。授课过程中，支持对课本进行文本批注、画笔标注、擦除、聚焦、翻页操作。</w:t>
            </w:r>
          </w:p>
          <w:p w14:paraId="3A1456AD">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11.语文学科工具：需支持提供≥5种语文类学科工具，包括诗词卡片、朗读评测、字词听写、识字接龙、汉语朗读；</w:t>
            </w:r>
          </w:p>
          <w:p w14:paraId="495D1B02">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12.立体几何工具：需支持手绘至少6种立体几何图形并自动识别为标准形状，包括立方体、圆柱体、圆锥、四棱锥、N棱柱、N棱锥；立方体需支持≥8种图形工具操作，如堆积、构图、展开、收起、旋转、三视图、调节、填充常见教学操作；需支持在立方体任一面复制立方体形成组合图形，并能对组合图形进行360°旋转；支持绘制立方体内部的任意切面，绘制后可自由调节；立体几何图形需支持“三视图”。</w:t>
            </w:r>
          </w:p>
          <w:p w14:paraId="6EC4AEAC">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13.函数工具：需支持≥6种函数类型，包括一次函数、二次函数、幂函数、指数函数、对数函数、三角函数，及其组合函数的图形绘制，支持手动调节函数参数，图形随之调整；支持以上类型函数手写直接转写为标准印刷体，点击即可生成相应的函数图像。</w:t>
            </w:r>
          </w:p>
          <w:p w14:paraId="10D0B8DE">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14.英语学科工具：需提供≥8种英语学科工具，包括但不限于四线三格、字母卡片、英语朗读、单词评测等；</w:t>
            </w:r>
          </w:p>
          <w:p w14:paraId="2880B080">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15.物理学科工具：需提供物理电路图，涵盖初高中教材电路实验，≥21种电路实验案例，包含伏安法测电阻、欧姆定律应用、动态电路分析等；≥26种元件，包含二极管、滑动变阻器、热敏电阻、灵敏电流计等，教师可结合实际教学场景自行组装；以上实验操作支持≥5种功能操作。</w:t>
            </w:r>
          </w:p>
          <w:p w14:paraId="2FC090E2">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16.需提供≥56种化学仪器工具，如反应类、固定和夹持类、加热类、分离类、计量类、存取类等仪器调用。</w:t>
            </w:r>
          </w:p>
        </w:tc>
        <w:tc>
          <w:tcPr>
            <w:tcW w:w="812" w:type="dxa"/>
            <w:tcBorders>
              <w:top w:val="single" w:color="auto" w:sz="4" w:space="0"/>
              <w:left w:val="single" w:color="auto" w:sz="4" w:space="0"/>
              <w:bottom w:val="single" w:color="auto" w:sz="4" w:space="0"/>
              <w:right w:val="single" w:color="auto" w:sz="4" w:space="0"/>
            </w:tcBorders>
            <w:vAlign w:val="center"/>
          </w:tcPr>
          <w:p w14:paraId="3D1F0048">
            <w:pPr>
              <w:widowControl/>
              <w:spacing w:line="400" w:lineRule="exact"/>
              <w:jc w:val="center"/>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32套</w:t>
            </w:r>
          </w:p>
        </w:tc>
      </w:tr>
      <w:tr w14:paraId="64ED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51D8D293">
            <w:pPr>
              <w:pStyle w:val="244"/>
              <w:snapToGrid w:val="0"/>
              <w:spacing w:line="40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1118" w:type="dxa"/>
            <w:tcBorders>
              <w:top w:val="single" w:color="auto" w:sz="4" w:space="0"/>
              <w:left w:val="single" w:color="auto" w:sz="4" w:space="0"/>
              <w:bottom w:val="single" w:color="auto" w:sz="4" w:space="0"/>
              <w:right w:val="single" w:color="auto" w:sz="4" w:space="0"/>
            </w:tcBorders>
            <w:vAlign w:val="center"/>
          </w:tcPr>
          <w:p w14:paraId="29C8F1E4">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壁挂视频展台</w:t>
            </w:r>
          </w:p>
        </w:tc>
        <w:tc>
          <w:tcPr>
            <w:tcW w:w="6707" w:type="dxa"/>
            <w:tcBorders>
              <w:top w:val="single" w:color="auto" w:sz="4" w:space="0"/>
              <w:left w:val="single" w:color="auto" w:sz="4" w:space="0"/>
              <w:bottom w:val="single" w:color="auto" w:sz="4" w:space="0"/>
              <w:right w:val="single" w:color="auto" w:sz="4" w:space="0"/>
            </w:tcBorders>
            <w:vAlign w:val="center"/>
          </w:tcPr>
          <w:p w14:paraId="72482EB4">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1.采用≥800万像素摄像头，拍摄幅面≥A4，最高分辨率≥3264*2448。</w:t>
            </w:r>
          </w:p>
          <w:p w14:paraId="5D3A6C0E">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2.采用USB五伏电源直接供电，无需额外配置电源适配器，环保无辐射；箱内USB连线采用隐藏式设计，箱内无可见连线且USB口下出，有效防止积尘，方便布线和返修。</w:t>
            </w:r>
          </w:p>
          <w:p w14:paraId="676648CC">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3.整机采用ABS材质，圆弧式设计无锐角；托板采用单板结构，托板尺寸不小于A4规格，托板平整无接缝，承托稳定。</w:t>
            </w:r>
          </w:p>
          <w:p w14:paraId="3FA34297">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4.托板及挂墙部分采用金属加强处理，可承重5kg以上，同时托板采用磁吸吸附式机构，防止托板打落，方便打开及固定，避免机械式锁具故障率高的问题。</w:t>
            </w:r>
          </w:p>
          <w:p w14:paraId="7412E5A1">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5.展示托板正上方具备LED补光灯，保证展示区域的亮度及展示效果，整机自带磨砂均光罩LED 3粒补光灯，LED灯设计符合光生物安全标准测试，对人体无危害。光线不足时可进行亮度补充，亮度均匀，采用无级触摸调光设计。</w:t>
            </w:r>
          </w:p>
          <w:p w14:paraId="120FF07A">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6.实时批注：支持对展台画面实时批注，预设多种笔画粗细及颜色供选择，且支持对展台画面连同批注内容进行同步缩放、移动、保存。</w:t>
            </w:r>
          </w:p>
          <w:p w14:paraId="1E94F226">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7.图片上传：提供JPG、PNG等图片格式选择，支持图片上传显示。</w:t>
            </w:r>
          </w:p>
          <w:p w14:paraId="39952A26">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8.图像拍摄：支持即时拍照和延时拍摄两种形式，延时拍照功能可选择5秒或10秒延时模式，预留充足时间以便调整拍摄内容。</w:t>
            </w:r>
          </w:p>
          <w:p w14:paraId="7442FE0C">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9.分屏窗口中能添加图片进行对比，支持实时触摸放大、缩小、旋转，且能够对图片进行单独的批注、全屏显示、删除等操作；同屏对比时，可拖拽调节图片的位置。</w:t>
            </w:r>
          </w:p>
          <w:p w14:paraId="3920E5CB">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10.故障检测：软件支持故障自检功能，帮助用户检测“无画面”的原因，并给出引导性的修复和解决方案，可判断硬件连接、显卡驱动、摄像头占用、软件版本等情况。</w:t>
            </w:r>
          </w:p>
          <w:p w14:paraId="0D1062A6">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11.支持从电子白板、电子课本、ppt课件讲解等多场景直接调用视频展台，实现所有功能，方便用户使用，</w:t>
            </w:r>
            <w:r>
              <w:rPr>
                <w:rFonts w:hint="eastAsia" w:ascii="仿宋_GB2312" w:hAnsi="仿宋_GB2312" w:eastAsia="仿宋_GB2312" w:cs="仿宋_GB2312"/>
                <w:color w:val="auto"/>
                <w:sz w:val="24"/>
                <w:highlight w:val="none"/>
                <w:lang w:eastAsia="zh-CN"/>
              </w:rPr>
              <w:t>无需在教学过程中</w:t>
            </w:r>
            <w:r>
              <w:rPr>
                <w:rFonts w:hint="eastAsia" w:ascii="仿宋_GB2312" w:hAnsi="仿宋_GB2312" w:eastAsia="仿宋_GB2312" w:cs="仿宋_GB2312"/>
                <w:color w:val="auto"/>
                <w:sz w:val="24"/>
                <w:highlight w:val="none"/>
                <w:lang w:val="en-US" w:eastAsia="zh-CN"/>
              </w:rPr>
              <w:t>在白板软件、电子课本、ppt课件和展台等多场景跳转。</w:t>
            </w:r>
          </w:p>
        </w:tc>
        <w:tc>
          <w:tcPr>
            <w:tcW w:w="812" w:type="dxa"/>
            <w:tcBorders>
              <w:top w:val="single" w:color="auto" w:sz="4" w:space="0"/>
              <w:left w:val="single" w:color="auto" w:sz="4" w:space="0"/>
              <w:bottom w:val="single" w:color="auto" w:sz="4" w:space="0"/>
              <w:right w:val="single" w:color="auto" w:sz="4" w:space="0"/>
            </w:tcBorders>
            <w:vAlign w:val="center"/>
          </w:tcPr>
          <w:p w14:paraId="355126D7">
            <w:pPr>
              <w:widowControl/>
              <w:spacing w:line="400" w:lineRule="exact"/>
              <w:jc w:val="center"/>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32台</w:t>
            </w:r>
          </w:p>
        </w:tc>
      </w:tr>
      <w:tr w14:paraId="5F2E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51C41833">
            <w:pPr>
              <w:pStyle w:val="244"/>
              <w:snapToGrid w:val="0"/>
              <w:spacing w:line="40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1118" w:type="dxa"/>
            <w:tcBorders>
              <w:top w:val="single" w:color="auto" w:sz="4" w:space="0"/>
              <w:left w:val="single" w:color="auto" w:sz="4" w:space="0"/>
              <w:bottom w:val="single" w:color="auto" w:sz="4" w:space="0"/>
              <w:right w:val="single" w:color="auto" w:sz="4" w:space="0"/>
            </w:tcBorders>
            <w:vAlign w:val="center"/>
          </w:tcPr>
          <w:p w14:paraId="070A5FB4">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讲台</w:t>
            </w:r>
          </w:p>
        </w:tc>
        <w:tc>
          <w:tcPr>
            <w:tcW w:w="6707" w:type="dxa"/>
            <w:tcBorders>
              <w:top w:val="single" w:color="auto" w:sz="4" w:space="0"/>
              <w:left w:val="single" w:color="auto" w:sz="4" w:space="0"/>
              <w:bottom w:val="single" w:color="auto" w:sz="4" w:space="0"/>
              <w:right w:val="single" w:color="auto" w:sz="4" w:space="0"/>
            </w:tcBorders>
            <w:vAlign w:val="center"/>
          </w:tcPr>
          <w:p w14:paraId="6AEF7F76">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详细参数：</w:t>
            </w:r>
          </w:p>
          <w:p w14:paraId="65F2E10F">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讲台主体材料采用1.0MM冷轧钢板。讲台采用钢木结合构造，桌体上部分采用圆弧设计。讲台整体设计符合人体力学，提供左右实木扶手；讲台桌面采用木黄色耐划木质材料，耐腐蚀环保台面（非吸塑工艺），扶手采用实木扶手，L型实木装饰板。</w:t>
            </w:r>
          </w:p>
          <w:p w14:paraId="4DB5F856">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2.整体尺寸规格：≥1100*750*1000（长宽高）mm，采用脱脂、磷化、静电喷塑、溜平固化，边缘光滑，无棱角处理，可避免造成人身伤害，所有尖角倒圆角≥R3。</w:t>
            </w:r>
          </w:p>
          <w:p w14:paraId="392F9EDF">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3.讲台底座提供大容量收纳空间，隐藏式滑轨抽屉，可以放置杂物，也可供教师放置无线麦克风、粉笔、键盘、鼠标、作业试卷等。</w:t>
            </w:r>
          </w:p>
          <w:p w14:paraId="17BFED07">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上柜尺寸规格：≥1100mm*750mm*358mm，下柜尺寸规格：≥800mm*650mm*650mm，桌面到地面尺寸：≥900mm，讲桌上下层采用分体式设计，桌面部分和桌体部分自成一体，方便进出设计比较窄的教室门。讲桌内置固定螺丝孔位。</w:t>
            </w:r>
          </w:p>
        </w:tc>
        <w:tc>
          <w:tcPr>
            <w:tcW w:w="812" w:type="dxa"/>
            <w:tcBorders>
              <w:top w:val="single" w:color="auto" w:sz="4" w:space="0"/>
              <w:left w:val="single" w:color="auto" w:sz="4" w:space="0"/>
              <w:bottom w:val="single" w:color="auto" w:sz="4" w:space="0"/>
              <w:right w:val="single" w:color="auto" w:sz="4" w:space="0"/>
            </w:tcBorders>
            <w:vAlign w:val="center"/>
          </w:tcPr>
          <w:p w14:paraId="5714A1B7">
            <w:pPr>
              <w:widowControl/>
              <w:spacing w:line="400" w:lineRule="exact"/>
              <w:jc w:val="center"/>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32个</w:t>
            </w:r>
          </w:p>
        </w:tc>
      </w:tr>
      <w:tr w14:paraId="50A1C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13" w:type="dxa"/>
            <w:tcBorders>
              <w:top w:val="single" w:color="auto" w:sz="4" w:space="0"/>
              <w:left w:val="single" w:color="auto" w:sz="4" w:space="0"/>
              <w:bottom w:val="single" w:color="auto" w:sz="4" w:space="0"/>
              <w:right w:val="single" w:color="auto" w:sz="4" w:space="0"/>
            </w:tcBorders>
            <w:vAlign w:val="center"/>
          </w:tcPr>
          <w:p w14:paraId="7B30FCA1">
            <w:pPr>
              <w:pStyle w:val="244"/>
              <w:snapToGrid w:val="0"/>
              <w:spacing w:line="40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1118" w:type="dxa"/>
            <w:tcBorders>
              <w:top w:val="single" w:color="auto" w:sz="4" w:space="0"/>
              <w:left w:val="single" w:color="auto" w:sz="4" w:space="0"/>
              <w:bottom w:val="single" w:color="auto" w:sz="4" w:space="0"/>
              <w:right w:val="single" w:color="auto" w:sz="4" w:space="0"/>
            </w:tcBorders>
            <w:vAlign w:val="center"/>
          </w:tcPr>
          <w:p w14:paraId="6B0CD7AF">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变轨</w:t>
            </w:r>
            <w:r>
              <w:rPr>
                <w:rFonts w:hint="eastAsia" w:ascii="仿宋_GB2312" w:hAnsi="仿宋_GB2312" w:eastAsia="仿宋_GB2312" w:cs="仿宋_GB2312"/>
                <w:color w:val="auto"/>
                <w:kern w:val="0"/>
                <w:sz w:val="24"/>
                <w:highlight w:val="none"/>
              </w:rPr>
              <w:t>无尘书写板</w:t>
            </w:r>
          </w:p>
        </w:tc>
        <w:tc>
          <w:tcPr>
            <w:tcW w:w="6707" w:type="dxa"/>
            <w:tcBorders>
              <w:top w:val="single" w:color="auto" w:sz="4" w:space="0"/>
              <w:left w:val="single" w:color="auto" w:sz="4" w:space="0"/>
              <w:bottom w:val="single" w:color="auto" w:sz="4" w:space="0"/>
              <w:right w:val="single" w:color="auto" w:sz="4" w:space="0"/>
            </w:tcBorders>
            <w:vAlign w:val="center"/>
          </w:tcPr>
          <w:p w14:paraId="67476403">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详细参数：</w:t>
            </w:r>
          </w:p>
          <w:p w14:paraId="735DBFE1">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1.结构：由两块滑动板、两块固定板、一套外框组成，当滑动板闭合时，可自动向内变轨至与固定板平齐。闭合后，滑动板应与固定板处在同一平面。</w:t>
            </w:r>
          </w:p>
          <w:p w14:paraId="0C9F3C40">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2.参考尺寸：≥4300mm*1350mm，高度可根据所配电子产品适当调整，确保与电子产品的有效配套。</w:t>
            </w:r>
          </w:p>
          <w:p w14:paraId="5F0F7EFB">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3.内板：正面左右两侧无边框设计，上下边框正面高度≤15mm。</w:t>
            </w:r>
          </w:p>
          <w:p w14:paraId="735AE896">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4.板面：采用金属烤漆书写板面，哑光、墨绿色，光泽度≤12光泽单位，可吸附磁钉、磁片，便于教学。</w:t>
            </w:r>
          </w:p>
          <w:p w14:paraId="75CB8182">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5.边框：采用高强度银白色铝合金型材，横框规格≥45mm×100mm，立框规格≥35mm×135mm。立框隐藏于固定板后部。边框具有良好的耐磨性及耐腐蚀性。</w:t>
            </w:r>
          </w:p>
          <w:p w14:paraId="2F03229D">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6.覆板：覆板粘贴牢固、板面平整无起鼓等现象，甲醛释放量≤0.2mg/L。</w:t>
            </w:r>
          </w:p>
          <w:p w14:paraId="4AF45F86">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7.滑轮：采用高精度轴承滑轮，上下各4组。</w:t>
            </w:r>
          </w:p>
          <w:p w14:paraId="7DA7F983">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8.置物：下侧设有置物空间，可放置粉笔、教鞭等。置物空间后部及左右两侧有封堵，避免物品掉落。其下侧面向学生侧有避免物品从前端滚落的凸起。</w:t>
            </w:r>
          </w:p>
          <w:p w14:paraId="0604FF94">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9.拉手：拉手位置在安装完毕后，仍可由用户在水平方向调整，确保舒适。</w:t>
            </w:r>
          </w:p>
          <w:p w14:paraId="5EE74B03">
            <w:pPr>
              <w:spacing w:line="400" w:lineRule="exact"/>
              <w:ind w:firstLine="480" w:firstLineChars="200"/>
              <w:rPr>
                <w:rFonts w:hint="eastAsia"/>
                <w:color w:val="auto"/>
                <w:highlight w:val="none"/>
                <w:lang w:val="en-US" w:eastAsia="zh-CN"/>
              </w:rPr>
            </w:pPr>
            <w:r>
              <w:rPr>
                <w:rFonts w:hint="eastAsia" w:ascii="仿宋_GB2312" w:hAnsi="仿宋_GB2312" w:eastAsia="仿宋_GB2312" w:cs="仿宋_GB2312"/>
                <w:color w:val="auto"/>
                <w:sz w:val="24"/>
                <w:szCs w:val="24"/>
                <w:highlight w:val="none"/>
                <w:lang w:val="en-US" w:eastAsia="zh-CN"/>
              </w:rPr>
              <w:t>10.其他未做具体要求的相关指标，符合GB 28231-2011《书写板安全卫生要求》强制标准要求。</w:t>
            </w:r>
          </w:p>
        </w:tc>
        <w:tc>
          <w:tcPr>
            <w:tcW w:w="812" w:type="dxa"/>
            <w:tcBorders>
              <w:top w:val="single" w:color="auto" w:sz="4" w:space="0"/>
              <w:left w:val="single" w:color="auto" w:sz="4" w:space="0"/>
              <w:bottom w:val="single" w:color="auto" w:sz="4" w:space="0"/>
              <w:right w:val="single" w:color="auto" w:sz="4" w:space="0"/>
            </w:tcBorders>
            <w:vAlign w:val="center"/>
          </w:tcPr>
          <w:p w14:paraId="6E4B1F8A">
            <w:pPr>
              <w:widowControl/>
              <w:spacing w:line="400" w:lineRule="exact"/>
              <w:jc w:val="center"/>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32套</w:t>
            </w:r>
          </w:p>
        </w:tc>
      </w:tr>
      <w:tr w14:paraId="3424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0D195D5D">
            <w:pPr>
              <w:pStyle w:val="244"/>
              <w:snapToGrid w:val="0"/>
              <w:spacing w:line="40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1118" w:type="dxa"/>
            <w:tcBorders>
              <w:top w:val="single" w:color="auto" w:sz="4" w:space="0"/>
              <w:left w:val="single" w:color="auto" w:sz="4" w:space="0"/>
              <w:bottom w:val="single" w:color="auto" w:sz="4" w:space="0"/>
              <w:right w:val="single" w:color="auto" w:sz="4" w:space="0"/>
            </w:tcBorders>
            <w:vAlign w:val="center"/>
          </w:tcPr>
          <w:p w14:paraId="6731E51F">
            <w:pPr>
              <w:widowControl/>
              <w:spacing w:line="400" w:lineRule="exact"/>
              <w:jc w:val="center"/>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有源音箱</w:t>
            </w:r>
          </w:p>
        </w:tc>
        <w:tc>
          <w:tcPr>
            <w:tcW w:w="6707" w:type="dxa"/>
            <w:tcBorders>
              <w:top w:val="single" w:color="auto" w:sz="4" w:space="0"/>
              <w:left w:val="single" w:color="auto" w:sz="4" w:space="0"/>
              <w:bottom w:val="single" w:color="auto" w:sz="4" w:space="0"/>
              <w:right w:val="single" w:color="auto" w:sz="4" w:space="0"/>
            </w:tcBorders>
            <w:vAlign w:val="center"/>
          </w:tcPr>
          <w:p w14:paraId="7A8F8126">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1.额定输出功率：≥2*15W有源音箱一对。</w:t>
            </w:r>
          </w:p>
          <w:p w14:paraId="1C21BC32">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2.支持扩音和输入音源叠加输出。</w:t>
            </w:r>
          </w:p>
          <w:p w14:paraId="12107874">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3.端口：电源*1、Line in*1、Line out*1。</w:t>
            </w:r>
          </w:p>
          <w:p w14:paraId="166AC425">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4.支持专业无线麦克风接收技术数字U段无线麦克风扩音接收，有效避开Wi-Fi干扰。</w:t>
            </w:r>
          </w:p>
        </w:tc>
        <w:tc>
          <w:tcPr>
            <w:tcW w:w="812" w:type="dxa"/>
            <w:tcBorders>
              <w:top w:val="single" w:color="auto" w:sz="4" w:space="0"/>
              <w:left w:val="single" w:color="auto" w:sz="4" w:space="0"/>
              <w:bottom w:val="single" w:color="auto" w:sz="4" w:space="0"/>
              <w:right w:val="single" w:color="auto" w:sz="4" w:space="0"/>
            </w:tcBorders>
            <w:vAlign w:val="center"/>
          </w:tcPr>
          <w:p w14:paraId="74F8D3CD">
            <w:pPr>
              <w:widowControl/>
              <w:spacing w:line="400" w:lineRule="exact"/>
              <w:jc w:val="center"/>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32对</w:t>
            </w:r>
          </w:p>
        </w:tc>
      </w:tr>
      <w:tr w14:paraId="33D0F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042527F6">
            <w:pPr>
              <w:pStyle w:val="244"/>
              <w:snapToGrid w:val="0"/>
              <w:spacing w:line="40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1118" w:type="dxa"/>
            <w:tcBorders>
              <w:top w:val="single" w:color="auto" w:sz="4" w:space="0"/>
              <w:left w:val="single" w:color="auto" w:sz="4" w:space="0"/>
              <w:bottom w:val="single" w:color="auto" w:sz="4" w:space="0"/>
              <w:right w:val="single" w:color="auto" w:sz="4" w:space="0"/>
            </w:tcBorders>
            <w:vAlign w:val="center"/>
          </w:tcPr>
          <w:p w14:paraId="61F075DA">
            <w:pPr>
              <w:widowControl/>
              <w:spacing w:line="400" w:lineRule="exact"/>
              <w:jc w:val="center"/>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延保服务</w:t>
            </w:r>
          </w:p>
        </w:tc>
        <w:tc>
          <w:tcPr>
            <w:tcW w:w="6707" w:type="dxa"/>
            <w:tcBorders>
              <w:top w:val="single" w:color="auto" w:sz="4" w:space="0"/>
              <w:left w:val="single" w:color="auto" w:sz="4" w:space="0"/>
              <w:bottom w:val="single" w:color="auto" w:sz="4" w:space="0"/>
              <w:right w:val="single" w:color="auto" w:sz="4" w:space="0"/>
            </w:tcBorders>
            <w:vAlign w:val="center"/>
          </w:tcPr>
          <w:p w14:paraId="30662DAE">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kern w:val="0"/>
                <w:sz w:val="24"/>
                <w:szCs w:val="24"/>
                <w:highlight w:val="none"/>
              </w:rPr>
              <w:t>互动平板一体机</w:t>
            </w:r>
            <w:r>
              <w:rPr>
                <w:rFonts w:hint="eastAsia" w:ascii="仿宋_GB2312" w:hAnsi="仿宋_GB2312" w:eastAsia="仿宋_GB2312" w:cs="仿宋_GB2312"/>
                <w:color w:val="auto"/>
                <w:sz w:val="24"/>
                <w:szCs w:val="24"/>
                <w:highlight w:val="none"/>
                <w:lang w:val="en-US" w:eastAsia="zh-CN"/>
              </w:rPr>
              <w:t>在</w:t>
            </w:r>
            <w:r>
              <w:rPr>
                <w:rFonts w:hint="eastAsia" w:ascii="仿宋_GB2312" w:hAnsi="仿宋_GB2312" w:eastAsia="仿宋_GB2312" w:cs="仿宋_GB2312"/>
                <w:color w:val="auto"/>
                <w:sz w:val="24"/>
                <w:highlight w:val="none"/>
                <w:lang w:val="en-US" w:eastAsia="zh-CN"/>
              </w:rPr>
              <w:t>原厂三年质保基础上，延长三年原厂质保服务</w:t>
            </w:r>
          </w:p>
        </w:tc>
        <w:tc>
          <w:tcPr>
            <w:tcW w:w="812" w:type="dxa"/>
            <w:tcBorders>
              <w:top w:val="single" w:color="auto" w:sz="4" w:space="0"/>
              <w:left w:val="single" w:color="auto" w:sz="4" w:space="0"/>
              <w:bottom w:val="single" w:color="auto" w:sz="4" w:space="0"/>
              <w:right w:val="single" w:color="auto" w:sz="4" w:space="0"/>
            </w:tcBorders>
            <w:vAlign w:val="center"/>
          </w:tcPr>
          <w:p w14:paraId="6AD8B70F">
            <w:pPr>
              <w:widowControl/>
              <w:spacing w:line="400" w:lineRule="exact"/>
              <w:jc w:val="center"/>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32套</w:t>
            </w:r>
          </w:p>
        </w:tc>
      </w:tr>
      <w:tr w14:paraId="7406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3A79F66A">
            <w:pPr>
              <w:pStyle w:val="244"/>
              <w:snapToGrid w:val="0"/>
              <w:spacing w:line="40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w:t>
            </w:r>
          </w:p>
        </w:tc>
        <w:tc>
          <w:tcPr>
            <w:tcW w:w="1118" w:type="dxa"/>
            <w:tcBorders>
              <w:top w:val="single" w:color="auto" w:sz="4" w:space="0"/>
              <w:left w:val="single" w:color="auto" w:sz="4" w:space="0"/>
              <w:bottom w:val="single" w:color="auto" w:sz="4" w:space="0"/>
              <w:right w:val="single" w:color="auto" w:sz="4" w:space="0"/>
            </w:tcBorders>
            <w:vAlign w:val="center"/>
          </w:tcPr>
          <w:p w14:paraId="2BA87F72">
            <w:pPr>
              <w:widowControl/>
              <w:spacing w:line="400" w:lineRule="exact"/>
              <w:jc w:val="center"/>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辅助材料及施工等</w:t>
            </w:r>
          </w:p>
        </w:tc>
        <w:tc>
          <w:tcPr>
            <w:tcW w:w="6707" w:type="dxa"/>
            <w:tcBorders>
              <w:top w:val="single" w:color="auto" w:sz="4" w:space="0"/>
              <w:left w:val="single" w:color="auto" w:sz="4" w:space="0"/>
              <w:bottom w:val="single" w:color="auto" w:sz="4" w:space="0"/>
              <w:right w:val="single" w:color="auto" w:sz="4" w:space="0"/>
            </w:tcBorders>
            <w:vAlign w:val="center"/>
          </w:tcPr>
          <w:p w14:paraId="01AE0D0E">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含符合国家标准的电源线、网线、电源排插、双位空开、弧形钢制或工程PVC走线槽等配件（配件及安装费用包含在预算价中），并负责施工、安装、调试，严格按照</w:t>
            </w:r>
            <w:r>
              <w:rPr>
                <w:rFonts w:hint="eastAsia" w:ascii="仿宋_GB2312" w:hAnsi="仿宋_GB2312" w:eastAsia="仿宋_GB2312" w:cs="仿宋_GB2312"/>
                <w:color w:val="auto"/>
                <w:kern w:val="0"/>
                <w:sz w:val="24"/>
                <w:highlight w:val="none"/>
                <w:lang w:val="en-US" w:eastAsia="zh-CN"/>
              </w:rPr>
              <w:t>柳州市教育系统工程施工规范要求实施。</w:t>
            </w:r>
          </w:p>
        </w:tc>
        <w:tc>
          <w:tcPr>
            <w:tcW w:w="812" w:type="dxa"/>
            <w:tcBorders>
              <w:top w:val="single" w:color="auto" w:sz="4" w:space="0"/>
              <w:left w:val="single" w:color="auto" w:sz="4" w:space="0"/>
              <w:bottom w:val="single" w:color="auto" w:sz="4" w:space="0"/>
              <w:right w:val="single" w:color="auto" w:sz="4" w:space="0"/>
            </w:tcBorders>
            <w:vAlign w:val="center"/>
          </w:tcPr>
          <w:p w14:paraId="48181BCD">
            <w:pPr>
              <w:widowControl/>
              <w:spacing w:line="400" w:lineRule="exact"/>
              <w:jc w:val="center"/>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32项</w:t>
            </w:r>
          </w:p>
        </w:tc>
      </w:tr>
    </w:tbl>
    <w:p w14:paraId="6F0A32A7">
      <w:pPr>
        <w:rPr>
          <w:color w:val="auto"/>
          <w:highlight w:val="none"/>
        </w:rPr>
      </w:pPr>
    </w:p>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60"/>
        <w:gridCol w:w="7763"/>
      </w:tblGrid>
      <w:tr w14:paraId="02EDD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vAlign w:val="center"/>
          </w:tcPr>
          <w:p w14:paraId="7AE6CA5A">
            <w:pPr>
              <w:spacing w:line="276" w:lineRule="auto"/>
              <w:ind w:left="420" w:hanging="420"/>
              <w:jc w:val="left"/>
              <w:rPr>
                <w:rFonts w:hint="eastAsia" w:ascii="仿宋_GB2312" w:hAnsi="宋体" w:eastAsia="仿宋_GB2312"/>
                <w:color w:val="auto"/>
                <w:sz w:val="24"/>
                <w:highlight w:val="none"/>
              </w:rPr>
            </w:pPr>
            <w:r>
              <w:rPr>
                <w:rFonts w:ascii="仿宋_GB2312" w:hAnsi="宋体" w:eastAsia="仿宋_GB2312" w:cs="宋体"/>
                <w:b/>
                <w:color w:val="auto"/>
                <w:kern w:val="0"/>
                <w:sz w:val="24"/>
                <w:highlight w:val="none"/>
              </w:rPr>
              <w:t>★</w:t>
            </w:r>
            <w:r>
              <w:rPr>
                <w:rFonts w:hint="eastAsia" w:ascii="仿宋_GB2312" w:hAnsi="宋体" w:eastAsia="仿宋_GB2312"/>
                <w:b/>
                <w:color w:val="auto"/>
                <w:sz w:val="24"/>
                <w:highlight w:val="none"/>
              </w:rPr>
              <w:t>二、商务要求</w:t>
            </w:r>
          </w:p>
        </w:tc>
      </w:tr>
      <w:tr w14:paraId="16253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14:paraId="56CB593B">
            <w:pPr>
              <w:spacing w:line="440" w:lineRule="exact"/>
              <w:jc w:val="left"/>
              <w:rPr>
                <w:rFonts w:hint="eastAsia" w:ascii="等线" w:hAnsi="等线" w:eastAsia="仿宋_GB2312" w:cs="Arial"/>
                <w:bCs/>
                <w:color w:val="auto"/>
                <w:sz w:val="24"/>
                <w:highlight w:val="none"/>
                <w:lang w:val="en-GB"/>
              </w:rPr>
            </w:pPr>
            <w:r>
              <w:rPr>
                <w:rFonts w:ascii="仿宋_GB2312" w:hAnsi="仿宋_GB2312" w:eastAsia="仿宋_GB2312" w:cs="仿宋_GB2312"/>
                <w:color w:val="auto"/>
                <w:sz w:val="24"/>
                <w:highlight w:val="none"/>
              </w:rPr>
              <w:t>基本要求</w:t>
            </w:r>
          </w:p>
        </w:tc>
        <w:tc>
          <w:tcPr>
            <w:tcW w:w="7763" w:type="dxa"/>
            <w:vAlign w:val="center"/>
          </w:tcPr>
          <w:p w14:paraId="77C295FD">
            <w:pPr>
              <w:numPr>
                <w:ilvl w:val="0"/>
                <w:numId w:val="0"/>
              </w:numPr>
              <w:spacing w:line="440" w:lineRule="exact"/>
              <w:jc w:val="left"/>
              <w:rPr>
                <w:rFonts w:ascii="仿宋_GB2312" w:hAnsi="仿宋_GB2312" w:eastAsia="仿宋_GB2312" w:cs="仿宋_GB2312"/>
                <w:bCs/>
                <w:color w:val="auto"/>
                <w:sz w:val="24"/>
                <w:highlight w:val="none"/>
              </w:rPr>
            </w:pPr>
            <w:r>
              <w:rPr>
                <w:rFonts w:ascii="仿宋_GB2312" w:hAnsi="仿宋_GB2312" w:eastAsia="仿宋_GB2312" w:cs="仿宋_GB2312"/>
                <w:bCs/>
                <w:color w:val="auto"/>
                <w:kern w:val="2"/>
                <w:sz w:val="24"/>
                <w:szCs w:val="24"/>
                <w:highlight w:val="none"/>
                <w:lang w:val="en-US" w:eastAsia="zh-CN" w:bidi="ar-SA"/>
              </w:rPr>
              <w:t>1.</w:t>
            </w:r>
            <w:r>
              <w:rPr>
                <w:rFonts w:ascii="仿宋_GB2312" w:hAnsi="仿宋_GB2312" w:eastAsia="仿宋_GB2312" w:cs="仿宋_GB2312"/>
                <w:bCs/>
                <w:color w:val="auto"/>
                <w:sz w:val="24"/>
                <w:highlight w:val="none"/>
              </w:rPr>
              <w:t>本项目投标报价包括货物及货物运抵指定交付地点的各种费用、随配附件、备品备件、易损件、专用工具、安装调试、技术培训、技术资料、包装、售后服务、保险费、税金、验收检验及其他所有成本费用的总和；</w:t>
            </w:r>
            <w:r>
              <w:rPr>
                <w:rFonts w:ascii="仿宋_GB2312" w:hAnsi="仿宋_GB2312" w:eastAsia="仿宋_GB2312" w:cs="仿宋_GB2312"/>
                <w:bCs/>
                <w:color w:val="auto"/>
                <w:sz w:val="24"/>
                <w:highlight w:val="none"/>
              </w:rPr>
              <w:br w:type="textWrapping"/>
            </w:r>
            <w:r>
              <w:rPr>
                <w:rFonts w:ascii="仿宋_GB2312" w:hAnsi="仿宋_GB2312" w:eastAsia="仿宋_GB2312" w:cs="仿宋_GB2312"/>
                <w:bCs/>
                <w:color w:val="auto"/>
                <w:sz w:val="24"/>
                <w:highlight w:val="none"/>
              </w:rPr>
              <w:t>2.投标人应保证投标产品涉及到的知识产权和所提供的相关技术资料是合法取得，不会因为采购人的使用而被责令停止使用、追偿或要求赔偿损失，如出现此情况，一切经济和法律责任均由投标人承担；
</w:t>
            </w:r>
            <w:r>
              <w:rPr>
                <w:rFonts w:ascii="仿宋_GB2312" w:hAnsi="仿宋_GB2312" w:eastAsia="仿宋_GB2312" w:cs="仿宋_GB2312"/>
                <w:bCs/>
                <w:color w:val="auto"/>
                <w:sz w:val="24"/>
                <w:highlight w:val="none"/>
              </w:rPr>
              <w:br w:type="textWrapping"/>
            </w:r>
            <w:r>
              <w:rPr>
                <w:rFonts w:ascii="仿宋_GB2312" w:hAnsi="仿宋_GB2312" w:eastAsia="仿宋_GB2312" w:cs="仿宋_GB2312"/>
                <w:bCs/>
                <w:color w:val="auto"/>
                <w:sz w:val="24"/>
                <w:highlight w:val="none"/>
              </w:rPr>
              <w:t>3.投标人所投产品应符合国家有关部门规定的相应技术、节能、安全和环保标准；国家有关部门对所投产品有强制性规定或要求的，必须符合相应规定或要求。
</w:t>
            </w:r>
            <w:r>
              <w:rPr>
                <w:rFonts w:ascii="仿宋_GB2312" w:hAnsi="仿宋_GB2312" w:eastAsia="仿宋_GB2312" w:cs="仿宋_GB2312"/>
                <w:bCs/>
                <w:color w:val="auto"/>
                <w:sz w:val="24"/>
                <w:highlight w:val="none"/>
              </w:rPr>
              <w:br w:type="textWrapping"/>
            </w:r>
            <w:r>
              <w:rPr>
                <w:rFonts w:ascii="仿宋_GB2312" w:hAnsi="仿宋_GB2312" w:eastAsia="仿宋_GB2312" w:cs="仿宋_GB2312"/>
                <w:bCs/>
                <w:color w:val="auto"/>
                <w:sz w:val="24"/>
                <w:highlight w:val="none"/>
              </w:rPr>
              <w:t>4.本项目所采购的产品如属于《网络关键设备和网络安全专用产品目录》的，应严格执行《关于调整网络安全专用产品安全管理有关事项的公告》、《关于调整&lt;网络关键设备和网络安全专用产品目录&gt;的公告》等相关文件要求，所投产品应符合由具备资格的机构安全认证合格或安全检测符合要求。</w:t>
            </w:r>
          </w:p>
          <w:p w14:paraId="7BF669FF">
            <w:pPr>
              <w:pStyle w:val="9"/>
              <w:numPr>
                <w:ilvl w:val="-1"/>
                <w:numId w:val="0"/>
              </w:numPr>
              <w:spacing w:line="440" w:lineRule="exact"/>
              <w:ind w:left="0" w:firstLine="0"/>
              <w:rPr>
                <w:rFonts w:hint="default" w:ascii="仿宋_GB2312" w:hAnsi="仿宋_GB2312" w:eastAsia="仿宋_GB2312" w:cs="仿宋_GB2312"/>
                <w:bCs/>
                <w:snapToGrid/>
                <w:color w:val="auto"/>
                <w:kern w:val="2"/>
                <w:sz w:val="24"/>
                <w:szCs w:val="24"/>
                <w:highlight w:val="none"/>
              </w:rPr>
            </w:pPr>
            <w:r>
              <w:rPr>
                <w:rFonts w:hint="default" w:ascii="仿宋_GB2312" w:hAnsi="仿宋_GB2312" w:eastAsia="仿宋_GB2312" w:cs="仿宋_GB2312"/>
                <w:bCs/>
                <w:snapToGrid/>
                <w:color w:val="auto"/>
                <w:kern w:val="2"/>
                <w:sz w:val="24"/>
                <w:szCs w:val="24"/>
                <w:highlight w:val="none"/>
                <w:lang w:val="en-US" w:eastAsia="zh-CN"/>
              </w:rPr>
              <w:t>5.</w:t>
            </w:r>
            <w:r>
              <w:rPr>
                <w:rFonts w:hint="default" w:ascii="仿宋_GB2312" w:hAnsi="仿宋_GB2312" w:eastAsia="仿宋_GB2312" w:cs="仿宋_GB2312"/>
                <w:bCs/>
                <w:snapToGrid/>
                <w:color w:val="auto"/>
                <w:kern w:val="2"/>
                <w:sz w:val="24"/>
                <w:szCs w:val="24"/>
                <w:highlight w:val="none"/>
              </w:rPr>
              <w:t>“★”标注的功能、参数，在供货时采购人可进行核验，核验结果不满足投标文件相应内容，采购人有权拒收货物，解除合同，并追究相应违约责任;同时涉嫌虚假响应、虚假应标并上报相关部门进行处理。由此造成采购人的经济损失全部由中标人承担赔偿。</w:t>
            </w:r>
          </w:p>
          <w:p w14:paraId="3BF4F51B">
            <w:pPr>
              <w:pStyle w:val="9"/>
              <w:numPr>
                <w:ilvl w:val="-1"/>
                <w:numId w:val="0"/>
              </w:numPr>
              <w:spacing w:line="440" w:lineRule="exact"/>
              <w:ind w:left="0" w:firstLine="0"/>
              <w:rPr>
                <w:rFonts w:hint="default" w:eastAsia="仿宋_GB2312"/>
                <w:color w:val="auto"/>
                <w:highlight w:val="none"/>
                <w:lang w:val="en-US" w:eastAsia="zh-CN"/>
              </w:rPr>
            </w:pPr>
            <w:r>
              <w:rPr>
                <w:rFonts w:ascii="仿宋_GB2312" w:hAnsi="仿宋_GB2312" w:eastAsia="仿宋_GB2312" w:cs="仿宋_GB2312"/>
                <w:bCs/>
                <w:snapToGrid/>
                <w:color w:val="auto"/>
                <w:spacing w:val="0"/>
                <w:kern w:val="2"/>
                <w:sz w:val="24"/>
                <w:szCs w:val="24"/>
                <w:highlight w:val="none"/>
              </w:rPr>
              <w:t>6.投标人应具备为本项目服务的安装管理团队。</w:t>
            </w:r>
          </w:p>
        </w:tc>
      </w:tr>
      <w:tr w14:paraId="0C80A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14:paraId="61DD8F55">
            <w:pPr>
              <w:spacing w:line="440" w:lineRule="exact"/>
              <w:jc w:val="left"/>
              <w:rPr>
                <w:rFonts w:hint="eastAsia" w:ascii="等线" w:hAnsi="等线" w:eastAsia="仿宋_GB2312" w:cs="Arial"/>
                <w:bCs/>
                <w:color w:val="auto"/>
                <w:sz w:val="24"/>
                <w:highlight w:val="none"/>
                <w:lang w:val="en-GB"/>
              </w:rPr>
            </w:pPr>
            <w:r>
              <w:rPr>
                <w:rFonts w:ascii="仿宋_GB2312" w:hAnsi="仿宋_GB2312" w:eastAsia="仿宋_GB2312" w:cs="仿宋_GB2312"/>
                <w:color w:val="auto"/>
                <w:sz w:val="24"/>
                <w:highlight w:val="none"/>
              </w:rPr>
              <w:t>质量保证期</w:t>
            </w:r>
          </w:p>
        </w:tc>
        <w:tc>
          <w:tcPr>
            <w:tcW w:w="7763" w:type="dxa"/>
            <w:vAlign w:val="center"/>
          </w:tcPr>
          <w:p w14:paraId="143A709E">
            <w:pPr>
              <w:spacing w:line="440" w:lineRule="exact"/>
              <w:jc w:val="left"/>
              <w:rPr>
                <w:rFonts w:hint="eastAsia" w:ascii="仿宋_GB2312" w:hAnsi="仿宋_GB2312" w:eastAsia="仿宋_GB2312" w:cs="仿宋_GB2312"/>
                <w:bCs/>
                <w:color w:val="auto"/>
                <w:sz w:val="24"/>
                <w:highlight w:val="none"/>
              </w:rPr>
            </w:pPr>
            <w:r>
              <w:rPr>
                <w:rFonts w:hint="default" w:ascii="仿宋_GB2312" w:hAnsi="仿宋_GB2312" w:eastAsia="仿宋_GB2312" w:cs="仿宋_GB2312"/>
                <w:bCs/>
                <w:color w:val="auto"/>
                <w:sz w:val="24"/>
                <w:highlight w:val="none"/>
              </w:rPr>
              <w:t>自验收合格后交付使用之日起</w:t>
            </w:r>
            <w:r>
              <w:rPr>
                <w:rFonts w:hint="default" w:ascii="仿宋_GB2312" w:hAnsi="仿宋_GB2312" w:eastAsia="仿宋_GB2312" w:cs="仿宋_GB2312"/>
                <w:bCs/>
                <w:color w:val="auto"/>
                <w:sz w:val="24"/>
                <w:highlight w:val="none"/>
                <w:lang w:val="en-US" w:eastAsia="zh-CN"/>
              </w:rPr>
              <w:t>3</w:t>
            </w:r>
            <w:r>
              <w:rPr>
                <w:rFonts w:hint="default" w:ascii="仿宋_GB2312" w:hAnsi="仿宋_GB2312" w:eastAsia="仿宋_GB2312" w:cs="仿宋_GB2312"/>
                <w:bCs/>
                <w:color w:val="auto"/>
                <w:sz w:val="24"/>
                <w:highlight w:val="none"/>
              </w:rPr>
              <w:t>年。</w:t>
            </w:r>
            <w:r>
              <w:rPr>
                <w:rFonts w:hint="default" w:ascii="仿宋_GB2312" w:hAnsi="仿宋_GB2312" w:eastAsia="仿宋_GB2312" w:cs="仿宋_GB2312"/>
                <w:bCs/>
                <w:color w:val="auto"/>
                <w:sz w:val="24"/>
                <w:szCs w:val="24"/>
                <w:highlight w:val="none"/>
                <w:lang w:eastAsia="zh-CN"/>
              </w:rPr>
              <w:t>“</w:t>
            </w:r>
            <w:r>
              <w:rPr>
                <w:rFonts w:hint="default" w:ascii="仿宋_GB2312" w:hAnsi="仿宋_GB2312" w:eastAsia="仿宋_GB2312" w:cs="仿宋_GB2312"/>
                <w:bCs/>
                <w:color w:val="auto"/>
                <w:sz w:val="24"/>
                <w:szCs w:val="24"/>
                <w:highlight w:val="none"/>
              </w:rPr>
              <w:t>一、项目技术规格参数及要求</w:t>
            </w:r>
            <w:r>
              <w:rPr>
                <w:rFonts w:hint="default" w:ascii="仿宋_GB2312" w:hAnsi="仿宋_GB2312" w:eastAsia="仿宋_GB2312" w:cs="仿宋_GB2312"/>
                <w:bCs/>
                <w:color w:val="auto"/>
                <w:sz w:val="24"/>
                <w:szCs w:val="24"/>
                <w:highlight w:val="none"/>
                <w:lang w:eastAsia="zh-CN"/>
              </w:rPr>
              <w:t>”中另有要求的，按“</w:t>
            </w:r>
            <w:r>
              <w:rPr>
                <w:rFonts w:hint="default" w:ascii="仿宋_GB2312" w:hAnsi="仿宋_GB2312" w:eastAsia="仿宋_GB2312" w:cs="仿宋_GB2312"/>
                <w:bCs/>
                <w:color w:val="auto"/>
                <w:sz w:val="24"/>
                <w:szCs w:val="24"/>
                <w:highlight w:val="none"/>
              </w:rPr>
              <w:t>一、项目技术规格参数及要求</w:t>
            </w:r>
            <w:r>
              <w:rPr>
                <w:rFonts w:hint="default" w:ascii="仿宋_GB2312" w:hAnsi="仿宋_GB2312" w:eastAsia="仿宋_GB2312" w:cs="仿宋_GB2312"/>
                <w:bCs/>
                <w:color w:val="auto"/>
                <w:sz w:val="24"/>
                <w:szCs w:val="24"/>
                <w:highlight w:val="none"/>
                <w:lang w:eastAsia="zh-CN"/>
              </w:rPr>
              <w:t>”要求</w:t>
            </w:r>
            <w:r>
              <w:rPr>
                <w:rFonts w:hint="default" w:ascii="仿宋_GB2312" w:hAnsi="仿宋_GB2312" w:eastAsia="仿宋_GB2312" w:cs="仿宋_GB2312"/>
                <w:bCs/>
                <w:color w:val="auto"/>
                <w:sz w:val="24"/>
                <w:szCs w:val="24"/>
                <w:highlight w:val="none"/>
              </w:rPr>
              <w:t>执行。</w:t>
            </w:r>
          </w:p>
        </w:tc>
      </w:tr>
      <w:tr w14:paraId="50A3A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14:paraId="1474B61F">
            <w:pPr>
              <w:spacing w:line="440" w:lineRule="exact"/>
              <w:jc w:val="left"/>
              <w:rPr>
                <w:rFonts w:hint="eastAsia" w:ascii="等线" w:hAnsi="等线" w:eastAsia="仿宋_GB2312" w:cs="Arial"/>
                <w:bCs/>
                <w:color w:val="auto"/>
                <w:sz w:val="24"/>
                <w:highlight w:val="none"/>
                <w:lang w:val="en-GB"/>
              </w:rPr>
            </w:pPr>
            <w:r>
              <w:rPr>
                <w:rFonts w:ascii="仿宋_GB2312" w:hAnsi="仿宋_GB2312" w:eastAsia="仿宋_GB2312" w:cs="仿宋_GB2312"/>
                <w:color w:val="auto"/>
                <w:sz w:val="24"/>
                <w:highlight w:val="none"/>
              </w:rPr>
              <w:t>售后服务要求</w:t>
            </w:r>
          </w:p>
        </w:tc>
        <w:tc>
          <w:tcPr>
            <w:tcW w:w="7763" w:type="dxa"/>
            <w:vAlign w:val="center"/>
          </w:tcPr>
          <w:p w14:paraId="4EB9D88A">
            <w:pPr>
              <w:spacing w:line="440" w:lineRule="exact"/>
              <w:jc w:val="left"/>
              <w:rPr>
                <w:rFonts w:hint="eastAsia" w:ascii="仿宋_GB2312" w:hAnsi="仿宋_GB2312" w:eastAsia="仿宋_GB2312" w:cs="仿宋_GB2312"/>
                <w:bCs/>
                <w:color w:val="auto"/>
                <w:sz w:val="24"/>
                <w:highlight w:val="none"/>
              </w:rPr>
            </w:pPr>
            <w:r>
              <w:rPr>
                <w:rFonts w:ascii="仿宋_GB2312" w:hAnsi="仿宋_GB2312" w:eastAsia="仿宋_GB2312" w:cs="仿宋_GB2312"/>
                <w:bCs/>
                <w:color w:val="auto"/>
                <w:sz w:val="24"/>
                <w:highlight w:val="none"/>
              </w:rPr>
              <w:t>1.投标产品必须是按厂家标准配置的整套全新产品，按国家规定实行“三包”，免费送货上门、免费安装调试（附安装说明书）及人员培训，培训后采购人可熟悉基本操作； 
</w:t>
            </w:r>
            <w:r>
              <w:rPr>
                <w:rFonts w:ascii="仿宋_GB2312" w:hAnsi="仿宋_GB2312" w:eastAsia="仿宋_GB2312" w:cs="仿宋_GB2312"/>
                <w:bCs/>
                <w:color w:val="auto"/>
                <w:sz w:val="24"/>
                <w:highlight w:val="none"/>
              </w:rPr>
              <w:br w:type="textWrapping"/>
            </w:r>
            <w:r>
              <w:rPr>
                <w:rFonts w:ascii="仿宋_GB2312" w:hAnsi="仿宋_GB2312" w:eastAsia="仿宋_GB2312" w:cs="仿宋_GB2312"/>
                <w:bCs/>
                <w:color w:val="auto"/>
                <w:sz w:val="24"/>
                <w:highlight w:val="none"/>
              </w:rPr>
              <w:t>2.故障处理：提供7*24小时维修服务，并提供售后服务电话，出现故障应在接到故障通知起</w:t>
            </w:r>
            <w:r>
              <w:rPr>
                <w:rFonts w:hint="eastAsia" w:ascii="仿宋_GB2312" w:hAnsi="仿宋_GB2312" w:eastAsia="仿宋_GB2312" w:cs="仿宋_GB2312"/>
                <w:bCs/>
                <w:color w:val="auto"/>
                <w:sz w:val="24"/>
                <w:highlight w:val="none"/>
                <w:lang w:val="en-US" w:eastAsia="zh-CN"/>
              </w:rPr>
              <w:t>2</w:t>
            </w:r>
            <w:r>
              <w:rPr>
                <w:rFonts w:ascii="仿宋_GB2312" w:hAnsi="仿宋_GB2312" w:eastAsia="仿宋_GB2312" w:cs="仿宋_GB2312"/>
                <w:bCs/>
                <w:color w:val="auto"/>
                <w:sz w:val="24"/>
                <w:highlight w:val="none"/>
              </w:rPr>
              <w:t>小时内响应，一般问题</w:t>
            </w:r>
            <w:r>
              <w:rPr>
                <w:rFonts w:hint="eastAsia" w:ascii="仿宋_GB2312" w:hAnsi="仿宋_GB2312" w:eastAsia="仿宋_GB2312" w:cs="仿宋_GB2312"/>
                <w:bCs/>
                <w:color w:val="auto"/>
                <w:sz w:val="24"/>
                <w:highlight w:val="none"/>
                <w:lang w:val="en-US" w:eastAsia="zh-CN"/>
              </w:rPr>
              <w:t>4</w:t>
            </w:r>
            <w:r>
              <w:rPr>
                <w:rFonts w:ascii="仿宋_GB2312" w:hAnsi="仿宋_GB2312" w:eastAsia="仿宋_GB2312" w:cs="仿宋_GB2312"/>
                <w:bCs/>
                <w:color w:val="auto"/>
                <w:sz w:val="24"/>
                <w:highlight w:val="none"/>
              </w:rPr>
              <w:t>小时内通过远程方式解决；遇到大的问题，在接到报修通知后</w:t>
            </w:r>
            <w:r>
              <w:rPr>
                <w:rFonts w:hint="eastAsia" w:ascii="仿宋_GB2312" w:hAnsi="仿宋_GB2312" w:eastAsia="仿宋_GB2312" w:cs="仿宋_GB2312"/>
                <w:bCs/>
                <w:color w:val="auto"/>
                <w:sz w:val="24"/>
                <w:highlight w:val="none"/>
                <w:lang w:val="en-US" w:eastAsia="zh-CN"/>
              </w:rPr>
              <w:t>24</w:t>
            </w:r>
            <w:r>
              <w:rPr>
                <w:rFonts w:ascii="仿宋_GB2312" w:hAnsi="仿宋_GB2312" w:eastAsia="仿宋_GB2312" w:cs="仿宋_GB2312"/>
                <w:bCs/>
                <w:color w:val="auto"/>
                <w:sz w:val="24"/>
                <w:highlight w:val="none"/>
              </w:rPr>
              <w:t>小时内派技术人员到达现场维修，故障修复时限不超过</w:t>
            </w:r>
            <w:r>
              <w:rPr>
                <w:rFonts w:hint="eastAsia" w:ascii="仿宋_GB2312" w:hAnsi="仿宋_GB2312" w:eastAsia="仿宋_GB2312" w:cs="仿宋_GB2312"/>
                <w:bCs/>
                <w:color w:val="auto"/>
                <w:sz w:val="24"/>
                <w:highlight w:val="none"/>
                <w:lang w:val="en-US" w:eastAsia="zh-CN"/>
              </w:rPr>
              <w:t>72</w:t>
            </w:r>
            <w:r>
              <w:rPr>
                <w:rFonts w:ascii="仿宋_GB2312" w:hAnsi="仿宋_GB2312" w:eastAsia="仿宋_GB2312" w:cs="仿宋_GB2312"/>
                <w:bCs/>
                <w:color w:val="auto"/>
                <w:sz w:val="24"/>
                <w:highlight w:val="none"/>
              </w:rPr>
              <w:t>小时,如超过时限无法排除故障，免费提供同等质量的产品作为备用品供采购人使用，直到修复完成。教师台式机和网络教室教师机、网络教室学生机按“一、项目技术规格参数及要求”执行。
</w:t>
            </w:r>
            <w:r>
              <w:rPr>
                <w:rFonts w:ascii="仿宋_GB2312" w:hAnsi="仿宋_GB2312" w:eastAsia="仿宋_GB2312" w:cs="仿宋_GB2312"/>
                <w:bCs/>
                <w:color w:val="auto"/>
                <w:sz w:val="24"/>
                <w:highlight w:val="none"/>
              </w:rPr>
              <w:br w:type="textWrapping"/>
            </w:r>
            <w:r>
              <w:rPr>
                <w:rFonts w:ascii="仿宋_GB2312" w:hAnsi="仿宋_GB2312" w:eastAsia="仿宋_GB2312" w:cs="仿宋_GB2312"/>
                <w:bCs/>
                <w:color w:val="auto"/>
                <w:sz w:val="24"/>
                <w:highlight w:val="none"/>
              </w:rPr>
              <w:t>3.质量保证期内免费提供维修服务（含人工费、配件费、差旅费等各项费用），所更换的所有零配件全部使用原厂配件；保修期以外一律按投标文件承诺的优惠价收费，提供终身上门维修服务。</w:t>
            </w:r>
          </w:p>
        </w:tc>
      </w:tr>
      <w:tr w14:paraId="1D3D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14:paraId="6877B1AE">
            <w:pPr>
              <w:spacing w:line="440" w:lineRule="exact"/>
              <w:jc w:val="left"/>
              <w:rPr>
                <w:rFonts w:hint="eastAsia" w:ascii="等线" w:hAnsi="等线" w:eastAsia="仿宋_GB2312" w:cs="Arial"/>
                <w:bCs/>
                <w:color w:val="auto"/>
                <w:sz w:val="24"/>
                <w:highlight w:val="none"/>
                <w:lang w:val="en-GB"/>
              </w:rPr>
            </w:pPr>
            <w:r>
              <w:rPr>
                <w:rFonts w:ascii="仿宋_GB2312" w:hAnsi="仿宋_GB2312" w:eastAsia="仿宋_GB2312" w:cs="仿宋_GB2312"/>
                <w:color w:val="auto"/>
                <w:sz w:val="24"/>
                <w:highlight w:val="none"/>
              </w:rPr>
              <w:t>交货时间及地点</w:t>
            </w:r>
          </w:p>
        </w:tc>
        <w:tc>
          <w:tcPr>
            <w:tcW w:w="7763" w:type="dxa"/>
            <w:vAlign w:val="center"/>
          </w:tcPr>
          <w:p w14:paraId="2EEFE7B0">
            <w:pPr>
              <w:spacing w:line="440" w:lineRule="exact"/>
              <w:jc w:val="left"/>
              <w:rPr>
                <w:rFonts w:hint="eastAsia" w:ascii="仿宋_GB2312" w:hAnsi="仿宋_GB2312" w:eastAsia="仿宋_GB2312" w:cs="仿宋_GB2312"/>
                <w:bCs/>
                <w:color w:val="auto"/>
                <w:sz w:val="24"/>
                <w:highlight w:val="none"/>
              </w:rPr>
            </w:pPr>
            <w:r>
              <w:rPr>
                <w:rFonts w:ascii="仿宋_GB2312" w:hAnsi="仿宋_GB2312" w:eastAsia="仿宋_GB2312" w:cs="仿宋_GB2312"/>
                <w:bCs/>
                <w:color w:val="auto"/>
                <w:sz w:val="24"/>
                <w:highlight w:val="none"/>
              </w:rPr>
              <w:t>1.交货时间：自签订合同之日起</w:t>
            </w:r>
            <w:r>
              <w:rPr>
                <w:rFonts w:hint="eastAsia" w:ascii="仿宋_GB2312" w:hAnsi="仿宋_GB2312" w:eastAsia="仿宋_GB2312" w:cs="仿宋_GB2312"/>
                <w:bCs/>
                <w:color w:val="auto"/>
                <w:sz w:val="24"/>
                <w:highlight w:val="none"/>
                <w:lang w:val="en-US" w:eastAsia="zh-CN"/>
              </w:rPr>
              <w:t>30</w:t>
            </w:r>
            <w:r>
              <w:rPr>
                <w:rFonts w:ascii="仿宋_GB2312" w:hAnsi="仿宋_GB2312" w:eastAsia="仿宋_GB2312" w:cs="仿宋_GB2312"/>
                <w:bCs/>
                <w:color w:val="auto"/>
                <w:sz w:val="24"/>
                <w:highlight w:val="none"/>
              </w:rPr>
              <w:t>日内安装调试完毕，验收合格并交付使用；
</w:t>
            </w:r>
            <w:r>
              <w:rPr>
                <w:rFonts w:ascii="仿宋_GB2312" w:hAnsi="仿宋_GB2312" w:eastAsia="仿宋_GB2312" w:cs="仿宋_GB2312"/>
                <w:bCs/>
                <w:color w:val="auto"/>
                <w:sz w:val="24"/>
                <w:highlight w:val="none"/>
              </w:rPr>
              <w:br w:type="textWrapping"/>
            </w:r>
            <w:r>
              <w:rPr>
                <w:rFonts w:ascii="仿宋_GB2312" w:hAnsi="仿宋_GB2312" w:eastAsia="仿宋_GB2312" w:cs="仿宋_GB2312"/>
                <w:bCs/>
                <w:color w:val="auto"/>
                <w:sz w:val="24"/>
                <w:highlight w:val="none"/>
              </w:rPr>
              <w:t>2.交货地点：广西柳州市</w:t>
            </w:r>
            <w:r>
              <w:rPr>
                <w:rFonts w:hint="eastAsia" w:ascii="仿宋_GB2312" w:hAnsi="仿宋_GB2312" w:eastAsia="仿宋_GB2312" w:cs="仿宋_GB2312"/>
                <w:bCs/>
                <w:color w:val="auto"/>
                <w:sz w:val="24"/>
                <w:highlight w:val="none"/>
                <w:lang w:val="en-US" w:eastAsia="zh-CN"/>
              </w:rPr>
              <w:t>区</w:t>
            </w:r>
            <w:r>
              <w:rPr>
                <w:rFonts w:ascii="仿宋_GB2312" w:hAnsi="仿宋_GB2312" w:eastAsia="仿宋_GB2312" w:cs="仿宋_GB2312"/>
                <w:bCs/>
                <w:color w:val="auto"/>
                <w:sz w:val="24"/>
                <w:highlight w:val="none"/>
              </w:rPr>
              <w:t>内采购人指定地点。</w:t>
            </w:r>
          </w:p>
        </w:tc>
      </w:tr>
      <w:tr w14:paraId="1D2A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14:paraId="409139E5">
            <w:pPr>
              <w:spacing w:line="440" w:lineRule="exact"/>
              <w:jc w:val="left"/>
              <w:rPr>
                <w:rFonts w:hint="eastAsia" w:ascii="等线" w:hAnsi="等线" w:eastAsia="仿宋_GB2312" w:cs="Arial"/>
                <w:bCs/>
                <w:color w:val="auto"/>
                <w:sz w:val="24"/>
                <w:highlight w:val="none"/>
                <w:lang w:val="en-GB"/>
              </w:rPr>
            </w:pPr>
            <w:r>
              <w:rPr>
                <w:rFonts w:ascii="仿宋_GB2312" w:hAnsi="仿宋_GB2312" w:eastAsia="仿宋_GB2312" w:cs="仿宋_GB2312"/>
                <w:color w:val="auto"/>
                <w:sz w:val="24"/>
                <w:highlight w:val="none"/>
              </w:rPr>
              <w:t>付款方式</w:t>
            </w:r>
          </w:p>
        </w:tc>
        <w:tc>
          <w:tcPr>
            <w:tcW w:w="7763" w:type="dxa"/>
            <w:vAlign w:val="center"/>
          </w:tcPr>
          <w:p w14:paraId="7AB45EFA">
            <w:pPr>
              <w:spacing w:line="440" w:lineRule="exact"/>
              <w:jc w:val="left"/>
              <w:rPr>
                <w:rFonts w:hint="eastAsia" w:ascii="仿宋_GB2312" w:hAnsi="仿宋_GB2312" w:eastAsia="仿宋_GB2312" w:cs="仿宋_GB2312"/>
                <w:bCs/>
                <w:color w:val="auto"/>
                <w:sz w:val="24"/>
                <w:highlight w:val="none"/>
              </w:rPr>
            </w:pPr>
            <w:r>
              <w:rPr>
                <w:rFonts w:ascii="仿宋_GB2312" w:hAnsi="仿宋_GB2312" w:eastAsia="仿宋_GB2312" w:cs="仿宋_GB2312"/>
                <w:bCs/>
                <w:color w:val="auto"/>
                <w:sz w:val="24"/>
                <w:highlight w:val="none"/>
              </w:rPr>
              <w:t>财政性资金按财政国库集中支付规定程序办理。</w:t>
            </w:r>
            <w:r>
              <w:rPr>
                <w:rFonts w:hint="eastAsia" w:ascii="仿宋_GB2312" w:hAnsi="仿宋_GB2312" w:eastAsia="仿宋_GB2312" w:cs="仿宋_GB2312"/>
                <w:bCs/>
                <w:color w:val="auto"/>
                <w:sz w:val="24"/>
                <w:highlight w:val="none"/>
              </w:rPr>
              <w:t>本项目无预付款，货物全部到货完毕，货物验收合格</w:t>
            </w:r>
            <w:r>
              <w:rPr>
                <w:rFonts w:hint="eastAsia" w:ascii="仿宋_GB2312" w:hAnsi="仿宋_GB2312" w:eastAsia="仿宋_GB2312" w:cs="仿宋_GB2312"/>
                <w:bCs/>
                <w:color w:val="auto"/>
                <w:sz w:val="24"/>
                <w:highlight w:val="none"/>
                <w:lang w:eastAsia="zh-CN"/>
              </w:rPr>
              <w:t>后</w:t>
            </w:r>
            <w:r>
              <w:rPr>
                <w:rFonts w:hint="eastAsia" w:ascii="仿宋_GB2312" w:hAnsi="仿宋_GB2312" w:eastAsia="仿宋_GB2312" w:cs="仿宋_GB2312"/>
                <w:bCs/>
                <w:color w:val="auto"/>
                <w:sz w:val="24"/>
                <w:highlight w:val="none"/>
              </w:rPr>
              <w:t>，采购人在收到中标人开具的合同</w:t>
            </w:r>
            <w:r>
              <w:rPr>
                <w:rFonts w:hint="eastAsia" w:ascii="仿宋_GB2312" w:hAnsi="仿宋_GB2312" w:eastAsia="仿宋_GB2312" w:cs="仿宋_GB2312"/>
                <w:bCs/>
                <w:color w:val="auto"/>
                <w:sz w:val="24"/>
                <w:highlight w:val="none"/>
                <w:lang w:val="en-US" w:eastAsia="zh-CN"/>
              </w:rPr>
              <w:t>总</w:t>
            </w:r>
            <w:r>
              <w:rPr>
                <w:rFonts w:hint="eastAsia" w:ascii="仿宋_GB2312" w:hAnsi="仿宋_GB2312" w:eastAsia="仿宋_GB2312" w:cs="仿宋_GB2312"/>
                <w:bCs/>
                <w:color w:val="auto"/>
                <w:sz w:val="24"/>
                <w:highlight w:val="none"/>
              </w:rPr>
              <w:t>价</w:t>
            </w:r>
            <w:r>
              <w:rPr>
                <w:rFonts w:hint="eastAsia" w:ascii="仿宋_GB2312" w:hAnsi="仿宋_GB2312" w:eastAsia="仿宋_GB2312" w:cs="仿宋_GB2312"/>
                <w:bCs/>
                <w:color w:val="auto"/>
                <w:sz w:val="24"/>
                <w:highlight w:val="none"/>
                <w:lang w:eastAsia="zh-CN"/>
              </w:rPr>
              <w:t>款的</w:t>
            </w:r>
            <w:r>
              <w:rPr>
                <w:rFonts w:hint="eastAsia" w:ascii="仿宋_GB2312" w:hAnsi="仿宋_GB2312" w:eastAsia="仿宋_GB2312" w:cs="仿宋_GB2312"/>
                <w:bCs/>
                <w:color w:val="auto"/>
                <w:sz w:val="24"/>
                <w:highlight w:val="none"/>
                <w:lang w:val="en-US" w:eastAsia="zh-CN"/>
              </w:rPr>
              <w:t>40%</w:t>
            </w:r>
            <w:r>
              <w:rPr>
                <w:rFonts w:hint="eastAsia" w:ascii="仿宋_GB2312" w:hAnsi="仿宋_GB2312" w:eastAsia="仿宋_GB2312" w:cs="仿宋_GB2312"/>
                <w:bCs/>
                <w:color w:val="auto"/>
                <w:sz w:val="24"/>
                <w:highlight w:val="none"/>
              </w:rPr>
              <w:t>增值税专用发票之日起10个工作日内向中标人指定账户支付合同</w:t>
            </w:r>
            <w:r>
              <w:rPr>
                <w:rFonts w:hint="eastAsia" w:ascii="仿宋_GB2312" w:hAnsi="仿宋_GB2312" w:eastAsia="仿宋_GB2312" w:cs="仿宋_GB2312"/>
                <w:bCs/>
                <w:color w:val="auto"/>
                <w:sz w:val="24"/>
                <w:highlight w:val="none"/>
                <w:lang w:eastAsia="zh-CN"/>
              </w:rPr>
              <w:t>总</w:t>
            </w:r>
            <w:r>
              <w:rPr>
                <w:rFonts w:hint="eastAsia" w:ascii="仿宋_GB2312" w:hAnsi="仿宋_GB2312" w:eastAsia="仿宋_GB2312" w:cs="仿宋_GB2312"/>
                <w:bCs/>
                <w:color w:val="auto"/>
                <w:sz w:val="24"/>
                <w:highlight w:val="none"/>
              </w:rPr>
              <w:t>价款的40%；全部安装、调试完毕，项目整体交付使用并通过最终验收合格</w:t>
            </w:r>
            <w:r>
              <w:rPr>
                <w:rFonts w:hint="eastAsia" w:ascii="仿宋_GB2312" w:hAnsi="仿宋_GB2312" w:eastAsia="仿宋_GB2312" w:cs="仿宋_GB2312"/>
                <w:bCs/>
                <w:color w:val="auto"/>
                <w:sz w:val="24"/>
                <w:highlight w:val="none"/>
                <w:lang w:eastAsia="zh-CN"/>
              </w:rPr>
              <w:t>后，</w:t>
            </w:r>
            <w:r>
              <w:rPr>
                <w:rFonts w:hint="eastAsia" w:ascii="仿宋_GB2312" w:hAnsi="仿宋_GB2312" w:eastAsia="仿宋_GB2312" w:cs="仿宋_GB2312"/>
                <w:bCs/>
                <w:color w:val="auto"/>
                <w:sz w:val="24"/>
                <w:highlight w:val="none"/>
              </w:rPr>
              <w:t>采购人在收到中标人开具的合同总价</w:t>
            </w:r>
            <w:r>
              <w:rPr>
                <w:rFonts w:hint="eastAsia" w:ascii="仿宋_GB2312" w:hAnsi="仿宋_GB2312" w:eastAsia="仿宋_GB2312" w:cs="仿宋_GB2312"/>
                <w:bCs/>
                <w:color w:val="auto"/>
                <w:sz w:val="24"/>
                <w:highlight w:val="none"/>
                <w:lang w:eastAsia="zh-CN"/>
              </w:rPr>
              <w:t>款</w:t>
            </w:r>
            <w:r>
              <w:rPr>
                <w:rFonts w:hint="eastAsia" w:ascii="仿宋_GB2312" w:hAnsi="仿宋_GB2312" w:eastAsia="仿宋_GB2312" w:cs="仿宋_GB2312"/>
                <w:bCs/>
                <w:color w:val="auto"/>
                <w:sz w:val="24"/>
                <w:highlight w:val="none"/>
                <w:lang w:val="en-US" w:eastAsia="zh-CN"/>
              </w:rPr>
              <w:t>60%</w:t>
            </w:r>
            <w:r>
              <w:rPr>
                <w:rFonts w:hint="eastAsia" w:ascii="仿宋_GB2312" w:hAnsi="仿宋_GB2312" w:eastAsia="仿宋_GB2312" w:cs="仿宋_GB2312"/>
                <w:bCs/>
                <w:color w:val="auto"/>
                <w:sz w:val="24"/>
                <w:highlight w:val="none"/>
              </w:rPr>
              <w:t>增值税专用发票之日起10个工作日内向中标人指定账户支付合同</w:t>
            </w:r>
            <w:r>
              <w:rPr>
                <w:rFonts w:hint="eastAsia" w:ascii="仿宋_GB2312" w:hAnsi="仿宋_GB2312" w:eastAsia="仿宋_GB2312" w:cs="仿宋_GB2312"/>
                <w:bCs/>
                <w:color w:val="auto"/>
                <w:sz w:val="24"/>
                <w:highlight w:val="none"/>
                <w:lang w:eastAsia="zh-CN"/>
              </w:rPr>
              <w:t>总</w:t>
            </w:r>
            <w:r>
              <w:rPr>
                <w:rFonts w:hint="eastAsia" w:ascii="仿宋_GB2312" w:hAnsi="仿宋_GB2312" w:eastAsia="仿宋_GB2312" w:cs="仿宋_GB2312"/>
                <w:bCs/>
                <w:color w:val="auto"/>
                <w:sz w:val="24"/>
                <w:highlight w:val="none"/>
              </w:rPr>
              <w:t>价款的60%。（不计利息）。</w:t>
            </w:r>
          </w:p>
          <w:p w14:paraId="3FBC1A56">
            <w:pPr>
              <w:spacing w:line="440" w:lineRule="exact"/>
              <w:jc w:val="left"/>
              <w:rPr>
                <w:rFonts w:hint="eastAsia" w:ascii="仿宋_GB2312" w:hAnsi="仿宋_GB2312" w:eastAsia="仿宋_GB2312" w:cs="仿宋_GB2312"/>
                <w:bCs/>
                <w:color w:val="auto"/>
                <w:sz w:val="24"/>
                <w:highlight w:val="none"/>
              </w:rPr>
            </w:pPr>
            <w:r>
              <w:rPr>
                <w:rFonts w:ascii="仿宋_GB2312" w:hAnsi="仿宋_GB2312" w:eastAsia="仿宋_GB2312" w:cs="仿宋_GB2312"/>
                <w:b/>
                <w:bCs w:val="0"/>
                <w:color w:val="auto"/>
                <w:sz w:val="24"/>
                <w:highlight w:val="none"/>
              </w:rPr>
              <w:t>注：资金支付等事项按照《保障中小企业款项支付条例》（国务院令第802号）、《广西壮族自治区财政厅关于持续优化政府采购营商环境推动高质量发展的通知》等要求执行。</w:t>
            </w:r>
          </w:p>
        </w:tc>
      </w:tr>
      <w:tr w14:paraId="695C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14:paraId="1F69CEFE">
            <w:pPr>
              <w:spacing w:line="440" w:lineRule="exact"/>
              <w:jc w:val="left"/>
              <w:rPr>
                <w:rFonts w:hint="eastAsia" w:ascii="等线" w:hAnsi="等线" w:eastAsia="仿宋_GB2312" w:cs="Arial"/>
                <w:bCs/>
                <w:color w:val="auto"/>
                <w:sz w:val="24"/>
                <w:highlight w:val="none"/>
                <w:lang w:val="en-GB"/>
              </w:rPr>
            </w:pPr>
            <w:r>
              <w:rPr>
                <w:rFonts w:ascii="仿宋_GB2312" w:hAnsi="仿宋_GB2312" w:eastAsia="仿宋_GB2312" w:cs="仿宋_GB2312"/>
                <w:color w:val="auto"/>
                <w:sz w:val="24"/>
                <w:highlight w:val="none"/>
              </w:rPr>
              <w:t>备品备件及耗材等要求</w:t>
            </w:r>
          </w:p>
        </w:tc>
        <w:tc>
          <w:tcPr>
            <w:tcW w:w="7763" w:type="dxa"/>
            <w:vAlign w:val="center"/>
          </w:tcPr>
          <w:p w14:paraId="1487C3FE">
            <w:pPr>
              <w:spacing w:line="440" w:lineRule="exact"/>
              <w:jc w:val="left"/>
              <w:rPr>
                <w:rFonts w:hint="eastAsia" w:ascii="仿宋_GB2312" w:hAnsi="仿宋_GB2312" w:eastAsia="仿宋_GB2312" w:cs="仿宋_GB2312"/>
                <w:bCs/>
                <w:color w:val="auto"/>
                <w:sz w:val="24"/>
                <w:highlight w:val="none"/>
              </w:rPr>
            </w:pPr>
            <w:r>
              <w:rPr>
                <w:rFonts w:ascii="仿宋_GB2312" w:hAnsi="仿宋_GB2312" w:eastAsia="仿宋_GB2312" w:cs="仿宋_GB2312"/>
                <w:bCs/>
                <w:color w:val="auto"/>
                <w:sz w:val="24"/>
                <w:highlight w:val="none"/>
              </w:rPr>
              <w:t>1.投标人所提供零部件、配件及安装材料必须是符合国家规定质量安全标准的全新、合格产品；该项费用应包含在报价中；
</w:t>
            </w:r>
            <w:r>
              <w:rPr>
                <w:rFonts w:ascii="仿宋_GB2312" w:hAnsi="仿宋_GB2312" w:eastAsia="仿宋_GB2312" w:cs="仿宋_GB2312"/>
                <w:bCs/>
                <w:color w:val="auto"/>
                <w:sz w:val="24"/>
                <w:highlight w:val="none"/>
              </w:rPr>
              <w:br w:type="textWrapping"/>
            </w:r>
            <w:r>
              <w:rPr>
                <w:rFonts w:ascii="仿宋_GB2312" w:hAnsi="仿宋_GB2312" w:eastAsia="仿宋_GB2312" w:cs="仿宋_GB2312"/>
                <w:bCs/>
                <w:color w:val="auto"/>
                <w:sz w:val="24"/>
                <w:highlight w:val="none"/>
              </w:rPr>
              <w:t>2.投标人所提供完整的全套设备须包括必备的易损耗备件和专用工具；</w:t>
            </w:r>
            <w:r>
              <w:rPr>
                <w:rFonts w:ascii="仿宋_GB2312" w:hAnsi="仿宋_GB2312" w:eastAsia="仿宋_GB2312" w:cs="仿宋_GB2312"/>
                <w:bCs/>
                <w:color w:val="auto"/>
                <w:sz w:val="24"/>
                <w:highlight w:val="none"/>
              </w:rPr>
              <w:br w:type="textWrapping"/>
            </w:r>
            <w:r>
              <w:rPr>
                <w:rFonts w:ascii="仿宋_GB2312" w:hAnsi="仿宋_GB2312" w:eastAsia="仿宋_GB2312" w:cs="仿宋_GB2312"/>
                <w:bCs/>
                <w:color w:val="auto"/>
                <w:sz w:val="24"/>
                <w:highlight w:val="none"/>
              </w:rPr>
              <w:t>3.投标人必须有完善的备品备件库体系，质保期内能提供相应的免费的措施和配件，保证过质保期后五年内有足够的备品备件，为完成本项目技术支持、服务需求提供可靠保证。教师台式机和网络教室教师机、网络教室学生机按“一、项目技术规格参数及要求”执行。</w:t>
            </w:r>
          </w:p>
        </w:tc>
      </w:tr>
      <w:tr w14:paraId="5338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vAlign w:val="center"/>
          </w:tcPr>
          <w:p w14:paraId="058ED2C8">
            <w:pPr>
              <w:widowControl/>
              <w:spacing w:line="276" w:lineRule="auto"/>
              <w:jc w:val="left"/>
              <w:rPr>
                <w:rFonts w:ascii="仿宋_GB2312" w:eastAsia="仿宋_GB2312"/>
                <w:bCs/>
                <w:color w:val="auto"/>
                <w:sz w:val="24"/>
                <w:highlight w:val="none"/>
              </w:rPr>
            </w:pPr>
            <w:r>
              <w:rPr>
                <w:rFonts w:ascii="仿宋_GB2312" w:hAnsi="宋体" w:eastAsia="仿宋_GB2312" w:cs="宋体"/>
                <w:b/>
                <w:color w:val="auto"/>
                <w:kern w:val="0"/>
                <w:sz w:val="24"/>
                <w:highlight w:val="none"/>
              </w:rPr>
              <w:t>★</w:t>
            </w:r>
            <w:r>
              <w:rPr>
                <w:rFonts w:hint="eastAsia" w:ascii="仿宋_GB2312" w:hAnsi="宋体" w:eastAsia="仿宋_GB2312" w:cs="Arial"/>
                <w:b/>
                <w:bCs/>
                <w:color w:val="auto"/>
                <w:sz w:val="24"/>
                <w:highlight w:val="none"/>
              </w:rPr>
              <w:t>三、验收要求</w:t>
            </w:r>
          </w:p>
        </w:tc>
      </w:tr>
      <w:tr w14:paraId="38AD3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gridSpan w:val="2"/>
            <w:vAlign w:val="center"/>
          </w:tcPr>
          <w:p w14:paraId="469A4557">
            <w:pPr>
              <w:snapToGrid w:val="0"/>
              <w:spacing w:line="400" w:lineRule="exact"/>
              <w:jc w:val="center"/>
              <w:rPr>
                <w:rFonts w:hint="eastAsia" w:ascii="等线" w:hAnsi="等线" w:eastAsia="仿宋_GB2312" w:cs="Arial"/>
                <w:bCs/>
                <w:color w:val="auto"/>
                <w:sz w:val="24"/>
                <w:highlight w:val="none"/>
                <w:lang w:val="en-GB"/>
              </w:rPr>
            </w:pPr>
            <w:r>
              <w:rPr>
                <w:rFonts w:ascii="仿宋_GB2312" w:hAnsi="仿宋_GB2312" w:eastAsia="仿宋_GB2312" w:cs="仿宋_GB2312"/>
                <w:bCs/>
                <w:color w:val="auto"/>
                <w:sz w:val="24"/>
                <w:szCs w:val="21"/>
                <w:highlight w:val="none"/>
              </w:rPr>
              <w:t>验收标准及要求</w:t>
            </w:r>
          </w:p>
        </w:tc>
        <w:tc>
          <w:tcPr>
            <w:tcW w:w="7763" w:type="dxa"/>
            <w:vAlign w:val="center"/>
          </w:tcPr>
          <w:p w14:paraId="332E064D">
            <w:pPr>
              <w:spacing w:line="440" w:lineRule="exact"/>
              <w:ind w:right="0" w:rightChars="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1.符合国家强制性技术标准及有关规定；</w:t>
            </w:r>
          </w:p>
          <w:p w14:paraId="17D9B46C">
            <w:pPr>
              <w:spacing w:line="440" w:lineRule="exact"/>
              <w:ind w:right="0" w:rightChars="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2.交货验收时，采购人已委托监理单位提供监理服务的，参照柳政规〔2020〕7号《柳州市政府投资信息化项目管理办法》的通知，应由采购人、监理单位、中标人三方共同进行收货验收。必要时可委托国家认可的质量检测机构开展采购项目验收工作；</w:t>
            </w:r>
          </w:p>
          <w:p w14:paraId="4BE12A33">
            <w:pPr>
              <w:spacing w:line="440" w:lineRule="exact"/>
              <w:ind w:right="0" w:rightChars="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本项目因中标人提供的货物或服务不能满足采购需求的技术参数或其投标文件承诺等原因无法通过验收，造成不能按时、按质、按量完成项目要求的，将按照《中华人民共和国政府采购法》等法律法规由中标人承担相应的法律责任；</w:t>
            </w:r>
          </w:p>
          <w:p w14:paraId="12434758">
            <w:pPr>
              <w:spacing w:line="440" w:lineRule="exact"/>
              <w:ind w:right="0" w:rightChars="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4.中标人完成安装调试后，可向采购人提出初验申请，采购人可以进行累计运行时间不超过72小时的试运行，以确认所供货物功能参数、兼容性及稳定性符合标准达到初验条件；</w:t>
            </w:r>
          </w:p>
          <w:p w14:paraId="4DF2E758">
            <w:pPr>
              <w:spacing w:line="440" w:lineRule="exact"/>
              <w:ind w:right="0" w:rightChars="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5.中标人通过初验后向采购人提出最终验收申请，采购人组织聘请验收专家组（3</w:t>
            </w:r>
            <w:r>
              <w:rPr>
                <w:rFonts w:hint="eastAsia" w:ascii="仿宋_GB2312" w:hAnsi="仿宋_GB2312" w:eastAsia="仿宋_GB2312" w:cs="仿宋_GB2312"/>
                <w:bCs/>
                <w:color w:val="auto"/>
                <w:sz w:val="24"/>
                <w:highlight w:val="none"/>
                <w:lang w:eastAsia="zh-CN"/>
              </w:rPr>
              <w:t>—</w:t>
            </w:r>
            <w:r>
              <w:rPr>
                <w:rFonts w:hint="eastAsia" w:ascii="仿宋_GB2312" w:hAnsi="仿宋_GB2312" w:eastAsia="仿宋_GB2312" w:cs="仿宋_GB2312"/>
                <w:bCs/>
                <w:color w:val="auto"/>
                <w:sz w:val="24"/>
                <w:highlight w:val="none"/>
              </w:rPr>
              <w:t>5人）、监理单位、中标人共同进行验收工作；</w:t>
            </w:r>
          </w:p>
          <w:p w14:paraId="013978D9">
            <w:pPr>
              <w:spacing w:line="440" w:lineRule="exact"/>
              <w:ind w:right="0" w:rightChars="0"/>
              <w:jc w:val="left"/>
              <w:rPr>
                <w:rFonts w:hint="eastAsia" w:ascii="仿宋_GB2312" w:hAnsi="仿宋_GB2312" w:eastAsia="仿宋_GB2312" w:cs="仿宋_GB2312"/>
                <w:bCs/>
                <w:color w:val="auto"/>
                <w:sz w:val="24"/>
                <w:szCs w:val="21"/>
                <w:highlight w:val="none"/>
              </w:rPr>
            </w:pPr>
            <w:r>
              <w:rPr>
                <w:rFonts w:hint="eastAsia" w:ascii="仿宋_GB2312" w:hAnsi="仿宋_GB2312" w:eastAsia="仿宋_GB2312" w:cs="仿宋_GB2312"/>
                <w:bCs/>
                <w:color w:val="auto"/>
                <w:sz w:val="24"/>
                <w:highlight w:val="none"/>
              </w:rPr>
              <w:t xml:space="preserve">6.验收费用：验收过程所产生的检验费、验收费及相关的全部费用均由中标人承担（验收费用参照柳财采〔2024〕24 号文件执行），中标人在投标报价时应充分考虑。 </w:t>
            </w:r>
          </w:p>
        </w:tc>
      </w:tr>
      <w:tr w14:paraId="3CA99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vAlign w:val="center"/>
          </w:tcPr>
          <w:p w14:paraId="6EF80A21">
            <w:pPr>
              <w:widowControl/>
              <w:snapToGrid w:val="0"/>
              <w:spacing w:before="120" w:after="120" w:line="440" w:lineRule="exact"/>
              <w:jc w:val="left"/>
              <w:rPr>
                <w:rFonts w:hint="eastAsia" w:ascii="仿宋_GB2312" w:hAnsi="宋体" w:eastAsia="仿宋_GB2312" w:cs="宋体"/>
                <w:bCs/>
                <w:color w:val="auto"/>
                <w:sz w:val="24"/>
                <w:highlight w:val="none"/>
              </w:rPr>
            </w:pPr>
            <w:r>
              <w:rPr>
                <w:rFonts w:hint="eastAsia" w:ascii="仿宋_GB2312" w:hAnsi="宋体" w:eastAsia="仿宋_GB2312" w:cs="Arial"/>
                <w:b/>
                <w:bCs/>
                <w:color w:val="auto"/>
                <w:sz w:val="24"/>
                <w:highlight w:val="none"/>
              </w:rPr>
              <w:t>四、资信要求</w:t>
            </w:r>
          </w:p>
        </w:tc>
      </w:tr>
      <w:tr w14:paraId="43CBE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gridSpan w:val="2"/>
            <w:vAlign w:val="center"/>
          </w:tcPr>
          <w:p w14:paraId="65A3BF06">
            <w:pPr>
              <w:snapToGrid w:val="0"/>
              <w:spacing w:line="400" w:lineRule="exact"/>
              <w:jc w:val="center"/>
              <w:rPr>
                <w:rFonts w:hint="eastAsia" w:ascii="仿宋_GB2312" w:hAnsi="宋体" w:eastAsia="仿宋_GB2312" w:cs="Arial"/>
                <w:bCs/>
                <w:color w:val="auto"/>
                <w:sz w:val="24"/>
                <w:highlight w:val="none"/>
              </w:rPr>
            </w:pPr>
            <w:r>
              <w:rPr>
                <w:rFonts w:ascii="仿宋_GB2312" w:hAnsi="仿宋_GB2312" w:eastAsia="仿宋_GB2312" w:cs="仿宋_GB2312"/>
                <w:bCs/>
                <w:color w:val="auto"/>
                <w:sz w:val="24"/>
                <w:szCs w:val="21"/>
                <w:highlight w:val="none"/>
              </w:rPr>
              <w:t>政策性加分条件（如有）</w:t>
            </w:r>
          </w:p>
        </w:tc>
        <w:tc>
          <w:tcPr>
            <w:tcW w:w="7763" w:type="dxa"/>
            <w:vAlign w:val="center"/>
          </w:tcPr>
          <w:p w14:paraId="3EA13DA0">
            <w:pPr>
              <w:pStyle w:val="514"/>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1．《政府采购促进中小企业发展管理办法》（财库〔2020〕46号），符合办法规定条件且出具该办法规定的《中小企业声明函》的小型和微型企业报价，对其报价给予20%的扣除。监狱企业、残疾人福利性单位视同小型和微型企业；</w:t>
            </w:r>
          </w:p>
          <w:p w14:paraId="193F9ACB">
            <w:pPr>
              <w:pStyle w:val="514"/>
              <w:spacing w:before="0" w:beforeAutospacing="0" w:after="0" w:afterAutospacing="0" w:line="460" w:lineRule="atLeast"/>
              <w:rPr>
                <w:rFonts w:hint="eastAsia" w:ascii="仿宋_GB2312" w:eastAsia="仿宋_GB2312"/>
                <w:color w:val="auto"/>
                <w:highlight w:val="none"/>
                <w:lang w:val="en-US" w:eastAsia="zh-CN"/>
              </w:rPr>
            </w:pPr>
            <w:r>
              <w:rPr>
                <w:rStyle w:val="515"/>
                <w:rFonts w:hint="eastAsia" w:ascii="仿宋_GB2312" w:eastAsia="仿宋_GB2312"/>
                <w:color w:val="auto"/>
                <w:highlight w:val="none"/>
              </w:rPr>
              <w:t>注：（1）采购标的对应的中小企业划分标准所属行业：</w:t>
            </w:r>
            <w:r>
              <w:rPr>
                <w:rFonts w:hint="eastAsia" w:ascii="仿宋_GB2312" w:eastAsia="仿宋_GB2312"/>
                <w:b/>
                <w:bCs/>
                <w:color w:val="auto"/>
                <w:highlight w:val="none"/>
                <w:u w:val="none"/>
                <w:lang w:eastAsia="zh-CN"/>
              </w:rPr>
              <w:t>“</w:t>
            </w:r>
            <w:r>
              <w:rPr>
                <w:rFonts w:hint="eastAsia" w:ascii="仿宋_GB2312" w:eastAsia="仿宋_GB2312"/>
                <w:b/>
                <w:bCs/>
                <w:color w:val="auto"/>
                <w:highlight w:val="none"/>
                <w:u w:val="none"/>
              </w:rPr>
              <w:t>（一）</w:t>
            </w:r>
            <w:r>
              <w:rPr>
                <w:rFonts w:hint="eastAsia" w:ascii="仿宋_GB2312" w:hAnsi="仿宋_GB2312" w:eastAsia="仿宋_GB2312" w:cs="仿宋_GB2312"/>
                <w:b/>
                <w:bCs/>
                <w:color w:val="auto"/>
                <w:kern w:val="0"/>
                <w:sz w:val="24"/>
                <w:szCs w:val="24"/>
                <w:highlight w:val="none"/>
                <w:u w:val="none"/>
                <w:lang w:val="en-US" w:eastAsia="zh-CN"/>
              </w:rPr>
              <w:t>教师台式机</w:t>
            </w:r>
            <w:r>
              <w:rPr>
                <w:rFonts w:hint="eastAsia" w:ascii="仿宋_GB2312" w:eastAsia="仿宋_GB2312"/>
                <w:b/>
                <w:bCs/>
                <w:color w:val="auto"/>
                <w:highlight w:val="none"/>
                <w:u w:val="none"/>
                <w:lang w:eastAsia="zh-CN"/>
              </w:rPr>
              <w:t>”</w:t>
            </w:r>
            <w:r>
              <w:rPr>
                <w:rFonts w:hint="eastAsia" w:ascii="仿宋_GB2312" w:eastAsia="仿宋_GB2312"/>
                <w:b/>
                <w:bCs/>
                <w:color w:val="auto"/>
                <w:highlight w:val="none"/>
                <w:u w:val="none"/>
              </w:rPr>
              <w:t>的第1项</w:t>
            </w:r>
            <w:r>
              <w:rPr>
                <w:rFonts w:hint="eastAsia" w:ascii="仿宋_GB2312" w:eastAsia="仿宋_GB2312"/>
                <w:b/>
                <w:bCs/>
                <w:color w:val="auto"/>
                <w:highlight w:val="none"/>
                <w:u w:val="none"/>
                <w:lang w:eastAsia="zh-CN"/>
              </w:rPr>
              <w:t>、“</w:t>
            </w:r>
            <w:r>
              <w:rPr>
                <w:rFonts w:hint="eastAsia" w:ascii="仿宋_GB2312" w:eastAsia="仿宋_GB2312"/>
                <w:b/>
                <w:bCs/>
                <w:color w:val="auto"/>
                <w:highlight w:val="none"/>
                <w:u w:val="none"/>
              </w:rPr>
              <w:t>（二）</w:t>
            </w:r>
            <w:r>
              <w:rPr>
                <w:rFonts w:hint="eastAsia" w:ascii="仿宋_GB2312" w:hAnsi="仿宋_GB2312" w:eastAsia="仿宋_GB2312" w:cs="仿宋_GB2312"/>
                <w:b/>
                <w:bCs/>
                <w:color w:val="auto"/>
                <w:kern w:val="0"/>
                <w:sz w:val="24"/>
                <w:szCs w:val="24"/>
                <w:highlight w:val="none"/>
                <w:u w:val="none"/>
                <w:lang w:val="en-US" w:eastAsia="zh-CN"/>
              </w:rPr>
              <w:t>2间</w:t>
            </w:r>
            <w:r>
              <w:rPr>
                <w:rFonts w:hint="eastAsia" w:ascii="仿宋_GB2312" w:hAnsi="仿宋_GB2312" w:eastAsia="仿宋_GB2312" w:cs="仿宋_GB2312"/>
                <w:b/>
                <w:bCs/>
                <w:color w:val="auto"/>
                <w:kern w:val="0"/>
                <w:sz w:val="24"/>
                <w:szCs w:val="24"/>
                <w:highlight w:val="none"/>
                <w:u w:val="none"/>
              </w:rPr>
              <w:t>计算机网络教室</w:t>
            </w:r>
            <w:r>
              <w:rPr>
                <w:rFonts w:hint="eastAsia" w:ascii="仿宋_GB2312" w:eastAsia="仿宋_GB2312"/>
                <w:b/>
                <w:bCs/>
                <w:color w:val="auto"/>
                <w:highlight w:val="none"/>
                <w:u w:val="none"/>
                <w:lang w:eastAsia="zh-CN"/>
              </w:rPr>
              <w:t>”</w:t>
            </w:r>
            <w:r>
              <w:rPr>
                <w:rFonts w:hint="eastAsia" w:ascii="仿宋_GB2312" w:eastAsia="仿宋_GB2312"/>
                <w:b/>
                <w:bCs/>
                <w:color w:val="auto"/>
                <w:highlight w:val="none"/>
                <w:u w:val="none"/>
              </w:rPr>
              <w:t>的第1、2、4-9项</w:t>
            </w:r>
            <w:r>
              <w:rPr>
                <w:rFonts w:hint="eastAsia" w:ascii="仿宋_GB2312" w:eastAsia="仿宋_GB2312"/>
                <w:b/>
                <w:bCs/>
                <w:color w:val="auto"/>
                <w:highlight w:val="none"/>
                <w:u w:val="none"/>
                <w:lang w:eastAsia="zh-CN"/>
              </w:rPr>
              <w:t>、“</w:t>
            </w:r>
            <w:r>
              <w:rPr>
                <w:rFonts w:hint="eastAsia" w:ascii="仿宋_GB2312" w:eastAsia="仿宋_GB2312"/>
                <w:b/>
                <w:bCs/>
                <w:color w:val="auto"/>
                <w:highlight w:val="none"/>
                <w:u w:val="none"/>
              </w:rPr>
              <w:t>（三）</w:t>
            </w:r>
            <w:r>
              <w:rPr>
                <w:rFonts w:hint="eastAsia" w:ascii="仿宋_GB2312" w:hAnsi="仿宋_GB2312" w:eastAsia="仿宋_GB2312" w:cs="仿宋_GB2312"/>
                <w:b/>
                <w:bCs/>
                <w:color w:val="auto"/>
                <w:kern w:val="0"/>
                <w:sz w:val="24"/>
                <w:szCs w:val="24"/>
                <w:highlight w:val="none"/>
                <w:u w:val="none"/>
                <w:lang w:val="en-US" w:eastAsia="zh-CN"/>
              </w:rPr>
              <w:t>32套普通教室互动平板一体机教学系统</w:t>
            </w:r>
            <w:r>
              <w:rPr>
                <w:rFonts w:hint="eastAsia" w:ascii="仿宋_GB2312" w:eastAsia="仿宋_GB2312"/>
                <w:b/>
                <w:bCs/>
                <w:color w:val="auto"/>
                <w:highlight w:val="none"/>
                <w:u w:val="none"/>
                <w:lang w:eastAsia="zh-CN"/>
              </w:rPr>
              <w:t>”</w:t>
            </w:r>
            <w:r>
              <w:rPr>
                <w:rFonts w:hint="eastAsia" w:ascii="仿宋_GB2312" w:eastAsia="仿宋_GB2312"/>
                <w:b/>
                <w:bCs/>
                <w:color w:val="auto"/>
                <w:highlight w:val="none"/>
                <w:u w:val="none"/>
              </w:rPr>
              <w:t>的1-5项为工业，</w:t>
            </w:r>
            <w:r>
              <w:rPr>
                <w:rFonts w:hint="eastAsia" w:ascii="仿宋_GB2312" w:eastAsia="仿宋_GB2312"/>
                <w:b/>
                <w:bCs/>
                <w:color w:val="auto"/>
                <w:highlight w:val="none"/>
                <w:u w:val="none"/>
                <w:lang w:eastAsia="zh-CN"/>
              </w:rPr>
              <w:t>“</w:t>
            </w:r>
            <w:r>
              <w:rPr>
                <w:rFonts w:hint="eastAsia" w:ascii="仿宋_GB2312" w:eastAsia="仿宋_GB2312"/>
                <w:b/>
                <w:bCs/>
                <w:color w:val="auto"/>
                <w:highlight w:val="none"/>
                <w:u w:val="none"/>
              </w:rPr>
              <w:t>（二）</w:t>
            </w:r>
            <w:r>
              <w:rPr>
                <w:rFonts w:hint="eastAsia" w:ascii="仿宋_GB2312" w:hAnsi="仿宋_GB2312" w:eastAsia="仿宋_GB2312" w:cs="仿宋_GB2312"/>
                <w:b/>
                <w:bCs/>
                <w:color w:val="auto"/>
                <w:kern w:val="0"/>
                <w:sz w:val="24"/>
                <w:szCs w:val="24"/>
                <w:highlight w:val="none"/>
                <w:u w:val="none"/>
                <w:lang w:val="en-US" w:eastAsia="zh-CN"/>
              </w:rPr>
              <w:t>2间</w:t>
            </w:r>
            <w:r>
              <w:rPr>
                <w:rFonts w:hint="eastAsia" w:ascii="仿宋_GB2312" w:hAnsi="仿宋_GB2312" w:eastAsia="仿宋_GB2312" w:cs="仿宋_GB2312"/>
                <w:b/>
                <w:bCs/>
                <w:color w:val="auto"/>
                <w:kern w:val="0"/>
                <w:sz w:val="24"/>
                <w:szCs w:val="24"/>
                <w:highlight w:val="none"/>
                <w:u w:val="none"/>
              </w:rPr>
              <w:t>计算机网络教室</w:t>
            </w:r>
            <w:r>
              <w:rPr>
                <w:rFonts w:hint="eastAsia" w:ascii="仿宋_GB2312" w:eastAsia="仿宋_GB2312"/>
                <w:b/>
                <w:bCs/>
                <w:color w:val="auto"/>
                <w:highlight w:val="none"/>
                <w:u w:val="none"/>
                <w:lang w:eastAsia="zh-CN"/>
              </w:rPr>
              <w:t>”</w:t>
            </w:r>
            <w:r>
              <w:rPr>
                <w:rFonts w:hint="eastAsia" w:ascii="仿宋_GB2312" w:eastAsia="仿宋_GB2312"/>
                <w:b/>
                <w:bCs/>
                <w:color w:val="auto"/>
                <w:highlight w:val="none"/>
                <w:u w:val="none"/>
              </w:rPr>
              <w:t>的第3项为软件与信息技术服务业，其余不作</w:t>
            </w:r>
            <w:r>
              <w:rPr>
                <w:rFonts w:hint="eastAsia" w:ascii="仿宋_GB2312" w:eastAsia="仿宋_GB2312"/>
                <w:b/>
                <w:bCs/>
                <w:color w:val="auto"/>
                <w:highlight w:val="none"/>
                <w:u w:val="none"/>
                <w:lang w:val="en-US" w:eastAsia="zh-CN"/>
              </w:rPr>
              <w:t>中小企业</w:t>
            </w:r>
            <w:r>
              <w:rPr>
                <w:rFonts w:hint="eastAsia" w:ascii="仿宋_GB2312" w:eastAsia="仿宋_GB2312"/>
                <w:b/>
                <w:bCs/>
                <w:color w:val="auto"/>
                <w:highlight w:val="none"/>
                <w:u w:val="none"/>
              </w:rPr>
              <w:t>划分</w:t>
            </w:r>
            <w:r>
              <w:rPr>
                <w:rFonts w:hint="eastAsia" w:ascii="仿宋_GB2312" w:eastAsia="仿宋_GB2312"/>
                <w:b/>
                <w:bCs/>
                <w:color w:val="auto"/>
                <w:highlight w:val="none"/>
                <w:u w:val="none"/>
                <w:lang w:val="en-US" w:eastAsia="zh-CN"/>
              </w:rPr>
              <w:t>要求；</w:t>
            </w:r>
          </w:p>
          <w:p w14:paraId="34FECAEE">
            <w:pPr>
              <w:pStyle w:val="514"/>
              <w:spacing w:before="0" w:beforeAutospacing="0" w:after="0" w:afterAutospacing="0" w:line="460" w:lineRule="atLeast"/>
              <w:rPr>
                <w:rFonts w:hint="eastAsia" w:ascii="仿宋_GB2312" w:eastAsia="仿宋_GB2312"/>
                <w:color w:val="auto"/>
                <w:highlight w:val="none"/>
              </w:rPr>
            </w:pPr>
            <w:r>
              <w:rPr>
                <w:rStyle w:val="515"/>
                <w:rFonts w:hint="eastAsia" w:ascii="仿宋_GB2312" w:eastAsia="仿宋_GB2312"/>
                <w:color w:val="auto"/>
                <w:highlight w:val="none"/>
              </w:rPr>
              <w:t>（2）中小企业划分有关标准根据工信部等部委发布的《关于印发中小企业划型标准规定的通知》（工信部联企业〔2011〕300号）确定；</w:t>
            </w:r>
          </w:p>
          <w:p w14:paraId="68FAF8F9">
            <w:pPr>
              <w:pStyle w:val="514"/>
              <w:spacing w:before="0" w:beforeAutospacing="0" w:after="0" w:afterAutospacing="0" w:line="460" w:lineRule="atLeast"/>
              <w:rPr>
                <w:rFonts w:hint="eastAsia" w:ascii="仿宋_GB2312" w:eastAsia="仿宋_GB2312"/>
                <w:color w:val="auto"/>
                <w:highlight w:val="none"/>
              </w:rPr>
            </w:pPr>
            <w:r>
              <w:rPr>
                <w:rStyle w:val="515"/>
                <w:rFonts w:hint="eastAsia" w:ascii="仿宋_GB2312" w:eastAsia="仿宋_GB2312"/>
                <w:color w:val="auto"/>
                <w:highlight w:val="none"/>
              </w:rPr>
              <w:t>（3）为方便投标人识别企业规模类型，投标人可使用工业和信息化部组织开发的中小企业规模类型自测小程序生成企业规模类型测试结果。自测小程序链接：https://baosong.miit.gov.cn/ScaleTest</w:t>
            </w:r>
          </w:p>
          <w:p w14:paraId="249109A3">
            <w:pPr>
              <w:pStyle w:val="514"/>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2.《财政部、司法部关于政府采购支持监狱企业发展有关问题的通知》（财库〔2014〕68号）；</w:t>
            </w:r>
          </w:p>
          <w:p w14:paraId="3AF52494">
            <w:pPr>
              <w:pStyle w:val="514"/>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3.《财政部 民政部 中国残疾人联合会关于促进残疾人就业政府采购政策的通知》（财库〔2017〕141号）；</w:t>
            </w:r>
          </w:p>
          <w:p w14:paraId="472783C2">
            <w:pPr>
              <w:pStyle w:val="514"/>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14:paraId="1D4DCCDA">
            <w:pPr>
              <w:pStyle w:val="514"/>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5.财政部 生态环境部《关于印发环境标志产品政府采购品目清单的通知》（财库〔2019〕18号）；</w:t>
            </w:r>
          </w:p>
          <w:p w14:paraId="0E107243">
            <w:pPr>
              <w:pStyle w:val="514"/>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6.财政部 发展改革委《关于印发节能产品政府采购品目清单的通知》（财库〔2019〕19号）；</w:t>
            </w:r>
          </w:p>
          <w:p w14:paraId="5FCA3F71">
            <w:pPr>
              <w:pStyle w:val="514"/>
              <w:spacing w:before="0" w:beforeAutospacing="0" w:after="0" w:afterAutospacing="0" w:line="460" w:lineRule="atLeast"/>
              <w:rPr>
                <w:rFonts w:hint="eastAsia" w:ascii="仿宋_GB2312" w:eastAsia="仿宋_GB2312"/>
                <w:color w:val="auto"/>
                <w:highlight w:val="none"/>
              </w:rPr>
            </w:pPr>
            <w:r>
              <w:rPr>
                <w:rStyle w:val="515"/>
                <w:rFonts w:hint="eastAsia" w:ascii="仿宋_GB2312" w:eastAsia="仿宋_GB2312"/>
                <w:color w:val="auto"/>
                <w:highlight w:val="none"/>
              </w:rPr>
              <w:t>7.国务院办公厅关于在政府采购中实施本国产品标准及相关政策的通知（国办发〔2025〕34号）。</w:t>
            </w:r>
          </w:p>
          <w:p w14:paraId="08D99B7F">
            <w:pPr>
              <w:pStyle w:val="514"/>
              <w:spacing w:before="0" w:beforeAutospacing="0" w:after="0" w:afterAutospacing="0" w:line="460" w:lineRule="atLeast"/>
              <w:rPr>
                <w:rFonts w:hint="eastAsia" w:ascii="仿宋_GB2312" w:eastAsia="仿宋_GB2312"/>
                <w:color w:val="auto"/>
                <w:highlight w:val="none"/>
              </w:rPr>
            </w:pPr>
            <w:r>
              <w:rPr>
                <w:rStyle w:val="515"/>
                <w:rFonts w:hint="eastAsia" w:ascii="仿宋_GB2312" w:eastAsia="仿宋_GB2312"/>
                <w:color w:val="auto"/>
                <w:highlight w:val="none"/>
              </w:rPr>
              <w:t>本国产品标准的适用范围：</w:t>
            </w:r>
            <w:r>
              <w:rPr>
                <w:rFonts w:hint="eastAsia" w:ascii="仿宋_GB2312" w:eastAsia="仿宋_GB2312"/>
                <w:color w:val="auto"/>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238268A">
            <w:pPr>
              <w:pStyle w:val="514"/>
              <w:spacing w:before="0" w:beforeAutospacing="0" w:after="0" w:afterAutospacing="0" w:line="460" w:lineRule="atLeast"/>
              <w:rPr>
                <w:rFonts w:hint="eastAsia" w:ascii="仿宋_GB2312" w:eastAsia="仿宋_GB2312"/>
                <w:color w:val="auto"/>
                <w:highlight w:val="none"/>
              </w:rPr>
            </w:pPr>
            <w:r>
              <w:rPr>
                <w:rStyle w:val="515"/>
                <w:rFonts w:hint="eastAsia" w:ascii="仿宋_GB2312" w:eastAsia="仿宋_GB2312"/>
                <w:color w:val="auto"/>
                <w:highlight w:val="none"/>
              </w:rPr>
              <w:t>本国产品应当符合以下条件：</w:t>
            </w:r>
            <w:r>
              <w:rPr>
                <w:rFonts w:hint="eastAsia" w:ascii="仿宋_GB2312" w:eastAsia="仿宋_GB2312"/>
                <w:color w:val="auto"/>
                <w:highlight w:val="none"/>
              </w:rPr>
              <w:t>产品应当在中国境内生产，即在中华人民共和国关境内实现从原材料、组件到产品的属性改变。属性改变是指经过制造、加工或者组装等工序，产生完全不同于原材料、组件的新产品，并具有新的名称和特征（用途）。</w:t>
            </w:r>
          </w:p>
          <w:p w14:paraId="41B9790E">
            <w:pPr>
              <w:pStyle w:val="514"/>
              <w:spacing w:before="0" w:beforeAutospacing="0" w:after="0" w:afterAutospacing="0" w:line="460" w:lineRule="atLeast"/>
              <w:rPr>
                <w:rFonts w:hint="eastAsia" w:ascii="仿宋_GB2312" w:eastAsia="仿宋_GB2312"/>
                <w:color w:val="auto"/>
                <w:highlight w:val="none"/>
              </w:rPr>
            </w:pPr>
            <w:r>
              <w:rPr>
                <w:rStyle w:val="515"/>
                <w:rFonts w:hint="eastAsia" w:ascii="仿宋_GB2312" w:eastAsia="仿宋_GB2312"/>
                <w:color w:val="auto"/>
                <w:highlight w:val="none"/>
              </w:rPr>
              <w:t>对本国产品的支持政策：</w:t>
            </w:r>
            <w:r>
              <w:rPr>
                <w:rFonts w:hint="eastAsia" w:ascii="仿宋_GB2312" w:eastAsia="仿宋_GB2312"/>
                <w:color w:val="auto"/>
                <w:highlight w:val="none"/>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7383F68B">
            <w:pPr>
              <w:pStyle w:val="514"/>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3D2B9B50">
            <w:pPr>
              <w:pStyle w:val="514"/>
              <w:spacing w:before="0" w:beforeAutospacing="0" w:after="0" w:afterAutospacing="0" w:line="460" w:lineRule="atLeast"/>
              <w:rPr>
                <w:rFonts w:hint="eastAsia" w:ascii="仿宋_GB2312" w:eastAsia="仿宋_GB2312"/>
                <w:color w:val="auto"/>
                <w:highlight w:val="none"/>
              </w:rPr>
            </w:pPr>
            <w:r>
              <w:rPr>
                <w:rStyle w:val="515"/>
                <w:rFonts w:hint="eastAsia" w:ascii="仿宋_GB2312" w:eastAsia="仿宋_GB2312"/>
                <w:color w:val="auto"/>
                <w:highlight w:val="none"/>
              </w:rPr>
              <w:t>供应商应提供的证明文件：</w:t>
            </w:r>
            <w:r>
              <w:rPr>
                <w:rFonts w:hint="eastAsia" w:ascii="仿宋_GB2312" w:eastAsia="仿宋_GB2312"/>
                <w:color w:val="auto"/>
                <w:highlight w:val="none"/>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72ECCFC4">
            <w:pPr>
              <w:pStyle w:val="514"/>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14:paraId="08081EF3">
            <w:pPr>
              <w:pStyle w:val="514"/>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若供应商依法享受本国产品优惠政策的，供应商提供的声明函或有关证明文件应当随中标结果同时公告。其他未尽事宜按照《国务院办公厅关于在政府采购中实施本国产品标准及相关政策的通知》（国办发〔2025〕34号）执行。</w:t>
            </w:r>
          </w:p>
        </w:tc>
      </w:tr>
      <w:tr w14:paraId="79294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gridSpan w:val="2"/>
            <w:vAlign w:val="center"/>
          </w:tcPr>
          <w:p w14:paraId="226B256D">
            <w:pPr>
              <w:snapToGrid w:val="0"/>
              <w:spacing w:line="400" w:lineRule="exact"/>
              <w:jc w:val="center"/>
              <w:rPr>
                <w:rFonts w:hint="eastAsia" w:ascii="仿宋_GB2312" w:hAnsi="宋体" w:eastAsia="仿宋_GB2312" w:cs="Arial"/>
                <w:bCs/>
                <w:color w:val="auto"/>
                <w:sz w:val="24"/>
                <w:highlight w:val="none"/>
              </w:rPr>
            </w:pPr>
            <w:r>
              <w:rPr>
                <w:rFonts w:ascii="仿宋_GB2312" w:hAnsi="仿宋_GB2312" w:eastAsia="仿宋_GB2312" w:cs="仿宋_GB2312"/>
                <w:bCs/>
                <w:color w:val="auto"/>
                <w:sz w:val="24"/>
                <w:szCs w:val="21"/>
                <w:highlight w:val="none"/>
              </w:rPr>
              <w:t xml:space="preserve">质量管理、企业信用要求（如有） </w:t>
            </w:r>
          </w:p>
        </w:tc>
        <w:tc>
          <w:tcPr>
            <w:tcW w:w="7763" w:type="dxa"/>
            <w:vAlign w:val="center"/>
          </w:tcPr>
          <w:p w14:paraId="0357EC27">
            <w:pPr>
              <w:pStyle w:val="535"/>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1.投标人或所投核心产品生产厂商具备有效的质量管理体系认证证书；</w:t>
            </w:r>
            <w:r>
              <w:rPr>
                <w:rFonts w:hint="eastAsia" w:ascii="仿宋_GB2312" w:eastAsia="仿宋_GB2312"/>
                <w:color w:val="auto"/>
                <w:highlight w:val="none"/>
              </w:rPr>
              <w:br w:type="textWrapping"/>
            </w:r>
            <w:r>
              <w:rPr>
                <w:rFonts w:hint="eastAsia" w:ascii="仿宋_GB2312" w:eastAsia="仿宋_GB2312"/>
                <w:color w:val="auto"/>
                <w:highlight w:val="none"/>
              </w:rPr>
              <w:t>2.投标人或所投核心产品生产厂商具备有效的环境管理体系认证证书；</w:t>
            </w:r>
            <w:r>
              <w:rPr>
                <w:rFonts w:hint="eastAsia" w:ascii="仿宋_GB2312" w:eastAsia="仿宋_GB2312"/>
                <w:color w:val="auto"/>
                <w:highlight w:val="none"/>
              </w:rPr>
              <w:br w:type="textWrapping"/>
            </w:r>
            <w:r>
              <w:rPr>
                <w:rFonts w:hint="eastAsia" w:ascii="仿宋_GB2312" w:eastAsia="仿宋_GB2312"/>
                <w:color w:val="auto"/>
                <w:highlight w:val="none"/>
              </w:rPr>
              <w:t>3.投标人或所投核心产品生产厂商具备有效的职业健康安全管理体系认证证书。</w:t>
            </w:r>
          </w:p>
        </w:tc>
      </w:tr>
      <w:tr w14:paraId="0CC40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vAlign w:val="center"/>
          </w:tcPr>
          <w:p w14:paraId="7458C680">
            <w:pPr>
              <w:snapToGrid w:val="0"/>
              <w:spacing w:line="440" w:lineRule="exact"/>
              <w:rPr>
                <w:rFonts w:ascii="仿宋_GB2312" w:hAnsi="Courier New" w:eastAsia="仿宋_GB2312" w:cs="Courier New"/>
                <w:bCs/>
                <w:color w:val="auto"/>
                <w:kern w:val="0"/>
                <w:sz w:val="24"/>
                <w:szCs w:val="21"/>
                <w:highlight w:val="none"/>
              </w:rPr>
            </w:pPr>
            <w:r>
              <w:rPr>
                <w:rFonts w:hint="eastAsia" w:ascii="仿宋_GB2312" w:hAnsi="宋体" w:eastAsia="仿宋_GB2312" w:cs="Courier New"/>
                <w:b/>
                <w:bCs/>
                <w:color w:val="auto"/>
                <w:kern w:val="0"/>
                <w:sz w:val="24"/>
                <w:szCs w:val="21"/>
                <w:highlight w:val="none"/>
              </w:rPr>
              <w:t>五、其他要求</w:t>
            </w:r>
          </w:p>
        </w:tc>
      </w:tr>
      <w:tr w14:paraId="59D4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1481" w:type="dxa"/>
            <w:vAlign w:val="center"/>
          </w:tcPr>
          <w:p w14:paraId="58660FF7">
            <w:pPr>
              <w:jc w:val="center"/>
              <w:rPr>
                <w:rFonts w:hint="eastAsia" w:ascii="仿宋_GB2312" w:hAnsi="宋体" w:eastAsia="仿宋_GB2312"/>
                <w:color w:val="auto"/>
                <w:sz w:val="24"/>
                <w:highlight w:val="none"/>
              </w:rPr>
            </w:pPr>
            <w:r>
              <w:rPr>
                <w:rFonts w:ascii="仿宋_GB2312" w:hAnsi="宋体" w:eastAsia="仿宋_GB2312" w:cs="宋体"/>
                <w:bCs/>
                <w:color w:val="auto"/>
                <w:sz w:val="24"/>
                <w:highlight w:val="none"/>
              </w:rPr>
              <w:t>无</w:t>
            </w:r>
          </w:p>
        </w:tc>
        <w:tc>
          <w:tcPr>
            <w:tcW w:w="7823" w:type="dxa"/>
            <w:gridSpan w:val="2"/>
            <w:vAlign w:val="center"/>
          </w:tcPr>
          <w:p w14:paraId="5E7F6F10">
            <w:pPr>
              <w:snapToGrid w:val="0"/>
              <w:spacing w:line="440" w:lineRule="exact"/>
              <w:jc w:val="left"/>
              <w:rPr>
                <w:rFonts w:ascii="仿宋_GB2312" w:eastAsia="仿宋_GB2312"/>
                <w:bCs/>
                <w:color w:val="auto"/>
                <w:kern w:val="0"/>
                <w:sz w:val="24"/>
                <w:highlight w:val="none"/>
              </w:rPr>
            </w:pPr>
            <w:r>
              <w:rPr>
                <w:rFonts w:ascii="仿宋_GB2312" w:eastAsia="仿宋_GB2312"/>
                <w:bCs/>
                <w:color w:val="auto"/>
                <w:kern w:val="0"/>
                <w:sz w:val="24"/>
                <w:highlight w:val="none"/>
              </w:rPr>
              <w:t xml:space="preserve"> </w:t>
            </w:r>
          </w:p>
        </w:tc>
      </w:tr>
    </w:tbl>
    <w:p w14:paraId="74A4ED74">
      <w:pPr>
        <w:spacing w:line="360" w:lineRule="auto"/>
        <w:rPr>
          <w:rFonts w:hint="eastAsia" w:ascii="仿宋_GB2312" w:hAnsi="宋体" w:eastAsia="仿宋_GB2312"/>
          <w:color w:val="auto"/>
          <w:sz w:val="24"/>
          <w:highlight w:val="none"/>
        </w:rPr>
      </w:pPr>
    </w:p>
    <w:p w14:paraId="3A6A3965">
      <w:pPr>
        <w:rPr>
          <w:rFonts w:hint="eastAsia"/>
          <w:color w:val="auto"/>
          <w:highlight w:val="none"/>
          <w:lang w:eastAsia="zh-CN"/>
        </w:rPr>
      </w:pPr>
      <w:r>
        <w:rPr>
          <w:rFonts w:hint="eastAsia"/>
          <w:color w:val="auto"/>
          <w:highlight w:val="none"/>
          <w:lang w:eastAsia="zh-CN"/>
        </w:rPr>
        <w:br w:type="page"/>
      </w:r>
    </w:p>
    <w:p w14:paraId="20CBE101">
      <w:pPr>
        <w:pStyle w:val="5"/>
        <w:jc w:val="left"/>
        <w:rPr>
          <w:rFonts w:hint="default" w:eastAsia="仿宋_GB2312"/>
          <w:color w:val="auto"/>
          <w:highlight w:val="none"/>
          <w:lang w:val="en-US" w:eastAsia="zh-CN"/>
        </w:rPr>
      </w:pPr>
      <w:r>
        <w:rPr>
          <w:rFonts w:hint="eastAsia" w:ascii="仿宋_GB2312" w:eastAsia="仿宋_GB2312"/>
          <w:b/>
          <w:bCs/>
          <w:color w:val="auto"/>
          <w:sz w:val="24"/>
          <w:highlight w:val="none"/>
          <w:lang w:eastAsia="zh-CN"/>
        </w:rPr>
        <w:t>分标</w:t>
      </w:r>
      <w:r>
        <w:rPr>
          <w:rFonts w:hint="eastAsia" w:ascii="仿宋_GB2312" w:eastAsia="仿宋_GB2312"/>
          <w:b/>
          <w:bCs/>
          <w:color w:val="auto"/>
          <w:sz w:val="24"/>
          <w:highlight w:val="none"/>
          <w:lang w:val="en-US" w:eastAsia="zh-CN"/>
        </w:rPr>
        <w:t>2</w:t>
      </w:r>
    </w:p>
    <w:tbl>
      <w:tblPr>
        <w:tblStyle w:val="259"/>
        <w:tblW w:w="9250" w:type="dxa"/>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
        <w:gridCol w:w="1118"/>
        <w:gridCol w:w="6707"/>
        <w:gridCol w:w="812"/>
      </w:tblGrid>
      <w:tr w14:paraId="293ED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50" w:type="dxa"/>
            <w:gridSpan w:val="4"/>
            <w:tcBorders>
              <w:top w:val="single" w:color="auto" w:sz="4" w:space="0"/>
              <w:left w:val="single" w:color="auto" w:sz="4" w:space="0"/>
              <w:bottom w:val="single" w:color="auto" w:sz="4" w:space="0"/>
              <w:right w:val="single" w:color="auto" w:sz="4" w:space="0"/>
            </w:tcBorders>
            <w:vAlign w:val="center"/>
          </w:tcPr>
          <w:p w14:paraId="24C9AA9A">
            <w:pPr>
              <w:spacing w:line="240" w:lineRule="auto"/>
              <w:jc w:val="left"/>
              <w:rPr>
                <w:rFonts w:hint="eastAsia"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rPr>
              <w:t>一、项目技术规格参数及要求</w:t>
            </w:r>
          </w:p>
        </w:tc>
      </w:tr>
      <w:tr w14:paraId="341CA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4B8D4FBD">
            <w:pPr>
              <w:pStyle w:val="260"/>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序号</w:t>
            </w:r>
          </w:p>
        </w:tc>
        <w:tc>
          <w:tcPr>
            <w:tcW w:w="1118" w:type="dxa"/>
            <w:tcBorders>
              <w:top w:val="single" w:color="auto" w:sz="4" w:space="0"/>
              <w:left w:val="single" w:color="auto" w:sz="4" w:space="0"/>
              <w:bottom w:val="single" w:color="auto" w:sz="4" w:space="0"/>
              <w:right w:val="single" w:color="auto" w:sz="4" w:space="0"/>
            </w:tcBorders>
            <w:vAlign w:val="center"/>
          </w:tcPr>
          <w:p w14:paraId="795A7E72">
            <w:pPr>
              <w:pStyle w:val="260"/>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标的名称</w:t>
            </w:r>
          </w:p>
        </w:tc>
        <w:tc>
          <w:tcPr>
            <w:tcW w:w="6707" w:type="dxa"/>
            <w:tcBorders>
              <w:top w:val="single" w:color="auto" w:sz="4" w:space="0"/>
              <w:left w:val="single" w:color="auto" w:sz="4" w:space="0"/>
              <w:bottom w:val="single" w:color="auto" w:sz="4" w:space="0"/>
              <w:right w:val="single" w:color="auto" w:sz="4" w:space="0"/>
            </w:tcBorders>
            <w:vAlign w:val="center"/>
          </w:tcPr>
          <w:p w14:paraId="73376EA8">
            <w:pPr>
              <w:pStyle w:val="260"/>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技术参数</w:t>
            </w:r>
          </w:p>
        </w:tc>
        <w:tc>
          <w:tcPr>
            <w:tcW w:w="812" w:type="dxa"/>
            <w:tcBorders>
              <w:top w:val="single" w:color="auto" w:sz="4" w:space="0"/>
              <w:left w:val="single" w:color="auto" w:sz="4" w:space="0"/>
              <w:bottom w:val="single" w:color="auto" w:sz="4" w:space="0"/>
              <w:right w:val="single" w:color="auto" w:sz="4" w:space="0"/>
            </w:tcBorders>
            <w:vAlign w:val="center"/>
          </w:tcPr>
          <w:p w14:paraId="239B7DD3">
            <w:pPr>
              <w:pStyle w:val="260"/>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数量及单位</w:t>
            </w:r>
          </w:p>
        </w:tc>
      </w:tr>
      <w:tr w14:paraId="5F9C0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9250" w:type="dxa"/>
            <w:gridSpan w:val="4"/>
            <w:tcBorders>
              <w:top w:val="single" w:color="auto" w:sz="4" w:space="0"/>
              <w:left w:val="single" w:color="auto" w:sz="4" w:space="0"/>
              <w:bottom w:val="single" w:color="auto" w:sz="4" w:space="0"/>
              <w:right w:val="single" w:color="auto" w:sz="4" w:space="0"/>
            </w:tcBorders>
            <w:vAlign w:val="center"/>
          </w:tcPr>
          <w:p w14:paraId="36FBDA6C">
            <w:pPr>
              <w:pStyle w:val="260"/>
              <w:snapToGrid w:val="0"/>
              <w:spacing w:line="400" w:lineRule="exact"/>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kern w:val="0"/>
                <w:sz w:val="24"/>
                <w:szCs w:val="24"/>
                <w:highlight w:val="none"/>
              </w:rPr>
              <w:t>（一）</w:t>
            </w:r>
            <w:r>
              <w:rPr>
                <w:rFonts w:hint="eastAsia" w:ascii="仿宋_GB2312" w:hAnsi="仿宋_GB2312" w:eastAsia="仿宋_GB2312" w:cs="仿宋_GB2312"/>
                <w:b/>
                <w:bCs/>
                <w:color w:val="auto"/>
                <w:kern w:val="0"/>
                <w:sz w:val="24"/>
                <w:szCs w:val="24"/>
                <w:highlight w:val="none"/>
                <w:lang w:val="en-US" w:eastAsia="zh-CN"/>
              </w:rPr>
              <w:t>2</w:t>
            </w:r>
            <w:r>
              <w:rPr>
                <w:rFonts w:hint="eastAsia" w:ascii="仿宋_GB2312" w:hAnsi="仿宋_GB2312" w:eastAsia="仿宋_GB2312" w:cs="仿宋_GB2312"/>
                <w:b/>
                <w:bCs/>
                <w:color w:val="auto"/>
                <w:kern w:val="0"/>
                <w:sz w:val="24"/>
                <w:szCs w:val="24"/>
                <w:highlight w:val="none"/>
              </w:rPr>
              <w:t>间计算机网络教室</w:t>
            </w:r>
          </w:p>
        </w:tc>
      </w:tr>
      <w:tr w14:paraId="0C7BC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07E27E4F">
            <w:pPr>
              <w:pStyle w:val="260"/>
              <w:snapToGrid w:val="0"/>
              <w:spacing w:line="40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1118" w:type="dxa"/>
            <w:tcBorders>
              <w:top w:val="single" w:color="auto" w:sz="4" w:space="0"/>
              <w:left w:val="single" w:color="auto" w:sz="4" w:space="0"/>
              <w:bottom w:val="single" w:color="auto" w:sz="4" w:space="0"/>
              <w:right w:val="single" w:color="auto" w:sz="4" w:space="0"/>
            </w:tcBorders>
            <w:vAlign w:val="center"/>
          </w:tcPr>
          <w:p w14:paraId="6E50F5E1">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eastAsia="zh-CN"/>
              </w:rPr>
              <w:t>网络教室教师机</w:t>
            </w: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b/>
                <w:bCs/>
                <w:color w:val="auto"/>
                <w:kern w:val="0"/>
                <w:sz w:val="24"/>
                <w:highlight w:val="none"/>
              </w:rPr>
              <w:t>强制采购节能产品，详见采购需求说明第八点）</w:t>
            </w:r>
          </w:p>
        </w:tc>
        <w:tc>
          <w:tcPr>
            <w:tcW w:w="6707" w:type="dxa"/>
            <w:tcBorders>
              <w:top w:val="single" w:color="auto" w:sz="4" w:space="0"/>
              <w:left w:val="single" w:color="auto" w:sz="4" w:space="0"/>
              <w:bottom w:val="single" w:color="auto" w:sz="4" w:space="0"/>
              <w:right w:val="single" w:color="auto" w:sz="4" w:space="0"/>
            </w:tcBorders>
            <w:vAlign w:val="center"/>
          </w:tcPr>
          <w:p w14:paraId="514ED992">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★一、CPU规格</w:t>
            </w:r>
          </w:p>
          <w:p w14:paraId="156B4FE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rPr>
              <w:t>1.CPU</w:t>
            </w:r>
            <w:r>
              <w:rPr>
                <w:rFonts w:hint="eastAsia" w:ascii="仿宋_GB2312" w:hAnsi="仿宋_GB2312" w:eastAsia="仿宋_GB2312" w:cs="仿宋_GB2312"/>
                <w:color w:val="auto"/>
                <w:kern w:val="0"/>
                <w:sz w:val="24"/>
                <w:highlight w:val="none"/>
                <w:lang w:val="en-US" w:eastAsia="zh-CN"/>
              </w:rPr>
              <w:t>物理核心数:≥8核8线程，主频≥2.7GHz，末级缓存容量≥2M，内存≥双通道DDR4-3000，热设计功耗≤20W，位宽≥64位；</w:t>
            </w:r>
          </w:p>
          <w:p w14:paraId="406BF540">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二、内存规格</w:t>
            </w:r>
          </w:p>
          <w:p w14:paraId="1230709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1.内存配置容量：≥16GB；</w:t>
            </w:r>
          </w:p>
          <w:p w14:paraId="05B041F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2.内存类型：支持DDR4/LPDDR4/LPDDR4X及以上内存类型；</w:t>
            </w:r>
          </w:p>
          <w:p w14:paraId="7CDF3B1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3.内存条配置数量（板载内存不涉及）：≥1；</w:t>
            </w:r>
          </w:p>
          <w:p w14:paraId="561D6A72">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三、主板规格</w:t>
            </w:r>
          </w:p>
          <w:p w14:paraId="683D001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1.主板集成模块：集成资源扩展模块、计算处理模块、音频扩展模块等，主板的互联拓扑可通过处理器或交换电路实现；</w:t>
            </w:r>
          </w:p>
          <w:p w14:paraId="736B58B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2.主板支持的CPU和内存情况：≥8核8线程，主频≥2.7GHz，末级缓存≥2M，内存≥双通道DDR4-3000，热设计功耗≤20W，位宽≥64位；内存条数量≥1；</w:t>
            </w:r>
          </w:p>
          <w:p w14:paraId="29C94AA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3.主板其他内置接口：≥SATA接口*2，≥M.2接口*1，≥USB接口*7，固态硬盘占用M.2接口*1，机械硬盘占用SATA接口*1</w:t>
            </w:r>
          </w:p>
          <w:p w14:paraId="2749969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4.单内存插槽最大可支持容量（板载内存不涉及）：≥8GB；</w:t>
            </w:r>
          </w:p>
          <w:p w14:paraId="0BDA9E7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5.内存插槽满配时提供的最高内存总容量：≥16GB；</w:t>
            </w:r>
          </w:p>
          <w:p w14:paraId="6E4358EC">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四、存储设备规格</w:t>
            </w:r>
          </w:p>
          <w:p w14:paraId="79E0AFE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1.固态盘数量：≥1个；</w:t>
            </w:r>
          </w:p>
          <w:p w14:paraId="0E83E7D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2.固态存储容量：≥512GB；</w:t>
            </w:r>
          </w:p>
          <w:p w14:paraId="75C6F9C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3.机械硬盘数量：≥1个；</w:t>
            </w:r>
          </w:p>
          <w:p w14:paraId="105525F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4.机械硬盘总容量：≥1TB；</w:t>
            </w:r>
          </w:p>
          <w:p w14:paraId="4683FD9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5.机械硬盘转速：≥5400rpm；</w:t>
            </w:r>
          </w:p>
          <w:p w14:paraId="7606A61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6.机械硬盘形态：2.5英寸或3.5英寸等；</w:t>
            </w:r>
          </w:p>
          <w:p w14:paraId="5FDD86C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7.固态存储形态：采用插卡或板载等形态，可选用符合M.2或2.5寸SATA或mSATA等标准的插卡形态；</w:t>
            </w:r>
          </w:p>
          <w:p w14:paraId="54B9031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8.存储设备其他参数要求：a）固态盘应符合SJ/T 11654相关规定；b）机械硬盘准备时间应不大于30s；侧面固定螺丝孔数量可为4孔或6孔；工作状态环境温度应满足5℃-55℃；其他参数应符合GB/T 12628相关规定；</w:t>
            </w:r>
          </w:p>
          <w:p w14:paraId="15B10885">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五、显卡规格</w:t>
            </w:r>
          </w:p>
          <w:p w14:paraId="46FA121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1.显卡类型：集成显卡；</w:t>
            </w:r>
          </w:p>
          <w:p w14:paraId="6F590893">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六、显示设备规格</w:t>
            </w:r>
          </w:p>
          <w:p w14:paraId="0AA6A15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1.显示屏屏占比：≥80%；</w:t>
            </w:r>
          </w:p>
          <w:p w14:paraId="2B3BD43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2.显示屏分辨率：≥1920*1080；</w:t>
            </w:r>
          </w:p>
          <w:p w14:paraId="2DB488F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3.显示屏尺寸：≥23.8英寸；</w:t>
            </w:r>
          </w:p>
          <w:p w14:paraId="448C1E9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4.显示屏屏幕比例：16:9；</w:t>
            </w:r>
          </w:p>
          <w:p w14:paraId="01842F3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5.显示器外观颜色：黑色商务色系；</w:t>
            </w:r>
          </w:p>
          <w:p w14:paraId="4922483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6.显示屏防蓝光：支持防蓝光模式，蓝光加权辐射亮度比应≤0.0012W/（·cd·sr）（瓦每坎特拉每球面度）；</w:t>
            </w:r>
          </w:p>
          <w:p w14:paraId="531A3A9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7.显示屏低频闪：显示屏应支持低频闪≤-35dB；</w:t>
            </w:r>
          </w:p>
          <w:p w14:paraId="0085565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8.显示屏防眩目：显示屏镜面反射率≤6%；</w:t>
            </w:r>
          </w:p>
          <w:p w14:paraId="3BF9DF65">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七、外设规格</w:t>
            </w:r>
          </w:p>
          <w:p w14:paraId="0BC61DF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1.鼠标数量：≥1个；</w:t>
            </w:r>
          </w:p>
          <w:p w14:paraId="5D0C046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2.键盘数量：≥1个；</w:t>
            </w:r>
          </w:p>
          <w:p w14:paraId="3B41527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3.键盘按键数目：≥101键；</w:t>
            </w:r>
          </w:p>
          <w:p w14:paraId="3047D38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4.键盘连接方式：有线；</w:t>
            </w:r>
          </w:p>
          <w:p w14:paraId="3AC8F21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5.键盘键程：2.3mm—4.0mm；</w:t>
            </w:r>
          </w:p>
          <w:p w14:paraId="35C235F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6.键盘按键压力：按键压力应在0.54N±0.14N；</w:t>
            </w:r>
          </w:p>
          <w:p w14:paraId="2A1437E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7.有线键盘连接线：≥1.5米；</w:t>
            </w:r>
          </w:p>
          <w:p w14:paraId="2E9C309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8.键盘颜色：黑色商务色系；</w:t>
            </w:r>
          </w:p>
          <w:p w14:paraId="5A25637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9.鼠标连接方式：有线；</w:t>
            </w:r>
          </w:p>
          <w:p w14:paraId="4AAAB06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10.有线鼠标连接线：≥1.5米；</w:t>
            </w:r>
          </w:p>
          <w:p w14:paraId="0CA9356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11.鼠标DPI分辨率：800-1600（CPI）；</w:t>
            </w:r>
          </w:p>
          <w:p w14:paraId="4165CB8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12.鼠标颜色：黑色商务色系；</w:t>
            </w:r>
          </w:p>
          <w:p w14:paraId="10E9435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13.鼠标其他要求：其他参数应符合GB/T 26245的相关规定；</w:t>
            </w:r>
          </w:p>
          <w:p w14:paraId="79978410">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八、网络设备规格</w:t>
            </w:r>
          </w:p>
          <w:p w14:paraId="09A1E50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1.有线网卡数量：≥1；</w:t>
            </w:r>
          </w:p>
          <w:p w14:paraId="5B77F49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2.无线网卡数量：≥1；</w:t>
            </w:r>
          </w:p>
          <w:p w14:paraId="06F81DE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3.单无线网卡天线数量：≥1；</w:t>
            </w:r>
          </w:p>
          <w:p w14:paraId="5C25538D">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九、外部接口规格</w:t>
            </w:r>
          </w:p>
          <w:p w14:paraId="5B6BBD6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1.USB接口数量：机箱前面板应提供不少于3个USB接口（含2个USB3.0及以上接口）；</w:t>
            </w:r>
          </w:p>
          <w:p w14:paraId="1C48C0B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2.视频接口数量：≥1；</w:t>
            </w:r>
          </w:p>
          <w:p w14:paraId="3A5FF62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3.音频接口数量：≥1；</w:t>
            </w:r>
          </w:p>
          <w:p w14:paraId="1FDE98F7">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十、整机基础规格</w:t>
            </w:r>
          </w:p>
          <w:p w14:paraId="2F05F9D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整机外观：a)产品表面不应有凹痕、划伤、裂缝、变形和污染等。表面涂层均匀，不应起泡、龟裂、脱落和磨损，金属零部件无锈蚀及其它机械损伤；b)产品表面说明功能的文字、符号、标志，应清晰、端正、牢固；</w:t>
            </w:r>
          </w:p>
          <w:p w14:paraId="4DC7C2D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2.状态指示灯：在产品显著位置提供状态指示功能；</w:t>
            </w:r>
          </w:p>
          <w:p w14:paraId="0DF6488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3.整机结构：a)机箱应符合GB/T 4208.GB/T 26246的相关规定；b)产品内部结构应符合通用部件的安装需求；c)所有输入输出接口应符合相关国家或行业标准；d)产品零部件应紧固无松动，可插拔部件应可靠连接，开关、按钮和其他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l)各主要部件拆装步骤要少，各自拆装需避免相互干扰；m)对于整机或零部件外表面为高亮面的，应粘贴保护膜，保护膜需粘贴牢固，运输、组装等过程不易脱落，撕下无残留；n)其他要求应符合GB/T 9813.1的相关规定；</w:t>
            </w:r>
          </w:p>
          <w:p w14:paraId="7E8FB74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4.机箱防护要求：机箱应符合GB/T 4208中IP20防护要求；</w:t>
            </w:r>
          </w:p>
          <w:p w14:paraId="35F2112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5.整机噪声：产品工作在空闲状态下，产品的声功率级应不超过4.5Bel；</w:t>
            </w:r>
          </w:p>
          <w:p w14:paraId="26AB02A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整机散热：在环境温度25℃及处理器满载情况下，产品表面温度应符合如下要求：a)出风口在机箱后面板情况下，出风口温度不高于55℃；b)可触及面温度不高于45℃；c)显示器表面温度：显示屏不高于38℃，显示屏上下灯带位置温度（如涉及）不高于40℃，出风口温度不高于45℃；</w:t>
            </w:r>
          </w:p>
          <w:p w14:paraId="56B47D3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7.整机能效限定值：产品能效限定值应达到GB 28380-2012标准中能效等级2级及以上；</w:t>
            </w:r>
          </w:p>
          <w:p w14:paraId="49C0406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8.机身材质：金属等；</w:t>
            </w:r>
          </w:p>
          <w:p w14:paraId="7D996F5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9.机身颜色：黑色商务色系；</w:t>
            </w:r>
          </w:p>
          <w:p w14:paraId="269115F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10.机箱尺寸容量：机箱体积应不大于9L；</w:t>
            </w:r>
          </w:p>
          <w:p w14:paraId="5BB1763D">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十一、CPU性能</w:t>
            </w:r>
          </w:p>
          <w:p w14:paraId="034B329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1.CPU物理核数：≥8；</w:t>
            </w:r>
          </w:p>
          <w:p w14:paraId="510C052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2.CPU主频：≥2.7GHz；</w:t>
            </w:r>
          </w:p>
          <w:p w14:paraId="462FAC0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3.CPU末级缓存容量：≥2MB；</w:t>
            </w:r>
          </w:p>
          <w:p w14:paraId="6F3BF6F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4.CPU支持的内存最高速率：≥3000MT/s；</w:t>
            </w:r>
          </w:p>
          <w:p w14:paraId="3A01BAD1">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十二、内存性能</w:t>
            </w:r>
          </w:p>
          <w:p w14:paraId="294A315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1.内存读写速率：≥3000MT/s；</w:t>
            </w:r>
          </w:p>
          <w:p w14:paraId="4CD03F3D">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十三、显卡性能</w:t>
            </w:r>
          </w:p>
          <w:p w14:paraId="3A46C2A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1.显示分辨率：≥1920*1080；</w:t>
            </w:r>
          </w:p>
          <w:p w14:paraId="2D3193C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2.显卡显示芯片核心频率：≥300MHz；</w:t>
            </w:r>
          </w:p>
          <w:p w14:paraId="29C1BB7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3.显存等效频率：≥3000MT/s；</w:t>
            </w:r>
          </w:p>
          <w:p w14:paraId="7E7A367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4.显卡可支持多屏同时显示数量：显卡应支持2块屏幕同时显示，分辨率应不低于1920*1080；</w:t>
            </w:r>
          </w:p>
          <w:p w14:paraId="224D9629">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十四、显示设备性能</w:t>
            </w:r>
          </w:p>
          <w:p w14:paraId="14E7DAA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1.显示屏刷新率：≥90Hz；</w:t>
            </w:r>
          </w:p>
          <w:p w14:paraId="72B1378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2.显示屏位深：≥8位；</w:t>
            </w:r>
          </w:p>
          <w:p w14:paraId="21C944F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3.显示屏色域：≥99% sRGB，DCI-P3色域覆盖率≥90%；</w:t>
            </w:r>
          </w:p>
          <w:p w14:paraId="43BE3BB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4.显示屏色准：△E≤1；</w:t>
            </w:r>
          </w:p>
          <w:p w14:paraId="18BDCB8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5.显示屏响应时间：≤8ms；</w:t>
            </w:r>
          </w:p>
          <w:p w14:paraId="35FED47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6.显示屏亮度：≥250尼特；</w:t>
            </w:r>
          </w:p>
          <w:p w14:paraId="32D84B5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7.显示屏亮度一致性：≥70%；</w:t>
            </w:r>
          </w:p>
          <w:p w14:paraId="3BE932B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8.显示屏对比度：≥500:1；</w:t>
            </w:r>
          </w:p>
          <w:p w14:paraId="3568270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9.显示屏其他参数：其他参数应符合SJ/T 11292的相关规定；</w:t>
            </w:r>
          </w:p>
          <w:p w14:paraId="1A827A22">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十五、网络设备性能</w:t>
            </w:r>
          </w:p>
          <w:p w14:paraId="3A3D4AE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1.有线网卡速率：最高速率应不低于1000Mbps，应支持10Mbps、100Mbps、1000Mbps速率自适应；</w:t>
            </w:r>
          </w:p>
          <w:p w14:paraId="525FA7ED">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十六、主板功能</w:t>
            </w:r>
          </w:p>
          <w:p w14:paraId="326B68F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1.内存扩展接口（板载内存不涉及）：≥2个；</w:t>
            </w:r>
          </w:p>
          <w:p w14:paraId="629EA36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2.主板USB瞬间过流保护：支持瞬间过流保护功能；</w:t>
            </w:r>
          </w:p>
          <w:p w14:paraId="4F49402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3.主板防静电保护：支持防静电保护功能；</w:t>
            </w:r>
          </w:p>
          <w:p w14:paraId="7469F33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p>
          <w:p w14:paraId="1AE21DC4">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十七、显卡功能</w:t>
            </w:r>
          </w:p>
          <w:p w14:paraId="2244546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1.显卡外接显示接口：显卡至少支持VGA、HDMI、DVI、DP、Type-C中1种显示接口，并与显示器接口相匹配；</w:t>
            </w:r>
          </w:p>
          <w:p w14:paraId="50413850">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十八、显示设备功能</w:t>
            </w:r>
          </w:p>
          <w:p w14:paraId="3D2F63B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1.显示器接口：显示器应与显卡外接显示接口匹配；</w:t>
            </w:r>
          </w:p>
          <w:p w14:paraId="7CA423A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2.显示器支架：显示器应提供显示器支架；</w:t>
            </w:r>
          </w:p>
          <w:p w14:paraId="7DFDCA7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3.显示器参数调节：a）提供OSD选单按钮用于调节色彩、模式等；b）支持色温、亮度、对比度调节；</w:t>
            </w:r>
          </w:p>
          <w:p w14:paraId="6400E0DA">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十九、存储功能</w:t>
            </w:r>
          </w:p>
          <w:p w14:paraId="682F5A5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1.存储功能：通过SATA固态存储/PCIe固态存储/UFS固态存储/SATA硬磁盘等存储部件提供存储功能；</w:t>
            </w:r>
          </w:p>
          <w:p w14:paraId="798946DA">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二十、网络设备功能</w:t>
            </w:r>
          </w:p>
          <w:p w14:paraId="1FC142C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1.网络功能：a）支持网络连接、网络开启/关闭功能；b）支持访问网络和数据交换功能；</w:t>
            </w:r>
          </w:p>
          <w:p w14:paraId="2CCF07A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2.数据传输：支持数据传输能力，并提供数据流量和异常日志记录功能；</w:t>
            </w:r>
          </w:p>
          <w:p w14:paraId="73B73B1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3.有线网卡接口类型：支持RJ45接口；</w:t>
            </w:r>
          </w:p>
          <w:p w14:paraId="6EA8B47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4.网络设备拆装：网络设备支持物理拆装，包括无线网卡和蓝牙模块等；</w:t>
            </w:r>
          </w:p>
          <w:p w14:paraId="7331E4C3">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二十一、外部接口功能</w:t>
            </w:r>
          </w:p>
          <w:p w14:paraId="3D4AA64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1.音频接口类型：支持3.5mm孔径3段式或4段式接口；</w:t>
            </w:r>
          </w:p>
          <w:p w14:paraId="0C92303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2.视频接口类型：至少支持VGA、HDMI、DVI、DP、Type-C中1种显示接口；</w:t>
            </w:r>
          </w:p>
          <w:p w14:paraId="18C2993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3.HDMI、DP、Type-C显示接口要求：若提供HDMI或DP或Type-C作为显示接口，应支持音频和视频同步输出；</w:t>
            </w:r>
          </w:p>
          <w:p w14:paraId="402EB348">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二十二、电源功能</w:t>
            </w:r>
          </w:p>
          <w:p w14:paraId="68A5B3C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1.电源线适配能力：电源适配器电线组件应符合GB/T 15934的要求；</w:t>
            </w:r>
          </w:p>
          <w:p w14:paraId="43DC21F4">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二十三、操作系统及软件功能</w:t>
            </w:r>
          </w:p>
          <w:p w14:paraId="010B7E6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1.中文信息处理要求：符合GB 18030的相关规定；</w:t>
            </w:r>
          </w:p>
          <w:p w14:paraId="2FD1478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2.操作系统备份及还原功能：支持操作系统备份及还原功能；</w:t>
            </w:r>
          </w:p>
          <w:p w14:paraId="0F3556B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3.固件备份还原能力：支持备份及还原固件的功能；</w:t>
            </w:r>
          </w:p>
          <w:p w14:paraId="4119BEA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4.操作系统及驱动升级：支持通过网络、闪存盘等方式对操作系统、驱动进行升级；</w:t>
            </w:r>
          </w:p>
          <w:p w14:paraId="0328ADA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5.固件升级：支持通过网络、闪存盘等方式对固件进行升级；</w:t>
            </w:r>
          </w:p>
          <w:p w14:paraId="7150BAF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6.BIOS支持关闭通讯接口：支持BIOS关闭以太网及USB接口；</w:t>
            </w:r>
          </w:p>
          <w:p w14:paraId="694C554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7.固件查看信息：支持查看固件版本、内存信息、主板信息、处理器信息和系统时间信息等功能；</w:t>
            </w:r>
          </w:p>
          <w:p w14:paraId="673A014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8.固件设置启动顺序：支持设置启动顺序功能，并按照设置的启动顺序启动；</w:t>
            </w:r>
          </w:p>
          <w:p w14:paraId="0ED9E0A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9.固件设置口令：支持设置口令、修改口令、验证口令功能；</w:t>
            </w:r>
          </w:p>
          <w:p w14:paraId="46F6490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10.固件设置网络引导：支持网络引导启动和关闭功能；</w:t>
            </w:r>
          </w:p>
          <w:p w14:paraId="0D3579C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11.提供功能至少有文字处理、电子表格、演示文稿三大应用模块的正版办公软件，授权≥3年。</w:t>
            </w:r>
          </w:p>
          <w:p w14:paraId="7D80606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12.windows应用迁移软件</w:t>
            </w:r>
          </w:p>
          <w:p w14:paraId="1A9DA79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①用户首次使用软件时，软件会自动完成GA安装，保障Windows应用的体验效果。</w:t>
            </w:r>
          </w:p>
          <w:p w14:paraId="251F5D7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②产品支持Legacy+MBR和UEFI+GPT引导安装。</w:t>
            </w:r>
          </w:p>
          <w:p w14:paraId="1A9AC7E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③产品支持一键检测设备软硬件环境是否满足部署要求，输出满足项和不满足项。</w:t>
            </w:r>
          </w:p>
          <w:p w14:paraId="43006E5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④产品提供双工作区和系统融合两种模式供用户选择。</w:t>
            </w:r>
          </w:p>
          <w:p w14:paraId="338A641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⑤产品支持图形化引导，自助安装：全图形化引导安装，支持一键扫描安装环境，用户单双击即可完成安装。</w:t>
            </w:r>
          </w:p>
          <w:p w14:paraId="0CB1764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⑥产品支持网络自动匹配、网络禁用等企业级网络管理，实现对迁移后系统的安全管控。</w:t>
            </w:r>
          </w:p>
          <w:p w14:paraId="6B3BFB4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⑦为保证八桂教学通和柳州教育资源公共服务平台等应用的兼容性和稳定性，windows应用迁移软件需与所投产品的操作系统兼容。</w:t>
            </w:r>
          </w:p>
          <w:p w14:paraId="6DDB39F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13.AI电脑助手</w:t>
            </w:r>
          </w:p>
          <w:p w14:paraId="40BB6B2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（1）登录方式多样性：支持账号/密码和手机微信扫码两种登录方式。用户首次登录时绑定微信ID与账号的对应关系。</w:t>
            </w:r>
          </w:p>
          <w:p w14:paraId="36AAD88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（2）设备详情：能查看当前设备的硬件信息和系统信息。可查看的硬件信息包含CPU、主板、显卡、硬盘、显示器、网卡、声卡。可查看的系统信息包括操作系统、系统激活状态、SN号MAC地址、内外网IP。</w:t>
            </w:r>
          </w:p>
          <w:p w14:paraId="18B3ACB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（3）设备运行状态：能查看当前设备的内存、CPU、硬盘、系统盘、网速的实时占用状态信息。</w:t>
            </w:r>
          </w:p>
          <w:p w14:paraId="654A0AC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（4）文件发送：支持一次发送≥15个文件给多个公共接收端软件。接收端离线时文件能够暂存在云端，在线后可进行自动下载。支持发送图片、视频、文档等类型的文件，支持查看发送进度。</w:t>
            </w:r>
          </w:p>
          <w:p w14:paraId="6B75267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文件列表：接收到新文件时有提示新文件。支持查看当前已接收的文件列表。可对文件进行下载或打开操作。支持自动清理超过14天的文件，保障存储容量的充裕。为方便用户分辨自己的文件夹，可对自己的文件夹的图标颜色和命名进行个性化设置。</w:t>
            </w:r>
          </w:p>
          <w:p w14:paraId="1E1C83E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（6）存储路径变更：支持用户选择文件存储的路径在任意盘符，修改盘符的过程中支持用户对原盘符的文件进行迁移还是删除。</w:t>
            </w:r>
          </w:p>
          <w:p w14:paraId="107F442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查看和编辑：采用云端存储的方式，用户可自定义创建文件夹和上传文件，用户可在终端应用软件查看下载文件，支持对文件排序、筛选，对文件和文件夹进行移动、删除、重命名操作。支持用户在移动端应用软件中查看上传和下载的文件。</w:t>
            </w:r>
          </w:p>
          <w:p w14:paraId="3628219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预览：能够在线预览图片、音视频、文档。支持预览的格式，包括但不限于：图片：BMP、GIF、JPE、JPEG、JPG、PNG。音频：WAV、MP3、OGG。视频：3GP、F4V、M4V、MKV、MP4、OGV、MOV。文档：DOC、DOCX、PDF、PPT、XLS、XLSX。</w:t>
            </w:r>
          </w:p>
          <w:p w14:paraId="2567E69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（9）发送到接收端：用户可在云盘中把多个文件发送至接收端软件中，发送的文件不限格式，接收端软件自动下载该文件。</w:t>
            </w:r>
          </w:p>
          <w:p w14:paraId="5BC38CA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（10）快捷打开：终端应用软件具备桌面快捷操作栏功能，固定在桌面，可具备展示用户添加的应用、网站和组件，点击后即可快速打开。支持在软件内切换、关闭标签。能对窗口进行最小化、最大化、关闭。</w:t>
            </w:r>
          </w:p>
          <w:p w14:paraId="77C436F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（11）快捷打开AI应用：终端应用软件的桌面快捷操作栏可为用户提供主流大模型应用的快捷入口，用户可自主添加常用AI网站。</w:t>
            </w:r>
          </w:p>
          <w:p w14:paraId="596D6A9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12）编辑：用户可自定义桌面快捷操作栏展示的内容，根据自己的需求对内容进行移除、添加、移动位置，可自定义添加所需要的网站，变更后数据会跟随当前登录的账号，登录另一台电脑时会同步当前编辑的结果。</w:t>
            </w:r>
          </w:p>
          <w:p w14:paraId="5018658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13）移动：终端应用软件支持用户将固定在桌面上的快捷操作栏拖动到屏幕的任意位置，当用户拖动快捷操作栏靠近屏幕边缘时会自动收到侧边。鼠标悬浮在侧边的时候，会弹出该快捷操作栏，再次拖动快捷操作栏会取消收起。</w:t>
            </w:r>
          </w:p>
          <w:p w14:paraId="471FA9E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（14）提示词：进入百宝箱后支持展示≥2条提示词，支持试一试选型一键问询问题。</w:t>
            </w:r>
          </w:p>
          <w:p w14:paraId="26FF40C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（15）对话式生成：根据输入的文字生成文本，并通过对话的形式表达，可对输入内容进行安全性检测，还支持根据上下文进行多轮连续对话，支持对AI生成的内容复制或重新生成以及查看历史输入内容。</w:t>
            </w:r>
          </w:p>
          <w:p w14:paraId="44B2AF8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（16）独占模式：支持批量生成≥3张奖状，可对奖励内容、奖励称号、颁奖人/单位、颁发日期、印章内容进行编辑。</w:t>
            </w:r>
          </w:p>
          <w:p w14:paraId="627B575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17）PDF格式转化：通过终端应用内置PDF格式转换功能，支持对PDF的文件进行转换格式，转换为XLSX、DOCX、PPT；转换后文件内容的排布与源PDF保持基本一致。支持对转换后的文件进行编辑，包括（编辑文本、编辑表格、编辑图片）；转换后支持下载文件至电脑本地。</w:t>
            </w:r>
          </w:p>
          <w:p w14:paraId="628EAFD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（18）图片转格式：支持对图片进行格式转换，图片原始格式为bmp、jpg、jpeg、png、tif、webp、heic；转换为jpg、png；转换后支持下载图片到电脑本地。</w:t>
            </w:r>
          </w:p>
          <w:p w14:paraId="6F59E61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（19）提取文字：支持对图片进行在线文字识别，识别后支持对文字进行复制。</w:t>
            </w:r>
          </w:p>
          <w:p w14:paraId="09318AC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（20）内容总结：支持对格式为txt、html、doc、docx等≥5种文件类型进行大模型识别并进行内容总结，总结后的内容可复制，并可根据总结内容自动生成思维导图，思维导图可以编辑。</w:t>
            </w:r>
          </w:p>
          <w:p w14:paraId="4899B78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（21）长截图：支持长截图功能，可通过滚动鼠标滚轮方式对可截取区域进行长截图；截取完毕后，支持保存截图到电脑本地；支持保存截图到剪切板，并能粘贴到目标位置。</w:t>
            </w:r>
          </w:p>
          <w:p w14:paraId="0748A30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22）划词翻译：支持对网页，文件等中的内容进行鼠标划词选中，可选择翻译功能，翻译选中内容，自动识别选中内容语言进行翻译，支持用户手动选择翻译语种，支持包括但不限于简体中文、繁体中文、英语、日语、德语、阿拉伯语、西班牙语、法语、葡萄牙语、俄语、韩语11种语言，支持对翻译内容进行复制。</w:t>
            </w:r>
          </w:p>
          <w:p w14:paraId="6B2AB66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（23）划词总结、缩写、扩写：支持对网页，文件等中的内容进行鼠标划词选中，可选择≥2种功能，可对选中内容进行大模型理解，可进行总结或扩写，支持生成内容进行复制。</w:t>
            </w:r>
          </w:p>
          <w:p w14:paraId="3C38EE4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24）AI搜索文件：支持通过桌面快捷操作栏或快捷键进入AI搜索对话框，快捷键可自定义。支持通过Ai搜索快速搜索本地文件，可对文件或文件夹名称进行精确匹配，可展示显示搜索的文件个数、打开文件所在目录，进行复制、剪切、删除、查看文件属性。</w:t>
            </w:r>
          </w:p>
          <w:p w14:paraId="24AAE2A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25）AI意图识别：支持用户输入文字，对输入文字的意图进行大模型的语义分析，理解和判断，识别其可能期望进行的动作，并推荐对应功能，对会议、待办、AI传屏等≥3种内容，可以自动识别主题并填入，可以快速拉起对应应用中对应模块，提升效率。</w:t>
            </w:r>
          </w:p>
          <w:p w14:paraId="5FF70D8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（26）视频在线播放：粘贴视频网页链接可一键解析视频，插入课件页后支持在线播放。支持本地上传视频插入课件页播放。</w:t>
            </w:r>
          </w:p>
          <w:p w14:paraId="6F15345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27）支持任意终端作为发送端在云桌面系统、Windows、统信UOS、银河麒麟等操作系统下直接发起镜像同传，接收端在云桌面系统、Windows、统信UOS、银河麒麟等操作系统下直接接收镜像，无需重启或者进入特定运行模式接收镜像；</w:t>
            </w:r>
          </w:p>
          <w:p w14:paraId="4FBC96B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28）智能生成课件：支持基于已明确的教学大纲，生成完整的教学课件；支持智能扩展单页课件，允许手动输入描述和根据上下文智能推荐内容；支持对大纲节点进行编辑并同步更新课件；支持对生成的文字进行润色、扩写、精简三种操作模式；支持修改、删除课件文字；支持更换课件生成的图片；支持通过拖动方式调整文字的布局；支持一键更换课件主题风格；支持演示预览课件，支持分享课件，一键复制教学设计。</w:t>
            </w:r>
          </w:p>
          <w:p w14:paraId="222F78A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29）数学公式联想及输入：用户可输入小学、初中、高中阶段所对应数学公式，只需要输入对应公式的名称，会自动匹配到对应的公式，支持键盘或鼠标选择，使公式快速上屏，如长方形的周长、长方形的面积、三角形的面积、圆的周长、圆柱的体积、指数函数、对数函数、导数、积分、三角函数、韦达定理、勾股定理；支持在Word、WPS等应用软件中对上屏的数学公式进行编辑，可编辑公式的符号、数字、角标。</w:t>
            </w:r>
          </w:p>
          <w:p w14:paraId="1036EF9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30）化学公式/元素联想及输入：用户可输入初中、高中阶段所对应化学公式，只需要输入对应公式的名称，会自动匹配到对应的公式；输入元素名称会关联对应的公式，如需要“镁在空气中的燃烧”只需要输入“镁”元素名称拼音即可关联联想对应公式，并且可匹配到所输入的化学元素其他对应的公式，支持键盘或鼠标选择，使公式快速上屏。支持在Word、WPS等应用软件中对上屏的化学公式进行编辑，可编辑公式的符号、数字、角标、条件、沉淀和气体状态等；</w:t>
            </w:r>
          </w:p>
          <w:p w14:paraId="1B35D7A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14.备、授课，教研平台</w:t>
            </w:r>
          </w:p>
          <w:p w14:paraId="1409EAD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（1）备授课一体化，具有备课模式及授课模式，且内置的操作界面可根据备课和授课使用场景不同而选择。</w:t>
            </w:r>
          </w:p>
          <w:p w14:paraId="5421FE5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（2）备课模式工具栏具备自动根据教师账号中关联的学科不同而提供相对应的教学工具。</w:t>
            </w:r>
          </w:p>
          <w:p w14:paraId="6ECB922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AI智能备课助手：在备课场景中支持搜索课件库课件资源，具有≥15万份的课件资源，支持整份课件或按照课件页插入课件中。支持按照教学环节筛选对应课件页一键插入课件中，可导入新课、作者简介。支持按照元素类型思维导图、课堂活动选取需要的部分补充课件缺失的部分。支持在查看部分课件的同时查看对应整份课件，了解作者整体教学思路。</w:t>
            </w:r>
          </w:p>
          <w:p w14:paraId="2F9FC6F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p>
          <w:p w14:paraId="0083C55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（5）云教案模板：提供教案模板以供教师撰写教案，预置表格式、提纲式、集备式、多课时式等≥4个教案模板。</w:t>
            </w:r>
          </w:p>
          <w:p w14:paraId="4FA9B3A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（6）支持校本教案模板设计，管理员在教研管理后台设置校本模板后，教师可在云教案模板直接调用。</w:t>
            </w:r>
          </w:p>
          <w:p w14:paraId="297225F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（7）云教案与云课件可一对多关联绑定，产生绑定后，在课件页和教案页均支持在同一面板打开关联的云课件或云教案预览，便于教师备课时相互对照。</w:t>
            </w:r>
          </w:p>
          <w:p w14:paraId="1BECF9D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（8）AI智能生成课堂活动：具有课堂活动智能填写功能，支持选词填空、判断对错等≥2类课堂活动。输入文本后可以一键解析，自动将文本内容结构化填充至题干和正确选项，完成课堂活动的制作。</w:t>
            </w:r>
          </w:p>
          <w:p w14:paraId="21278D0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（9）课堂互动游戏支持云储存功能：编辑完成的活动可一键存储至教师云空间，便于在不同课件中直接调用，无需反复编辑。</w:t>
            </w:r>
          </w:p>
          <w:p w14:paraId="39FDB78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智能选词填空：支持创建智能选词填空游戏，填空选项支持并列选项，并列选项支持答案互换，教师可随意编辑填空题题干以及相应的答案选项，将选项拖到对应题干空白处，系统自动判断答案正误，系统需提供≥9种游戏模板，且模板样式支持自定义修改。</w:t>
            </w:r>
          </w:p>
          <w:p w14:paraId="34B3687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11）智能配对游戏：支持创建配对游戏，教师可随意将知识点进行配对。当开始配对游戏时，拖动知识点进行配对，系统将自动判断是否正确。系统提供≥10种游戏模板，且模板样式支持自定义修改，同时支持设置干扰项。</w:t>
            </w:r>
          </w:p>
          <w:p w14:paraId="563B77F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12）分组竞争游戏：支持创建分组竞争游戏，教师可设置正确项／干扰项，让两组学生开展竞争游戏。提供不少于3种难度、10种游戏模板供选择，且模板样式支持自定义修改。支持记录和展示学生作答结果，便于课堂知识点对比讲解。</w:t>
            </w:r>
          </w:p>
          <w:p w14:paraId="5CA2861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（13）课件背景：提供≥12种以上背景模板供用户选择，支持自定义背景。</w:t>
            </w:r>
          </w:p>
          <w:p w14:paraId="703E373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（14）软件内置的AI智能语义分析模块，可对输入的英文文本的拼写、句型、语法进行错误检查，并支持一键纠错。</w:t>
            </w:r>
          </w:p>
          <w:p w14:paraId="515DDBF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15）英汉字典：支持输入英文单词生成单词卡和详解页，包含单词的释义、读音、例句、词组、近义词等，可插入多个单词卡，同时支持教师自定义编辑单词释义、创建未收录的生僻单词供授课使用。可将插入的单词卡一键切换至详解页进入单词详解模式，支持教师自定义编辑单词释义、例句、词组和近义词，且提供≥4种详解页背景模板供选择。</w:t>
            </w:r>
          </w:p>
          <w:p w14:paraId="33B39D5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（16）AI音标助手：支持浏览和插入国际音标表，可直接点击发音，支持已整表和单个音标卡片插入。支持智能将字母、单词、句子转写为音标，并可一键插入到备课课件中形成文本</w:t>
            </w:r>
          </w:p>
          <w:p w14:paraId="0FB4743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（17）快捷抠图：即可在白板软件中对导入的图片进行快捷抠图、去背景，处理后的图片主体边缘没有明显毛边，可导出保存成PNG格式。</w:t>
            </w:r>
          </w:p>
          <w:p w14:paraId="664D6479">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二十四、存储设备可靠性</w:t>
            </w:r>
          </w:p>
          <w:p w14:paraId="42A940B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1.固态存储寿命：TBW≥80TB（条件：512GB硬盘容量）；</w:t>
            </w:r>
          </w:p>
          <w:p w14:paraId="39DF2FF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2.机械硬盘寿命：通电时间≥5万小时；</w:t>
            </w:r>
          </w:p>
          <w:p w14:paraId="10A0F5F7">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二十五、显示设备可靠性</w:t>
            </w:r>
          </w:p>
          <w:p w14:paraId="650B19C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1.显示屏屏幕失效点：符合GB/T 9813.2的要求；</w:t>
            </w:r>
          </w:p>
          <w:p w14:paraId="00B2613D">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二十六、外设可靠性</w:t>
            </w:r>
          </w:p>
          <w:p w14:paraId="67FC81F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1.键盘按键寿命：≥1000万次；</w:t>
            </w:r>
          </w:p>
          <w:p w14:paraId="7AEF0D0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2.鼠标按键寿命：≥500万次；</w:t>
            </w:r>
          </w:p>
          <w:p w14:paraId="7082735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3.键盘鼠标线材寿命：键盘鼠标所用线材经±60°弯折不低于3000次，功能、外观完好；</w:t>
            </w:r>
          </w:p>
          <w:p w14:paraId="17594EB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4.风扇寿命：≥4万小时；</w:t>
            </w:r>
          </w:p>
          <w:p w14:paraId="27044A4D">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二十七、整机可靠性要求</w:t>
            </w:r>
          </w:p>
          <w:p w14:paraId="1F0450A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1.电磁兼容性要求的抗扰度：符合GB/T 9254.2的规定；</w:t>
            </w:r>
          </w:p>
          <w:p w14:paraId="222A712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2.环境条件要求的气候环境适应性：符合GB/T 9813.1中规定；</w:t>
            </w:r>
          </w:p>
          <w:p w14:paraId="033B6CB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3.环境条件要求的振动适应性：符合GB/T 9813.1中规定；</w:t>
            </w:r>
          </w:p>
          <w:p w14:paraId="4E8FEB1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4.环境条件要求的冲击适应性：符合GB/T 9813.1中规定；</w:t>
            </w:r>
          </w:p>
          <w:p w14:paraId="61F9BD2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5.环境条件要求的碰撞适应性：符合GB/T 9813.1中规定；</w:t>
            </w:r>
          </w:p>
          <w:p w14:paraId="6BF327A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6.环境条件要求的运输包装件跌落适应性：符合GB/T 9813.1中规定；</w:t>
            </w:r>
          </w:p>
          <w:p w14:paraId="02427CD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7.MTBF测试：MTBF(m1)≥130万小时；</w:t>
            </w:r>
          </w:p>
          <w:p w14:paraId="21AB88E8">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二十八、兼容要求</w:t>
            </w:r>
          </w:p>
          <w:p w14:paraId="6B65A95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1.常用软件兼容：支持流式软件、版式软件、浏览器、邮件采购人端、解压软件、多媒体、图形图像处理等常用软件；</w:t>
            </w:r>
          </w:p>
          <w:p w14:paraId="4F12FF8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2.数据库兼容：兼容3个及以上厂商的数据库产品；</w:t>
            </w:r>
          </w:p>
          <w:p w14:paraId="3461FD1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3.中间件兼容：兼容3个及以上厂商中间件产品；</w:t>
            </w:r>
          </w:p>
          <w:p w14:paraId="581620D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4.平台软件兼容：兼容3个及以上厂商云计算及大数据平台；</w:t>
            </w:r>
          </w:p>
          <w:p w14:paraId="459F200C">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二十九、包装及运输要求</w:t>
            </w:r>
          </w:p>
          <w:p w14:paraId="2807A94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1.标志、包装、运输和贮存：符合GB/T 9813.1和商品包装政府采购需求标准的相关规定；</w:t>
            </w:r>
          </w:p>
          <w:p w14:paraId="683C755F">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三十、服务要求</w:t>
            </w:r>
          </w:p>
          <w:p w14:paraId="11BB8F3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1.配置检查工具：供应商提供自检测试工具；</w:t>
            </w:r>
          </w:p>
          <w:p w14:paraId="1477150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服务响应：a）供应商提供电话、电子邮件、远程连接等多种形式服务；b）供应商提供同城4h、异地12h技术响应服务，在2个工作日内解决问题，对于未能解决的问题和故障应提供可行的升级方案，并提供周转设备或更换设备；c）建立全国技术服务体系和服务团体，符合专业服务体系标准要求，提供原厂中文服务；d）在服务周期内提供产品的维修、换件和升级服务；</w:t>
            </w:r>
          </w:p>
          <w:p w14:paraId="13F4F3D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3.服务周期：a)设备停产后应继续提供质量保障服务（含备品备件），服务终止时间与最后一批设备交付时间间隔不低于6年；b)产品停止服务时间应提前1年告知；c)应明确产品发布日期；</w:t>
            </w:r>
          </w:p>
          <w:p w14:paraId="10AEBF6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4.预装操作系统：预装符合桌面操作系统政府采购需求标准的正版操作系统；预装的操作系统符合《操作系统政府采购需求标准》中加*指标要求（财政部 工业和信息化部关于印发《操作系统政府采购需求标准（2023年版）》的通知）；</w:t>
            </w:r>
          </w:p>
          <w:p w14:paraId="5DAA20E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5.培训服务：供应商提供培训材料、产品手册、培训视频等培训相关内容；</w:t>
            </w:r>
          </w:p>
          <w:p w14:paraId="0DA5F4B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6.典型问题解决手册：供应商提供典型问题解决说明文档或视频；</w:t>
            </w:r>
          </w:p>
          <w:p w14:paraId="5634B76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7.厂家升级软件与扩容服务：供应商提供上门升级部件/软件与扩容的增值服务；</w:t>
            </w:r>
          </w:p>
          <w:p w14:paraId="697EE56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8.整机质量服务要求：免费服务周期（含换件和维修）应不小于3年；</w:t>
            </w:r>
          </w:p>
          <w:p w14:paraId="674AC74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9.合格证书要求：供应商提供产品合格证；</w:t>
            </w:r>
          </w:p>
          <w:p w14:paraId="0C99FFD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10.开箱组装/使用指导要求：供应商提供开箱组装/使用指导；</w:t>
            </w:r>
          </w:p>
          <w:p w14:paraId="19A0B00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11.驱动下载服务要求：供应商提供驱动光盘或下载方式；</w:t>
            </w:r>
          </w:p>
          <w:p w14:paraId="03A288A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12.兼容适配软件下载服务要求：供应商提供兼容适配软件下载渠道（光盘、网站）；</w:t>
            </w:r>
          </w:p>
          <w:p w14:paraId="4AD502C2">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三十一、供应链合规性</w:t>
            </w:r>
          </w:p>
          <w:p w14:paraId="3C6421A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1.产品部件保障：供应商保障产品主要部件，提供6年的备件服务能力（自购买之日起），或提供可兼容原设备的升级换代产品；</w:t>
            </w:r>
          </w:p>
          <w:p w14:paraId="5DE1BE86">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三十二、供应链质量</w:t>
            </w:r>
          </w:p>
          <w:p w14:paraId="1B0D653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1.抗干扰性：当产品部件出现供应风险时，供应商应通知采购人并提供风险应对方案确保产品的服务保障；</w:t>
            </w:r>
          </w:p>
          <w:p w14:paraId="3D6F441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2.供应能力证明：确保产品的部件在产品服务周期内稳定供货；</w:t>
            </w:r>
          </w:p>
          <w:p w14:paraId="5210AB5A">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三十三、关键部件安全</w:t>
            </w:r>
          </w:p>
          <w:p w14:paraId="75963BB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1.关键部件安全要求：CPU和操作系统等关键部件应当符合安全可靠测评要求；</w:t>
            </w:r>
            <w:r>
              <w:rPr>
                <w:rFonts w:hint="eastAsia" w:ascii="仿宋_GB2312" w:hAnsi="仿宋_GB2312" w:eastAsia="仿宋_GB2312" w:cs="仿宋_GB2312"/>
                <w:color w:val="auto"/>
                <w:spacing w:val="0"/>
                <w:kern w:val="0"/>
                <w:sz w:val="24"/>
                <w:highlight w:val="none"/>
              </w:rPr>
              <w:t>通过政府有关部门指定的中国信息安全测评中心和国家保密科技测评中心网站查看安全可靠测评结果</w:t>
            </w:r>
          </w:p>
          <w:p w14:paraId="2068AA2E">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lang w:val="en-US" w:eastAsia="zh-CN"/>
              </w:rPr>
              <w:t>注：投标人在填写《技术响应表》时，在“投标文件响应技术参数”明确给出所投网络教室教师机“CPU型号”及“操作系统”名称，否则视为投标无效。</w:t>
            </w:r>
          </w:p>
          <w:p w14:paraId="597FD97E">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三十四、整机安全性要求</w:t>
            </w:r>
          </w:p>
          <w:p w14:paraId="2A36254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1.密码算法实现：CPU芯片应符合GM/T 0008的相关规定，或芯片密码模块应符合GB/T 37092或GM/T 0028的相关规定（通过商用密码检测机构检测并经商用密码认证机构认证合格）；</w:t>
            </w:r>
          </w:p>
          <w:p w14:paraId="4BDC51D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2.信息安全基本要求：a)产品应符合GB/T 39276的5.2的规定；b)生产厂商应建立漏洞跟踪表，保证产品版本涉及的漏洞（如驱动程序等）可查看；c)产品不得包含已知的恶意代码或漏洞，不存在未声明的指令、功能、接口；</w:t>
            </w:r>
          </w:p>
          <w:p w14:paraId="51CBE30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3.固件安全启动：支持固件安全启动功能，固件启动过程中只有通过启动校验才能正常启动；</w:t>
            </w:r>
          </w:p>
          <w:p w14:paraId="6998614F">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4.限用物质的限量要求：符合GB/T 26572中规定</w:t>
            </w:r>
            <w:r>
              <w:rPr>
                <w:rFonts w:hint="eastAsia" w:ascii="仿宋_GB2312" w:hAnsi="仿宋_GB2312" w:eastAsia="仿宋_GB2312" w:cs="仿宋_GB2312"/>
                <w:color w:val="auto"/>
                <w:kern w:val="0"/>
                <w:sz w:val="24"/>
                <w:highlight w:val="none"/>
                <w:lang w:eastAsia="zh-CN"/>
              </w:rPr>
              <w:t>。</w:t>
            </w:r>
          </w:p>
        </w:tc>
        <w:tc>
          <w:tcPr>
            <w:tcW w:w="812" w:type="dxa"/>
            <w:tcBorders>
              <w:top w:val="single" w:color="auto" w:sz="4" w:space="0"/>
              <w:left w:val="single" w:color="auto" w:sz="4" w:space="0"/>
              <w:bottom w:val="single" w:color="auto" w:sz="4" w:space="0"/>
              <w:right w:val="single" w:color="auto" w:sz="4" w:space="0"/>
            </w:tcBorders>
            <w:vAlign w:val="center"/>
          </w:tcPr>
          <w:p w14:paraId="34A11E36">
            <w:pPr>
              <w:pStyle w:val="260"/>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台</w:t>
            </w:r>
          </w:p>
        </w:tc>
      </w:tr>
      <w:tr w14:paraId="2835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70890E07">
            <w:pPr>
              <w:pStyle w:val="260"/>
              <w:snapToGrid w:val="0"/>
              <w:spacing w:line="40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1118" w:type="dxa"/>
            <w:tcBorders>
              <w:top w:val="single" w:color="auto" w:sz="4" w:space="0"/>
              <w:left w:val="single" w:color="auto" w:sz="4" w:space="0"/>
              <w:bottom w:val="single" w:color="auto" w:sz="4" w:space="0"/>
              <w:right w:val="single" w:color="auto" w:sz="4" w:space="0"/>
            </w:tcBorders>
            <w:vAlign w:val="center"/>
          </w:tcPr>
          <w:p w14:paraId="57C1BE31">
            <w:pPr>
              <w:widowControl/>
              <w:spacing w:line="400" w:lineRule="exact"/>
              <w:jc w:val="center"/>
              <w:rPr>
                <w:rFonts w:hint="eastAsia" w:ascii="仿宋_GB2312" w:hAnsi="仿宋_GB2312" w:eastAsia="仿宋_GB2312" w:cs="仿宋_GB2312"/>
                <w:color w:val="auto"/>
                <w:kern w:val="0"/>
                <w:sz w:val="24"/>
                <w:highlight w:val="none"/>
                <w:lang w:eastAsia="zh-CN"/>
              </w:rPr>
            </w:pPr>
            <w:r>
              <w:rPr>
                <w:rFonts w:hint="eastAsia" w:ascii="仿宋_GB2312" w:eastAsia="仿宋_GB2312"/>
                <w:b/>
                <w:bCs/>
                <w:color w:val="auto"/>
                <w:sz w:val="24"/>
                <w:highlight w:val="none"/>
              </w:rPr>
              <w:t>▲</w:t>
            </w:r>
            <w:r>
              <w:rPr>
                <w:rFonts w:hint="eastAsia" w:ascii="仿宋_GB2312" w:hAnsi="仿宋_GB2312" w:eastAsia="仿宋_GB2312" w:cs="仿宋_GB2312"/>
                <w:color w:val="auto"/>
                <w:kern w:val="0"/>
                <w:sz w:val="24"/>
                <w:highlight w:val="none"/>
                <w:lang w:eastAsia="zh-CN"/>
              </w:rPr>
              <w:t>网络教室学生机</w:t>
            </w: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b/>
                <w:bCs/>
                <w:color w:val="auto"/>
                <w:kern w:val="0"/>
                <w:sz w:val="24"/>
                <w:highlight w:val="none"/>
              </w:rPr>
              <w:t>强制采购节能产品，详见采购需求说明第八点）</w:t>
            </w:r>
          </w:p>
        </w:tc>
        <w:tc>
          <w:tcPr>
            <w:tcW w:w="6707" w:type="dxa"/>
            <w:tcBorders>
              <w:top w:val="single" w:color="auto" w:sz="4" w:space="0"/>
              <w:left w:val="single" w:color="auto" w:sz="4" w:space="0"/>
              <w:bottom w:val="single" w:color="auto" w:sz="4" w:space="0"/>
              <w:right w:val="single" w:color="auto" w:sz="4" w:space="0"/>
            </w:tcBorders>
            <w:vAlign w:val="center"/>
          </w:tcPr>
          <w:p w14:paraId="61F59A62">
            <w:pPr>
              <w:widowControl/>
              <w:spacing w:line="400" w:lineRule="exact"/>
              <w:ind w:firstLine="482" w:firstLineChars="200"/>
              <w:jc w:val="left"/>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★一、CPU规格</w:t>
            </w:r>
          </w:p>
          <w:p w14:paraId="3F80D52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rPr>
              <w:t>1.CPU</w:t>
            </w:r>
            <w:r>
              <w:rPr>
                <w:rFonts w:hint="eastAsia" w:ascii="仿宋_GB2312" w:hAnsi="仿宋_GB2312" w:eastAsia="仿宋_GB2312" w:cs="仿宋_GB2312"/>
                <w:color w:val="auto"/>
                <w:kern w:val="0"/>
                <w:sz w:val="24"/>
                <w:highlight w:val="none"/>
                <w:lang w:val="en-US" w:eastAsia="zh-CN"/>
              </w:rPr>
              <w:t>物理核心数:≥8核8线程，主频≥2.7GHz，末级缓存≥2M，内存≥双通道DDR4-3000，热设计功耗≤20W，位宽≥64位；</w:t>
            </w:r>
          </w:p>
          <w:p w14:paraId="2D9A1A79">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二、内存规格</w:t>
            </w:r>
          </w:p>
          <w:p w14:paraId="32DAD36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1.内存配置容量：≥8GB；</w:t>
            </w:r>
          </w:p>
          <w:p w14:paraId="39332EC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2.内存类型：支持DDR4/LPDDR4/LPDDR4X及以上内存类型；</w:t>
            </w:r>
          </w:p>
          <w:p w14:paraId="6629718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3.内存条配置数量（板载内存不涉及）：≥1；</w:t>
            </w:r>
          </w:p>
          <w:p w14:paraId="4A78A8E3">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三、主板规格</w:t>
            </w:r>
          </w:p>
          <w:p w14:paraId="6888B0A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1.主板集成模块：集成资源扩展模块、计算处理模块、音频扩展模块等，主板的互联拓扑可通过处理器或交换电路实现；</w:t>
            </w:r>
          </w:p>
          <w:p w14:paraId="46C3B86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2.主板支持的CPU和内存情况：≥8核8线程，主频≥2.7GHz，末级缓存≥2M，内存≥双通道DDR4-3000，热设计功耗≤20W，位宽≥64位；内存条数量≥1；</w:t>
            </w:r>
          </w:p>
          <w:p w14:paraId="1A2573B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3.主板其他内置接口：≥SATA接口*1，≥M.2接口*1，≥USB接口*7，固态硬盘占用M.2接口*1，机械硬盘占用SATA接口*1；</w:t>
            </w:r>
          </w:p>
          <w:p w14:paraId="36F798D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4.单内存插槽最大可支持容量（板载内存不涉及）：≥8GB；</w:t>
            </w:r>
          </w:p>
          <w:p w14:paraId="3A7773C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5.内存插槽满配时提供的最高内存总容量：≥16GB；</w:t>
            </w:r>
          </w:p>
          <w:p w14:paraId="3D050BF2">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四、存储设备规格</w:t>
            </w:r>
          </w:p>
          <w:p w14:paraId="19EE34B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1.固态盘数量：≥1个；</w:t>
            </w:r>
          </w:p>
          <w:p w14:paraId="191B7A1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2.固态存储容量：≥256GB；</w:t>
            </w:r>
          </w:p>
          <w:p w14:paraId="3DD4F366">
            <w:pPr>
              <w:widowControl/>
              <w:spacing w:line="400" w:lineRule="exact"/>
              <w:ind w:left="479" w:leftChars="228" w:firstLine="0" w:firstLineChars="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3.机械硬盘数量：≥1个；</w:t>
            </w:r>
            <w:r>
              <w:rPr>
                <w:rFonts w:hint="eastAsia" w:ascii="仿宋_GB2312" w:hAnsi="仿宋_GB2312" w:eastAsia="仿宋_GB2312" w:cs="仿宋_GB2312"/>
                <w:color w:val="auto"/>
                <w:kern w:val="0"/>
                <w:sz w:val="24"/>
                <w:highlight w:val="none"/>
                <w:lang w:val="en-US" w:eastAsia="zh-CN"/>
              </w:rPr>
              <w:cr/>
            </w:r>
            <w:r>
              <w:rPr>
                <w:rFonts w:hint="eastAsia" w:ascii="仿宋_GB2312" w:hAnsi="仿宋_GB2312" w:eastAsia="仿宋_GB2312" w:cs="仿宋_GB2312"/>
                <w:color w:val="auto"/>
                <w:kern w:val="0"/>
                <w:sz w:val="24"/>
                <w:highlight w:val="none"/>
                <w:lang w:val="en-US" w:eastAsia="zh-CN"/>
              </w:rPr>
              <w:t>4.机械硬盘总容量：≥1TB；</w:t>
            </w:r>
          </w:p>
          <w:p w14:paraId="1CA1C40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5.机械硬盘转速：≥5400rpm；</w:t>
            </w:r>
          </w:p>
          <w:p w14:paraId="59E0677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6.机械硬盘形态：2.5英寸或3.5英寸等；</w:t>
            </w:r>
          </w:p>
          <w:p w14:paraId="485F566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7.固态存储形态：采用插卡或板载等形态，可选用符合M.2或2.5寸SATA或mSATA等标准的插卡形态；</w:t>
            </w:r>
          </w:p>
          <w:p w14:paraId="6AB9877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8.存储设备其他参数要求：a）固态盘应符合SJ/T 11654相关规定；b）机械硬盘准备时间应不大于30s；侧面固定螺丝孔数量可为4孔或6孔；工作状态环境温度应满足5℃～55℃；其他参数应符合GB/T 12628相关规定；</w:t>
            </w:r>
          </w:p>
          <w:p w14:paraId="08BC07AC">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五、显卡规格</w:t>
            </w:r>
          </w:p>
          <w:p w14:paraId="5D921E4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1.显卡类型：集成显卡；</w:t>
            </w:r>
          </w:p>
          <w:p w14:paraId="229DB6A5">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六、显示设备规格</w:t>
            </w:r>
          </w:p>
          <w:p w14:paraId="6D9D8F6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1.显示屏屏占比：≥90%；</w:t>
            </w:r>
          </w:p>
          <w:p w14:paraId="3255835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2.显示屏分辨率：≥1920*1080；</w:t>
            </w:r>
          </w:p>
          <w:p w14:paraId="702E80F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3.显示屏尺寸：≥23.8英寸；</w:t>
            </w:r>
          </w:p>
          <w:p w14:paraId="4ED83923">
            <w:pPr>
              <w:widowControl/>
              <w:spacing w:line="400" w:lineRule="exact"/>
              <w:ind w:left="479" w:leftChars="228" w:firstLine="0" w:firstLineChars="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4.显示屏屏幕比例：16:9；</w:t>
            </w:r>
            <w:r>
              <w:rPr>
                <w:rFonts w:hint="eastAsia" w:ascii="仿宋_GB2312" w:hAnsi="仿宋_GB2312" w:eastAsia="仿宋_GB2312" w:cs="仿宋_GB2312"/>
                <w:color w:val="auto"/>
                <w:kern w:val="0"/>
                <w:sz w:val="24"/>
                <w:highlight w:val="none"/>
                <w:lang w:val="en-US" w:eastAsia="zh-CN"/>
              </w:rPr>
              <w:cr/>
            </w:r>
            <w:r>
              <w:rPr>
                <w:rFonts w:hint="eastAsia" w:ascii="仿宋_GB2312" w:hAnsi="仿宋_GB2312" w:eastAsia="仿宋_GB2312" w:cs="仿宋_GB2312"/>
                <w:color w:val="auto"/>
                <w:kern w:val="0"/>
                <w:sz w:val="24"/>
                <w:highlight w:val="none"/>
                <w:lang w:val="en-US" w:eastAsia="zh-CN"/>
              </w:rPr>
              <w:t>5.显示器外观颜色：黑色商务色系；</w:t>
            </w:r>
          </w:p>
          <w:p w14:paraId="3E0322B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6.显示屏防蓝光：支持防蓝光模式，蓝光加权辐射亮度比应≤0.0012W/（·cd·sr）（瓦每坎特拉每球面度）；</w:t>
            </w:r>
          </w:p>
          <w:p w14:paraId="0498327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7.显示屏低频闪：显示屏应支持低频闪≤-35dB；</w:t>
            </w:r>
          </w:p>
          <w:p w14:paraId="6961528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8.显示屏防眩目：显示屏镜面反射率≤10%；</w:t>
            </w:r>
          </w:p>
          <w:p w14:paraId="1F027B39">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七、外设规格</w:t>
            </w:r>
          </w:p>
          <w:p w14:paraId="3D062E9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1.鼠标数量：≥1个；</w:t>
            </w:r>
          </w:p>
          <w:p w14:paraId="26EDAB1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2.键盘数量：≥1个；</w:t>
            </w:r>
          </w:p>
          <w:p w14:paraId="3E73DD5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3.键盘按键数目：≥101键；</w:t>
            </w:r>
          </w:p>
          <w:p w14:paraId="128DE3F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4.键盘连接方式：有线；</w:t>
            </w:r>
          </w:p>
          <w:p w14:paraId="415E162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5.键盘键程：2.3mm～4.0mm；</w:t>
            </w:r>
          </w:p>
          <w:p w14:paraId="5753928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6.键盘按键压力：按键压力应在0.54N±0.14N；</w:t>
            </w:r>
          </w:p>
          <w:p w14:paraId="1A65EF8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7.有线键盘连接线：≥1.5米；</w:t>
            </w:r>
          </w:p>
          <w:p w14:paraId="14FB1CB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8.键盘颜色：黑色/白色/银色等商务色系；</w:t>
            </w:r>
          </w:p>
          <w:p w14:paraId="3D6D5E0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9.鼠标连接方式：有线；</w:t>
            </w:r>
          </w:p>
          <w:p w14:paraId="1EF56A5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10.有线鼠标连接线：≥1.5米；</w:t>
            </w:r>
          </w:p>
          <w:p w14:paraId="44B4344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11.鼠标DPI分辨率：800～1600（CPI）；</w:t>
            </w:r>
          </w:p>
          <w:p w14:paraId="6B4BE167">
            <w:pPr>
              <w:widowControl/>
              <w:spacing w:line="400" w:lineRule="exact"/>
              <w:ind w:left="479" w:leftChars="228" w:firstLine="0" w:firstLineChars="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12.鼠标颜色：黑色/银色/白色等商务色系；</w:t>
            </w:r>
          </w:p>
          <w:p w14:paraId="5759094A">
            <w:pPr>
              <w:widowControl/>
              <w:spacing w:line="400" w:lineRule="exact"/>
              <w:ind w:left="0" w:leftChars="0"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13.鼠标其他要求：其他参数应符合GB/T 26245的相关规定；</w:t>
            </w:r>
          </w:p>
          <w:p w14:paraId="6F9CF04B">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八、网络设备规格</w:t>
            </w:r>
          </w:p>
          <w:p w14:paraId="49CE3FF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1.有线网卡数量：≥1；</w:t>
            </w:r>
          </w:p>
          <w:p w14:paraId="102E7963">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九、外部接口规格</w:t>
            </w:r>
          </w:p>
          <w:p w14:paraId="1D0E0D0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1.USB接口数量：机箱前面板应提供不少于3个USB接口（含2个USB3.0及以上接口）；</w:t>
            </w:r>
            <w:r>
              <w:rPr>
                <w:rFonts w:hint="eastAsia" w:ascii="仿宋_GB2312" w:hAnsi="仿宋_GB2312" w:eastAsia="仿宋_GB2312" w:cs="仿宋_GB2312"/>
                <w:color w:val="auto"/>
                <w:kern w:val="0"/>
                <w:sz w:val="24"/>
                <w:highlight w:val="none"/>
                <w:lang w:val="en-US" w:eastAsia="zh-CN"/>
              </w:rPr>
              <w:cr/>
            </w:r>
            <w:r>
              <w:rPr>
                <w:rFonts w:hint="eastAsia" w:ascii="仿宋_GB2312" w:hAnsi="仿宋_GB2312" w:eastAsia="仿宋_GB2312" w:cs="仿宋_GB2312"/>
                <w:color w:val="auto"/>
                <w:kern w:val="0"/>
                <w:sz w:val="24"/>
                <w:highlight w:val="none"/>
                <w:lang w:val="en-US" w:eastAsia="zh-CN"/>
              </w:rPr>
              <w:t xml:space="preserve">    2.视频接口数量：≥1；</w:t>
            </w:r>
          </w:p>
          <w:p w14:paraId="3565047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3.音频接口数量：≥1；</w:t>
            </w:r>
          </w:p>
          <w:p w14:paraId="3CFA743A">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十、整机基础规格</w:t>
            </w:r>
          </w:p>
          <w:p w14:paraId="648F3DC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整机外观：a)产品表面不应有凹痕、划伤、裂缝、变形和污染等。表面涂层均匀，不应起泡、龟裂、脱落和磨损，金属零部件无锈蚀及其它机械损伤；b)产品表面说明功能的文字、符号、标志，应清晰、端正、牢固；</w:t>
            </w:r>
          </w:p>
          <w:p w14:paraId="583131A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2.状态指示灯：在产品显著位置提供状态指示功能；</w:t>
            </w:r>
          </w:p>
          <w:p w14:paraId="7218451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3.整机结构：a)机箱应符合GB/T 4208.GB/T 26246的相关规定；b)产品内部结构应符合通用部件的安装需求；c)所有输入输出接口应符合相关国家或行业标准；d)产品零部件应紧固无松动，可插拔部件应可靠连接，开关、按钮和其他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l)各主要部件拆装步骤要少，各自拆装需避免相互干扰；m)对于整机或零部件外表面为高亮面的，应粘贴保护膜，保护膜需粘贴牢固，运输、组装等过程不易脱落，撕下无残留；n)其他要求应符合GB/T 9813.1的相关规定；</w:t>
            </w:r>
          </w:p>
          <w:p w14:paraId="549B18A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4.机箱防护要求：机箱应符合GB/T 4208中IP20防护要求；</w:t>
            </w:r>
          </w:p>
          <w:p w14:paraId="0C07D96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5.整机噪声：产品工作在空闲状态下，产品的声功率级应不超过4.5Bel；</w:t>
            </w:r>
          </w:p>
          <w:p w14:paraId="4C7DCBB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整机散热：在环境温度25℃及处理器满载情况下，产品表面温度应符合如下要求：a)出风口在机箱后面板情况下，出风口温度不高于55℃；b)可触及面温度不高于45℃；c)显示器表面温度：显示屏不高于38℃，显示屏上下灯带位置温度（如涉及）不高于40℃，出风口温度不高于45℃；</w:t>
            </w:r>
          </w:p>
          <w:p w14:paraId="1E634A3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7.整机能效限定值：产品能效限定值应达到GB 28380-2012标准中能效等级2级及以上；</w:t>
            </w:r>
          </w:p>
          <w:p w14:paraId="052F611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8.机身材质：塑料/金属等；</w:t>
            </w:r>
          </w:p>
          <w:p w14:paraId="62180B7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9.机身颜色：灰色/黑色等商务色系；</w:t>
            </w:r>
          </w:p>
          <w:p w14:paraId="62D86A9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10.机箱尺寸容量：机箱体积应不大于9L；</w:t>
            </w:r>
          </w:p>
          <w:p w14:paraId="491A46B3">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十一、CPU性能</w:t>
            </w:r>
          </w:p>
          <w:p w14:paraId="4AE5CE7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1.CPU物理核数：≥8；</w:t>
            </w:r>
          </w:p>
          <w:p w14:paraId="725EFA6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2.CPU主频：≥2.7GHz；</w:t>
            </w:r>
          </w:p>
          <w:p w14:paraId="6A26131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3.CPU末级缓存容量：≥2MB；</w:t>
            </w:r>
          </w:p>
          <w:p w14:paraId="3391758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4.CPU支持的内存最高速率：≥3000MT/s；</w:t>
            </w:r>
          </w:p>
          <w:p w14:paraId="6C748F21">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十二、内存性能</w:t>
            </w:r>
          </w:p>
          <w:p w14:paraId="6E2577F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1.内存读写速率：≥3000MT/s；</w:t>
            </w:r>
          </w:p>
          <w:p w14:paraId="79B77ED6">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十三、显卡性能</w:t>
            </w:r>
          </w:p>
          <w:p w14:paraId="3C6AC19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1.显示分辨率：≥1920*1080；</w:t>
            </w:r>
          </w:p>
          <w:p w14:paraId="1C03C4E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2.显卡显示芯片核心频率：≥300MHz；</w:t>
            </w:r>
          </w:p>
          <w:p w14:paraId="6F308D7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3.显存等效频率：≥3000MT/s；</w:t>
            </w:r>
          </w:p>
          <w:p w14:paraId="203CE17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4.显卡可支持多屏同时显示数量：显卡应支持2块屏幕同时显示，分辨率应不低于1920*1080；</w:t>
            </w:r>
          </w:p>
          <w:p w14:paraId="446C06F5">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十四、显示设备性能</w:t>
            </w:r>
          </w:p>
          <w:p w14:paraId="05E992A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1.显示屏刷新率：≥90Hz；</w:t>
            </w:r>
          </w:p>
          <w:p w14:paraId="3074BF3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2.显示屏位深：≥8位；</w:t>
            </w:r>
          </w:p>
          <w:p w14:paraId="58936F4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3.显示屏色域：≥99% sRGB；≥80%(NTSC CIE1976)</w:t>
            </w:r>
          </w:p>
          <w:p w14:paraId="5B52A02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4.显示屏色准：△E≤4；</w:t>
            </w:r>
          </w:p>
          <w:p w14:paraId="530063B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5.显示屏响应时间：≤8ms；</w:t>
            </w:r>
          </w:p>
          <w:p w14:paraId="40F7607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6.显示屏亮度：≥250尼特；</w:t>
            </w:r>
          </w:p>
          <w:p w14:paraId="2589F34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7.显示屏亮度一致性：≥70%；</w:t>
            </w:r>
          </w:p>
          <w:p w14:paraId="0CF78A9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8.显示屏对比度：≥500:1；</w:t>
            </w:r>
          </w:p>
          <w:p w14:paraId="46D987E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9.显示屏其他参数：其他参数应符合SJ/T 11292的相关规定；</w:t>
            </w:r>
            <w:r>
              <w:rPr>
                <w:rFonts w:hint="eastAsia" w:ascii="仿宋_GB2312" w:hAnsi="仿宋_GB2312" w:eastAsia="仿宋_GB2312" w:cs="仿宋_GB2312"/>
                <w:color w:val="auto"/>
                <w:kern w:val="0"/>
                <w:sz w:val="24"/>
                <w:highlight w:val="none"/>
                <w:lang w:val="en-US" w:eastAsia="zh-CN"/>
              </w:rPr>
              <w:cr/>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十五、网络设备性能</w:t>
            </w:r>
          </w:p>
          <w:p w14:paraId="6545F5D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1.有线网卡速率：最高速率应不低于1000Mbps，应支持10Mbps、100Mbps、1000Mbps速率自适应；</w:t>
            </w:r>
          </w:p>
          <w:p w14:paraId="734CF357">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十六、主板功能</w:t>
            </w:r>
          </w:p>
          <w:p w14:paraId="62E9C60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1.内存扩展接口（板载内存不涉及）：≥2个；</w:t>
            </w:r>
          </w:p>
          <w:p w14:paraId="06C2813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2.主板USB瞬间过流保护：支持瞬间过流保护功能；</w:t>
            </w:r>
          </w:p>
          <w:p w14:paraId="012CA12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3.主板防静电保护：支持防静电保护功能；</w:t>
            </w:r>
          </w:p>
          <w:p w14:paraId="3F84D6C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p>
          <w:p w14:paraId="56F3EF40">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十七、显卡功能</w:t>
            </w:r>
          </w:p>
          <w:p w14:paraId="0BDE230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1.显卡外接显示接口：显卡至少支持VGA、HDMI、DVI、DP、Type-C中1种显示接口，并与显示器接口相匹配；</w:t>
            </w:r>
          </w:p>
          <w:p w14:paraId="77FB2C2F">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十八、显示设备功能</w:t>
            </w:r>
          </w:p>
          <w:p w14:paraId="640197D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1.显示器接口：显示器应与显卡外接显示接口匹配；</w:t>
            </w:r>
          </w:p>
          <w:p w14:paraId="635D55F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2.显示器支架：显示器应提供显示器支架；</w:t>
            </w:r>
          </w:p>
          <w:p w14:paraId="1B4E808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3.显示器参数调节：a）提供OSD选单按钮用于调节色彩、模式等；b）支持色温、亮度、对比度调节；</w:t>
            </w:r>
          </w:p>
          <w:p w14:paraId="3896B0F1">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十九、存储功能</w:t>
            </w:r>
          </w:p>
          <w:p w14:paraId="4004D47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1.存储功能：通过SATA固态存储/PCIe固态存储/UFS固态存储/SATA硬磁盘等存储部件提供存储功能；</w:t>
            </w:r>
          </w:p>
          <w:p w14:paraId="4CD6AE86">
            <w:pPr>
              <w:widowControl/>
              <w:spacing w:line="400" w:lineRule="exact"/>
              <w:ind w:left="479" w:leftChars="228" w:firstLine="0" w:firstLineChars="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二十、网络设备功能</w:t>
            </w:r>
          </w:p>
          <w:p w14:paraId="6CC0A7A4">
            <w:pPr>
              <w:widowControl/>
              <w:spacing w:line="400" w:lineRule="exact"/>
              <w:ind w:left="0" w:leftChars="0"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1.网络功能：a）支持网络连接、网络开启/关闭功能；b）支持访问网络和数据交换功能；</w:t>
            </w:r>
          </w:p>
          <w:p w14:paraId="19B6195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2.数据传输：支持数据传输能力，并提供数据流量和异常日志记录功能；</w:t>
            </w:r>
          </w:p>
          <w:p w14:paraId="52C8586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3.有线网卡接口类型：支持RJ45接口；</w:t>
            </w:r>
          </w:p>
          <w:p w14:paraId="592E2DC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4.网络设备拆装：网络设备支持物理拆装，包括无线网卡和蓝牙模块等；</w:t>
            </w:r>
          </w:p>
          <w:p w14:paraId="49ECCC08">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二十一、外部接口功能</w:t>
            </w:r>
          </w:p>
          <w:p w14:paraId="11E46707">
            <w:pPr>
              <w:widowControl/>
              <w:spacing w:line="400" w:lineRule="exact"/>
              <w:ind w:left="479" w:leftChars="228" w:firstLine="0" w:firstLineChars="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1.音频接口类型：支持3.5mm孔径3段式或4段式接</w:t>
            </w:r>
          </w:p>
          <w:p w14:paraId="26713B99">
            <w:pPr>
              <w:widowControl/>
              <w:spacing w:line="400" w:lineRule="exact"/>
              <w:ind w:left="0" w:leftChars="0"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2.视频接口类型：至少支持VGA、HDMI、DVI、DP、Type-C中1种显示接口；</w:t>
            </w:r>
          </w:p>
          <w:p w14:paraId="13DC4A5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3.HDMI、DP、Type-C显示接口要求：若提供HDMI或DP或Type-C作为显示接口，应支持音频和视频同步输出；</w:t>
            </w:r>
          </w:p>
          <w:p w14:paraId="530ECC68">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二十二、电源功能</w:t>
            </w:r>
          </w:p>
          <w:p w14:paraId="3D6A5D40">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1.电源线适配能力：电源适配器电线组件应符合GB/T 15934的要求；</w:t>
            </w:r>
          </w:p>
          <w:p w14:paraId="7795CF82">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二十三、操作系统及软件功能</w:t>
            </w:r>
          </w:p>
          <w:p w14:paraId="509DEA2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1.中文信息处理要求：符合GB 18030的相关规定；</w:t>
            </w:r>
          </w:p>
          <w:p w14:paraId="592099B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2.操作系统备份及还原功能：支持操作系统备份及还原功能；</w:t>
            </w:r>
          </w:p>
          <w:p w14:paraId="5CB5DD3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3.固件备份还原能力：支持备份及还原固件的功能；</w:t>
            </w:r>
          </w:p>
          <w:p w14:paraId="6F7EA56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4.操作系统及驱动升级：支持通过网络、闪存盘等方式对操作系统、驱动进行升级；</w:t>
            </w:r>
          </w:p>
          <w:p w14:paraId="7285469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5.固件升级：支持通过网络、闪存盘等方式对固件进行升级；</w:t>
            </w:r>
          </w:p>
          <w:p w14:paraId="42857D8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6.BIOS支持关闭通讯接口：支持BIOS关闭以太网及USB接口；</w:t>
            </w:r>
          </w:p>
          <w:p w14:paraId="219B78E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7.固件查看信息：支持查看固件版本、内存信息、主板信息、处理器信息和系统时间信息等功能；</w:t>
            </w:r>
          </w:p>
          <w:p w14:paraId="4963083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8.固件设置启动顺序：支持设置启动顺序功能，并按照设置的启动顺序启动；</w:t>
            </w:r>
          </w:p>
          <w:p w14:paraId="0612AA6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9.固件设置口令：支持设置口令、修改口令、验证口令功能；</w:t>
            </w:r>
          </w:p>
          <w:p w14:paraId="687E55F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10.固件设置网络引导：支持网络引导启动和关闭功能；</w:t>
            </w:r>
          </w:p>
          <w:p w14:paraId="5B941DF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11.提供功能至少有文字处理、电子表格、演示文稿三大应用模块的正版办公软件，授权≥3年。</w:t>
            </w:r>
          </w:p>
          <w:p w14:paraId="70A48E3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12.AI电脑助手</w:t>
            </w:r>
          </w:p>
          <w:p w14:paraId="71F0923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（1）登录方式多样性：支持账号/密码和手机微信扫码两种登录方式。用户首次登录时绑定微信ID与账号的对应关系。</w:t>
            </w:r>
          </w:p>
          <w:p w14:paraId="2CC3417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（2）设备详情：能查看当前设备的硬件信息和系统信息。可查看的硬件信息包含CPU、主板、显卡、硬盘、显示器、网卡、声卡。可查看的系统信息包括操作系统、系统激活状态、SN号MAC地址、内外网IP。</w:t>
            </w:r>
          </w:p>
          <w:p w14:paraId="2ACEE83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（3）设备运行状态：能查看当前设备的内存、CPU、硬盘、系统盘、网速的实时占用状态信息。</w:t>
            </w:r>
          </w:p>
          <w:p w14:paraId="654B3CA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（4）文件发送：支持一次发送≥15个文件给多个公共接收端软件。接收端离线时文件能够暂存在云端，在线后可进行自动下载。支持发送图片、视频、文档等类型的文件，支持查看发送进度。</w:t>
            </w:r>
          </w:p>
          <w:p w14:paraId="3E2B7F2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文件列表：接收到新文件时有提示新文件。支持查看当前已接收的文件列表。可对文件进行下载或打开操作。支持自动清理超过14天的文件，保障存储容量的充裕。为方便用户分辨自己的文件夹，可对自己的文件夹的图标颜色和命名进行个性化设置。</w:t>
            </w:r>
          </w:p>
          <w:p w14:paraId="50AA126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（6）存储路径变更：支持用户选择文件存储的路径在任意盘符，修改盘符的过程中支持用户对原盘符的文件进行迁移还是删除。</w:t>
            </w:r>
          </w:p>
          <w:p w14:paraId="51DB48D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查看和编辑：采用云端存储的方式，用户可自定义创建文件夹和上传文件，用户可在终端应用软件查看下载文件，支持对文件排序、筛选，对文件和文件夹进行移动、删除、重命名操作。支持用户在移动端应用软件中查看上传和下载的文件。</w:t>
            </w:r>
          </w:p>
          <w:p w14:paraId="0DB1A96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预览：能够在线预览图片、音视频、文档。支持预览的格式，包括但不限于：图片：BMP、GIF、JPE、JPEG、JPG、PNG。音频：WAV、MP3、OGG。视频：3GP、F4V、M4V、MKV、MP4、OGV、MOV。文档：DOC、DOCX、PDF、PPT、XLS、XLSX。</w:t>
            </w:r>
          </w:p>
          <w:p w14:paraId="2A30E74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（9）发送到接收端：用户可在云盘中把多个文件发送至接收端软件中，发送的文件不限格式，接收端软件自动下载该文件。</w:t>
            </w:r>
          </w:p>
          <w:p w14:paraId="20AA5F4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（10）快捷打开：终端应用软件具备桌面快捷操作栏功能，固定在桌面，可具备展示用户添加的应用、网站和组件，点击后即可快速打开。支持在软件内切换、关闭标签。能对窗口进行最小化、最大化、关闭。</w:t>
            </w:r>
          </w:p>
          <w:p w14:paraId="3369C58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（11）快捷打开AI应用：终端应用软件的桌面快捷操作栏可为用户提供主流大模型应用的快捷入口，用户可自主添加常用AI网站。</w:t>
            </w:r>
          </w:p>
          <w:p w14:paraId="4530AAF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12）编辑：用户可自定义桌面快捷操作栏展示的内容，根据自己的需求对内容进行移除、添加、移动位置，可自定义添加所需要的网站，变更后数据会跟随当前登录的账号，登录另一台电脑时会同步当前编辑的结果。</w:t>
            </w:r>
          </w:p>
          <w:p w14:paraId="48067A5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13）移动：终端应用软件支持用户将固定在桌面上的快捷操作栏拖动到屏幕的任意位置，当用户拖动快捷操作栏靠近屏幕边缘时会自动收到侧边。鼠标悬浮在侧边的时候，会弹出该快捷操作栏，再次拖动快捷操作栏会取消收起。</w:t>
            </w:r>
          </w:p>
          <w:p w14:paraId="07DB036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（14）提示词：进入百宝箱后支持展示≥2条提示词，支持试一试选型一键问询问题。</w:t>
            </w:r>
          </w:p>
          <w:p w14:paraId="58E99B1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（15）对话式生成：根据输入的文字生成文本，并通过对话的形式表达，可对输入内容进行安全性检测，还支持根据上下文进行多轮连续对话，支持对AI生成的内容复制或重新生成以及查看历史输入内容。</w:t>
            </w:r>
          </w:p>
          <w:p w14:paraId="219A4E1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（16）独占模式：支持批量生成≥3张奖状，可对奖励内容、奖励称号、颁奖人/单位、颁发日期、印章内容进行编辑。</w:t>
            </w:r>
          </w:p>
          <w:p w14:paraId="4933475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17）PDF格式转化：通过终端应用内置PDF格式转换功能，支持对PDF的文件进行转换格式，转换为XLSX、DOCX、PPT；转换后文件内容的排布与源PDF保持基本一致。支持对转换后的文件进行编辑，包括（编辑文本、编辑表格、编辑图片）；转换后支持下载文件至电脑本地。</w:t>
            </w:r>
          </w:p>
          <w:p w14:paraId="19D3707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（18）图片转格式：支持对图片进行格式转换，图片原始格式为bmp、jpg、jpeg、png、tif、webp、heic；转换为jpg、png；转换后支持下载图片到电脑本地。</w:t>
            </w:r>
          </w:p>
          <w:p w14:paraId="6EE699A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（19）提取文字：支持对图片进行在线文字识别，识别后支持对文字进行复制。</w:t>
            </w:r>
          </w:p>
          <w:p w14:paraId="4AFB098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（20）内容总结：支持对格式为txt、html、doc、docx等≥5种文件类型进行大模型识别并进行内容总结，总结后的内容可复制，并可根据总结内容自动生成思维导图，思维导图可以编辑。</w:t>
            </w:r>
          </w:p>
          <w:p w14:paraId="2DD2CFB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（21）长截图：支持长截图功能，可通过滚动鼠标滚轮方式对可截取区域进行长截图；截取完毕后，支持保存截图到电脑本地；支持保存截图到剪切板，并能粘贴到目标位置。</w:t>
            </w:r>
          </w:p>
          <w:p w14:paraId="04A1BD4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22）划词翻译：支持对网页，文件等中的内容进行鼠标划词选中，可选择翻译功能，翻译选中内容，自动识别选中内容语言进行翻译，支持用户手动选择翻译语种，支持包括但不限于简体中文、繁体中文、英语、日语、德语、阿拉伯语、西班牙语、法语、葡萄牙语、俄语、韩语11种语言，支持对翻译内容进行复制。</w:t>
            </w:r>
          </w:p>
          <w:p w14:paraId="7ADE1AA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（23）划词总结、缩写、扩写：支持对网页，文件等中的内容进行鼠标划词选中，可选择≥2种功能，可对选中内容进行大模型理解，可进行总结或扩写，支持生成内容进行复制。</w:t>
            </w:r>
          </w:p>
          <w:p w14:paraId="46FB1A0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24）AI搜索文件：支持通过桌面快捷操作栏或快捷键进入AI搜索对话框，快捷键可自定义。支持通过Ai搜索快速搜索本地文件，可对文件或文件夹名称进行精确匹配，可展示显示搜索的文件个数、打开文件所在目录，进行复制、剪切、删除、查看文件属性。</w:t>
            </w:r>
          </w:p>
          <w:p w14:paraId="583B48B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25）AI意图识别：支持用户输入文字，对输入文字的意图进行大模型的语义分析，理解和判断，识别其可能期望进行的动作，并推荐对应功能，对会议、待办、AI传屏等≥3种内容，可以自动识别主题并填入，可以快速拉起对应应用中对应模块，提升效率。</w:t>
            </w:r>
          </w:p>
          <w:p w14:paraId="6FDA44B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（26）视频在线播放：粘贴视频网页链接可一键解析视频，插入课件页后支持在线播放。支持本地上传视频插入课件页播放。</w:t>
            </w:r>
          </w:p>
          <w:p w14:paraId="71B20BF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27）支持任意终端作为发送端在云桌面系统、Windows、统信UOS、银河麒麟等操作系统下直接发起镜像同传，接收端在云桌面系统、Windows、统信UOS、银河麒麟等操作系统下直接接收镜像，无需重启或者进入特定运行模式接收镜像；</w:t>
            </w:r>
          </w:p>
          <w:p w14:paraId="45C29AB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28）智能生成课件：支持基于已明确的教学大纲，生成完整的教学课件；支持智能扩展单页课件，允许手动输入描述和根据上下文智能推荐内容；支持对大纲节点进行编辑并同步更新课件；支持对生成的文字进行润色、扩写、精简三种操作模式；支持修改、删除课件文字；支持更换课件生成的图片；支持通过拖动方式调整文字的布局；支持一键更换课件主题风格；支持演示预览课件，支持分享课件，一键复制教学设计。</w:t>
            </w:r>
          </w:p>
          <w:p w14:paraId="1863D7F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29）数学公式联想及输入：用户可输入小学、初中、高中阶段所对应数学公式，只需要输入对应公式的名称，会自动匹配到对应的公式，支持键盘或鼠标选择，使公式快速上屏，如长方形的周长、长方形的面积、三角形的面积、圆的周长、圆柱的体积、指数函数、对数函数、导数、积分、三角函数、韦达定理、勾股定理；支持在Word、WPS等应用软件中对上屏的数学公式进行编辑，可编辑公式的符号、数字、角标。</w:t>
            </w:r>
          </w:p>
          <w:p w14:paraId="577645F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30）化学公式/元素联想及输入：用户可输入初中、高中阶段所对应化学公式，只需要输入对应公式的名称，会自动匹配到对应的公式；输入元素名称会关联对应的公式，如需要“镁在空气中的燃烧”只需要输入“镁”元素名称拼音即可关联联想对应公式，并且可匹配到所输入的化学元素其他对应的公式，支持键盘或鼠标选择，使公式快速上屏。支持在Word、WPS等应用软件中对上屏的化学公式进行编辑，可编辑公式的符号、数字、角标、条件、沉淀和气体状态等；</w:t>
            </w:r>
          </w:p>
          <w:p w14:paraId="5016092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13.备、授课，教研平台</w:t>
            </w:r>
          </w:p>
          <w:p w14:paraId="15BD9DE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（1）备授课一体化，具有备课模式及授课模式，且内置的操作界面可根据备课和授课使用场景不同而选择。</w:t>
            </w:r>
          </w:p>
          <w:p w14:paraId="025BC1D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（2）备课模式工具栏具备自动根据教师账号中关联的学科不同而提供相对应的教学工具。</w:t>
            </w:r>
          </w:p>
          <w:p w14:paraId="293B7FE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AI智能备课助手：在备课场景中支持搜索课件库课件资源，具有≥15万份的课件资源，支持整份课件或按照课件页插入课件中。支持按照教学环节筛选对应课件页一键插入课件中，可导入新课、作者简介。支持按照元素类型思维导图、课堂活动选取需要的部分补充课件缺失的部分。支持在查看部分课件的同时查看对应整份课件，了解作者整体教学思路。</w:t>
            </w:r>
          </w:p>
          <w:p w14:paraId="61EADAC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p>
          <w:p w14:paraId="25F3BDD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（5）云教案模板：提供教案模板以供教师撰写教案，预置表格式、提纲式、集备式、多课时式等≥4个教案模板。</w:t>
            </w:r>
          </w:p>
          <w:p w14:paraId="4B8968DF">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（6）支持校本教案模板设计，管理员在教研管理后台设置校本模板后，教师可在云教案模板直接调用。</w:t>
            </w:r>
          </w:p>
          <w:p w14:paraId="7A23991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（7）云教案与云课件可一对多关联绑定，产生绑定后，在课件页和教案页均支持在同一面板打开关联的云课件或云教案预览，便于教师备课时相互对照。</w:t>
            </w:r>
          </w:p>
          <w:p w14:paraId="539AEFA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（8）AI智能生成课堂活动：具有课堂活动智能填写功能，支持选词填空、判断对错等≥2类课堂活动。输入文本后可以一键解析，自动将文本内容结构化填充至题干和正确选项，完成课堂活动的制作。</w:t>
            </w:r>
          </w:p>
          <w:p w14:paraId="2674D7B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（9）课堂互动游戏支持云储存功能：编辑完成的活动可一键存储至教师云空间，便于在不同课件中直接调用，无需反复编辑。</w:t>
            </w:r>
          </w:p>
          <w:p w14:paraId="3AB8A42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智能选词填空：支持创建智能选词填空游戏，填空选项支持并列选项，并列选项支持答案互换，教师可随意编辑填空题题干以及相应的答案选项，将选项拖到对应题干空白处，系统自动判断答案正误，系统需提供≥9种游戏模板，且模板样式支持自定义修改。</w:t>
            </w:r>
          </w:p>
          <w:p w14:paraId="6F53C3C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11）智能配对游戏：支持创建配对游戏，教师可随意将知识点进行配对。当开始配对游戏时，拖动知识点进行配对，系统将自动判断是否正确。系统提供≥10种游戏模板，且模板样式支持自定义修改，同时支持设置干扰项。</w:t>
            </w:r>
          </w:p>
          <w:p w14:paraId="60BAADF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12）分组竞争游戏：支持创建分组竞争游戏，教师可设置正确项／干扰项，让两组学生开展竞争游戏。提供不少于3种难度、10种游戏模板供选择，且模板样式支持自定义修改。支持记录和展示学生作答结果，便于课堂知识点对比讲解。</w:t>
            </w:r>
          </w:p>
          <w:p w14:paraId="6F9C6FB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（13）课件背景：提供≥12种以上背景模板供用户选择，支持自定义背景。</w:t>
            </w:r>
          </w:p>
          <w:p w14:paraId="5F65429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（14）软件内置的AI智能语义分析模块，可对输入的英文文本的拼写、句型、语法进行错误检查，并支持一键纠错。</w:t>
            </w:r>
          </w:p>
          <w:p w14:paraId="1D955AA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15）英汉字典：支持输入英文单词生成单词卡和详解页，包含单词的释义、读音、例句、词组、近义词等，可插入多个单词卡，同时支持教师自定义编辑单词释义、创建未收录的生僻单词供授课使用。可将插入的单词卡一键切换至详解页进入单词详解模式，支持教师自定义编辑单词释义、例句、词组和近义词，且提供≥4种详解页背景模板供选择。</w:t>
            </w:r>
          </w:p>
          <w:p w14:paraId="00DC977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（16）AI音标助手：支持浏览和插入国际音标表，可直接点击发音，支持已整表和单个音标卡片插入。支持智能将字母、单词、句子转写为音标，并可一键插入到备课课件中形成文本</w:t>
            </w:r>
          </w:p>
          <w:p w14:paraId="39FC7A11">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（17）快捷抠图：即可在白板软件中对导入的图片进行快捷抠图、去背景，处理后的图片主体边缘没有明显毛边，可导出保存成PNG格式。</w:t>
            </w:r>
          </w:p>
          <w:p w14:paraId="2E4B99D7">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二十四、存储设备可靠性</w:t>
            </w:r>
          </w:p>
          <w:p w14:paraId="6EBA400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1.固态存储寿命：TBW≥80TB（条件：256GB硬盘容量）；</w:t>
            </w:r>
          </w:p>
          <w:p w14:paraId="3BDAFC3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2.机械硬盘寿命：通电时间≥5万小时；</w:t>
            </w:r>
          </w:p>
          <w:p w14:paraId="51F6E5DD">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二十五、显示设备可靠性</w:t>
            </w:r>
          </w:p>
          <w:p w14:paraId="27CD464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1.显示屏屏幕失效点：符合GB/T 9813.2的要求；</w:t>
            </w:r>
          </w:p>
          <w:p w14:paraId="59968FDF">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二十六、外设可靠性</w:t>
            </w:r>
          </w:p>
          <w:p w14:paraId="509A0B7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1.键盘按键寿命：≥1000万次；</w:t>
            </w:r>
          </w:p>
          <w:p w14:paraId="2893B7C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2.鼠标按键寿命：≥500万次；</w:t>
            </w:r>
          </w:p>
          <w:p w14:paraId="0CFE29B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3.键盘鼠标线材寿命：键盘鼠标所用线材经±60°弯折不低于3000次，功能、外观完好；</w:t>
            </w:r>
          </w:p>
          <w:p w14:paraId="4822DA4B">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4.风扇寿命：≥4万小时；</w:t>
            </w:r>
          </w:p>
          <w:p w14:paraId="60F8F781">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二十七、整机可靠性要求</w:t>
            </w:r>
          </w:p>
          <w:p w14:paraId="5E278F3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1.电磁兼容性要求的抗扰度：符合GB/T 9254.2的规定；</w:t>
            </w:r>
          </w:p>
          <w:p w14:paraId="2FB4C01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2.环境条件要求的气候环境适应性：符合GB/T 9813.1中规定；</w:t>
            </w:r>
          </w:p>
          <w:p w14:paraId="2B9BAEB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3.环境条件要求的振动适应性：符合GB/T 9813.1中规定；</w:t>
            </w:r>
          </w:p>
          <w:p w14:paraId="7EE47CD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4.环境条件要求的冲击适应性：符合GB/T 9813.1中规定；</w:t>
            </w:r>
          </w:p>
          <w:p w14:paraId="2A96FF3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5.环境条件要求的碰撞适应性：符合GB/T 9813.1中规定；</w:t>
            </w:r>
          </w:p>
          <w:p w14:paraId="79139E0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6.环境条件要求的运输包装件跌落适应性：符合GB/T 9813.1中规定；</w:t>
            </w:r>
          </w:p>
          <w:p w14:paraId="0998E56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7.MTBF测试：MTBF(m1)≥3万小时；</w:t>
            </w:r>
          </w:p>
          <w:p w14:paraId="6AA62C0C">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二十八、兼容要求</w:t>
            </w:r>
          </w:p>
          <w:p w14:paraId="113B3375">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1.常用软件兼容：支持流式软件、版式软件、浏览器、邮件采购人端、解压软件、多媒体、图形图像处理等常用软件；</w:t>
            </w:r>
            <w:r>
              <w:rPr>
                <w:rFonts w:hint="eastAsia" w:ascii="仿宋_GB2312" w:hAnsi="仿宋_GB2312" w:eastAsia="仿宋_GB2312" w:cs="仿宋_GB2312"/>
                <w:color w:val="auto"/>
                <w:kern w:val="0"/>
                <w:sz w:val="24"/>
                <w:highlight w:val="none"/>
                <w:lang w:val="en-US" w:eastAsia="zh-CN"/>
              </w:rPr>
              <w:cr/>
            </w:r>
            <w:r>
              <w:rPr>
                <w:rFonts w:hint="eastAsia" w:ascii="仿宋_GB2312" w:hAnsi="仿宋_GB2312" w:eastAsia="仿宋_GB2312" w:cs="仿宋_GB2312"/>
                <w:color w:val="auto"/>
                <w:kern w:val="0"/>
                <w:sz w:val="24"/>
                <w:highlight w:val="none"/>
                <w:lang w:val="en-US" w:eastAsia="zh-CN"/>
              </w:rPr>
              <w:t>2.数据库兼容：兼容3个及以上厂商的数据库产品；</w:t>
            </w:r>
          </w:p>
          <w:p w14:paraId="65533F5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3.中间件兼容：兼容3个及以上厂商中间件产品；</w:t>
            </w:r>
          </w:p>
          <w:p w14:paraId="1C790CB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4.平台软件兼容：兼容3个及以上厂商云计算及大数据平台；</w:t>
            </w:r>
            <w:r>
              <w:rPr>
                <w:rFonts w:hint="eastAsia" w:ascii="仿宋_GB2312" w:hAnsi="仿宋_GB2312" w:eastAsia="仿宋_GB2312" w:cs="仿宋_GB2312"/>
                <w:color w:val="auto"/>
                <w:kern w:val="0"/>
                <w:sz w:val="24"/>
                <w:highlight w:val="none"/>
                <w:lang w:val="en-US" w:eastAsia="zh-CN"/>
              </w:rPr>
              <w:cr/>
            </w:r>
            <w:r>
              <w:rPr>
                <w:rFonts w:hint="eastAsia" w:ascii="仿宋_GB2312" w:hAnsi="仿宋_GB2312" w:eastAsia="仿宋_GB2312" w:cs="仿宋_GB2312"/>
                <w:color w:val="auto"/>
                <w:kern w:val="0"/>
                <w:sz w:val="24"/>
                <w:highlight w:val="none"/>
                <w:lang w:val="en-US" w:eastAsia="zh-CN"/>
              </w:rPr>
              <w:t xml:space="preserve">    </w:t>
            </w: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二十九、包装及运输要求</w:t>
            </w:r>
          </w:p>
          <w:p w14:paraId="1D05B38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1.标志、包装、运输和贮存：符合GB/T 9813.1和商品包装政府采购需求标准的相关规定；</w:t>
            </w:r>
          </w:p>
          <w:p w14:paraId="7C12A912">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三十、服务要求</w:t>
            </w:r>
          </w:p>
          <w:p w14:paraId="186B094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1.配置检查工具：供应商提供自检测试工具；</w:t>
            </w:r>
          </w:p>
          <w:p w14:paraId="26D87D3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服务响应：a）供应商提供电话、电子邮件、远程连接等多种形式服务；b）供应商提供同城4h、异地12h技术响应服务，在2个工作日内解决问题，对于未能解决的问题和故障应提供可行的升级方案，并提供周转设备或更换设备；c）建立全国技术服务体系和服务团体，符合专业服务体系标准要求，提供原厂中文服务；d）在服务周期内提供产品的维修、换件和升级服务；</w:t>
            </w:r>
          </w:p>
          <w:p w14:paraId="7E66ACF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3.服务周期：a)设备停产后应继续提供质量保障服务（含备品备件），服务终止时间与最后一批设备交付时间间隔不低于6年；b)产品停止服务时间应提前1年告知；c)应明确产品发布日期；</w:t>
            </w:r>
          </w:p>
          <w:p w14:paraId="40E6211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4.预装操作系统：预装符合桌面操作系统政府采购需求标准的正版操作系统；</w:t>
            </w:r>
            <w:r>
              <w:rPr>
                <w:rFonts w:hint="eastAsia" w:ascii="仿宋_GB2312" w:hAnsi="仿宋_GB2312" w:eastAsia="仿宋_GB2312" w:cs="仿宋_GB2312"/>
                <w:color w:val="auto"/>
                <w:kern w:val="0"/>
                <w:sz w:val="24"/>
                <w:highlight w:val="none"/>
                <w:lang w:val="en-US" w:eastAsia="zh-CN"/>
              </w:rPr>
              <w:cr/>
            </w:r>
            <w:r>
              <w:rPr>
                <w:rFonts w:hint="eastAsia" w:ascii="仿宋_GB2312" w:hAnsi="仿宋_GB2312" w:eastAsia="仿宋_GB2312" w:cs="仿宋_GB2312"/>
                <w:color w:val="auto"/>
                <w:kern w:val="0"/>
                <w:sz w:val="24"/>
                <w:highlight w:val="none"/>
                <w:lang w:val="en-US" w:eastAsia="zh-CN"/>
              </w:rPr>
              <w:t xml:space="preserve">    5.培训服务：供应商提供培训材料、产品手册、培训视频等培训相关内容；</w:t>
            </w:r>
          </w:p>
          <w:p w14:paraId="3BA813C2">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6.典型问题解决手册：供应商提供典型问题解决说明文档或视频；</w:t>
            </w:r>
          </w:p>
          <w:p w14:paraId="18A73B58">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7.厂家升级软件与扩容服务：供应商提供上门升级部件/软件与扩容的增值服务；</w:t>
            </w:r>
          </w:p>
          <w:p w14:paraId="2469FC53">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8.整机质量服务要求：免费服务周期（含换件和维修）应不小于3年；</w:t>
            </w:r>
          </w:p>
          <w:p w14:paraId="2CAFA21E">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9.合格证书要求：供应商提供产品合格证；</w:t>
            </w:r>
          </w:p>
          <w:p w14:paraId="6BA55B64">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10.开箱组装/使用指导要求：供应商提供开箱组装/使用指导；</w:t>
            </w:r>
          </w:p>
          <w:p w14:paraId="3D128E5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11.驱动下载服务要求：供应商提供驱动光盘或下载方式；</w:t>
            </w:r>
          </w:p>
          <w:p w14:paraId="751F464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12.兼容适配软件下载服务要求：供应商提供兼容适配软件下载渠道（光盘、网站）；</w:t>
            </w:r>
          </w:p>
          <w:p w14:paraId="5CFE9C2A">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三十一、供应链合规性</w:t>
            </w:r>
          </w:p>
          <w:p w14:paraId="1880F4D9">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1.产品部件保障：供应商保障产品主要部件，提供6年的备件服务能力（自购买之日起），或提供可兼容原设备的升级换代产品；</w:t>
            </w:r>
          </w:p>
          <w:p w14:paraId="576940DD">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三十二、供应链质量</w:t>
            </w:r>
          </w:p>
          <w:p w14:paraId="2B99BE9D">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1.抗干扰性：当产品部件出现供应风险时，供应商应通知采购人并提供风险应对方案确保产品的服务保障；</w:t>
            </w:r>
          </w:p>
          <w:p w14:paraId="670C46D7">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2.供应能力证明：供应商提供供应链稳定承诺书，确保产品的部件在产品服务周期内稳定供货；</w:t>
            </w:r>
          </w:p>
          <w:p w14:paraId="2F196901">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三十三、关键部件安全</w:t>
            </w:r>
          </w:p>
          <w:p w14:paraId="4F3AE2F7">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szCs w:val="24"/>
                <w:highlight w:val="none"/>
                <w:lang w:val="en-US" w:eastAsia="zh-CN" w:bidi="ar-SA"/>
              </w:rPr>
              <w:t>1.</w:t>
            </w:r>
            <w:r>
              <w:rPr>
                <w:rFonts w:hint="eastAsia" w:ascii="仿宋_GB2312" w:hAnsi="仿宋_GB2312" w:eastAsia="仿宋_GB2312" w:cs="仿宋_GB2312"/>
                <w:color w:val="auto"/>
                <w:kern w:val="0"/>
                <w:sz w:val="24"/>
                <w:highlight w:val="none"/>
                <w:lang w:val="en-US" w:eastAsia="zh-CN"/>
              </w:rPr>
              <w:t>关键部件安全要求：CPU和操作系统等关键部件应当符合安全可靠测评要求</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pacing w:val="0"/>
                <w:kern w:val="0"/>
                <w:sz w:val="24"/>
                <w:highlight w:val="none"/>
              </w:rPr>
              <w:t>通过政府有关部门指定的中国信息安全测评中心和国家保密科技测评中心网站查看安全可靠测评结果</w:t>
            </w:r>
            <w:r>
              <w:rPr>
                <w:rFonts w:hint="eastAsia" w:ascii="仿宋_GB2312" w:hAnsi="仿宋_GB2312" w:eastAsia="仿宋_GB2312" w:cs="仿宋_GB2312"/>
                <w:color w:val="auto"/>
                <w:kern w:val="0"/>
                <w:sz w:val="24"/>
                <w:highlight w:val="none"/>
                <w:lang w:val="en-US" w:eastAsia="zh-CN"/>
              </w:rPr>
              <w:t>；</w:t>
            </w:r>
          </w:p>
          <w:p w14:paraId="1CAC4C94">
            <w:pPr>
              <w:widowControl/>
              <w:spacing w:line="400" w:lineRule="exact"/>
              <w:ind w:firstLine="482" w:firstLineChars="200"/>
              <w:rPr>
                <w:rFonts w:hint="eastAsia"/>
                <w:color w:val="auto"/>
                <w:highlight w:val="none"/>
                <w:lang w:val="en-US" w:eastAsia="zh-CN"/>
              </w:rPr>
            </w:pPr>
            <w:r>
              <w:rPr>
                <w:rFonts w:hint="eastAsia" w:ascii="仿宋_GB2312" w:hAnsi="仿宋_GB2312" w:eastAsia="仿宋_GB2312" w:cs="仿宋_GB2312"/>
                <w:b/>
                <w:bCs/>
                <w:color w:val="auto"/>
                <w:kern w:val="0"/>
                <w:sz w:val="24"/>
                <w:highlight w:val="none"/>
                <w:lang w:val="en-US" w:eastAsia="zh-CN"/>
              </w:rPr>
              <w:t>注：投标人在填写《技术响应表》时，在“投标文件响应技术参数”明确给出所投网络教室学生机“CPU型号”及“操作系统”名称，否则视为投标无效。</w:t>
            </w:r>
          </w:p>
          <w:p w14:paraId="49E4F2AD">
            <w:pPr>
              <w:widowControl/>
              <w:spacing w:line="400" w:lineRule="exact"/>
              <w:ind w:firstLine="482" w:firstLineChars="200"/>
              <w:jc w:val="left"/>
              <w:rPr>
                <w:rFonts w:hint="eastAsia" w:ascii="仿宋_GB2312" w:hAnsi="仿宋_GB2312" w:eastAsia="仿宋_GB2312" w:cs="仿宋_GB2312"/>
                <w:b/>
                <w:bCs/>
                <w:color w:val="auto"/>
                <w:kern w:val="0"/>
                <w:sz w:val="24"/>
                <w:highlight w:val="none"/>
                <w:lang w:val="en-US" w:eastAsia="zh-CN"/>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highlight w:val="none"/>
                <w:lang w:val="en-US" w:eastAsia="zh-CN"/>
              </w:rPr>
              <w:t>三十四、整机安全性要求</w:t>
            </w:r>
          </w:p>
          <w:p w14:paraId="0D3C60EA">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1.密码算法实现：CPU芯片应符合GM/T 0008的相关规定，或芯片密码模块应符合GB/T 37092或GM/T 0028的相关规定（通过商用密码检测机构检测并经商用密码认证机构认证合格）；</w:t>
            </w:r>
          </w:p>
          <w:p w14:paraId="63F5C03C">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2.信息安全基本要求：a)产品应符合GB/T 39276的5.2的规定；b)生产厂商应建立漏洞跟踪表，保证产品版本涉及的漏洞（如驱动程序等）可查看；c)产品不得包含已知的恶意代码或漏洞，不存在未声明的指令、功能、接口；</w:t>
            </w:r>
          </w:p>
          <w:p w14:paraId="3061CCD6">
            <w:pPr>
              <w:widowControl/>
              <w:spacing w:line="400" w:lineRule="exact"/>
              <w:ind w:firstLine="480" w:firstLineChars="20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3.固件安全启动：支持固件安全启动功能，固件启动过程中只有通过启动校验才能正常启动；</w:t>
            </w:r>
          </w:p>
          <w:p w14:paraId="66E04674">
            <w:pPr>
              <w:widowControl/>
              <w:spacing w:line="400" w:lineRule="exact"/>
              <w:ind w:firstLine="480" w:firstLineChars="200"/>
              <w:jc w:val="left"/>
              <w:rPr>
                <w:rFonts w:hint="eastAsia"/>
                <w:color w:val="auto"/>
                <w:highlight w:val="none"/>
              </w:rPr>
            </w:pPr>
            <w:r>
              <w:rPr>
                <w:rFonts w:hint="eastAsia" w:ascii="仿宋_GB2312" w:hAnsi="仿宋_GB2312" w:eastAsia="仿宋_GB2312" w:cs="仿宋_GB2312"/>
                <w:color w:val="auto"/>
                <w:kern w:val="0"/>
                <w:sz w:val="24"/>
                <w:highlight w:val="none"/>
                <w:lang w:val="en-US" w:eastAsia="zh-CN"/>
              </w:rPr>
              <w:t>4.限用物质的限量要求：符合GB/T 26572中规定</w:t>
            </w:r>
            <w:r>
              <w:rPr>
                <w:rFonts w:hint="eastAsia" w:ascii="仿宋_GB2312" w:hAnsi="仿宋_GB2312" w:eastAsia="仿宋_GB2312" w:cs="仿宋_GB2312"/>
                <w:color w:val="auto"/>
                <w:kern w:val="0"/>
                <w:sz w:val="24"/>
                <w:highlight w:val="none"/>
                <w:lang w:eastAsia="zh-CN"/>
              </w:rPr>
              <w:t>。</w:t>
            </w:r>
          </w:p>
        </w:tc>
        <w:tc>
          <w:tcPr>
            <w:tcW w:w="812" w:type="dxa"/>
            <w:tcBorders>
              <w:top w:val="single" w:color="auto" w:sz="4" w:space="0"/>
              <w:left w:val="single" w:color="auto" w:sz="4" w:space="0"/>
              <w:bottom w:val="single" w:color="auto" w:sz="4" w:space="0"/>
              <w:right w:val="single" w:color="auto" w:sz="4" w:space="0"/>
            </w:tcBorders>
            <w:vAlign w:val="center"/>
          </w:tcPr>
          <w:p w14:paraId="24D29F87">
            <w:pPr>
              <w:pStyle w:val="260"/>
              <w:snapToGrid w:val="0"/>
              <w:spacing w:line="40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110</w:t>
            </w:r>
            <w:r>
              <w:rPr>
                <w:rFonts w:hint="eastAsia" w:ascii="仿宋_GB2312" w:hAnsi="仿宋_GB2312" w:eastAsia="仿宋_GB2312" w:cs="仿宋_GB2312"/>
                <w:color w:val="auto"/>
                <w:sz w:val="24"/>
                <w:szCs w:val="24"/>
                <w:highlight w:val="none"/>
              </w:rPr>
              <w:t>台</w:t>
            </w:r>
          </w:p>
        </w:tc>
      </w:tr>
      <w:tr w14:paraId="19E2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613" w:type="dxa"/>
            <w:tcBorders>
              <w:top w:val="single" w:color="auto" w:sz="4" w:space="0"/>
              <w:left w:val="single" w:color="auto" w:sz="4" w:space="0"/>
              <w:bottom w:val="single" w:color="auto" w:sz="4" w:space="0"/>
              <w:right w:val="single" w:color="auto" w:sz="4" w:space="0"/>
            </w:tcBorders>
            <w:vAlign w:val="center"/>
          </w:tcPr>
          <w:p w14:paraId="1B6D6F45">
            <w:pPr>
              <w:spacing w:line="400" w:lineRule="exact"/>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3</w:t>
            </w:r>
          </w:p>
        </w:tc>
        <w:tc>
          <w:tcPr>
            <w:tcW w:w="1118" w:type="dxa"/>
            <w:tcBorders>
              <w:top w:val="single" w:color="auto" w:sz="4" w:space="0"/>
              <w:left w:val="single" w:color="auto" w:sz="4" w:space="0"/>
              <w:bottom w:val="single" w:color="auto" w:sz="4" w:space="0"/>
              <w:right w:val="single" w:color="auto" w:sz="4" w:space="0"/>
            </w:tcBorders>
            <w:vAlign w:val="center"/>
          </w:tcPr>
          <w:p w14:paraId="41E85F40">
            <w:pPr>
              <w:spacing w:line="40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网络教室教学软件</w:t>
            </w:r>
          </w:p>
        </w:tc>
        <w:tc>
          <w:tcPr>
            <w:tcW w:w="6707" w:type="dxa"/>
            <w:tcBorders>
              <w:top w:val="single" w:color="auto" w:sz="4" w:space="0"/>
              <w:left w:val="single" w:color="auto" w:sz="4" w:space="0"/>
              <w:bottom w:val="single" w:color="auto" w:sz="4" w:space="0"/>
              <w:right w:val="single" w:color="auto" w:sz="4" w:space="0"/>
            </w:tcBorders>
            <w:vAlign w:val="center"/>
          </w:tcPr>
          <w:p w14:paraId="63740C2D">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1.登录方式多样性：</w:t>
            </w:r>
          </w:p>
          <w:p w14:paraId="084BAEF2">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①支持二维码扫码登录和账号密码登录</w:t>
            </w:r>
          </w:p>
          <w:p w14:paraId="68F47E2D">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②支持使用社交软件或教学软件实现一键扫码联合登录</w:t>
            </w:r>
          </w:p>
          <w:p w14:paraId="2ACCFA39">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③提供无账号登录选项，无需账号信息即可进入系统授课</w:t>
            </w:r>
          </w:p>
          <w:p w14:paraId="108B942F">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2.设备管理：可实现实时监控学生机画面、以及进行统一的教学管理，文件共享和回收。</w:t>
            </w:r>
          </w:p>
          <w:p w14:paraId="28989BFD">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3.人员管理：学校超级管理员可以添加教师和管理员的角色，添加之后管理员能够绑定设备和进行正常的授课工作，教师只能在终端应用软件进行授课操作。</w:t>
            </w:r>
          </w:p>
          <w:p w14:paraId="421CE998">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4.教师云空间：支持</w:t>
            </w:r>
            <w:r>
              <w:rPr>
                <w:rFonts w:hint="eastAsia" w:ascii="仿宋_GB2312" w:hAnsi="仿宋_GB2312" w:eastAsia="仿宋_GB2312" w:cs="仿宋_GB2312"/>
                <w:color w:val="auto"/>
                <w:sz w:val="24"/>
                <w:highlight w:val="none"/>
                <w:lang w:eastAsia="zh-CN"/>
              </w:rPr>
              <w:t>教师</w:t>
            </w:r>
            <w:r>
              <w:rPr>
                <w:rFonts w:hint="eastAsia" w:ascii="仿宋_GB2312" w:hAnsi="仿宋_GB2312" w:eastAsia="仿宋_GB2312" w:cs="仿宋_GB2312"/>
                <w:color w:val="auto"/>
                <w:sz w:val="24"/>
                <w:highlight w:val="none"/>
              </w:rPr>
              <w:t>自定义上传、存储文件内容。</w:t>
            </w:r>
          </w:p>
          <w:p w14:paraId="60C91E58">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支持上传的格式有：</w:t>
            </w:r>
          </w:p>
          <w:p w14:paraId="475661AC">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文档：ppt、pptx、word、pdf;</w:t>
            </w:r>
          </w:p>
          <w:p w14:paraId="7D090F26">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图片：bmp、png、jpg、jpeg、gif;</w:t>
            </w:r>
          </w:p>
          <w:p w14:paraId="6500CAA6">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音视频：mp3、wav、vma、ogg、aac、mp4</w:t>
            </w:r>
          </w:p>
          <w:p w14:paraId="5CF8583E">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5.教师广播：不需要借助任何外接设备，支持将教师机的画面以及声音广播给全班学生。</w:t>
            </w:r>
          </w:p>
          <w:p w14:paraId="30C7D3D0">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6.教师广播关闭接收端设备音频：教师发起屏幕广播后支持把学生接收端</w:t>
            </w:r>
            <w:r>
              <w:rPr>
                <w:rFonts w:hint="eastAsia" w:ascii="仿宋_GB2312" w:hAnsi="仿宋_GB2312" w:eastAsia="仿宋_GB2312" w:cs="仿宋_GB2312"/>
                <w:color w:val="auto"/>
                <w:sz w:val="24"/>
                <w:highlight w:val="none"/>
                <w:lang w:eastAsia="zh-CN"/>
              </w:rPr>
              <w:t>原先</w:t>
            </w:r>
            <w:r>
              <w:rPr>
                <w:rFonts w:hint="eastAsia" w:ascii="仿宋_GB2312" w:hAnsi="仿宋_GB2312" w:eastAsia="仿宋_GB2312" w:cs="仿宋_GB2312"/>
                <w:color w:val="auto"/>
                <w:sz w:val="24"/>
                <w:highlight w:val="none"/>
              </w:rPr>
              <w:t>播放的音频输出关闭。</w:t>
            </w:r>
          </w:p>
          <w:p w14:paraId="5EF69202">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7.教师广播批注：</w:t>
            </w:r>
            <w:r>
              <w:rPr>
                <w:rFonts w:hint="eastAsia" w:ascii="仿宋_GB2312" w:hAnsi="仿宋_GB2312" w:eastAsia="仿宋_GB2312" w:cs="仿宋_GB2312"/>
                <w:color w:val="auto"/>
                <w:kern w:val="0"/>
                <w:sz w:val="24"/>
                <w:highlight w:val="none"/>
                <w:lang w:eastAsia="zh-CN"/>
              </w:rPr>
              <w:t>在屏幕广播状态下，</w:t>
            </w:r>
            <w:r>
              <w:rPr>
                <w:rFonts w:hint="eastAsia" w:ascii="仿宋_GB2312" w:hAnsi="仿宋_GB2312" w:eastAsia="仿宋_GB2312" w:cs="仿宋_GB2312"/>
                <w:color w:val="auto"/>
                <w:kern w:val="0"/>
                <w:sz w:val="24"/>
                <w:highlight w:val="none"/>
                <w:lang w:val="en-US" w:eastAsia="zh-CN"/>
              </w:rPr>
              <w:t>为教师</w:t>
            </w:r>
            <w:r>
              <w:rPr>
                <w:rFonts w:hint="eastAsia" w:ascii="仿宋_GB2312" w:hAnsi="仿宋_GB2312" w:eastAsia="仿宋_GB2312" w:cs="仿宋_GB2312"/>
                <w:color w:val="auto"/>
                <w:kern w:val="0"/>
                <w:sz w:val="24"/>
                <w:highlight w:val="none"/>
                <w:lang w:eastAsia="zh-CN"/>
              </w:rPr>
              <w:t>提供授课小工具</w:t>
            </w:r>
            <w:r>
              <w:rPr>
                <w:rFonts w:hint="eastAsia" w:ascii="仿宋_GB2312" w:hAnsi="仿宋_GB2312" w:eastAsia="仿宋_GB2312" w:cs="仿宋_GB2312"/>
                <w:color w:val="auto"/>
                <w:sz w:val="24"/>
                <w:highlight w:val="none"/>
              </w:rPr>
              <w:t>，包括提供可自由调整笔迹颜色及笔触粗细的画笔、黑板、橡皮擦、以及支持撤销和加页码，最多支持增加页数到10页。</w:t>
            </w:r>
          </w:p>
          <w:p w14:paraId="41AAD477">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8.学生演示：支持</w:t>
            </w:r>
            <w:r>
              <w:rPr>
                <w:rFonts w:hint="eastAsia" w:ascii="仿宋_GB2312" w:hAnsi="仿宋_GB2312" w:eastAsia="仿宋_GB2312" w:cs="仿宋_GB2312"/>
                <w:color w:val="auto"/>
                <w:sz w:val="24"/>
                <w:highlight w:val="none"/>
                <w:lang w:eastAsia="zh-CN"/>
              </w:rPr>
              <w:t>教师</w:t>
            </w:r>
            <w:r>
              <w:rPr>
                <w:rFonts w:hint="eastAsia" w:ascii="仿宋_GB2312" w:hAnsi="仿宋_GB2312" w:eastAsia="仿宋_GB2312" w:cs="仿宋_GB2312"/>
                <w:color w:val="auto"/>
                <w:sz w:val="24"/>
                <w:highlight w:val="none"/>
              </w:rPr>
              <w:t>将指定学生的屏幕画面广播给其他所有学生，同时</w:t>
            </w:r>
            <w:r>
              <w:rPr>
                <w:rFonts w:hint="eastAsia" w:ascii="仿宋_GB2312" w:hAnsi="仿宋_GB2312" w:eastAsia="仿宋_GB2312" w:cs="仿宋_GB2312"/>
                <w:color w:val="auto"/>
                <w:sz w:val="24"/>
                <w:highlight w:val="none"/>
                <w:lang w:eastAsia="zh-CN"/>
              </w:rPr>
              <w:t>教师</w:t>
            </w:r>
            <w:r>
              <w:rPr>
                <w:rFonts w:hint="eastAsia" w:ascii="仿宋_GB2312" w:hAnsi="仿宋_GB2312" w:eastAsia="仿宋_GB2312" w:cs="仿宋_GB2312"/>
                <w:color w:val="auto"/>
                <w:sz w:val="24"/>
                <w:highlight w:val="none"/>
              </w:rPr>
              <w:t>也能看到该指定学生的屏幕图像。</w:t>
            </w:r>
          </w:p>
          <w:p w14:paraId="0192F93E">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9.课件答题互动：支持同步课堂活动的课件并支持下发，下发后学生拖动答案进行作答，系统将自动判断正误。</w:t>
            </w:r>
          </w:p>
          <w:p w14:paraId="4AC79D01">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10.课堂活动作答：支持学生在完成教师下发的课堂活动时，查看自己本次作答完成的排名、耗时以及答题情况。</w:t>
            </w:r>
          </w:p>
          <w:p w14:paraId="15C12998">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11.学生未进入课堂通知：教师可以在管理后台预先录入学生名单。授课时，教师选择相应的班级，学生在课程开始后只需输入自己的姓名即可完成签到。同时，教师端能够实时显示尚未签到的学生名单。</w:t>
            </w:r>
          </w:p>
          <w:p w14:paraId="43B2EF6E">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12.切换课堂通知</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当课堂通知大于或等于2条时，支持用户手动切换查看。</w:t>
            </w:r>
          </w:p>
          <w:p w14:paraId="07E688A2">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13.广播互动答题：在教师广播过程中，支持自动截取屏幕内容供学生答题，并在学生回答后在教师端展示答题数据。</w:t>
            </w:r>
          </w:p>
          <w:p w14:paraId="7AC15044">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14.离线续播：当教师对一台或多台学生设备进行广播教学时，学生终端在重启后能够自动重新加入当前的广播教学，实现离线续播。</w:t>
            </w:r>
          </w:p>
          <w:p w14:paraId="57DB394B">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15.移动传屏广播：教师可通过同品牌移动教学软件，在不同局域网环境下实现屏幕共享，支持屏幕画面自动广播至学生端。</w:t>
            </w:r>
          </w:p>
          <w:p w14:paraId="5E2D57D0">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16.移动摄像广播：教师可通过同品牌移动教学软件，在不同局域网环境下实现摄像直播，支持摄像画面自动广播至学生端。</w:t>
            </w:r>
          </w:p>
          <w:p w14:paraId="75101D44">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17.课件答题参与：课堂活动的参与按钮根据开课状态智能显示</w:t>
            </w:r>
          </w:p>
          <w:p w14:paraId="61D04639">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18.登录模式支持免输入姓名：在登录模式下，教师可选择允许特定设备免输入姓名直接进入课堂。</w:t>
            </w:r>
          </w:p>
          <w:p w14:paraId="4F1D7C80">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19.远程控制：支持教师端远程控制学生端的画面操作。</w:t>
            </w:r>
          </w:p>
          <w:p w14:paraId="3C99B958">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20.教学白板课件同步：支持同步教学软件的课件内容，支持按照大小、更新时间进行排序，支持按照文件类型进行筛选。</w:t>
            </w:r>
          </w:p>
          <w:p w14:paraId="764ABA0E">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21.文件上传：支持上传“本地文件”到终端应用软件的教师云空间。</w:t>
            </w:r>
          </w:p>
          <w:p w14:paraId="642CDA1D">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22.文件共享：支持教师把云空间的文件批量共享给指定的多个授课班级，设备重启还原后，学生进入授课班级后仍可重新下载。支持教师把已共享的资料进行取消共享。</w:t>
            </w:r>
          </w:p>
          <w:p w14:paraId="76AA702B">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23.授课班级状态：当作业空间存在多个班级的时候，支持显示当前正在授课班级。</w:t>
            </w:r>
          </w:p>
          <w:p w14:paraId="54E27846">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24.作业回收进度查看：回收作业过程中，支持自动统计已提交和未提交的学生名单。</w:t>
            </w:r>
          </w:p>
          <w:p w14:paraId="2FE187B9">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25.文件传输：显示上传和下载完成的文件历史记录。</w:t>
            </w:r>
          </w:p>
          <w:p w14:paraId="4CBBC33F">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26.导入文件共享：支持教师直接把内容导入共享给班级学生。</w:t>
            </w:r>
          </w:p>
          <w:p w14:paraId="21AFB5B4">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27.文件自动补发：学生端设备重启被还原时，系统自动重新下发资料，无需手动操作。</w:t>
            </w:r>
          </w:p>
          <w:p w14:paraId="428417B6">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28.黑屏管控：教师可以选定学生执行黑屏操作。</w:t>
            </w:r>
          </w:p>
          <w:p w14:paraId="4AFE719C">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29.离线自动黑屏：支持教师统一配置授课是否开启离线黑屏。</w:t>
            </w:r>
          </w:p>
          <w:p w14:paraId="28AD6DC5">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30.设备环境检测：开始授课后，若学生设备离线时会自动在教师端显示离线的设备总量以及对应离线的设备IP。</w:t>
            </w:r>
          </w:p>
          <w:p w14:paraId="1BD97B49">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31.程序限制：支持设置应用程序白名单。</w:t>
            </w:r>
          </w:p>
          <w:p w14:paraId="7AED869D">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32.自动获取学生端应用环境：开启授课后自动获取授课学生设备安装的应用环境，教师可以直接禁用管理学生设备的实际真实应用。</w:t>
            </w:r>
          </w:p>
          <w:p w14:paraId="0E648A51">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33.违规使用记录：</w:t>
            </w:r>
            <w:r>
              <w:rPr>
                <w:rFonts w:hint="eastAsia" w:ascii="仿宋_GB2312" w:hAnsi="仿宋_GB2312" w:eastAsia="仿宋_GB2312" w:cs="仿宋_GB2312"/>
                <w:color w:val="auto"/>
                <w:sz w:val="24"/>
                <w:highlight w:val="none"/>
                <w:lang w:eastAsia="zh-CN"/>
              </w:rPr>
              <w:t>支持显示最近一节课违规使用应用程序的操作人员、应用名称和设备IP，教师可对违规应用程序执行禁用/取消禁用操作</w:t>
            </w:r>
            <w:r>
              <w:rPr>
                <w:rFonts w:hint="eastAsia" w:ascii="仿宋_GB2312" w:hAnsi="仿宋_GB2312" w:eastAsia="仿宋_GB2312" w:cs="仿宋_GB2312"/>
                <w:color w:val="auto"/>
                <w:sz w:val="24"/>
                <w:highlight w:val="none"/>
              </w:rPr>
              <w:t>。</w:t>
            </w:r>
          </w:p>
          <w:p w14:paraId="79AE565F">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34.一键禁用违规应用：支持教师对最近一节课的违规使用应用程序进行一键禁用。</w:t>
            </w:r>
          </w:p>
          <w:p w14:paraId="26082708">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35.网页限制：支持设定学生访问网站的白名单信息，对学生可以访问的网址进行管理。</w:t>
            </w:r>
          </w:p>
          <w:p w14:paraId="60C2109E">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36.应用防卸载：</w:t>
            </w:r>
            <w:r>
              <w:rPr>
                <w:rFonts w:hint="eastAsia" w:ascii="仿宋_GB2312" w:hAnsi="仿宋_GB2312" w:eastAsia="仿宋_GB2312" w:cs="仿宋_GB2312"/>
                <w:color w:val="auto"/>
                <w:sz w:val="24"/>
                <w:highlight w:val="none"/>
                <w:lang w:eastAsia="zh-CN"/>
              </w:rPr>
              <w:t>支持学生端应用的防卸载保护，防止未经授权的卸载操作</w:t>
            </w:r>
            <w:r>
              <w:rPr>
                <w:rFonts w:hint="eastAsia" w:ascii="仿宋_GB2312" w:hAnsi="仿宋_GB2312" w:eastAsia="仿宋_GB2312" w:cs="仿宋_GB2312"/>
                <w:color w:val="auto"/>
                <w:sz w:val="24"/>
                <w:highlight w:val="none"/>
              </w:rPr>
              <w:t>。</w:t>
            </w:r>
          </w:p>
          <w:p w14:paraId="1A74A898">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37.应用进程防杀：支持结束学生端应用进程时，立即自动重启应用。</w:t>
            </w:r>
          </w:p>
          <w:p w14:paraId="5F135570">
            <w:pPr>
              <w:spacing w:line="40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38.</w:t>
            </w:r>
            <w:r>
              <w:rPr>
                <w:rFonts w:hint="eastAsia" w:ascii="仿宋_GB2312" w:hAnsi="仿宋_GB2312" w:eastAsia="仿宋_GB2312" w:cs="仿宋_GB2312"/>
                <w:color w:val="auto"/>
                <w:sz w:val="24"/>
                <w:highlight w:val="none"/>
              </w:rPr>
              <w:t>学生画面监看：教师机可以</w:t>
            </w:r>
            <w:r>
              <w:rPr>
                <w:rFonts w:hint="eastAsia" w:ascii="仿宋_GB2312" w:hAnsi="仿宋_GB2312" w:eastAsia="仿宋_GB2312" w:cs="仿宋_GB2312"/>
                <w:color w:val="auto"/>
                <w:sz w:val="24"/>
                <w:highlight w:val="none"/>
                <w:lang w:eastAsia="zh-CN"/>
              </w:rPr>
              <w:t>监看</w:t>
            </w:r>
            <w:r>
              <w:rPr>
                <w:rFonts w:hint="eastAsia" w:ascii="仿宋_GB2312" w:hAnsi="仿宋_GB2312" w:eastAsia="仿宋_GB2312" w:cs="仿宋_GB2312"/>
                <w:color w:val="auto"/>
                <w:sz w:val="24"/>
                <w:highlight w:val="none"/>
              </w:rPr>
              <w:t>全体、单一学生机的实时画面。</w:t>
            </w:r>
          </w:p>
        </w:tc>
        <w:tc>
          <w:tcPr>
            <w:tcW w:w="812" w:type="dxa"/>
            <w:tcBorders>
              <w:top w:val="single" w:color="auto" w:sz="4" w:space="0"/>
              <w:left w:val="single" w:color="auto" w:sz="4" w:space="0"/>
              <w:bottom w:val="single" w:color="auto" w:sz="4" w:space="0"/>
              <w:right w:val="single" w:color="auto" w:sz="4" w:space="0"/>
            </w:tcBorders>
            <w:vAlign w:val="center"/>
          </w:tcPr>
          <w:p w14:paraId="15AE0DB7">
            <w:pPr>
              <w:spacing w:line="400" w:lineRule="exact"/>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2套</w:t>
            </w:r>
          </w:p>
        </w:tc>
      </w:tr>
      <w:tr w14:paraId="6E6AE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613" w:type="dxa"/>
            <w:tcBorders>
              <w:top w:val="single" w:color="auto" w:sz="4" w:space="0"/>
              <w:left w:val="single" w:color="auto" w:sz="4" w:space="0"/>
              <w:bottom w:val="single" w:color="auto" w:sz="4" w:space="0"/>
              <w:right w:val="single" w:color="auto" w:sz="4" w:space="0"/>
            </w:tcBorders>
            <w:vAlign w:val="center"/>
          </w:tcPr>
          <w:p w14:paraId="769E1A73">
            <w:pPr>
              <w:pStyle w:val="260"/>
              <w:snapToGrid w:val="0"/>
              <w:spacing w:line="40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4</w:t>
            </w:r>
          </w:p>
        </w:tc>
        <w:tc>
          <w:tcPr>
            <w:tcW w:w="1118" w:type="dxa"/>
            <w:tcBorders>
              <w:top w:val="single" w:color="auto" w:sz="4" w:space="0"/>
              <w:left w:val="single" w:color="auto" w:sz="4" w:space="0"/>
              <w:bottom w:val="single" w:color="auto" w:sz="4" w:space="0"/>
              <w:right w:val="single" w:color="auto" w:sz="4" w:space="0"/>
            </w:tcBorders>
            <w:vAlign w:val="center"/>
          </w:tcPr>
          <w:p w14:paraId="2101F887">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24口千兆交换机</w:t>
            </w:r>
          </w:p>
        </w:tc>
        <w:tc>
          <w:tcPr>
            <w:tcW w:w="6707" w:type="dxa"/>
            <w:tcBorders>
              <w:top w:val="single" w:color="auto" w:sz="4" w:space="0"/>
              <w:left w:val="single" w:color="auto" w:sz="4" w:space="0"/>
              <w:bottom w:val="single" w:color="auto" w:sz="4" w:space="0"/>
              <w:right w:val="single" w:color="auto" w:sz="4" w:space="0"/>
            </w:tcBorders>
            <w:vAlign w:val="center"/>
          </w:tcPr>
          <w:p w14:paraId="5C7F7326">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szCs w:val="24"/>
                <w:highlight w:val="none"/>
                <w:lang w:val="en-US" w:eastAsia="zh-CN" w:bidi="ar-SA"/>
              </w:rPr>
              <w:t>1.</w:t>
            </w:r>
            <w:r>
              <w:rPr>
                <w:rFonts w:hint="eastAsia" w:ascii="仿宋_GB2312" w:hAnsi="仿宋_GB2312" w:eastAsia="仿宋_GB2312" w:cs="仿宋_GB2312"/>
                <w:color w:val="auto"/>
                <w:kern w:val="0"/>
                <w:sz w:val="24"/>
                <w:highlight w:val="none"/>
                <w:lang w:eastAsia="zh-CN"/>
              </w:rPr>
              <w:t>二层网管交换机，交换容量336Gbps，包转发率42Mpps，24口10/100/1000Mbps自适应电口交换机；</w:t>
            </w:r>
          </w:p>
          <w:p w14:paraId="41F62F5C">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szCs w:val="24"/>
                <w:highlight w:val="none"/>
                <w:lang w:val="en-US" w:eastAsia="zh-CN" w:bidi="ar-SA"/>
              </w:rPr>
              <w:t>2.</w:t>
            </w:r>
            <w:r>
              <w:rPr>
                <w:rFonts w:hint="eastAsia" w:ascii="仿宋_GB2312" w:hAnsi="仿宋_GB2312" w:eastAsia="仿宋_GB2312" w:cs="仿宋_GB2312"/>
                <w:color w:val="auto"/>
                <w:kern w:val="0"/>
                <w:sz w:val="24"/>
                <w:highlight w:val="none"/>
                <w:lang w:eastAsia="zh-CN"/>
              </w:rPr>
              <w:t>固化4个SFP千兆光口，支持VLAN、ACL、端口镜像、端口聚合等功能。</w:t>
            </w:r>
          </w:p>
        </w:tc>
        <w:tc>
          <w:tcPr>
            <w:tcW w:w="812" w:type="dxa"/>
            <w:tcBorders>
              <w:top w:val="single" w:color="auto" w:sz="4" w:space="0"/>
              <w:left w:val="single" w:color="auto" w:sz="4" w:space="0"/>
              <w:bottom w:val="single" w:color="auto" w:sz="4" w:space="0"/>
              <w:right w:val="single" w:color="auto" w:sz="4" w:space="0"/>
            </w:tcBorders>
            <w:vAlign w:val="center"/>
          </w:tcPr>
          <w:p w14:paraId="4E05D0A6">
            <w:pPr>
              <w:pStyle w:val="260"/>
              <w:snapToGrid w:val="0"/>
              <w:spacing w:line="400" w:lineRule="exact"/>
              <w:jc w:val="center"/>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6台</w:t>
            </w:r>
          </w:p>
        </w:tc>
      </w:tr>
      <w:tr w14:paraId="6E1DE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275D1F5C">
            <w:pPr>
              <w:pStyle w:val="260"/>
              <w:snapToGrid w:val="0"/>
              <w:spacing w:line="40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5</w:t>
            </w:r>
          </w:p>
        </w:tc>
        <w:tc>
          <w:tcPr>
            <w:tcW w:w="1118" w:type="dxa"/>
            <w:tcBorders>
              <w:top w:val="single" w:color="auto" w:sz="4" w:space="0"/>
              <w:left w:val="single" w:color="auto" w:sz="4" w:space="0"/>
              <w:bottom w:val="single" w:color="auto" w:sz="4" w:space="0"/>
              <w:right w:val="single" w:color="auto" w:sz="4" w:space="0"/>
            </w:tcBorders>
            <w:vAlign w:val="center"/>
          </w:tcPr>
          <w:p w14:paraId="3CBBB373">
            <w:pPr>
              <w:widowControl/>
              <w:spacing w:line="400" w:lineRule="exact"/>
              <w:jc w:val="center"/>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挂墙式机柜</w:t>
            </w:r>
          </w:p>
        </w:tc>
        <w:tc>
          <w:tcPr>
            <w:tcW w:w="6707" w:type="dxa"/>
            <w:tcBorders>
              <w:top w:val="single" w:color="auto" w:sz="4" w:space="0"/>
              <w:left w:val="single" w:color="auto" w:sz="4" w:space="0"/>
              <w:bottom w:val="single" w:color="auto" w:sz="4" w:space="0"/>
              <w:right w:val="single" w:color="auto" w:sz="4" w:space="0"/>
            </w:tcBorders>
            <w:vAlign w:val="center"/>
          </w:tcPr>
          <w:p w14:paraId="3B1823CA">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1.12U标准机柜，带风扇。</w:t>
            </w:r>
          </w:p>
          <w:p w14:paraId="200CCF2B">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eastAsia="zh-CN"/>
              </w:rPr>
              <w:t>2.</w:t>
            </w:r>
            <w:r>
              <w:rPr>
                <w:rFonts w:hint="eastAsia" w:ascii="仿宋_GB2312" w:hAnsi="仿宋_GB2312" w:eastAsia="仿宋_GB2312" w:cs="仿宋_GB2312"/>
                <w:color w:val="auto"/>
                <w:kern w:val="0"/>
                <w:sz w:val="24"/>
                <w:highlight w:val="none"/>
              </w:rPr>
              <w:t>规格：≥550mm（W）×450mm（D）×620mm（H）。</w:t>
            </w:r>
          </w:p>
          <w:p w14:paraId="72579ADC">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eastAsia="zh-CN"/>
              </w:rPr>
              <w:t>3.</w:t>
            </w:r>
            <w:r>
              <w:rPr>
                <w:rFonts w:hint="eastAsia" w:ascii="仿宋_GB2312" w:hAnsi="仿宋_GB2312" w:eastAsia="仿宋_GB2312" w:cs="仿宋_GB2312"/>
                <w:color w:val="auto"/>
                <w:kern w:val="0"/>
                <w:sz w:val="24"/>
                <w:highlight w:val="none"/>
              </w:rPr>
              <w:t>采用高强度的优质</w:t>
            </w:r>
            <w:r>
              <w:rPr>
                <w:rFonts w:hint="eastAsia" w:ascii="仿宋_GB2312" w:hAnsi="仿宋_GB2312" w:eastAsia="仿宋_GB2312" w:cs="仿宋_GB2312"/>
                <w:color w:val="auto"/>
                <w:kern w:val="0"/>
                <w:sz w:val="24"/>
                <w:highlight w:val="none"/>
                <w:lang w:eastAsia="zh-CN"/>
              </w:rPr>
              <w:t>镀锌板</w:t>
            </w:r>
            <w:r>
              <w:rPr>
                <w:rFonts w:hint="eastAsia" w:ascii="仿宋_GB2312" w:hAnsi="仿宋_GB2312" w:eastAsia="仿宋_GB2312" w:cs="仿宋_GB2312"/>
                <w:color w:val="auto"/>
                <w:kern w:val="0"/>
                <w:sz w:val="24"/>
                <w:highlight w:val="none"/>
              </w:rPr>
              <w:t>，机柜主体骨架材料厚度≥1.0mm</w:t>
            </w:r>
            <w:r>
              <w:rPr>
                <w:rFonts w:hint="eastAsia" w:ascii="仿宋_GB2312" w:hAnsi="仿宋_GB2312" w:eastAsia="仿宋_GB2312" w:cs="仿宋_GB2312"/>
                <w:color w:val="auto"/>
                <w:kern w:val="0"/>
                <w:sz w:val="24"/>
                <w:highlight w:val="none"/>
                <w:lang w:eastAsia="zh-CN"/>
              </w:rPr>
              <w:t>，其他</w:t>
            </w:r>
            <w:r>
              <w:rPr>
                <w:rFonts w:hint="eastAsia" w:ascii="仿宋_GB2312" w:hAnsi="仿宋_GB2312" w:eastAsia="仿宋_GB2312" w:cs="仿宋_GB2312"/>
                <w:color w:val="auto"/>
                <w:kern w:val="0"/>
                <w:sz w:val="24"/>
                <w:highlight w:val="none"/>
              </w:rPr>
              <w:t>材料厚度≥0.8mm。</w:t>
            </w:r>
          </w:p>
          <w:p w14:paraId="0BFD1C80">
            <w:pPr>
              <w:widowControl/>
              <w:numPr>
                <w:ilvl w:val="0"/>
                <w:numId w:val="0"/>
              </w:numPr>
              <w:spacing w:line="40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eastAsia="zh-CN"/>
              </w:rPr>
              <w:t>4.</w:t>
            </w:r>
            <w:r>
              <w:rPr>
                <w:rFonts w:hint="eastAsia" w:ascii="仿宋_GB2312" w:hAnsi="仿宋_GB2312" w:eastAsia="仿宋_GB2312" w:cs="仿宋_GB2312"/>
                <w:color w:val="auto"/>
                <w:kern w:val="0"/>
                <w:sz w:val="24"/>
                <w:highlight w:val="none"/>
              </w:rPr>
              <w:t>机柜设计底部走线方式，顶、底预留进线孔。</w:t>
            </w:r>
          </w:p>
        </w:tc>
        <w:tc>
          <w:tcPr>
            <w:tcW w:w="812" w:type="dxa"/>
            <w:tcBorders>
              <w:top w:val="single" w:color="auto" w:sz="4" w:space="0"/>
              <w:left w:val="single" w:color="auto" w:sz="4" w:space="0"/>
              <w:bottom w:val="single" w:color="auto" w:sz="4" w:space="0"/>
              <w:right w:val="single" w:color="auto" w:sz="4" w:space="0"/>
            </w:tcBorders>
            <w:vAlign w:val="center"/>
          </w:tcPr>
          <w:p w14:paraId="0B189F17">
            <w:pPr>
              <w:pStyle w:val="260"/>
              <w:snapToGrid w:val="0"/>
              <w:spacing w:line="40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2个</w:t>
            </w:r>
          </w:p>
        </w:tc>
      </w:tr>
      <w:tr w14:paraId="500B7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537FBD0E">
            <w:pPr>
              <w:pStyle w:val="260"/>
              <w:snapToGrid w:val="0"/>
              <w:spacing w:line="40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6</w:t>
            </w:r>
          </w:p>
        </w:tc>
        <w:tc>
          <w:tcPr>
            <w:tcW w:w="1118" w:type="dxa"/>
            <w:tcBorders>
              <w:top w:val="single" w:color="auto" w:sz="4" w:space="0"/>
              <w:left w:val="single" w:color="auto" w:sz="4" w:space="0"/>
              <w:bottom w:val="single" w:color="auto" w:sz="4" w:space="0"/>
              <w:right w:val="single" w:color="auto" w:sz="4" w:space="0"/>
            </w:tcBorders>
            <w:vAlign w:val="center"/>
          </w:tcPr>
          <w:p w14:paraId="08E6595D">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电脑桌</w:t>
            </w:r>
          </w:p>
        </w:tc>
        <w:tc>
          <w:tcPr>
            <w:tcW w:w="6707" w:type="dxa"/>
            <w:tcBorders>
              <w:top w:val="single" w:color="auto" w:sz="4" w:space="0"/>
              <w:left w:val="single" w:color="auto" w:sz="4" w:space="0"/>
              <w:bottom w:val="single" w:color="auto" w:sz="4" w:space="0"/>
              <w:right w:val="single" w:color="auto" w:sz="4" w:space="0"/>
            </w:tcBorders>
            <w:vAlign w:val="center"/>
          </w:tcPr>
          <w:p w14:paraId="335496E5">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材料：全部材料采用高密中纤板，三聚氰胺贴面。颜色：灰白色。参考尺寸：长宽高≥1200mm×600mm×700㎜。双人位，无键盘托盘。边缘做圆角处理。按教室实际情况定制。由学校选择配置显示器固定卡槽。摆放位置需校方书面确认。</w:t>
            </w:r>
          </w:p>
        </w:tc>
        <w:tc>
          <w:tcPr>
            <w:tcW w:w="812" w:type="dxa"/>
            <w:tcBorders>
              <w:top w:val="single" w:color="auto" w:sz="4" w:space="0"/>
              <w:left w:val="single" w:color="auto" w:sz="4" w:space="0"/>
              <w:bottom w:val="single" w:color="auto" w:sz="4" w:space="0"/>
              <w:right w:val="single" w:color="auto" w:sz="4" w:space="0"/>
            </w:tcBorders>
            <w:vAlign w:val="center"/>
          </w:tcPr>
          <w:p w14:paraId="01E23635">
            <w:pPr>
              <w:pStyle w:val="260"/>
              <w:snapToGrid w:val="0"/>
              <w:spacing w:line="40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56张</w:t>
            </w:r>
          </w:p>
        </w:tc>
      </w:tr>
      <w:tr w14:paraId="2F54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2E048A90">
            <w:pPr>
              <w:pStyle w:val="260"/>
              <w:snapToGrid w:val="0"/>
              <w:spacing w:line="40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w:t>
            </w:r>
          </w:p>
        </w:tc>
        <w:tc>
          <w:tcPr>
            <w:tcW w:w="1118" w:type="dxa"/>
            <w:tcBorders>
              <w:top w:val="single" w:color="auto" w:sz="4" w:space="0"/>
              <w:left w:val="single" w:color="auto" w:sz="4" w:space="0"/>
              <w:bottom w:val="single" w:color="auto" w:sz="4" w:space="0"/>
              <w:right w:val="single" w:color="auto" w:sz="4" w:space="0"/>
            </w:tcBorders>
            <w:vAlign w:val="center"/>
          </w:tcPr>
          <w:p w14:paraId="1740A5AF">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电脑凳</w:t>
            </w:r>
          </w:p>
        </w:tc>
        <w:tc>
          <w:tcPr>
            <w:tcW w:w="6707" w:type="dxa"/>
            <w:tcBorders>
              <w:top w:val="single" w:color="auto" w:sz="4" w:space="0"/>
              <w:left w:val="single" w:color="auto" w:sz="4" w:space="0"/>
              <w:bottom w:val="single" w:color="auto" w:sz="4" w:space="0"/>
              <w:right w:val="single" w:color="auto" w:sz="4" w:space="0"/>
            </w:tcBorders>
            <w:vAlign w:val="center"/>
          </w:tcPr>
          <w:p w14:paraId="0BF70364">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参考尺寸：≥长320mm*宽240mm*高430mm小方凳，冷轧钢方管凳，环保油漆，五金配件，边缘做圆角处理。</w:t>
            </w:r>
          </w:p>
        </w:tc>
        <w:tc>
          <w:tcPr>
            <w:tcW w:w="812" w:type="dxa"/>
            <w:tcBorders>
              <w:top w:val="single" w:color="auto" w:sz="4" w:space="0"/>
              <w:left w:val="single" w:color="auto" w:sz="4" w:space="0"/>
              <w:bottom w:val="single" w:color="auto" w:sz="4" w:space="0"/>
              <w:right w:val="single" w:color="auto" w:sz="4" w:space="0"/>
            </w:tcBorders>
            <w:vAlign w:val="center"/>
          </w:tcPr>
          <w:p w14:paraId="7269FCCD">
            <w:pPr>
              <w:pStyle w:val="260"/>
              <w:snapToGrid w:val="0"/>
              <w:spacing w:line="40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112张</w:t>
            </w:r>
          </w:p>
        </w:tc>
      </w:tr>
      <w:tr w14:paraId="4C0C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54129FB5">
            <w:pPr>
              <w:pStyle w:val="260"/>
              <w:snapToGrid w:val="0"/>
              <w:spacing w:line="40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8</w:t>
            </w:r>
          </w:p>
        </w:tc>
        <w:tc>
          <w:tcPr>
            <w:tcW w:w="1118" w:type="dxa"/>
            <w:tcBorders>
              <w:top w:val="single" w:color="auto" w:sz="4" w:space="0"/>
              <w:left w:val="single" w:color="auto" w:sz="4" w:space="0"/>
              <w:bottom w:val="single" w:color="auto" w:sz="4" w:space="0"/>
              <w:right w:val="single" w:color="auto" w:sz="4" w:space="0"/>
            </w:tcBorders>
            <w:vAlign w:val="center"/>
          </w:tcPr>
          <w:p w14:paraId="5094972E">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教师讲台</w:t>
            </w:r>
          </w:p>
        </w:tc>
        <w:tc>
          <w:tcPr>
            <w:tcW w:w="6707" w:type="dxa"/>
            <w:tcBorders>
              <w:top w:val="single" w:color="auto" w:sz="4" w:space="0"/>
              <w:left w:val="single" w:color="auto" w:sz="4" w:space="0"/>
              <w:bottom w:val="single" w:color="auto" w:sz="4" w:space="0"/>
              <w:right w:val="single" w:color="auto" w:sz="4" w:space="0"/>
            </w:tcBorders>
            <w:vAlign w:val="center"/>
          </w:tcPr>
          <w:p w14:paraId="33592099">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材料：全部材料采用高密中纤板，三聚氰胺贴面，键盘托盘采用下螺钉固定牢固。颜色：灰白色。参考尺寸：长宽高≥1400mm×650mm×700㎜。边缘做圆角处理。</w:t>
            </w:r>
          </w:p>
        </w:tc>
        <w:tc>
          <w:tcPr>
            <w:tcW w:w="812" w:type="dxa"/>
            <w:tcBorders>
              <w:top w:val="single" w:color="auto" w:sz="4" w:space="0"/>
              <w:left w:val="single" w:color="auto" w:sz="4" w:space="0"/>
              <w:bottom w:val="single" w:color="auto" w:sz="4" w:space="0"/>
              <w:right w:val="single" w:color="auto" w:sz="4" w:space="0"/>
            </w:tcBorders>
            <w:vAlign w:val="center"/>
          </w:tcPr>
          <w:p w14:paraId="15034C1F">
            <w:pPr>
              <w:pStyle w:val="260"/>
              <w:snapToGrid w:val="0"/>
              <w:spacing w:line="40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2张</w:t>
            </w:r>
          </w:p>
        </w:tc>
      </w:tr>
      <w:tr w14:paraId="4487C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4F04A427">
            <w:pPr>
              <w:pStyle w:val="260"/>
              <w:snapToGrid w:val="0"/>
              <w:spacing w:line="40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9</w:t>
            </w:r>
          </w:p>
        </w:tc>
        <w:tc>
          <w:tcPr>
            <w:tcW w:w="1118" w:type="dxa"/>
            <w:tcBorders>
              <w:top w:val="single" w:color="auto" w:sz="4" w:space="0"/>
              <w:left w:val="single" w:color="auto" w:sz="4" w:space="0"/>
              <w:bottom w:val="single" w:color="auto" w:sz="4" w:space="0"/>
              <w:right w:val="single" w:color="auto" w:sz="4" w:space="0"/>
            </w:tcBorders>
            <w:vAlign w:val="center"/>
          </w:tcPr>
          <w:p w14:paraId="7F0E2258">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辅助材料及施工等</w:t>
            </w:r>
          </w:p>
        </w:tc>
        <w:tc>
          <w:tcPr>
            <w:tcW w:w="6707" w:type="dxa"/>
            <w:tcBorders>
              <w:top w:val="single" w:color="auto" w:sz="4" w:space="0"/>
              <w:left w:val="single" w:color="auto" w:sz="4" w:space="0"/>
              <w:bottom w:val="single" w:color="auto" w:sz="4" w:space="0"/>
              <w:right w:val="single" w:color="auto" w:sz="4" w:space="0"/>
            </w:tcBorders>
            <w:vAlign w:val="center"/>
          </w:tcPr>
          <w:p w14:paraId="3F32D49F">
            <w:pPr>
              <w:widowControl/>
              <w:spacing w:line="400" w:lineRule="exact"/>
              <w:ind w:firstLine="480" w:firstLineChars="200"/>
              <w:jc w:val="left"/>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rPr>
              <w:t>符合国家标准的</w:t>
            </w:r>
            <w:r>
              <w:rPr>
                <w:rFonts w:hint="eastAsia" w:ascii="仿宋_GB2312" w:hAnsi="仿宋_GB2312" w:eastAsia="仿宋_GB2312" w:cs="仿宋_GB2312"/>
                <w:color w:val="auto"/>
                <w:kern w:val="0"/>
                <w:sz w:val="24"/>
                <w:highlight w:val="none"/>
                <w:lang w:eastAsia="zh-CN"/>
              </w:rPr>
              <w:t>超五类双绞网线、水晶头、线槽、插座、空开、电源箱、杂件及其他辅助材料，</w:t>
            </w:r>
            <w:r>
              <w:rPr>
                <w:rFonts w:hint="eastAsia" w:ascii="仿宋_GB2312" w:hAnsi="仿宋_GB2312" w:eastAsia="仿宋_GB2312" w:cs="仿宋_GB2312"/>
                <w:color w:val="auto"/>
                <w:kern w:val="0"/>
                <w:sz w:val="24"/>
                <w:highlight w:val="none"/>
                <w:lang w:val="en-US" w:eastAsia="zh-CN"/>
              </w:rPr>
              <w:t>含</w:t>
            </w:r>
            <w:r>
              <w:rPr>
                <w:rFonts w:hint="eastAsia" w:ascii="仿宋_GB2312" w:hAnsi="仿宋_GB2312" w:eastAsia="仿宋_GB2312" w:cs="仿宋_GB2312"/>
                <w:color w:val="auto"/>
                <w:kern w:val="0"/>
                <w:sz w:val="24"/>
                <w:highlight w:val="none"/>
                <w:lang w:eastAsia="zh-CN"/>
              </w:rPr>
              <w:t>施工安装。按柳州市教育系统工程施工规范要求实施。</w:t>
            </w:r>
          </w:p>
        </w:tc>
        <w:tc>
          <w:tcPr>
            <w:tcW w:w="812" w:type="dxa"/>
            <w:tcBorders>
              <w:top w:val="single" w:color="auto" w:sz="4" w:space="0"/>
              <w:left w:val="single" w:color="auto" w:sz="4" w:space="0"/>
              <w:bottom w:val="single" w:color="auto" w:sz="4" w:space="0"/>
              <w:right w:val="single" w:color="auto" w:sz="4" w:space="0"/>
            </w:tcBorders>
            <w:vAlign w:val="center"/>
          </w:tcPr>
          <w:p w14:paraId="19310975">
            <w:pPr>
              <w:pStyle w:val="260"/>
              <w:snapToGrid w:val="0"/>
              <w:spacing w:line="40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2项</w:t>
            </w:r>
          </w:p>
        </w:tc>
      </w:tr>
      <w:tr w14:paraId="258E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9250" w:type="dxa"/>
            <w:gridSpan w:val="4"/>
            <w:tcBorders>
              <w:top w:val="single" w:color="auto" w:sz="4" w:space="0"/>
              <w:left w:val="single" w:color="auto" w:sz="4" w:space="0"/>
              <w:bottom w:val="single" w:color="auto" w:sz="4" w:space="0"/>
              <w:right w:val="single" w:color="auto" w:sz="4" w:space="0"/>
            </w:tcBorders>
            <w:vAlign w:val="center"/>
          </w:tcPr>
          <w:p w14:paraId="0062965D">
            <w:pPr>
              <w:pStyle w:val="260"/>
              <w:snapToGrid w:val="0"/>
              <w:spacing w:line="400" w:lineRule="exact"/>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kern w:val="0"/>
                <w:sz w:val="24"/>
                <w:szCs w:val="24"/>
                <w:highlight w:val="none"/>
              </w:rPr>
              <w:t>（二）</w:t>
            </w:r>
            <w:r>
              <w:rPr>
                <w:rFonts w:hint="eastAsia" w:ascii="仿宋_GB2312" w:hAnsi="仿宋_GB2312" w:eastAsia="仿宋_GB2312" w:cs="仿宋_GB2312"/>
                <w:b/>
                <w:bCs/>
                <w:color w:val="auto"/>
                <w:kern w:val="0"/>
                <w:sz w:val="24"/>
                <w:szCs w:val="24"/>
                <w:highlight w:val="none"/>
                <w:lang w:val="en-US" w:eastAsia="zh-CN"/>
              </w:rPr>
              <w:t>33套普通教室互动平板一体机教学系统</w:t>
            </w:r>
          </w:p>
        </w:tc>
      </w:tr>
      <w:tr w14:paraId="51993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13FFC310">
            <w:pPr>
              <w:pStyle w:val="260"/>
              <w:snapToGrid w:val="0"/>
              <w:spacing w:line="40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1</w:t>
            </w:r>
          </w:p>
        </w:tc>
        <w:tc>
          <w:tcPr>
            <w:tcW w:w="1118" w:type="dxa"/>
            <w:tcBorders>
              <w:top w:val="single" w:color="auto" w:sz="4" w:space="0"/>
              <w:left w:val="single" w:color="auto" w:sz="4" w:space="0"/>
              <w:bottom w:val="single" w:color="auto" w:sz="4" w:space="0"/>
              <w:right w:val="single" w:color="auto" w:sz="4" w:space="0"/>
            </w:tcBorders>
            <w:vAlign w:val="center"/>
          </w:tcPr>
          <w:p w14:paraId="163A1989">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互动平板一体机</w:t>
            </w:r>
          </w:p>
        </w:tc>
        <w:tc>
          <w:tcPr>
            <w:tcW w:w="6707" w:type="dxa"/>
            <w:tcBorders>
              <w:top w:val="single" w:color="auto" w:sz="4" w:space="0"/>
              <w:left w:val="single" w:color="auto" w:sz="4" w:space="0"/>
              <w:bottom w:val="single" w:color="auto" w:sz="4" w:space="0"/>
              <w:right w:val="single" w:color="auto" w:sz="4" w:space="0"/>
            </w:tcBorders>
            <w:vAlign w:val="center"/>
          </w:tcPr>
          <w:p w14:paraId="46F505BC">
            <w:pPr>
              <w:widowControl/>
              <w:spacing w:line="400" w:lineRule="exact"/>
              <w:ind w:firstLine="482" w:firstLineChars="200"/>
              <w:jc w:val="left"/>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一、整机系统设计</w:t>
            </w:r>
          </w:p>
          <w:p w14:paraId="0178A804">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（一）电脑系统</w:t>
            </w:r>
          </w:p>
          <w:p w14:paraId="3CC2D133">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1.整机架构：为降低电脑模块维护成本，针脚数为行业通用≥80Pin，与大屏无单独接线。</w:t>
            </w:r>
          </w:p>
          <w:p w14:paraId="0B45AE10">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2.整机OPS电脑安装结构需支持按压式卡扣或螺丝固定模式，抽拉式安装，无需工具即可快速拆卸电脑模块。</w:t>
            </w:r>
          </w:p>
          <w:p w14:paraId="108B99F7">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3.CPU：≥8核12线程，主频≥2GHz，内存≥16G（每根通道最大支持扩展到32G，总容量64GB），硬盘≥512G SSD（单盘最大支持扩展到1TB）。</w:t>
            </w:r>
          </w:p>
          <w:p w14:paraId="0D031991">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4.USB接口要求：USB3.0和USB2.0共计≥6个。</w:t>
            </w:r>
          </w:p>
          <w:p w14:paraId="655468A1">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5.其他接口要求：支持网络接口不少于1个，DP输出接口不少于1个，HDMI≥1个，耳机输出接口≥1个，麦克风输入接口≥1个。</w:t>
            </w:r>
          </w:p>
          <w:p w14:paraId="40F9A5BA">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6.Wi-Fi 6：需支持802.11b/g/n/ac/ax；蓝牙支持Bluetooth 4.2及以上。</w:t>
            </w:r>
          </w:p>
          <w:p w14:paraId="5CDBD7DE">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7.含正版操作系统及提供功能至少有文字处理、电子表格、演示文稿三大应用模块的办公软件，授权≥3年。</w:t>
            </w:r>
          </w:p>
          <w:p w14:paraId="66907C50">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（二）触摸系统</w:t>
            </w:r>
          </w:p>
          <w:p w14:paraId="07B469ED">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1.在整机系统下触控需支持≥40点触控及同时书写，触摸分辨率≥32768×32768。</w:t>
            </w:r>
          </w:p>
          <w:p w14:paraId="74FA0495">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2.整机在Windows系统下触控需支持≥50点触控及同时书写，触摸分辨率≥32768×32768。</w:t>
            </w:r>
          </w:p>
          <w:p w14:paraId="536F8CD3">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3.需采用红外触控技术，触控方式支持手指或书写笔等非透明物体，支持多点触摸。</w:t>
            </w:r>
          </w:p>
          <w:p w14:paraId="1BA02375">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4.需支持触控精度≤±1mm，触控体最小识别直径≤2mm，触摸高度≤3mm，触摸响应时间≤4ms，帧率≥250Hz。</w:t>
            </w:r>
          </w:p>
          <w:p w14:paraId="662D14E3">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5.整机系统下书写延迟需≤25ms。</w:t>
            </w:r>
          </w:p>
          <w:p w14:paraId="3C08D005">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6.需支持从安卓通道切换到内置电脑通道后，触摸框在1s内可进行触控书写；从内置电脑切换到外部通道后，触摸框在3s内可进行触控书写。</w:t>
            </w:r>
          </w:p>
          <w:p w14:paraId="6397706B">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7.需支持Windows 7、Windows 8、Windows 10、Linux、Mac OS、UOS（统信）、KYLIN（麒麟）、中科方德系统外置电脑操作系统接入时，无需安装触摸驱动。</w:t>
            </w:r>
          </w:p>
          <w:p w14:paraId="6C7F4A66">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8.触摸框需具有防粉笔灰遮挡功能，支持触摸框未被粉笔灰完全遮挡时可正常书写。</w:t>
            </w:r>
          </w:p>
          <w:p w14:paraId="47CFC148">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（三）整机系统</w:t>
            </w:r>
          </w:p>
          <w:p w14:paraId="22CA6164">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1.整机需自带安卓操作系统，系统版本≥安卓14，处理器≥八核，内存≥4GB，存储空间≥32GB。</w:t>
            </w:r>
          </w:p>
          <w:p w14:paraId="44519D5E">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2.整机系统需支持在线升级，升级过程中电源中断，恢复后可重新升级，避免升级失败。支持云端在线触摸框、麦克风、路由模块、音频处理单元的固件升级，支持其他部件升级扩展功能。</w:t>
            </w:r>
          </w:p>
          <w:p w14:paraId="7E6D27AF">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3.整机须具有悬浮菜单，可通过单指调用到屏幕任意位置；在任意信号源通道下均可调用悬浮菜单，悬浮菜单具有批注、擦除，切换信号源等功能，悬浮菜单中的信号源支持自定义修改且可一键直达常用信号源。</w:t>
            </w:r>
          </w:p>
          <w:p w14:paraId="18A66C2F">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4.整机系统下，整机需内置书写白板，支持新建、橡皮擦、圈选、思维导图工具、本地保存、网络分享、扫码分享、邮件分享、打开、设置、退出，布局切换功能。</w:t>
            </w:r>
          </w:p>
          <w:p w14:paraId="2BBE7E15">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5.整机系统下，书写白板需支持手掌/手背、圈擦、路径和滑动清屏擦除。</w:t>
            </w:r>
          </w:p>
          <w:p w14:paraId="27AF6045">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6.整机系统下，书写白板需支持对已书写的画笔笔迹和形状进行选择后进行颜色更换。</w:t>
            </w:r>
          </w:p>
          <w:p w14:paraId="52F16D19">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7.整机系统下，书写白板需支持双屏和三屏分屏或四分屏书写，各分屏可以自由书写互不干扰。</w:t>
            </w:r>
          </w:p>
          <w:p w14:paraId="71F5F39E">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8.整机系统下，应用程序需包含：浏览器，文件管理器，相机，系统自检工具，远程OTA升级工具，投屏工具，欢迎词，日历，计算器，录屏，图库和计时器。</w:t>
            </w:r>
          </w:p>
          <w:p w14:paraId="5F80E53D">
            <w:pPr>
              <w:widowControl/>
              <w:spacing w:line="400" w:lineRule="exact"/>
              <w:ind w:firstLine="482"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二、整机屏幕及护眼设计</w:t>
            </w:r>
          </w:p>
          <w:p w14:paraId="660EAABE">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1.整机屏幕需采用UHD超高清A规LED液晶屏，屏幕显示尺寸≥86英寸，显示比例16:9，屏幕图像分辨率≥3840*2160。</w:t>
            </w:r>
          </w:p>
          <w:p w14:paraId="350F6738">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2.整机屏体需支持亮度≥350cd/m²，色彩覆盖率≥85%NTSC，对比度≥5000:1。</w:t>
            </w:r>
          </w:p>
          <w:p w14:paraId="703D357B">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3.整机屏体需支持最大可视角度≥178°（H）/178°（V）。</w:t>
            </w:r>
          </w:p>
          <w:p w14:paraId="4BABCE72">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4.整机需支持色彩空间可选，包含标准模式和sRGB模式，在sRGB模式下可做到高色准△E≤1.5。</w:t>
            </w:r>
          </w:p>
          <w:p w14:paraId="2AE0FAD2">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整机屏体需支持无需操作即可实现蓝光防护，具备物理防蓝光（过滤蓝光）功能，有效抗蓝光、防眩光，蓝光占比（有害蓝光415～455nm能量综合）/（整体蓝光400～500nm能量综合）≤50%，低蓝光保护显示不偏色、不泛黄。</w:t>
            </w:r>
          </w:p>
          <w:p w14:paraId="12F5ED34">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6.整机须具备可达到4K分辨率，屏幕刷新率≥60Hz，无频闪。</w:t>
            </w:r>
          </w:p>
          <w:p w14:paraId="69F31418">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7.需支持自定义图像设置，支持对对比度、色调、图像亮度进行调节设置。</w:t>
            </w:r>
          </w:p>
          <w:p w14:paraId="3D737D18">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8.钢化玻璃透光率需≥88%。</w:t>
            </w:r>
          </w:p>
          <w:p w14:paraId="23A2BAA3">
            <w:pPr>
              <w:widowControl/>
              <w:spacing w:line="400" w:lineRule="exact"/>
              <w:ind w:firstLine="480" w:firstLineChars="200"/>
              <w:jc w:val="left"/>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★9.整机须具备智能书写护眼模式，可做到屏幕书写过程中逐步降低整机背光亮度至50%，符合D65标准光源色温值，降低色温≤6500K。</w:t>
            </w:r>
            <w:r>
              <w:rPr>
                <w:rFonts w:hint="eastAsia" w:ascii="仿宋_GB2312" w:hAnsi="仿宋_GB2312" w:eastAsia="仿宋_GB2312" w:cs="仿宋_GB2312"/>
                <w:b/>
                <w:bCs/>
                <w:color w:val="auto"/>
                <w:sz w:val="24"/>
                <w:highlight w:val="none"/>
                <w:lang w:val="en-US" w:eastAsia="zh-CN"/>
              </w:rPr>
              <w:t>[投标时提供本项所有功能的证明材料，否则投标无效，证明材料可以是检测（检验）报告、彩页、官网或功能截图等任意一种，并加盖投标人CA电子签章]</w:t>
            </w:r>
          </w:p>
          <w:p w14:paraId="5C67084B">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10.整机全通道需支持纸质护眼模式，可实现画面纹理的实时调整，支持牛皮纸、素描纸、宣纸、水彩纸、水纹纸纸质纹理，支持透明度调节和色温调节。</w:t>
            </w:r>
          </w:p>
          <w:p w14:paraId="0E81655B">
            <w:pPr>
              <w:widowControl/>
              <w:spacing w:line="400" w:lineRule="exact"/>
              <w:ind w:firstLine="482"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三、音视频功能设计</w:t>
            </w:r>
          </w:p>
          <w:p w14:paraId="6D33086A">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★1.整机需内置2.2声道扬声器，位于设备下边框出音，≥20W全频扬声器2个，≥15W高音扬声器2个，额定总功率≥60W，最大峰值功率≥70W，语言清晰度（STI-PA）≥0.7。</w:t>
            </w:r>
            <w:r>
              <w:rPr>
                <w:rFonts w:hint="eastAsia" w:ascii="仿宋_GB2312" w:hAnsi="仿宋_GB2312" w:eastAsia="仿宋_GB2312" w:cs="仿宋_GB2312"/>
                <w:b/>
                <w:bCs/>
                <w:color w:val="auto"/>
                <w:sz w:val="24"/>
                <w:highlight w:val="none"/>
                <w:lang w:val="en-US" w:eastAsia="zh-CN"/>
              </w:rPr>
              <w:t>[投标时提供本项所有功能的证明材料，否则投标无效，证明材料可以是检测（检验）报告、彩页、官网或功能截图等任意一种，并加盖投标人CA电子签章]</w:t>
            </w:r>
          </w:p>
          <w:p w14:paraId="5C3AEAE9">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2.喇叭声音需包含但不限于“标准”、“会议”、“影音”、“教室”、“AI音效”、“自定义音效”六种声音模式切换，适应各个教学场景。</w:t>
            </w:r>
          </w:p>
          <w:p w14:paraId="7343B532">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★3.AI音效模式需支持可通过内置麦克风功能采集教室物理环境声音，自动生成符合当前教室物理环境音效，包括高频段5KHz～10KHz和中低频段120Hz～1.5KHz数值项、音量0-100数值项、分贝-12dB～12dB数值项调节。</w:t>
            </w:r>
            <w:r>
              <w:rPr>
                <w:rFonts w:hint="eastAsia" w:ascii="仿宋_GB2312" w:hAnsi="仿宋_GB2312" w:eastAsia="仿宋_GB2312" w:cs="仿宋_GB2312"/>
                <w:b/>
                <w:bCs/>
                <w:color w:val="auto"/>
                <w:sz w:val="24"/>
                <w:highlight w:val="none"/>
                <w:lang w:val="en-US" w:eastAsia="zh-CN"/>
              </w:rPr>
              <w:t>[投标时提供本项所有功能的证明材料，否则投标无效，证明材料可以是检测（检验）报告、彩页、官网或功能截图等任意一种，并加盖投标人CA电子签章]</w:t>
            </w:r>
          </w:p>
          <w:p w14:paraId="4C598A5B">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4.整机需支持自定义音频设置功能，在左右声道平衡显示范围中进行更改，分贝显示-12dB～12dB调节范围，中低频段显示调节范围120Hz～1.5KHz，高频段显示调节范围5KHz～10KHz。</w:t>
            </w:r>
          </w:p>
          <w:p w14:paraId="4873E6B8">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5.整机扬声器需支持在100%音量下，1米处声压级≥90dB，10米处声压级≥85dB，1米到10米距离内响度差距≤5dB，声场覆盖85%区域内响度差异≤5dB。</w:t>
            </w:r>
          </w:p>
          <w:p w14:paraId="1B213BB0">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◆6.整机需内置高清广角摄像头，结构采用非独立设计；需支持3D降噪算法，</w:t>
            </w:r>
            <w:r>
              <w:rPr>
                <w:rFonts w:hint="eastAsia" w:ascii="仿宋_GB2312" w:hAnsi="仿宋_GB2312" w:eastAsia="仿宋_GB2312" w:cs="仿宋_GB2312"/>
                <w:color w:val="auto"/>
                <w:sz w:val="24"/>
                <w:highlight w:val="none"/>
                <w:u w:val="wave"/>
                <w:lang w:val="en-US" w:eastAsia="zh-CN"/>
              </w:rPr>
              <w:t>图像信噪比≥35db</w:t>
            </w:r>
            <w:r>
              <w:rPr>
                <w:rFonts w:hint="eastAsia" w:ascii="仿宋_GB2312" w:hAnsi="仿宋_GB2312" w:eastAsia="仿宋_GB2312" w:cs="仿宋_GB2312"/>
                <w:color w:val="auto"/>
                <w:sz w:val="24"/>
                <w:highlight w:val="none"/>
                <w:u w:val="none"/>
                <w:lang w:val="en-US" w:eastAsia="zh-CN"/>
              </w:rPr>
              <w:t>，支持输出MJPG视频格式</w:t>
            </w:r>
            <w:r>
              <w:rPr>
                <w:rFonts w:hint="eastAsia" w:ascii="仿宋_GB2312" w:hAnsi="仿宋_GB2312" w:eastAsia="仿宋_GB2312" w:cs="仿宋_GB2312"/>
                <w:color w:val="auto"/>
                <w:sz w:val="24"/>
                <w:highlight w:val="none"/>
                <w:lang w:val="en-US" w:eastAsia="zh-CN"/>
              </w:rPr>
              <w:t>。</w:t>
            </w:r>
          </w:p>
          <w:p w14:paraId="42D80B92">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7.整机需内置非独立外扩展麦克风阵列，麦克风数量≥8个，可用于对教室环境音频进行采集，整机拾音距离≥12m，拾音角度≥180°。</w:t>
            </w:r>
          </w:p>
          <w:p w14:paraId="3E38887D">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◆8.智能降噪麦克风阵列，需支持远场拾音，</w:t>
            </w:r>
            <w:r>
              <w:rPr>
                <w:rFonts w:hint="eastAsia" w:ascii="仿宋_GB2312" w:hAnsi="仿宋_GB2312" w:eastAsia="仿宋_GB2312" w:cs="仿宋_GB2312"/>
                <w:color w:val="auto"/>
                <w:sz w:val="24"/>
                <w:highlight w:val="none"/>
                <w:u w:val="wave"/>
                <w:lang w:val="en-US" w:eastAsia="zh-CN"/>
              </w:rPr>
              <w:t>信噪比≥55dB</w:t>
            </w:r>
            <w:r>
              <w:rPr>
                <w:rFonts w:hint="eastAsia" w:ascii="仿宋_GB2312" w:hAnsi="仿宋_GB2312" w:eastAsia="仿宋_GB2312" w:cs="仿宋_GB2312"/>
                <w:color w:val="auto"/>
                <w:sz w:val="24"/>
                <w:highlight w:val="none"/>
                <w:lang w:val="en-US" w:eastAsia="zh-CN"/>
              </w:rPr>
              <w:t>，超高灵敏度≥-38dB；支持AGC、AEC、NN智能AI降噪算法技术，环境信噪比（SNR）为0dB的情况依然可以清晰拾音，回声≤100dB可消除。</w:t>
            </w:r>
          </w:p>
          <w:p w14:paraId="3E96BA0B">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u w:val="none"/>
                <w:lang w:val="en-US" w:eastAsia="zh-CN"/>
              </w:rPr>
              <w:t>9.摄像头须具备下倾设计，</w:t>
            </w:r>
            <w:r>
              <w:rPr>
                <w:rFonts w:hint="eastAsia" w:ascii="仿宋_GB2312" w:hAnsi="仿宋_GB2312" w:eastAsia="仿宋_GB2312" w:cs="仿宋_GB2312"/>
                <w:color w:val="auto"/>
                <w:sz w:val="24"/>
                <w:highlight w:val="none"/>
                <w:u w:val="wave"/>
                <w:lang w:val="en-US" w:eastAsia="zh-CN"/>
              </w:rPr>
              <w:t>下倾角度≥8°</w:t>
            </w:r>
            <w:r>
              <w:rPr>
                <w:rFonts w:hint="eastAsia" w:ascii="仿宋_GB2312" w:hAnsi="仿宋_GB2312" w:eastAsia="仿宋_GB2312" w:cs="仿宋_GB2312"/>
                <w:color w:val="auto"/>
                <w:sz w:val="24"/>
                <w:highlight w:val="none"/>
                <w:lang w:val="en-US" w:eastAsia="zh-CN"/>
              </w:rPr>
              <w:t>，拍摄画面全面。</w:t>
            </w:r>
          </w:p>
          <w:p w14:paraId="20701676">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10.整机高清摄像头，需支持生物特征识别，如面部识别功能，支持AI识别人像，最大距离≥10米。</w:t>
            </w:r>
          </w:p>
          <w:p w14:paraId="483B724A">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11.摄像头像素≥4800万像素，需支持输出8000×6000pix的照片，对角视场角≥135°，水平视场角≥120°，垂直视场角≥80°。</w:t>
            </w:r>
          </w:p>
          <w:p w14:paraId="18C73E07">
            <w:pPr>
              <w:widowControl/>
              <w:spacing w:line="400" w:lineRule="exact"/>
              <w:ind w:firstLine="482"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四、传屏及连接功能</w:t>
            </w:r>
          </w:p>
          <w:p w14:paraId="55602CF1">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1.需支持一网通，仅需连接一根网线，Windows和整机系统均可实现上网功能。</w:t>
            </w:r>
          </w:p>
          <w:p w14:paraId="66C0E3C2">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2.需支持Wi-Fi6，为提高无线信号接发稳定性并避免信号遮挡，整机内置2.4G、5GHz双频Wi-Fi，满足IEEE 802.11 a/b/g/n/ac/ax</w:t>
            </w:r>
          </w:p>
          <w:p w14:paraId="41F4888F">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3.整机需内置蓝牙模块，支持蓝牙Bluetooth 5.4标准。</w:t>
            </w:r>
          </w:p>
          <w:p w14:paraId="553A34D3">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4.整机需支持HDMI投屏及type-C有线投屏及无线投屏。</w:t>
            </w:r>
          </w:p>
          <w:p w14:paraId="554334D1">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5.需内置无线传屏接收端，无需外接接收部件，无线传屏发射器与整机匹配后即可实现传屏功能，可以将外部电脑的屏幕画面通过无线方式传输到整机上。</w:t>
            </w:r>
          </w:p>
          <w:p w14:paraId="19170307">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6.整机系统需内置第三方投屏软件。</w:t>
            </w:r>
          </w:p>
          <w:p w14:paraId="1D7085D8">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需支持外接电脑设备连接整机且触控信号连通时，外接电脑设备可识别整机前置USB接口设备，支持读取前置USB接口的移动存储设备数据；连接整机前置USB接口的翻页笔和无线键鼠外接设备可直接使用于外接电脑。</w:t>
            </w:r>
          </w:p>
          <w:p w14:paraId="0D6A070F">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8.需支持通过Type-C接口接入外接移动存储设备进行文件传输，兼容Type-C接口快速充电功能。</w:t>
            </w:r>
          </w:p>
          <w:p w14:paraId="0E87AF8E">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9.整机须具备前置Type-C接口，需支持音视频输入。通过双头Type-C线将外接电脑设备连接至整机，可把外接电脑设备画面投到整机上，同时可在整机上操作画面，可实现反向触控电脑的操作，无需再连接额外的触控USB线。</w:t>
            </w:r>
          </w:p>
          <w:p w14:paraId="72C2E361">
            <w:pPr>
              <w:widowControl/>
              <w:spacing w:line="400" w:lineRule="exact"/>
              <w:ind w:firstLine="482"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五、按键及接口设计</w:t>
            </w:r>
          </w:p>
          <w:p w14:paraId="0EB26E0D">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需支持含电源开关、音量+/-、护眼、主页、录课，整机支持全局自定义按键，可通过自定义设置实现前置面板功能按键一键启用小工具或快捷功能（主页，截屏，倒计时，屏幕下移，日历，白板，计算器，聚光灯，投票器，自动亮度，触摸锁，音量，录课）。</w:t>
            </w:r>
          </w:p>
          <w:p w14:paraId="0F993697">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2.具备三合一电源按键，需支持整机大屏开关机、OPS电脑开关机和熄屏三合一，熄屏后可实现降低功耗≥90%。</w:t>
            </w:r>
          </w:p>
          <w:p w14:paraId="36DDD396">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整机支持前置物理接口≥5个，所有接口均采用非转接方式，包含≥1路HDMI接口、≥2路双通道USB3.0接口（Windows和整机系统均能被识别）、≥1路Type-C接口（支持全功能PD65W）、≥1路USB-Type-B接口（Touch接口支持触摸功能）。</w:t>
            </w:r>
          </w:p>
          <w:p w14:paraId="4632644C">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◆4.Type-C接口具备全功能，支持USB-PD3.0快充协议，</w:t>
            </w:r>
            <w:r>
              <w:rPr>
                <w:rFonts w:hint="eastAsia" w:ascii="仿宋_GB2312" w:hAnsi="仿宋_GB2312" w:eastAsia="仿宋_GB2312" w:cs="仿宋_GB2312"/>
                <w:color w:val="auto"/>
                <w:sz w:val="24"/>
                <w:highlight w:val="none"/>
                <w:u w:val="none"/>
                <w:lang w:val="en-US" w:eastAsia="zh-CN"/>
              </w:rPr>
              <w:t>且</w:t>
            </w:r>
            <w:r>
              <w:rPr>
                <w:rFonts w:hint="eastAsia" w:ascii="仿宋_GB2312" w:hAnsi="仿宋_GB2312" w:eastAsia="仿宋_GB2312" w:cs="仿宋_GB2312"/>
                <w:color w:val="auto"/>
                <w:sz w:val="24"/>
                <w:highlight w:val="none"/>
                <w:u w:val="wave"/>
                <w:lang w:val="en-US" w:eastAsia="zh-CN"/>
              </w:rPr>
              <w:t>最大输出功率≥60W</w:t>
            </w:r>
            <w:r>
              <w:rPr>
                <w:rFonts w:hint="eastAsia" w:ascii="仿宋_GB2312" w:hAnsi="仿宋_GB2312" w:eastAsia="仿宋_GB2312" w:cs="仿宋_GB2312"/>
                <w:color w:val="auto"/>
                <w:sz w:val="24"/>
                <w:highlight w:val="none"/>
                <w:lang w:val="en-US" w:eastAsia="zh-CN"/>
              </w:rPr>
              <w:t>；支持Type-C线正反插；支持DP1.4，最高可达18Gbps视频输入功能，支持4K60Hz视频格式；支持USB3.0，最大传输带宽高达5.0Gbps。</w:t>
            </w:r>
          </w:p>
          <w:p w14:paraId="4F79E820">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5.整机前置接口（不限USB接口）均具备防撞挡板设计，防撞挡板需采用转轴式翻转设计。</w:t>
            </w:r>
          </w:p>
          <w:p w14:paraId="3A30585E">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u w:val="wave"/>
                <w:lang w:val="en-US" w:eastAsia="zh-CN"/>
              </w:rPr>
              <w:t>整机后置物理接口需≥8个，包含≥1路HDMI2.0、≥1路USB2.0、≥1路RS232.≥1路RJ45.≥1路TOUCHUSB（触控输出接口）、≥1路micin3.5mm、≥1路LINEout3.5mm、≥1路HDMIOUT。</w:t>
            </w:r>
          </w:p>
          <w:p w14:paraId="40A4A133">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7.整机需支持外接电脑设备通过双头Type-C数据线连接至整机，可调用整机内置的摄像头、麦克风、扬声器，可在外接电脑上控制整机拍摄教室画面。</w:t>
            </w:r>
          </w:p>
          <w:p w14:paraId="714DB77C">
            <w:pPr>
              <w:widowControl/>
              <w:spacing w:line="400" w:lineRule="exact"/>
              <w:ind w:firstLine="482" w:firstLineChars="200"/>
              <w:jc w:val="left"/>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六、教学工具栏设计</w:t>
            </w:r>
          </w:p>
          <w:p w14:paraId="198F1EFB">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1.整机双系统下，需支持在任意信号源通道下，都可调出侧边栏快捷菜单，菜单含中控导航、系统切换、小工具、快捷设置、亮度/音量调节。</w:t>
            </w:r>
          </w:p>
          <w:p w14:paraId="5E03C5D4">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2.整机侧边栏小工具需包括但不限于：批注、截屏、计时、降半屏、冻屏、投票器、日历、聚光灯、放大。</w:t>
            </w:r>
          </w:p>
          <w:p w14:paraId="6C62B800">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3.整机系统下需支持使用批注功能，清空批注内容、本地保存、添加新的批注页面、可切换书写笔颜色、粗细大小、扫码共享、板擦和最小化批注模式。</w:t>
            </w:r>
          </w:p>
          <w:p w14:paraId="5DDEA753">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4.整机系统下需支持截屏功能，选择所需截取屏幕范围、全屏截图、点击截屏即可快速截取屏幕内容并保存。</w:t>
            </w:r>
          </w:p>
          <w:p w14:paraId="518A7CBD">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整机系统下需支持在线投票器功能，可设置单选/多选、匿名/实名要求，点击投票后呈现投票二维码并刷码进入投票，实时刷新投票结果；投票结束后呈现投票统计结果，支持投票结果本地保存以及置入白板显示。</w:t>
            </w:r>
          </w:p>
          <w:p w14:paraId="4B5A5C6F">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6.整机系统需支持秒表计时和倒计时功能，秒表计时，点击开始计时便自动开始，并实时显示时间。倒计时，输入某特定时间值，可精确到秒，点击开始进入倒计时，当倒计时结束时，系统会有声音提醒。</w:t>
            </w:r>
          </w:p>
          <w:p w14:paraId="21421DAC">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7.在整机系统下，需支持文字和图形智能识别功能，可识别手写中英文内容。</w:t>
            </w:r>
          </w:p>
          <w:p w14:paraId="363D47DA">
            <w:pPr>
              <w:widowControl/>
              <w:spacing w:line="400" w:lineRule="exact"/>
              <w:ind w:firstLine="482" w:firstLineChars="200"/>
              <w:jc w:val="left"/>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七、智能教学系统</w:t>
            </w:r>
          </w:p>
          <w:p w14:paraId="2F23DF76">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1.支持一键开机后即刻进入教学应用系统界面，无需额外点击操作运行应用系统；支持教师通过二维码扫码、账密输入、人脸识别登录方式进入教学应用系统。</w:t>
            </w:r>
          </w:p>
          <w:p w14:paraId="69E83174">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2.教学应用快捷入口：教学桌面支持教学常用的功能，包括电子白板、文件管理、电子课本、视频展台、授课助手；需提供Windows桌面应用入口，无需切换到Windows系统桌面即可点击运行已安装的第三方应用。</w:t>
            </w:r>
          </w:p>
          <w:p w14:paraId="48ED5FB2">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3.学科应用入口：教学桌面需支持语文、数学、英语、物理、化学、生物、地理、历史、信息技术共9个学科的学科应用，需支持教师直接下载并使用。</w:t>
            </w:r>
          </w:p>
          <w:p w14:paraId="3804CA8B">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4.需提供罗盘工具，需支持五指点击屏幕调出罗盘工具栏，需支持在屏幕任意位置停留或左右侧边隐藏；需提供用于教学的便捷工具，包括选择、画笔、板擦、撤销、回退。</w:t>
            </w:r>
          </w:p>
          <w:p w14:paraId="6DC18B4E">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5.选择工具：需支持在电子白板软件下，对手写笔迹、学科工具、插入的图片至少需支持2种方式，如框选、圈选；选择后至少支持≥3种操作如置顶、克隆、删除功能；</w:t>
            </w:r>
          </w:p>
          <w:p w14:paraId="6B122D00">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画笔工具：需支持一键调取3层功能，包含笔触粗细、颜色、笔形，教师随机选择；需提供≥4种笔型，如钢笔、毛笔、铅笔、印刷笔；需支持将手写体转写成标准印刷体，印刷体支持自动识别≥5种格式，如中文、英文、数学公式、化学无机方程式、有机分子式；</w:t>
            </w:r>
          </w:p>
          <w:p w14:paraId="12653688">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7.聚焦工具：需支持≥3种格式进行快速截取，如电子课件、电子课本、电子习题；同时，需支持≥5种调整模式，如截取范围大小，内容进行放大、插入白板、关灯讲解、保存至桌面。</w:t>
            </w:r>
          </w:p>
          <w:p w14:paraId="4DA073C6">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8.录课功能：需支持录课功能，需支持≥2种调取方式，如前置物理按键一键调取或罗盘工具调取；支持对微课内容进行关键视频切片提取。</w:t>
            </w:r>
          </w:p>
          <w:p w14:paraId="13AC6C58">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9.录制功能：需支持屏幕内容及教室声音画面同时进行录制；生成视频后支持分享链接；支持录制任意全屏画面、局部画面，支持录制保存音频、屏幕画面、摄像头画面，支持在录制过程中进行书写和擦除。</w:t>
            </w:r>
          </w:p>
          <w:p w14:paraId="43837837">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10.需覆盖小学、初中、高中学段的电子版本教材，需支持提供≥2000本电子教材资源（其中小学≥1500本，初中≥1000本，高中≥500本）；其中语文、英语、音乐学科提供点读功能，支持分句、段、篇章进行点读；需给每个教师账号提供至少10本电子课本下载权限，并支持教师课本上课时，一键云同步获取备课资源，并下载至课本中。授课过程中，支持对课本进行文本批注、画笔标注、擦除、聚焦、翻页操作。</w:t>
            </w:r>
          </w:p>
          <w:p w14:paraId="03E2F59B">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11.语文学科工具：需支持提供≥5种语文类学科工具，包括诗词卡片、朗读评测、字词听写、识字接龙、汉语朗读；</w:t>
            </w:r>
          </w:p>
          <w:p w14:paraId="403EC427">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12.立体几何工具：需支持手绘至少6种立体几何图形并自动识别为标准形状，包括立方体、圆柱体、圆锥、四棱锥、N棱柱、N棱锥；立方体需支持≥8种图形工具操作，如堆积、构图、展开、收起、旋转、三视图、调节、填充常见教学操作；需支持在立方体任一面复制立方体形成组合图形，并能对组合图形进行360°旋转；支持绘制立方体内部的任意切面，绘制后可自由调节；立体几何图形需支持“三视图”。</w:t>
            </w:r>
          </w:p>
          <w:p w14:paraId="71A369DC">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13.函数工具：需支持≥6种函数类型，包括一次函数、二次函数、幂函数、指数函数、对数函数、三角函数，及其组合函数的图形绘制，支持手动调节函数参数，图形随之调整；支持以上类型函数手写直接转写为标准印刷体，点击即可生成相应的函数图像。</w:t>
            </w:r>
          </w:p>
          <w:p w14:paraId="1F3BFEBC">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14.英语学科工具：需提供≥8种英语学科工具，包括但不限于四线三格、字母卡片、英语朗读、单词评测等；</w:t>
            </w:r>
          </w:p>
          <w:p w14:paraId="6846595D">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15.物理学科工具：需提供物理电路图，涵盖初高中教材电路实验，≥21种电路实验案例，包含伏安法测电阻、欧姆定律应用、动态电路分析等；≥26种元件包含二极管、滑动变阻器、热敏电阻、灵敏电流计等，教师可结合实际教学场景自行组装；以上实验操作支持≥5种功能操作。</w:t>
            </w:r>
          </w:p>
          <w:p w14:paraId="7604DC93">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16.需提供≥56种化学仪器工具，如反应类、固定和夹持类、加热类、分离类、计量类、存取类等仪器调用。</w:t>
            </w:r>
          </w:p>
        </w:tc>
        <w:tc>
          <w:tcPr>
            <w:tcW w:w="812" w:type="dxa"/>
            <w:tcBorders>
              <w:top w:val="single" w:color="auto" w:sz="4" w:space="0"/>
              <w:left w:val="single" w:color="auto" w:sz="4" w:space="0"/>
              <w:bottom w:val="single" w:color="auto" w:sz="4" w:space="0"/>
              <w:right w:val="single" w:color="auto" w:sz="4" w:space="0"/>
            </w:tcBorders>
            <w:vAlign w:val="center"/>
          </w:tcPr>
          <w:p w14:paraId="350AC81A">
            <w:pPr>
              <w:widowControl/>
              <w:spacing w:line="400" w:lineRule="exact"/>
              <w:jc w:val="center"/>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33套</w:t>
            </w:r>
          </w:p>
        </w:tc>
      </w:tr>
      <w:tr w14:paraId="28294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6C5C43BB">
            <w:pPr>
              <w:pStyle w:val="260"/>
              <w:snapToGrid w:val="0"/>
              <w:spacing w:line="40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1118" w:type="dxa"/>
            <w:tcBorders>
              <w:top w:val="single" w:color="auto" w:sz="4" w:space="0"/>
              <w:left w:val="single" w:color="auto" w:sz="4" w:space="0"/>
              <w:bottom w:val="single" w:color="auto" w:sz="4" w:space="0"/>
              <w:right w:val="single" w:color="auto" w:sz="4" w:space="0"/>
            </w:tcBorders>
            <w:vAlign w:val="center"/>
          </w:tcPr>
          <w:p w14:paraId="1353CF22">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壁挂视频展台</w:t>
            </w:r>
          </w:p>
        </w:tc>
        <w:tc>
          <w:tcPr>
            <w:tcW w:w="6707" w:type="dxa"/>
            <w:tcBorders>
              <w:top w:val="single" w:color="auto" w:sz="4" w:space="0"/>
              <w:left w:val="single" w:color="auto" w:sz="4" w:space="0"/>
              <w:bottom w:val="single" w:color="auto" w:sz="4" w:space="0"/>
              <w:right w:val="single" w:color="auto" w:sz="4" w:space="0"/>
            </w:tcBorders>
            <w:vAlign w:val="center"/>
          </w:tcPr>
          <w:p w14:paraId="53E6F524">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1.采用≥800万像素摄像头，拍摄幅面≥A4，最高分辨率≥3264*2448。</w:t>
            </w:r>
          </w:p>
          <w:p w14:paraId="5FDE5CE3">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2.采用USB五伏电源直接供电，无需额外配置电源适配器，环保无辐射；箱内USB连线采用隐藏式设计，箱内无可见连线且USB口下出，有效防止积尘，且方便布线和返修。</w:t>
            </w:r>
          </w:p>
          <w:p w14:paraId="713948C2">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3.整机采用ABS材质，圆弧式设计无锐角；托板采用单板结构，托板尺寸不小于A4规格，托板平整无接缝，承托稳定。</w:t>
            </w:r>
          </w:p>
          <w:p w14:paraId="654F3056">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4.托板及挂墙部分采用金属加强处理，可承重5kg以上，同时托板采用磁吸吸附式机构，防止托板打落，方便打开及固定，避免机械式锁具故障率高的问题。</w:t>
            </w:r>
          </w:p>
          <w:p w14:paraId="2D14AE84">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5.展示托板正上方具备LED补光灯，保证展示区域的亮度及展示效果，整机自带磨砂均光罩LED 3粒补光灯，LED灯设计符合光生物安全标准测试，对人体无危害。光线不足时可进行亮度补充，亮度均匀，采用无级触摸调光设计。</w:t>
            </w:r>
          </w:p>
          <w:p w14:paraId="684B917F">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6.实时批注：支持对展台画面实时批注，预设多种笔画粗细及颜色供选择，且支持对展台画面连同批注内容进行同步缩放、移动、保存。</w:t>
            </w:r>
          </w:p>
          <w:p w14:paraId="641678A9">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7.图片上传：提供JPG、PNG等图片格式选择，支持图片上传显示。</w:t>
            </w:r>
          </w:p>
          <w:p w14:paraId="72738393">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8.图像拍摄：支持即时拍照和延时拍摄两种形式，延时拍照功能可选择5秒或10秒延时模式，预留充足时间以便调整拍摄内容。</w:t>
            </w:r>
          </w:p>
          <w:p w14:paraId="157E9CF1">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9.分屏窗口中能添加图片进行对比，支持实时触摸放大、缩小、旋转，且能够对图片进行单独的批注、全屏显示、删除等操作；同屏对比时，可拖拽调节图片的位置。</w:t>
            </w:r>
          </w:p>
          <w:p w14:paraId="3987BE62">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10.故障检测：软件支持故障自检功能，帮助用户检测“无画面”的原因，并给出引导性的修复和解决方案，可判断硬件连接、显卡驱动、摄像头占用、软件版本等问题。</w:t>
            </w:r>
          </w:p>
          <w:p w14:paraId="5FA4C24D">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11.支持从电子白板、电子课本、ppt课件讲解等多场景直接调用视频展台，实现所有功能，方便用户使用，</w:t>
            </w:r>
            <w:r>
              <w:rPr>
                <w:rFonts w:hint="eastAsia" w:ascii="仿宋_GB2312" w:hAnsi="仿宋_GB2312" w:eastAsia="仿宋_GB2312" w:cs="仿宋_GB2312"/>
                <w:color w:val="auto"/>
                <w:sz w:val="24"/>
                <w:highlight w:val="none"/>
                <w:lang w:eastAsia="zh-CN"/>
              </w:rPr>
              <w:t>无需在教学过程中</w:t>
            </w:r>
            <w:r>
              <w:rPr>
                <w:rFonts w:hint="eastAsia" w:ascii="仿宋_GB2312" w:hAnsi="仿宋_GB2312" w:eastAsia="仿宋_GB2312" w:cs="仿宋_GB2312"/>
                <w:color w:val="auto"/>
                <w:sz w:val="24"/>
                <w:highlight w:val="none"/>
                <w:lang w:val="en-US" w:eastAsia="zh-CN"/>
              </w:rPr>
              <w:t>在白板软件、电子课本、ppt课件和展台等多场景跳转。</w:t>
            </w:r>
          </w:p>
        </w:tc>
        <w:tc>
          <w:tcPr>
            <w:tcW w:w="812" w:type="dxa"/>
            <w:tcBorders>
              <w:top w:val="single" w:color="auto" w:sz="4" w:space="0"/>
              <w:left w:val="single" w:color="auto" w:sz="4" w:space="0"/>
              <w:bottom w:val="single" w:color="auto" w:sz="4" w:space="0"/>
              <w:right w:val="single" w:color="auto" w:sz="4" w:space="0"/>
            </w:tcBorders>
            <w:vAlign w:val="center"/>
          </w:tcPr>
          <w:p w14:paraId="722E2CF2">
            <w:pPr>
              <w:widowControl/>
              <w:spacing w:line="400" w:lineRule="exact"/>
              <w:jc w:val="center"/>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33台</w:t>
            </w:r>
          </w:p>
        </w:tc>
      </w:tr>
      <w:tr w14:paraId="410B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77D4D40B">
            <w:pPr>
              <w:pStyle w:val="260"/>
              <w:snapToGrid w:val="0"/>
              <w:spacing w:line="40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1118" w:type="dxa"/>
            <w:tcBorders>
              <w:top w:val="single" w:color="auto" w:sz="4" w:space="0"/>
              <w:left w:val="single" w:color="auto" w:sz="4" w:space="0"/>
              <w:bottom w:val="single" w:color="auto" w:sz="4" w:space="0"/>
              <w:right w:val="single" w:color="auto" w:sz="4" w:space="0"/>
            </w:tcBorders>
            <w:vAlign w:val="center"/>
          </w:tcPr>
          <w:p w14:paraId="2EBDA4C8">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讲台</w:t>
            </w:r>
          </w:p>
        </w:tc>
        <w:tc>
          <w:tcPr>
            <w:tcW w:w="6707" w:type="dxa"/>
            <w:tcBorders>
              <w:top w:val="single" w:color="auto" w:sz="4" w:space="0"/>
              <w:left w:val="single" w:color="auto" w:sz="4" w:space="0"/>
              <w:bottom w:val="single" w:color="auto" w:sz="4" w:space="0"/>
              <w:right w:val="single" w:color="auto" w:sz="4" w:space="0"/>
            </w:tcBorders>
            <w:vAlign w:val="center"/>
          </w:tcPr>
          <w:p w14:paraId="4F76EBEB">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详细参数：</w:t>
            </w:r>
          </w:p>
          <w:p w14:paraId="7AEC735A">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讲台主体材料采用1.0MM冷轧钢板。讲台采用钢木结合构造，桌体上部分采用圆弧设计。讲台整体设计符合人体力学，提供左右实木扶手；讲台桌面采用木黄色耐划木质材料，耐腐蚀环保台面（非吸塑工艺），扶手采用实木扶手，L型实木装饰板。</w:t>
            </w:r>
          </w:p>
          <w:p w14:paraId="607F3917">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2.整体尺寸规格：≥1100mm*750mm*1000mm（长宽高），采用脱脂、磷化、静电喷塑、溜平固化，边缘光滑，无棱角处理，可避免造成人身伤害，所有尖角倒圆角≥R3。</w:t>
            </w:r>
          </w:p>
          <w:p w14:paraId="1D08AA92">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3.讲台底座提供大容量收纳空间，隐藏式滑轨抽屉，可以放置杂物，也可供教师放置无线麦克风、粉笔、键盘、鼠标、作业试卷等。</w:t>
            </w:r>
          </w:p>
          <w:p w14:paraId="7BC89EB5">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上柜尺寸规格：≥1100mm*750mm*358mm，下柜尺寸规格：≥800mm*650mm*650mm，桌面到地面尺寸：≥900mm，讲桌上下层采用分体式设计，桌面部分和桌体部分自成一体，方便进出设计比较窄的教室门。讲桌内置固定螺丝孔位。</w:t>
            </w:r>
          </w:p>
        </w:tc>
        <w:tc>
          <w:tcPr>
            <w:tcW w:w="812" w:type="dxa"/>
            <w:tcBorders>
              <w:top w:val="single" w:color="auto" w:sz="4" w:space="0"/>
              <w:left w:val="single" w:color="auto" w:sz="4" w:space="0"/>
              <w:bottom w:val="single" w:color="auto" w:sz="4" w:space="0"/>
              <w:right w:val="single" w:color="auto" w:sz="4" w:space="0"/>
            </w:tcBorders>
            <w:vAlign w:val="center"/>
          </w:tcPr>
          <w:p w14:paraId="72ED549A">
            <w:pPr>
              <w:widowControl/>
              <w:spacing w:line="400" w:lineRule="exact"/>
              <w:jc w:val="center"/>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33个</w:t>
            </w:r>
          </w:p>
        </w:tc>
      </w:tr>
      <w:tr w14:paraId="73D4D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613" w:type="dxa"/>
            <w:tcBorders>
              <w:top w:val="single" w:color="auto" w:sz="4" w:space="0"/>
              <w:left w:val="single" w:color="auto" w:sz="4" w:space="0"/>
              <w:bottom w:val="single" w:color="auto" w:sz="4" w:space="0"/>
              <w:right w:val="single" w:color="auto" w:sz="4" w:space="0"/>
            </w:tcBorders>
            <w:vAlign w:val="center"/>
          </w:tcPr>
          <w:p w14:paraId="36088A10">
            <w:pPr>
              <w:pStyle w:val="260"/>
              <w:snapToGrid w:val="0"/>
              <w:spacing w:line="40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1118" w:type="dxa"/>
            <w:tcBorders>
              <w:top w:val="single" w:color="auto" w:sz="4" w:space="0"/>
              <w:left w:val="single" w:color="auto" w:sz="4" w:space="0"/>
              <w:bottom w:val="single" w:color="auto" w:sz="4" w:space="0"/>
              <w:right w:val="single" w:color="auto" w:sz="4" w:space="0"/>
            </w:tcBorders>
            <w:vAlign w:val="center"/>
          </w:tcPr>
          <w:p w14:paraId="0C80C927">
            <w:pPr>
              <w:widowControl/>
              <w:spacing w:line="40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变轨</w:t>
            </w:r>
            <w:r>
              <w:rPr>
                <w:rFonts w:hint="eastAsia" w:ascii="仿宋_GB2312" w:hAnsi="仿宋_GB2312" w:eastAsia="仿宋_GB2312" w:cs="仿宋_GB2312"/>
                <w:color w:val="auto"/>
                <w:kern w:val="0"/>
                <w:sz w:val="24"/>
                <w:highlight w:val="none"/>
              </w:rPr>
              <w:t>无尘书写板</w:t>
            </w:r>
          </w:p>
        </w:tc>
        <w:tc>
          <w:tcPr>
            <w:tcW w:w="6707" w:type="dxa"/>
            <w:tcBorders>
              <w:top w:val="single" w:color="auto" w:sz="4" w:space="0"/>
              <w:left w:val="single" w:color="auto" w:sz="4" w:space="0"/>
              <w:bottom w:val="single" w:color="auto" w:sz="4" w:space="0"/>
              <w:right w:val="single" w:color="auto" w:sz="4" w:space="0"/>
            </w:tcBorders>
            <w:vAlign w:val="center"/>
          </w:tcPr>
          <w:p w14:paraId="17FD2767">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详细参数：</w:t>
            </w:r>
          </w:p>
          <w:p w14:paraId="38848D8A">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1.结构：由两块滑动板、两块固定板、一套外框组成，当滑动板闭合时，可自动向内变轨至与固定板平齐。闭合后，滑动板应与固定板处在同一平面。</w:t>
            </w:r>
          </w:p>
          <w:p w14:paraId="7DE72F27">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2.参考尺寸：≥4300mm*1350mm，高度可根据所配电子产品适当调整，确保与电子产品的有效配套。</w:t>
            </w:r>
          </w:p>
          <w:p w14:paraId="629EB404">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3.内板：正面左右两侧无边框设计，上下边框正面高度≤15mm。</w:t>
            </w:r>
          </w:p>
          <w:p w14:paraId="1CCF096E">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4.板面：采用金属烤漆书写板面，哑光、墨绿色，光泽度≤12光泽单位，可吸附磁钉、磁片，便于教学。</w:t>
            </w:r>
          </w:p>
          <w:p w14:paraId="44D6BAD6">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5.边框：采用高强度银白色铝合金型材，横框规格≥45×100mm，立框规格≥35mm×135mm。立框隐藏于固定板后部。边框具有良好的耐磨性及耐腐蚀性。</w:t>
            </w:r>
          </w:p>
          <w:p w14:paraId="052A890C">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6.覆板：覆板粘贴牢固、板面平整无起鼓等现象，甲醛释放量≤0.2mg/L。</w:t>
            </w:r>
          </w:p>
          <w:p w14:paraId="3007C6BE">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7.滑轮：采用高精度轴承滑轮，上下各4组。</w:t>
            </w:r>
          </w:p>
          <w:p w14:paraId="4BDD3565">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8.置物：下侧设有置物空间，可放置粉笔、教鞭等。置物空间后部及左右两侧有封堵，避免物品掉落。其下侧面向学生侧有避免物品从前端滚落的凸起。</w:t>
            </w:r>
          </w:p>
          <w:p w14:paraId="0841364E">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9.拉手：拉手位置在安装完毕后，仍可由用户在水平方向调整，确保舒适。</w:t>
            </w:r>
          </w:p>
          <w:p w14:paraId="212182CA">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szCs w:val="24"/>
                <w:highlight w:val="none"/>
                <w:lang w:val="en-US" w:eastAsia="zh-CN"/>
              </w:rPr>
              <w:t>10.其他未做具体要求的相关指标，符合GB 28231-2011《书写板安全卫生要求》强制标准要求。</w:t>
            </w:r>
          </w:p>
        </w:tc>
        <w:tc>
          <w:tcPr>
            <w:tcW w:w="812" w:type="dxa"/>
            <w:tcBorders>
              <w:top w:val="single" w:color="auto" w:sz="4" w:space="0"/>
              <w:left w:val="single" w:color="auto" w:sz="4" w:space="0"/>
              <w:bottom w:val="single" w:color="auto" w:sz="4" w:space="0"/>
              <w:right w:val="single" w:color="auto" w:sz="4" w:space="0"/>
            </w:tcBorders>
            <w:vAlign w:val="center"/>
          </w:tcPr>
          <w:p w14:paraId="278D7685">
            <w:pPr>
              <w:widowControl/>
              <w:spacing w:line="400" w:lineRule="exact"/>
              <w:jc w:val="center"/>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33套</w:t>
            </w:r>
          </w:p>
        </w:tc>
      </w:tr>
      <w:tr w14:paraId="25013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07FBB83D">
            <w:pPr>
              <w:pStyle w:val="260"/>
              <w:snapToGrid w:val="0"/>
              <w:spacing w:line="40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1118" w:type="dxa"/>
            <w:tcBorders>
              <w:top w:val="single" w:color="auto" w:sz="4" w:space="0"/>
              <w:left w:val="single" w:color="auto" w:sz="4" w:space="0"/>
              <w:bottom w:val="single" w:color="auto" w:sz="4" w:space="0"/>
              <w:right w:val="single" w:color="auto" w:sz="4" w:space="0"/>
            </w:tcBorders>
            <w:vAlign w:val="center"/>
          </w:tcPr>
          <w:p w14:paraId="5777186C">
            <w:pPr>
              <w:widowControl/>
              <w:spacing w:line="400" w:lineRule="exact"/>
              <w:jc w:val="center"/>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有源音箱</w:t>
            </w:r>
          </w:p>
        </w:tc>
        <w:tc>
          <w:tcPr>
            <w:tcW w:w="6707" w:type="dxa"/>
            <w:tcBorders>
              <w:top w:val="single" w:color="auto" w:sz="4" w:space="0"/>
              <w:left w:val="single" w:color="auto" w:sz="4" w:space="0"/>
              <w:bottom w:val="single" w:color="auto" w:sz="4" w:space="0"/>
              <w:right w:val="single" w:color="auto" w:sz="4" w:space="0"/>
            </w:tcBorders>
            <w:vAlign w:val="center"/>
          </w:tcPr>
          <w:p w14:paraId="6539DAA2">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1.额定输出功率：≥2*15W有源音箱一对。</w:t>
            </w:r>
          </w:p>
          <w:p w14:paraId="1B7CCBEB">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2.支持扩音和输入音源叠加输出。</w:t>
            </w:r>
          </w:p>
          <w:p w14:paraId="3AB050BF">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3.端口：电源*1、Line in*1、Line out*1。</w:t>
            </w:r>
          </w:p>
          <w:p w14:paraId="7236B192">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4.支持专业无线麦克风接收技术数字U段无线麦克风扩音接收，有效避开Wi-Fi干扰。</w:t>
            </w:r>
          </w:p>
        </w:tc>
        <w:tc>
          <w:tcPr>
            <w:tcW w:w="812" w:type="dxa"/>
            <w:tcBorders>
              <w:top w:val="single" w:color="auto" w:sz="4" w:space="0"/>
              <w:left w:val="single" w:color="auto" w:sz="4" w:space="0"/>
              <w:bottom w:val="single" w:color="auto" w:sz="4" w:space="0"/>
              <w:right w:val="single" w:color="auto" w:sz="4" w:space="0"/>
            </w:tcBorders>
            <w:vAlign w:val="center"/>
          </w:tcPr>
          <w:p w14:paraId="10489B81">
            <w:pPr>
              <w:widowControl/>
              <w:spacing w:line="400" w:lineRule="exact"/>
              <w:jc w:val="center"/>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33对</w:t>
            </w:r>
          </w:p>
        </w:tc>
      </w:tr>
      <w:tr w14:paraId="286D7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03AADFEB">
            <w:pPr>
              <w:pStyle w:val="260"/>
              <w:snapToGrid w:val="0"/>
              <w:spacing w:line="40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1118" w:type="dxa"/>
            <w:tcBorders>
              <w:top w:val="single" w:color="auto" w:sz="4" w:space="0"/>
              <w:left w:val="single" w:color="auto" w:sz="4" w:space="0"/>
              <w:bottom w:val="single" w:color="auto" w:sz="4" w:space="0"/>
              <w:right w:val="single" w:color="auto" w:sz="4" w:space="0"/>
            </w:tcBorders>
            <w:vAlign w:val="center"/>
          </w:tcPr>
          <w:p w14:paraId="768C3E3D">
            <w:pPr>
              <w:widowControl/>
              <w:spacing w:line="400" w:lineRule="exact"/>
              <w:jc w:val="center"/>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延保服务</w:t>
            </w:r>
          </w:p>
        </w:tc>
        <w:tc>
          <w:tcPr>
            <w:tcW w:w="6707" w:type="dxa"/>
            <w:tcBorders>
              <w:top w:val="single" w:color="auto" w:sz="4" w:space="0"/>
              <w:left w:val="single" w:color="auto" w:sz="4" w:space="0"/>
              <w:bottom w:val="single" w:color="auto" w:sz="4" w:space="0"/>
              <w:right w:val="single" w:color="auto" w:sz="4" w:space="0"/>
            </w:tcBorders>
            <w:vAlign w:val="center"/>
          </w:tcPr>
          <w:p w14:paraId="355C5F1B">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kern w:val="0"/>
                <w:sz w:val="24"/>
                <w:szCs w:val="24"/>
                <w:highlight w:val="none"/>
              </w:rPr>
              <w:t>互动平板一体机</w:t>
            </w:r>
            <w:r>
              <w:rPr>
                <w:rFonts w:hint="eastAsia" w:ascii="仿宋_GB2312" w:hAnsi="仿宋_GB2312" w:eastAsia="仿宋_GB2312" w:cs="仿宋_GB2312"/>
                <w:color w:val="auto"/>
                <w:sz w:val="24"/>
                <w:highlight w:val="none"/>
                <w:lang w:val="en-US" w:eastAsia="zh-CN"/>
              </w:rPr>
              <w:t>在原厂三年质保基础上，延长三年原厂质保服务</w:t>
            </w:r>
          </w:p>
        </w:tc>
        <w:tc>
          <w:tcPr>
            <w:tcW w:w="812" w:type="dxa"/>
            <w:tcBorders>
              <w:top w:val="single" w:color="auto" w:sz="4" w:space="0"/>
              <w:left w:val="single" w:color="auto" w:sz="4" w:space="0"/>
              <w:bottom w:val="single" w:color="auto" w:sz="4" w:space="0"/>
              <w:right w:val="single" w:color="auto" w:sz="4" w:space="0"/>
            </w:tcBorders>
            <w:vAlign w:val="center"/>
          </w:tcPr>
          <w:p w14:paraId="10164EEB">
            <w:pPr>
              <w:widowControl/>
              <w:spacing w:line="400" w:lineRule="exact"/>
              <w:jc w:val="center"/>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33套</w:t>
            </w:r>
          </w:p>
        </w:tc>
      </w:tr>
      <w:tr w14:paraId="6AB00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01216AEC">
            <w:pPr>
              <w:pStyle w:val="260"/>
              <w:snapToGrid w:val="0"/>
              <w:spacing w:line="40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w:t>
            </w:r>
          </w:p>
        </w:tc>
        <w:tc>
          <w:tcPr>
            <w:tcW w:w="1118" w:type="dxa"/>
            <w:tcBorders>
              <w:top w:val="single" w:color="auto" w:sz="4" w:space="0"/>
              <w:left w:val="single" w:color="auto" w:sz="4" w:space="0"/>
              <w:bottom w:val="single" w:color="auto" w:sz="4" w:space="0"/>
              <w:right w:val="single" w:color="auto" w:sz="4" w:space="0"/>
            </w:tcBorders>
            <w:vAlign w:val="center"/>
          </w:tcPr>
          <w:p w14:paraId="619C84F1">
            <w:pPr>
              <w:widowControl/>
              <w:spacing w:line="400" w:lineRule="exact"/>
              <w:jc w:val="center"/>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辅助材料及施工等</w:t>
            </w:r>
          </w:p>
        </w:tc>
        <w:tc>
          <w:tcPr>
            <w:tcW w:w="6707" w:type="dxa"/>
            <w:tcBorders>
              <w:top w:val="single" w:color="auto" w:sz="4" w:space="0"/>
              <w:left w:val="single" w:color="auto" w:sz="4" w:space="0"/>
              <w:bottom w:val="single" w:color="auto" w:sz="4" w:space="0"/>
              <w:right w:val="single" w:color="auto" w:sz="4" w:space="0"/>
            </w:tcBorders>
            <w:vAlign w:val="center"/>
          </w:tcPr>
          <w:p w14:paraId="5C406A05">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含符合国家标准的电源线、网线、电源排插、双位空开、弧形钢制或工程PVC走线槽等配件（配件及安装费用包含在预算价中），并负责施工、安装、调试，严格按照</w:t>
            </w:r>
            <w:r>
              <w:rPr>
                <w:rFonts w:hint="eastAsia" w:ascii="仿宋_GB2312" w:hAnsi="仿宋_GB2312" w:eastAsia="仿宋_GB2312" w:cs="仿宋_GB2312"/>
                <w:color w:val="auto"/>
                <w:kern w:val="0"/>
                <w:sz w:val="24"/>
                <w:highlight w:val="none"/>
                <w:lang w:val="en-US" w:eastAsia="zh-CN"/>
              </w:rPr>
              <w:t>柳州市教育系统工程施工规范要求实施</w:t>
            </w:r>
            <w:r>
              <w:rPr>
                <w:rFonts w:hint="eastAsia" w:ascii="仿宋_GB2312" w:hAnsi="仿宋_GB2312" w:eastAsia="仿宋_GB2312" w:cs="仿宋_GB2312"/>
                <w:color w:val="auto"/>
                <w:sz w:val="24"/>
                <w:highlight w:val="none"/>
                <w:lang w:val="en-US" w:eastAsia="zh-CN"/>
              </w:rPr>
              <w:t>。</w:t>
            </w:r>
          </w:p>
        </w:tc>
        <w:tc>
          <w:tcPr>
            <w:tcW w:w="812" w:type="dxa"/>
            <w:tcBorders>
              <w:top w:val="single" w:color="auto" w:sz="4" w:space="0"/>
              <w:left w:val="single" w:color="auto" w:sz="4" w:space="0"/>
              <w:bottom w:val="single" w:color="auto" w:sz="4" w:space="0"/>
              <w:right w:val="single" w:color="auto" w:sz="4" w:space="0"/>
            </w:tcBorders>
            <w:vAlign w:val="center"/>
          </w:tcPr>
          <w:p w14:paraId="49BD1B7B">
            <w:pPr>
              <w:widowControl/>
              <w:spacing w:line="400" w:lineRule="exact"/>
              <w:jc w:val="center"/>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33项</w:t>
            </w:r>
          </w:p>
        </w:tc>
      </w:tr>
    </w:tbl>
    <w:p w14:paraId="0F886790">
      <w:pPr>
        <w:rPr>
          <w:color w:val="auto"/>
          <w:highlight w:val="none"/>
        </w:rPr>
      </w:pPr>
    </w:p>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60"/>
        <w:gridCol w:w="7763"/>
      </w:tblGrid>
      <w:tr w14:paraId="5A1F0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vAlign w:val="center"/>
          </w:tcPr>
          <w:p w14:paraId="222E0268">
            <w:pPr>
              <w:spacing w:line="276" w:lineRule="auto"/>
              <w:ind w:left="420" w:hanging="420"/>
              <w:jc w:val="left"/>
              <w:rPr>
                <w:rFonts w:hint="eastAsia" w:ascii="仿宋_GB2312" w:hAnsi="宋体" w:eastAsia="仿宋_GB2312"/>
                <w:color w:val="auto"/>
                <w:sz w:val="24"/>
                <w:highlight w:val="none"/>
              </w:rPr>
            </w:pPr>
            <w:r>
              <w:rPr>
                <w:rFonts w:ascii="仿宋_GB2312" w:hAnsi="宋体" w:eastAsia="仿宋_GB2312" w:cs="宋体"/>
                <w:b/>
                <w:color w:val="auto"/>
                <w:kern w:val="0"/>
                <w:sz w:val="24"/>
                <w:highlight w:val="none"/>
              </w:rPr>
              <w:t>★</w:t>
            </w:r>
            <w:r>
              <w:rPr>
                <w:rFonts w:hint="eastAsia" w:ascii="仿宋_GB2312" w:hAnsi="宋体" w:eastAsia="仿宋_GB2312"/>
                <w:b/>
                <w:color w:val="auto"/>
                <w:sz w:val="24"/>
                <w:highlight w:val="none"/>
              </w:rPr>
              <w:t>二、商务要求</w:t>
            </w:r>
          </w:p>
        </w:tc>
      </w:tr>
      <w:tr w14:paraId="594B7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14:paraId="3CBDC657">
            <w:pPr>
              <w:spacing w:line="440" w:lineRule="exact"/>
              <w:jc w:val="left"/>
              <w:rPr>
                <w:rFonts w:hint="eastAsia" w:ascii="等线" w:hAnsi="等线" w:eastAsia="仿宋_GB2312" w:cs="Arial"/>
                <w:bCs/>
                <w:color w:val="auto"/>
                <w:sz w:val="24"/>
                <w:highlight w:val="none"/>
                <w:lang w:val="en-GB"/>
              </w:rPr>
            </w:pPr>
            <w:r>
              <w:rPr>
                <w:rFonts w:ascii="仿宋_GB2312" w:hAnsi="仿宋_GB2312" w:eastAsia="仿宋_GB2312" w:cs="仿宋_GB2312"/>
                <w:color w:val="auto"/>
                <w:sz w:val="24"/>
                <w:highlight w:val="none"/>
              </w:rPr>
              <w:t>基本要求</w:t>
            </w:r>
          </w:p>
        </w:tc>
        <w:tc>
          <w:tcPr>
            <w:tcW w:w="7763" w:type="dxa"/>
            <w:vAlign w:val="center"/>
          </w:tcPr>
          <w:p w14:paraId="63AF0DFA">
            <w:pPr>
              <w:numPr>
                <w:ilvl w:val="0"/>
                <w:numId w:val="0"/>
              </w:numPr>
              <w:spacing w:line="440" w:lineRule="exact"/>
              <w:jc w:val="left"/>
              <w:rPr>
                <w:rFonts w:ascii="仿宋_GB2312" w:hAnsi="仿宋_GB2312" w:eastAsia="仿宋_GB2312" w:cs="仿宋_GB2312"/>
                <w:bCs/>
                <w:color w:val="auto"/>
                <w:sz w:val="24"/>
                <w:highlight w:val="none"/>
              </w:rPr>
            </w:pPr>
            <w:r>
              <w:rPr>
                <w:rFonts w:ascii="仿宋_GB2312" w:hAnsi="仿宋_GB2312" w:eastAsia="仿宋_GB2312" w:cs="仿宋_GB2312"/>
                <w:bCs/>
                <w:color w:val="auto"/>
                <w:kern w:val="2"/>
                <w:sz w:val="24"/>
                <w:szCs w:val="24"/>
                <w:highlight w:val="none"/>
                <w:lang w:val="en-US" w:eastAsia="zh-CN" w:bidi="ar-SA"/>
              </w:rPr>
              <w:t>1.</w:t>
            </w:r>
            <w:r>
              <w:rPr>
                <w:rFonts w:ascii="仿宋_GB2312" w:hAnsi="仿宋_GB2312" w:eastAsia="仿宋_GB2312" w:cs="仿宋_GB2312"/>
                <w:bCs/>
                <w:color w:val="auto"/>
                <w:sz w:val="24"/>
                <w:highlight w:val="none"/>
              </w:rPr>
              <w:t>本项目投标报价包括货物及货物运抵指定交付地点的各种费用、随配附件、备品备件、易损件、专用工具、安装调试、技术培训、技术资料、包装、售后服务、保险费、税金、验收检验及其他所有成本费用的总和；</w:t>
            </w:r>
            <w:r>
              <w:rPr>
                <w:rFonts w:ascii="仿宋_GB2312" w:hAnsi="仿宋_GB2312" w:eastAsia="仿宋_GB2312" w:cs="仿宋_GB2312"/>
                <w:bCs/>
                <w:color w:val="auto"/>
                <w:sz w:val="24"/>
                <w:highlight w:val="none"/>
              </w:rPr>
              <w:br w:type="textWrapping"/>
            </w:r>
            <w:r>
              <w:rPr>
                <w:rFonts w:ascii="仿宋_GB2312" w:hAnsi="仿宋_GB2312" w:eastAsia="仿宋_GB2312" w:cs="仿宋_GB2312"/>
                <w:bCs/>
                <w:color w:val="auto"/>
                <w:sz w:val="24"/>
                <w:highlight w:val="none"/>
              </w:rPr>
              <w:t>2.投标人应保证投标产品涉及到的知识产权和所提供的相关技术资料是合法取得，不会因为采购人的使用而被责令停止使用、追偿或要求赔偿损失，如出现此情况，一切经济和法律责任均由投标人承担；
</w:t>
            </w:r>
            <w:r>
              <w:rPr>
                <w:rFonts w:ascii="仿宋_GB2312" w:hAnsi="仿宋_GB2312" w:eastAsia="仿宋_GB2312" w:cs="仿宋_GB2312"/>
                <w:bCs/>
                <w:color w:val="auto"/>
                <w:sz w:val="24"/>
                <w:highlight w:val="none"/>
              </w:rPr>
              <w:br w:type="textWrapping"/>
            </w:r>
            <w:r>
              <w:rPr>
                <w:rFonts w:ascii="仿宋_GB2312" w:hAnsi="仿宋_GB2312" w:eastAsia="仿宋_GB2312" w:cs="仿宋_GB2312"/>
                <w:bCs/>
                <w:color w:val="auto"/>
                <w:sz w:val="24"/>
                <w:highlight w:val="none"/>
              </w:rPr>
              <w:t>3.投标人所投产品应符合国家有关部门规定的相应技术、节能、安全和环保标准；国家有关部门对所投产品有强制性规定或要求的，必须符合相应规定或要求。
</w:t>
            </w:r>
            <w:r>
              <w:rPr>
                <w:rFonts w:ascii="仿宋_GB2312" w:hAnsi="仿宋_GB2312" w:eastAsia="仿宋_GB2312" w:cs="仿宋_GB2312"/>
                <w:bCs/>
                <w:color w:val="auto"/>
                <w:sz w:val="24"/>
                <w:highlight w:val="none"/>
              </w:rPr>
              <w:br w:type="textWrapping"/>
            </w:r>
            <w:r>
              <w:rPr>
                <w:rFonts w:ascii="仿宋_GB2312" w:hAnsi="仿宋_GB2312" w:eastAsia="仿宋_GB2312" w:cs="仿宋_GB2312"/>
                <w:bCs/>
                <w:color w:val="auto"/>
                <w:sz w:val="24"/>
                <w:highlight w:val="none"/>
              </w:rPr>
              <w:t>4.本项目所采购的产品如属于《网络关键设备和网络安全专用产品目录》的，应严格执行《关于调整网络安全专用产品安全管理有关事项的公告》、《关于调整&lt;网络关键设备和网络安全专用产品目录&gt;的公告》等相关文件要求，所投产品应符合由具备资格的机构安全认证合格或安全检测符合要求。</w:t>
            </w:r>
          </w:p>
          <w:p w14:paraId="136D7AE6">
            <w:pPr>
              <w:pStyle w:val="9"/>
              <w:numPr>
                <w:ilvl w:val="-1"/>
                <w:numId w:val="0"/>
              </w:numPr>
              <w:spacing w:line="440" w:lineRule="exact"/>
              <w:ind w:left="0" w:firstLine="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lang w:val="en-US" w:eastAsia="zh-CN"/>
              </w:rPr>
              <w:t>5.</w:t>
            </w:r>
            <w:r>
              <w:rPr>
                <w:rFonts w:hint="eastAsia" w:ascii="仿宋_GB2312" w:hAnsi="仿宋_GB2312" w:eastAsia="仿宋_GB2312" w:cs="仿宋_GB2312"/>
                <w:bCs/>
                <w:color w:val="auto"/>
                <w:sz w:val="24"/>
                <w:highlight w:val="none"/>
              </w:rPr>
              <w:t>“★”标注的功能、参数，在供货时采购人可进行核验，核验结果不满足投标文件相应内容，采购人有权拒收货物，解除合同，并追究相应违约责任;同时涉嫌虚假响应、虚假应标并上报相关部门进行处理。由此造成采购人的经济损失全部由中标人承担赔偿。</w:t>
            </w:r>
          </w:p>
          <w:p w14:paraId="6D4CDFAB">
            <w:pPr>
              <w:pStyle w:val="9"/>
              <w:numPr>
                <w:ilvl w:val="-1"/>
                <w:numId w:val="0"/>
              </w:numPr>
              <w:spacing w:line="440" w:lineRule="exact"/>
              <w:ind w:left="0" w:firstLine="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pacing w:val="0"/>
                <w:sz w:val="24"/>
                <w:highlight w:val="none"/>
              </w:rPr>
              <w:t>6.投标人应具备为本项目服务的安装管理团队。</w:t>
            </w:r>
          </w:p>
        </w:tc>
      </w:tr>
      <w:tr w14:paraId="1E8A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14:paraId="2F1AD420">
            <w:pPr>
              <w:spacing w:line="440" w:lineRule="exact"/>
              <w:jc w:val="left"/>
              <w:rPr>
                <w:rFonts w:hint="eastAsia" w:ascii="等线" w:hAnsi="等线" w:eastAsia="仿宋_GB2312" w:cs="Arial"/>
                <w:bCs/>
                <w:color w:val="auto"/>
                <w:sz w:val="24"/>
                <w:highlight w:val="none"/>
                <w:lang w:val="en-GB"/>
              </w:rPr>
            </w:pPr>
            <w:r>
              <w:rPr>
                <w:rFonts w:ascii="仿宋_GB2312" w:hAnsi="仿宋_GB2312" w:eastAsia="仿宋_GB2312" w:cs="仿宋_GB2312"/>
                <w:color w:val="auto"/>
                <w:sz w:val="24"/>
                <w:highlight w:val="none"/>
              </w:rPr>
              <w:t>质量保证期</w:t>
            </w:r>
          </w:p>
        </w:tc>
        <w:tc>
          <w:tcPr>
            <w:tcW w:w="7763" w:type="dxa"/>
            <w:vAlign w:val="center"/>
          </w:tcPr>
          <w:p w14:paraId="45470C43">
            <w:pPr>
              <w:numPr>
                <w:ilvl w:val="0"/>
                <w:numId w:val="0"/>
              </w:numPr>
              <w:spacing w:line="440" w:lineRule="exact"/>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自验收合格后交付使用之日起</w:t>
            </w:r>
            <w:r>
              <w:rPr>
                <w:rFonts w:hint="default" w:ascii="仿宋_GB2312" w:hAnsi="仿宋_GB2312" w:eastAsia="仿宋_GB2312" w:cs="仿宋_GB2312"/>
                <w:bCs/>
                <w:color w:val="auto"/>
                <w:sz w:val="24"/>
                <w:highlight w:val="none"/>
                <w:lang w:val="en-US" w:eastAsia="zh-CN"/>
              </w:rPr>
              <w:t>3</w:t>
            </w:r>
            <w:r>
              <w:rPr>
                <w:rFonts w:hint="eastAsia" w:ascii="仿宋_GB2312" w:hAnsi="仿宋_GB2312" w:eastAsia="仿宋_GB2312" w:cs="仿宋_GB2312"/>
                <w:bCs/>
                <w:color w:val="auto"/>
                <w:sz w:val="24"/>
                <w:highlight w:val="none"/>
              </w:rPr>
              <w:t>年。</w:t>
            </w:r>
            <w:r>
              <w:rPr>
                <w:rFonts w:hint="default" w:ascii="仿宋_GB2312" w:hAnsi="仿宋_GB2312" w:eastAsia="仿宋_GB2312" w:cs="仿宋_GB2312"/>
                <w:bCs/>
                <w:color w:val="auto"/>
                <w:sz w:val="24"/>
                <w:szCs w:val="24"/>
                <w:highlight w:val="none"/>
                <w:lang w:eastAsia="zh-CN"/>
              </w:rPr>
              <w:t>“</w:t>
            </w:r>
            <w:r>
              <w:rPr>
                <w:rFonts w:hint="default" w:ascii="仿宋_GB2312" w:hAnsi="仿宋_GB2312" w:eastAsia="仿宋_GB2312" w:cs="仿宋_GB2312"/>
                <w:bCs/>
                <w:color w:val="auto"/>
                <w:sz w:val="24"/>
                <w:szCs w:val="24"/>
                <w:highlight w:val="none"/>
              </w:rPr>
              <w:t>一、项目技术规格参数及要求</w:t>
            </w:r>
            <w:r>
              <w:rPr>
                <w:rFonts w:hint="default" w:ascii="仿宋_GB2312" w:hAnsi="仿宋_GB2312" w:eastAsia="仿宋_GB2312" w:cs="仿宋_GB2312"/>
                <w:bCs/>
                <w:color w:val="auto"/>
                <w:sz w:val="24"/>
                <w:szCs w:val="24"/>
                <w:highlight w:val="none"/>
                <w:lang w:eastAsia="zh-CN"/>
              </w:rPr>
              <w:t>”中另有要求的，按“</w:t>
            </w:r>
            <w:r>
              <w:rPr>
                <w:rFonts w:hint="default" w:ascii="仿宋_GB2312" w:hAnsi="仿宋_GB2312" w:eastAsia="仿宋_GB2312" w:cs="仿宋_GB2312"/>
                <w:bCs/>
                <w:color w:val="auto"/>
                <w:sz w:val="24"/>
                <w:szCs w:val="24"/>
                <w:highlight w:val="none"/>
              </w:rPr>
              <w:t>一、项目技术规格参数及要求</w:t>
            </w:r>
            <w:r>
              <w:rPr>
                <w:rFonts w:hint="default" w:ascii="仿宋_GB2312" w:hAnsi="仿宋_GB2312" w:eastAsia="仿宋_GB2312" w:cs="仿宋_GB2312"/>
                <w:bCs/>
                <w:color w:val="auto"/>
                <w:sz w:val="24"/>
                <w:szCs w:val="24"/>
                <w:highlight w:val="none"/>
                <w:lang w:eastAsia="zh-CN"/>
              </w:rPr>
              <w:t>”要求</w:t>
            </w:r>
            <w:r>
              <w:rPr>
                <w:rFonts w:hint="default" w:ascii="仿宋_GB2312" w:hAnsi="仿宋_GB2312" w:eastAsia="仿宋_GB2312" w:cs="仿宋_GB2312"/>
                <w:bCs/>
                <w:color w:val="auto"/>
                <w:sz w:val="24"/>
                <w:szCs w:val="24"/>
                <w:highlight w:val="none"/>
              </w:rPr>
              <w:t>执行。</w:t>
            </w:r>
          </w:p>
        </w:tc>
      </w:tr>
      <w:tr w14:paraId="60D2B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14:paraId="5712BC15">
            <w:pPr>
              <w:spacing w:line="440" w:lineRule="exact"/>
              <w:jc w:val="left"/>
              <w:rPr>
                <w:rFonts w:hint="eastAsia" w:ascii="等线" w:hAnsi="等线" w:eastAsia="仿宋_GB2312" w:cs="Arial"/>
                <w:bCs/>
                <w:color w:val="auto"/>
                <w:sz w:val="24"/>
                <w:highlight w:val="none"/>
                <w:lang w:val="en-GB"/>
              </w:rPr>
            </w:pPr>
            <w:r>
              <w:rPr>
                <w:rFonts w:ascii="仿宋_GB2312" w:hAnsi="仿宋_GB2312" w:eastAsia="仿宋_GB2312" w:cs="仿宋_GB2312"/>
                <w:color w:val="auto"/>
                <w:sz w:val="24"/>
                <w:highlight w:val="none"/>
              </w:rPr>
              <w:t>售后服务要求</w:t>
            </w:r>
          </w:p>
        </w:tc>
        <w:tc>
          <w:tcPr>
            <w:tcW w:w="7763" w:type="dxa"/>
            <w:vAlign w:val="center"/>
          </w:tcPr>
          <w:p w14:paraId="30BAACA5">
            <w:pPr>
              <w:spacing w:line="440" w:lineRule="exact"/>
              <w:jc w:val="left"/>
              <w:rPr>
                <w:rFonts w:hint="eastAsia" w:ascii="仿宋_GB2312" w:hAnsi="仿宋_GB2312" w:eastAsia="仿宋_GB2312" w:cs="仿宋_GB2312"/>
                <w:bCs/>
                <w:color w:val="auto"/>
                <w:sz w:val="24"/>
                <w:highlight w:val="none"/>
              </w:rPr>
            </w:pPr>
            <w:r>
              <w:rPr>
                <w:rFonts w:ascii="仿宋_GB2312" w:hAnsi="仿宋_GB2312" w:eastAsia="仿宋_GB2312" w:cs="仿宋_GB2312"/>
                <w:bCs/>
                <w:color w:val="auto"/>
                <w:sz w:val="24"/>
                <w:highlight w:val="none"/>
              </w:rPr>
              <w:t>1.投标产品必须是按厂家标准配置的整套全新产品，按国家规定实行“三包”，免费送货上门、免费安装调试（附安装说明书）及人员培训，培训后采购人可熟悉基本操作； 
</w:t>
            </w:r>
            <w:r>
              <w:rPr>
                <w:rFonts w:ascii="仿宋_GB2312" w:hAnsi="仿宋_GB2312" w:eastAsia="仿宋_GB2312" w:cs="仿宋_GB2312"/>
                <w:bCs/>
                <w:color w:val="auto"/>
                <w:sz w:val="24"/>
                <w:highlight w:val="none"/>
              </w:rPr>
              <w:br w:type="textWrapping"/>
            </w:r>
            <w:r>
              <w:rPr>
                <w:rFonts w:ascii="仿宋_GB2312" w:hAnsi="仿宋_GB2312" w:eastAsia="仿宋_GB2312" w:cs="仿宋_GB2312"/>
                <w:bCs/>
                <w:color w:val="auto"/>
                <w:sz w:val="24"/>
                <w:highlight w:val="none"/>
              </w:rPr>
              <w:t>2.故障处理：提供7*24小时维修服务，并提供售后服务电话，出现故障应在接到故障通知起</w:t>
            </w:r>
            <w:r>
              <w:rPr>
                <w:rFonts w:hint="eastAsia" w:ascii="仿宋_GB2312" w:hAnsi="仿宋_GB2312" w:eastAsia="仿宋_GB2312" w:cs="仿宋_GB2312"/>
                <w:bCs/>
                <w:color w:val="auto"/>
                <w:sz w:val="24"/>
                <w:highlight w:val="none"/>
                <w:lang w:val="en-US" w:eastAsia="zh-CN"/>
              </w:rPr>
              <w:t>2</w:t>
            </w:r>
            <w:r>
              <w:rPr>
                <w:rFonts w:ascii="仿宋_GB2312" w:hAnsi="仿宋_GB2312" w:eastAsia="仿宋_GB2312" w:cs="仿宋_GB2312"/>
                <w:bCs/>
                <w:color w:val="auto"/>
                <w:sz w:val="24"/>
                <w:highlight w:val="none"/>
              </w:rPr>
              <w:t>小时内响应，一般问题</w:t>
            </w:r>
            <w:r>
              <w:rPr>
                <w:rFonts w:hint="eastAsia" w:ascii="仿宋_GB2312" w:hAnsi="仿宋_GB2312" w:eastAsia="仿宋_GB2312" w:cs="仿宋_GB2312"/>
                <w:bCs/>
                <w:color w:val="auto"/>
                <w:sz w:val="24"/>
                <w:highlight w:val="none"/>
                <w:lang w:val="en-US" w:eastAsia="zh-CN"/>
              </w:rPr>
              <w:t>4</w:t>
            </w:r>
            <w:r>
              <w:rPr>
                <w:rFonts w:ascii="仿宋_GB2312" w:hAnsi="仿宋_GB2312" w:eastAsia="仿宋_GB2312" w:cs="仿宋_GB2312"/>
                <w:bCs/>
                <w:color w:val="auto"/>
                <w:sz w:val="24"/>
                <w:highlight w:val="none"/>
              </w:rPr>
              <w:t>小时内通过远程方式解决；遇到大的问题，在接到报修通知后</w:t>
            </w:r>
            <w:r>
              <w:rPr>
                <w:rFonts w:hint="eastAsia" w:ascii="仿宋_GB2312" w:hAnsi="仿宋_GB2312" w:eastAsia="仿宋_GB2312" w:cs="仿宋_GB2312"/>
                <w:bCs/>
                <w:color w:val="auto"/>
                <w:sz w:val="24"/>
                <w:highlight w:val="none"/>
                <w:lang w:val="en-US" w:eastAsia="zh-CN"/>
              </w:rPr>
              <w:t>24</w:t>
            </w:r>
            <w:r>
              <w:rPr>
                <w:rFonts w:ascii="仿宋_GB2312" w:hAnsi="仿宋_GB2312" w:eastAsia="仿宋_GB2312" w:cs="仿宋_GB2312"/>
                <w:bCs/>
                <w:color w:val="auto"/>
                <w:sz w:val="24"/>
                <w:highlight w:val="none"/>
              </w:rPr>
              <w:t>小时内派技术人员到达现场维修，故障修复时限不超过</w:t>
            </w:r>
            <w:r>
              <w:rPr>
                <w:rFonts w:hint="eastAsia" w:ascii="仿宋_GB2312" w:hAnsi="仿宋_GB2312" w:eastAsia="仿宋_GB2312" w:cs="仿宋_GB2312"/>
                <w:bCs/>
                <w:color w:val="auto"/>
                <w:sz w:val="24"/>
                <w:highlight w:val="none"/>
                <w:lang w:val="en-US" w:eastAsia="zh-CN"/>
              </w:rPr>
              <w:t>72</w:t>
            </w:r>
            <w:r>
              <w:rPr>
                <w:rFonts w:ascii="仿宋_GB2312" w:hAnsi="仿宋_GB2312" w:eastAsia="仿宋_GB2312" w:cs="仿宋_GB2312"/>
                <w:bCs/>
                <w:color w:val="auto"/>
                <w:sz w:val="24"/>
                <w:highlight w:val="none"/>
              </w:rPr>
              <w:t>小时,如超过时限无法排除故障，免费提供同等质量的产品作为备用品供采购人使用，直到修复完成。网络教室教师机、网络教室学生机按“一、项目技术规格参数及要求”执行。</w:t>
            </w:r>
            <w:r>
              <w:rPr>
                <w:rFonts w:ascii="仿宋_GB2312" w:hAnsi="仿宋_GB2312" w:eastAsia="仿宋_GB2312" w:cs="仿宋_GB2312"/>
                <w:bCs/>
                <w:color w:val="auto"/>
                <w:sz w:val="24"/>
                <w:highlight w:val="none"/>
              </w:rPr>
              <w:br w:type="textWrapping"/>
            </w:r>
            <w:r>
              <w:rPr>
                <w:rFonts w:ascii="仿宋_GB2312" w:hAnsi="仿宋_GB2312" w:eastAsia="仿宋_GB2312" w:cs="仿宋_GB2312"/>
                <w:bCs/>
                <w:color w:val="auto"/>
                <w:sz w:val="24"/>
                <w:highlight w:val="none"/>
              </w:rPr>
              <w:t>3.质量保证期内免费提供维修服务（含人工费、配件费、差旅费等各项费用），所更换的所有零配件全部使用原厂配件；保修期以外一律按投标文件承诺的优惠价收费，提供终身上门维修服务。</w:t>
            </w:r>
          </w:p>
        </w:tc>
      </w:tr>
      <w:tr w14:paraId="7D80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14:paraId="2A75C6ED">
            <w:pPr>
              <w:spacing w:line="440" w:lineRule="exact"/>
              <w:jc w:val="left"/>
              <w:rPr>
                <w:rFonts w:hint="eastAsia" w:ascii="等线" w:hAnsi="等线" w:eastAsia="仿宋_GB2312" w:cs="Arial"/>
                <w:bCs/>
                <w:color w:val="auto"/>
                <w:sz w:val="24"/>
                <w:highlight w:val="none"/>
                <w:lang w:val="en-GB"/>
              </w:rPr>
            </w:pPr>
            <w:r>
              <w:rPr>
                <w:rFonts w:ascii="仿宋_GB2312" w:hAnsi="仿宋_GB2312" w:eastAsia="仿宋_GB2312" w:cs="仿宋_GB2312"/>
                <w:color w:val="auto"/>
                <w:sz w:val="24"/>
                <w:highlight w:val="none"/>
              </w:rPr>
              <w:t>交货时间及地点</w:t>
            </w:r>
          </w:p>
        </w:tc>
        <w:tc>
          <w:tcPr>
            <w:tcW w:w="7763" w:type="dxa"/>
            <w:vAlign w:val="center"/>
          </w:tcPr>
          <w:p w14:paraId="4FCA5A9E">
            <w:pPr>
              <w:spacing w:line="440" w:lineRule="exact"/>
              <w:jc w:val="left"/>
              <w:rPr>
                <w:rFonts w:hint="eastAsia" w:ascii="仿宋_GB2312" w:hAnsi="仿宋_GB2312" w:eastAsia="仿宋_GB2312" w:cs="仿宋_GB2312"/>
                <w:bCs/>
                <w:color w:val="auto"/>
                <w:sz w:val="24"/>
                <w:highlight w:val="none"/>
              </w:rPr>
            </w:pPr>
            <w:r>
              <w:rPr>
                <w:rFonts w:ascii="仿宋_GB2312" w:hAnsi="仿宋_GB2312" w:eastAsia="仿宋_GB2312" w:cs="仿宋_GB2312"/>
                <w:bCs/>
                <w:color w:val="auto"/>
                <w:sz w:val="24"/>
                <w:highlight w:val="none"/>
              </w:rPr>
              <w:t>1.交货时间：自签订合同之日起</w:t>
            </w:r>
            <w:r>
              <w:rPr>
                <w:rFonts w:hint="eastAsia" w:ascii="仿宋_GB2312" w:hAnsi="仿宋_GB2312" w:eastAsia="仿宋_GB2312" w:cs="仿宋_GB2312"/>
                <w:bCs/>
                <w:color w:val="auto"/>
                <w:sz w:val="24"/>
                <w:highlight w:val="none"/>
                <w:lang w:val="en-US" w:eastAsia="zh-CN"/>
              </w:rPr>
              <w:t>30</w:t>
            </w:r>
            <w:r>
              <w:rPr>
                <w:rFonts w:ascii="仿宋_GB2312" w:hAnsi="仿宋_GB2312" w:eastAsia="仿宋_GB2312" w:cs="仿宋_GB2312"/>
                <w:bCs/>
                <w:color w:val="auto"/>
                <w:sz w:val="24"/>
                <w:highlight w:val="none"/>
              </w:rPr>
              <w:t>日内安装调试完毕，验收合格并交付使用；
</w:t>
            </w:r>
            <w:r>
              <w:rPr>
                <w:rFonts w:ascii="仿宋_GB2312" w:hAnsi="仿宋_GB2312" w:eastAsia="仿宋_GB2312" w:cs="仿宋_GB2312"/>
                <w:bCs/>
                <w:color w:val="auto"/>
                <w:sz w:val="24"/>
                <w:highlight w:val="none"/>
              </w:rPr>
              <w:br w:type="textWrapping"/>
            </w:r>
            <w:r>
              <w:rPr>
                <w:rFonts w:ascii="仿宋_GB2312" w:hAnsi="仿宋_GB2312" w:eastAsia="仿宋_GB2312" w:cs="仿宋_GB2312"/>
                <w:bCs/>
                <w:color w:val="auto"/>
                <w:sz w:val="24"/>
                <w:highlight w:val="none"/>
              </w:rPr>
              <w:t>2.交货地点：广西柳州市</w:t>
            </w:r>
            <w:r>
              <w:rPr>
                <w:rFonts w:hint="eastAsia" w:ascii="仿宋_GB2312" w:hAnsi="仿宋_GB2312" w:eastAsia="仿宋_GB2312" w:cs="仿宋_GB2312"/>
                <w:bCs/>
                <w:color w:val="auto"/>
                <w:sz w:val="24"/>
                <w:highlight w:val="none"/>
                <w:lang w:val="en-US" w:eastAsia="zh-CN"/>
              </w:rPr>
              <w:t>区</w:t>
            </w:r>
            <w:r>
              <w:rPr>
                <w:rFonts w:ascii="仿宋_GB2312" w:hAnsi="仿宋_GB2312" w:eastAsia="仿宋_GB2312" w:cs="仿宋_GB2312"/>
                <w:bCs/>
                <w:color w:val="auto"/>
                <w:sz w:val="24"/>
                <w:highlight w:val="none"/>
              </w:rPr>
              <w:t>内采购人指定地点。</w:t>
            </w:r>
          </w:p>
        </w:tc>
      </w:tr>
      <w:tr w14:paraId="58D02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14:paraId="52D89AF9">
            <w:pPr>
              <w:spacing w:line="440" w:lineRule="exact"/>
              <w:jc w:val="left"/>
              <w:rPr>
                <w:rFonts w:hint="eastAsia" w:ascii="等线" w:hAnsi="等线" w:eastAsia="仿宋_GB2312" w:cs="Arial"/>
                <w:bCs/>
                <w:color w:val="auto"/>
                <w:sz w:val="24"/>
                <w:highlight w:val="none"/>
                <w:lang w:val="en-GB"/>
              </w:rPr>
            </w:pPr>
            <w:r>
              <w:rPr>
                <w:rFonts w:ascii="仿宋_GB2312" w:hAnsi="仿宋_GB2312" w:eastAsia="仿宋_GB2312" w:cs="仿宋_GB2312"/>
                <w:color w:val="auto"/>
                <w:sz w:val="24"/>
                <w:highlight w:val="none"/>
              </w:rPr>
              <w:t>付款方式</w:t>
            </w:r>
          </w:p>
        </w:tc>
        <w:tc>
          <w:tcPr>
            <w:tcW w:w="7763" w:type="dxa"/>
            <w:vAlign w:val="center"/>
          </w:tcPr>
          <w:p w14:paraId="2BC7F839">
            <w:pPr>
              <w:spacing w:line="440" w:lineRule="exact"/>
              <w:jc w:val="left"/>
              <w:rPr>
                <w:rFonts w:hint="eastAsia" w:ascii="仿宋_GB2312" w:hAnsi="仿宋_GB2312" w:eastAsia="仿宋_GB2312" w:cs="仿宋_GB2312"/>
                <w:bCs/>
                <w:color w:val="auto"/>
                <w:sz w:val="24"/>
                <w:highlight w:val="none"/>
              </w:rPr>
            </w:pPr>
            <w:r>
              <w:rPr>
                <w:rFonts w:ascii="仿宋_GB2312" w:hAnsi="仿宋_GB2312" w:eastAsia="仿宋_GB2312" w:cs="仿宋_GB2312"/>
                <w:bCs/>
                <w:color w:val="auto"/>
                <w:sz w:val="24"/>
                <w:highlight w:val="none"/>
              </w:rPr>
              <w:t>财政性资金按财政国库集中支付规定程序办理。</w:t>
            </w:r>
            <w:r>
              <w:rPr>
                <w:rFonts w:hint="eastAsia" w:ascii="仿宋_GB2312" w:hAnsi="仿宋_GB2312" w:eastAsia="仿宋_GB2312" w:cs="仿宋_GB2312"/>
                <w:bCs/>
                <w:color w:val="auto"/>
                <w:sz w:val="24"/>
                <w:highlight w:val="none"/>
              </w:rPr>
              <w:t>本项目无预付款，货物全部到货完毕，货物验收合格</w:t>
            </w:r>
            <w:r>
              <w:rPr>
                <w:rFonts w:hint="eastAsia" w:ascii="仿宋_GB2312" w:hAnsi="仿宋_GB2312" w:eastAsia="仿宋_GB2312" w:cs="仿宋_GB2312"/>
                <w:bCs/>
                <w:color w:val="auto"/>
                <w:sz w:val="24"/>
                <w:highlight w:val="none"/>
                <w:lang w:eastAsia="zh-CN"/>
              </w:rPr>
              <w:t>后</w:t>
            </w:r>
            <w:r>
              <w:rPr>
                <w:rFonts w:hint="eastAsia" w:ascii="仿宋_GB2312" w:hAnsi="仿宋_GB2312" w:eastAsia="仿宋_GB2312" w:cs="仿宋_GB2312"/>
                <w:bCs/>
                <w:color w:val="auto"/>
                <w:sz w:val="24"/>
                <w:highlight w:val="none"/>
              </w:rPr>
              <w:t>，采购人在收到中标人开具的合同</w:t>
            </w:r>
            <w:r>
              <w:rPr>
                <w:rFonts w:hint="eastAsia" w:ascii="仿宋_GB2312" w:hAnsi="仿宋_GB2312" w:eastAsia="仿宋_GB2312" w:cs="仿宋_GB2312"/>
                <w:bCs/>
                <w:color w:val="auto"/>
                <w:sz w:val="24"/>
                <w:highlight w:val="none"/>
                <w:lang w:val="en-US" w:eastAsia="zh-CN"/>
              </w:rPr>
              <w:t>总</w:t>
            </w:r>
            <w:r>
              <w:rPr>
                <w:rFonts w:hint="eastAsia" w:ascii="仿宋_GB2312" w:hAnsi="仿宋_GB2312" w:eastAsia="仿宋_GB2312" w:cs="仿宋_GB2312"/>
                <w:bCs/>
                <w:color w:val="auto"/>
                <w:sz w:val="24"/>
                <w:highlight w:val="none"/>
              </w:rPr>
              <w:t>价</w:t>
            </w:r>
            <w:r>
              <w:rPr>
                <w:rFonts w:hint="eastAsia" w:ascii="仿宋_GB2312" w:hAnsi="仿宋_GB2312" w:eastAsia="仿宋_GB2312" w:cs="仿宋_GB2312"/>
                <w:bCs/>
                <w:color w:val="auto"/>
                <w:sz w:val="24"/>
                <w:highlight w:val="none"/>
                <w:lang w:eastAsia="zh-CN"/>
              </w:rPr>
              <w:t>款的</w:t>
            </w:r>
            <w:r>
              <w:rPr>
                <w:rFonts w:hint="eastAsia" w:ascii="仿宋_GB2312" w:hAnsi="仿宋_GB2312" w:eastAsia="仿宋_GB2312" w:cs="仿宋_GB2312"/>
                <w:bCs/>
                <w:color w:val="auto"/>
                <w:sz w:val="24"/>
                <w:highlight w:val="none"/>
                <w:lang w:val="en-US" w:eastAsia="zh-CN"/>
              </w:rPr>
              <w:t>40%</w:t>
            </w:r>
            <w:r>
              <w:rPr>
                <w:rFonts w:hint="eastAsia" w:ascii="仿宋_GB2312" w:hAnsi="仿宋_GB2312" w:eastAsia="仿宋_GB2312" w:cs="仿宋_GB2312"/>
                <w:bCs/>
                <w:color w:val="auto"/>
                <w:sz w:val="24"/>
                <w:highlight w:val="none"/>
              </w:rPr>
              <w:t>增值税专用发票之日起10个工作日内向中标人指定账户支付合同</w:t>
            </w:r>
            <w:r>
              <w:rPr>
                <w:rFonts w:hint="eastAsia" w:ascii="仿宋_GB2312" w:hAnsi="仿宋_GB2312" w:eastAsia="仿宋_GB2312" w:cs="仿宋_GB2312"/>
                <w:bCs/>
                <w:color w:val="auto"/>
                <w:sz w:val="24"/>
                <w:highlight w:val="none"/>
                <w:lang w:eastAsia="zh-CN"/>
              </w:rPr>
              <w:t>总</w:t>
            </w:r>
            <w:r>
              <w:rPr>
                <w:rFonts w:hint="eastAsia" w:ascii="仿宋_GB2312" w:hAnsi="仿宋_GB2312" w:eastAsia="仿宋_GB2312" w:cs="仿宋_GB2312"/>
                <w:bCs/>
                <w:color w:val="auto"/>
                <w:sz w:val="24"/>
                <w:highlight w:val="none"/>
              </w:rPr>
              <w:t>价款的40%；全部安装、调试完毕，项目整体交付使用并通过最终验收合格</w:t>
            </w:r>
            <w:r>
              <w:rPr>
                <w:rFonts w:hint="eastAsia" w:ascii="仿宋_GB2312" w:hAnsi="仿宋_GB2312" w:eastAsia="仿宋_GB2312" w:cs="仿宋_GB2312"/>
                <w:bCs/>
                <w:color w:val="auto"/>
                <w:sz w:val="24"/>
                <w:highlight w:val="none"/>
                <w:lang w:eastAsia="zh-CN"/>
              </w:rPr>
              <w:t>后，</w:t>
            </w:r>
            <w:r>
              <w:rPr>
                <w:rFonts w:hint="eastAsia" w:ascii="仿宋_GB2312" w:hAnsi="仿宋_GB2312" w:eastAsia="仿宋_GB2312" w:cs="仿宋_GB2312"/>
                <w:bCs/>
                <w:color w:val="auto"/>
                <w:sz w:val="24"/>
                <w:highlight w:val="none"/>
              </w:rPr>
              <w:t>采购人在收到中标人开具的合同总价</w:t>
            </w:r>
            <w:r>
              <w:rPr>
                <w:rFonts w:hint="eastAsia" w:ascii="仿宋_GB2312" w:hAnsi="仿宋_GB2312" w:eastAsia="仿宋_GB2312" w:cs="仿宋_GB2312"/>
                <w:bCs/>
                <w:color w:val="auto"/>
                <w:sz w:val="24"/>
                <w:highlight w:val="none"/>
                <w:lang w:eastAsia="zh-CN"/>
              </w:rPr>
              <w:t>款</w:t>
            </w:r>
            <w:r>
              <w:rPr>
                <w:rFonts w:hint="eastAsia" w:ascii="仿宋_GB2312" w:hAnsi="仿宋_GB2312" w:eastAsia="仿宋_GB2312" w:cs="仿宋_GB2312"/>
                <w:bCs/>
                <w:color w:val="auto"/>
                <w:sz w:val="24"/>
                <w:highlight w:val="none"/>
                <w:lang w:val="en-US" w:eastAsia="zh-CN"/>
              </w:rPr>
              <w:t>60%</w:t>
            </w:r>
            <w:r>
              <w:rPr>
                <w:rFonts w:hint="eastAsia" w:ascii="仿宋_GB2312" w:hAnsi="仿宋_GB2312" w:eastAsia="仿宋_GB2312" w:cs="仿宋_GB2312"/>
                <w:bCs/>
                <w:color w:val="auto"/>
                <w:sz w:val="24"/>
                <w:highlight w:val="none"/>
              </w:rPr>
              <w:t>增值税专用发票之日起10个工作日内向中标人指定账户支付合同</w:t>
            </w:r>
            <w:r>
              <w:rPr>
                <w:rFonts w:hint="eastAsia" w:ascii="仿宋_GB2312" w:hAnsi="仿宋_GB2312" w:eastAsia="仿宋_GB2312" w:cs="仿宋_GB2312"/>
                <w:bCs/>
                <w:color w:val="auto"/>
                <w:sz w:val="24"/>
                <w:highlight w:val="none"/>
                <w:lang w:eastAsia="zh-CN"/>
              </w:rPr>
              <w:t>总</w:t>
            </w:r>
            <w:r>
              <w:rPr>
                <w:rFonts w:hint="eastAsia" w:ascii="仿宋_GB2312" w:hAnsi="仿宋_GB2312" w:eastAsia="仿宋_GB2312" w:cs="仿宋_GB2312"/>
                <w:bCs/>
                <w:color w:val="auto"/>
                <w:sz w:val="24"/>
                <w:highlight w:val="none"/>
              </w:rPr>
              <w:t>价款的60%。（不计利息）。</w:t>
            </w:r>
          </w:p>
          <w:p w14:paraId="6133360B">
            <w:pPr>
              <w:spacing w:line="440" w:lineRule="exact"/>
              <w:jc w:val="left"/>
              <w:rPr>
                <w:rFonts w:hint="eastAsia" w:ascii="仿宋_GB2312" w:hAnsi="仿宋_GB2312" w:eastAsia="仿宋_GB2312" w:cs="仿宋_GB2312"/>
                <w:bCs/>
                <w:color w:val="auto"/>
                <w:sz w:val="24"/>
                <w:highlight w:val="none"/>
              </w:rPr>
            </w:pPr>
            <w:r>
              <w:rPr>
                <w:rFonts w:ascii="仿宋_GB2312" w:hAnsi="仿宋_GB2312" w:eastAsia="仿宋_GB2312" w:cs="仿宋_GB2312"/>
                <w:b/>
                <w:bCs w:val="0"/>
                <w:color w:val="auto"/>
                <w:sz w:val="24"/>
                <w:highlight w:val="none"/>
              </w:rPr>
              <w:t>注：资金支付等事项按照《保障中小企业款项支付条例》（国务院令第802号）、《广西壮族自治区财政厅关于持续优化政府采购营商环境推动高质量发展的通知》等要求执行。</w:t>
            </w:r>
          </w:p>
        </w:tc>
      </w:tr>
      <w:tr w14:paraId="2ACF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vAlign w:val="center"/>
          </w:tcPr>
          <w:p w14:paraId="08CA96E8">
            <w:pPr>
              <w:spacing w:line="440" w:lineRule="exact"/>
              <w:jc w:val="left"/>
              <w:rPr>
                <w:rFonts w:hint="eastAsia" w:ascii="等线" w:hAnsi="等线" w:eastAsia="仿宋_GB2312" w:cs="Arial"/>
                <w:bCs/>
                <w:color w:val="auto"/>
                <w:sz w:val="24"/>
                <w:highlight w:val="none"/>
                <w:lang w:val="en-GB"/>
              </w:rPr>
            </w:pPr>
            <w:r>
              <w:rPr>
                <w:rFonts w:ascii="仿宋_GB2312" w:hAnsi="仿宋_GB2312" w:eastAsia="仿宋_GB2312" w:cs="仿宋_GB2312"/>
                <w:color w:val="auto"/>
                <w:sz w:val="24"/>
                <w:highlight w:val="none"/>
              </w:rPr>
              <w:t>备品备件及耗材等要求</w:t>
            </w:r>
          </w:p>
        </w:tc>
        <w:tc>
          <w:tcPr>
            <w:tcW w:w="7763" w:type="dxa"/>
            <w:vAlign w:val="center"/>
          </w:tcPr>
          <w:p w14:paraId="06F348F6">
            <w:pPr>
              <w:spacing w:line="440" w:lineRule="exact"/>
              <w:jc w:val="left"/>
              <w:rPr>
                <w:rFonts w:hint="eastAsia" w:ascii="仿宋_GB2312" w:hAnsi="仿宋_GB2312" w:eastAsia="仿宋_GB2312" w:cs="仿宋_GB2312"/>
                <w:bCs/>
                <w:color w:val="auto"/>
                <w:sz w:val="24"/>
                <w:highlight w:val="none"/>
              </w:rPr>
            </w:pPr>
            <w:r>
              <w:rPr>
                <w:rFonts w:ascii="仿宋_GB2312" w:hAnsi="仿宋_GB2312" w:eastAsia="仿宋_GB2312" w:cs="仿宋_GB2312"/>
                <w:bCs/>
                <w:color w:val="auto"/>
                <w:sz w:val="24"/>
                <w:highlight w:val="none"/>
              </w:rPr>
              <w:t>1.投标人所提供零部件、配件及安装材料必须是符合国家规定质量安全标准的全新、合格产品；该项费用应包含在报价中；
</w:t>
            </w:r>
            <w:r>
              <w:rPr>
                <w:rFonts w:ascii="仿宋_GB2312" w:hAnsi="仿宋_GB2312" w:eastAsia="仿宋_GB2312" w:cs="仿宋_GB2312"/>
                <w:bCs/>
                <w:color w:val="auto"/>
                <w:sz w:val="24"/>
                <w:highlight w:val="none"/>
              </w:rPr>
              <w:br w:type="textWrapping"/>
            </w:r>
            <w:r>
              <w:rPr>
                <w:rFonts w:ascii="仿宋_GB2312" w:hAnsi="仿宋_GB2312" w:eastAsia="仿宋_GB2312" w:cs="仿宋_GB2312"/>
                <w:bCs/>
                <w:color w:val="auto"/>
                <w:sz w:val="24"/>
                <w:highlight w:val="none"/>
              </w:rPr>
              <w:t>2.投标人所提供完整的全套设备须包括必备的易损耗备件和专用工具；</w:t>
            </w:r>
            <w:r>
              <w:rPr>
                <w:rFonts w:ascii="仿宋_GB2312" w:hAnsi="仿宋_GB2312" w:eastAsia="仿宋_GB2312" w:cs="仿宋_GB2312"/>
                <w:bCs/>
                <w:color w:val="auto"/>
                <w:sz w:val="24"/>
                <w:highlight w:val="none"/>
              </w:rPr>
              <w:br w:type="textWrapping"/>
            </w:r>
            <w:r>
              <w:rPr>
                <w:rFonts w:ascii="仿宋_GB2312" w:hAnsi="仿宋_GB2312" w:eastAsia="仿宋_GB2312" w:cs="仿宋_GB2312"/>
                <w:bCs/>
                <w:color w:val="auto"/>
                <w:sz w:val="24"/>
                <w:highlight w:val="none"/>
              </w:rPr>
              <w:t>3.投标人必须有完善的备品备件库体系，质保期内能提供相应的免费的措施和配件，保证过质保期后五年内有足够的备品备件，为完成本项目技术支持、服务需求提供可靠保证。网络教室教师机和网络教室学生机按“一、项目技术规格参数及要求”执行。网络教室教师机、网络教室学生机按“一、项目技术规格参数及要求”执行。</w:t>
            </w:r>
          </w:p>
        </w:tc>
      </w:tr>
      <w:tr w14:paraId="29E1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vAlign w:val="center"/>
          </w:tcPr>
          <w:p w14:paraId="03CEA6CB">
            <w:pPr>
              <w:widowControl/>
              <w:spacing w:line="276" w:lineRule="auto"/>
              <w:jc w:val="left"/>
              <w:rPr>
                <w:rFonts w:ascii="仿宋_GB2312" w:eastAsia="仿宋_GB2312"/>
                <w:bCs/>
                <w:color w:val="auto"/>
                <w:sz w:val="24"/>
                <w:highlight w:val="none"/>
              </w:rPr>
            </w:pPr>
            <w:r>
              <w:rPr>
                <w:rFonts w:ascii="仿宋_GB2312" w:hAnsi="宋体" w:eastAsia="仿宋_GB2312" w:cs="宋体"/>
                <w:b/>
                <w:color w:val="auto"/>
                <w:kern w:val="0"/>
                <w:sz w:val="24"/>
                <w:highlight w:val="none"/>
              </w:rPr>
              <w:t>★</w:t>
            </w:r>
            <w:r>
              <w:rPr>
                <w:rFonts w:hint="eastAsia" w:ascii="仿宋_GB2312" w:hAnsi="宋体" w:eastAsia="仿宋_GB2312" w:cs="Arial"/>
                <w:b/>
                <w:bCs/>
                <w:color w:val="auto"/>
                <w:sz w:val="24"/>
                <w:highlight w:val="none"/>
              </w:rPr>
              <w:t>三、验收要求</w:t>
            </w:r>
          </w:p>
        </w:tc>
      </w:tr>
      <w:tr w14:paraId="360A2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gridSpan w:val="2"/>
            <w:vAlign w:val="center"/>
          </w:tcPr>
          <w:p w14:paraId="0351137A">
            <w:pPr>
              <w:snapToGrid w:val="0"/>
              <w:spacing w:line="400" w:lineRule="exact"/>
              <w:jc w:val="center"/>
              <w:rPr>
                <w:rFonts w:hint="eastAsia" w:ascii="等线" w:hAnsi="等线" w:eastAsia="仿宋_GB2312" w:cs="Arial"/>
                <w:bCs/>
                <w:color w:val="auto"/>
                <w:sz w:val="24"/>
                <w:highlight w:val="none"/>
                <w:lang w:val="en-GB"/>
              </w:rPr>
            </w:pPr>
            <w:r>
              <w:rPr>
                <w:rFonts w:ascii="仿宋_GB2312" w:hAnsi="仿宋_GB2312" w:eastAsia="仿宋_GB2312" w:cs="仿宋_GB2312"/>
                <w:bCs/>
                <w:color w:val="auto"/>
                <w:sz w:val="24"/>
                <w:szCs w:val="21"/>
                <w:highlight w:val="none"/>
              </w:rPr>
              <w:t>验收标准及要求</w:t>
            </w:r>
          </w:p>
        </w:tc>
        <w:tc>
          <w:tcPr>
            <w:tcW w:w="7763" w:type="dxa"/>
            <w:vAlign w:val="center"/>
          </w:tcPr>
          <w:p w14:paraId="367F851E">
            <w:pPr>
              <w:spacing w:line="440" w:lineRule="exact"/>
              <w:ind w:right="0" w:rightChars="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1.符合国家强制性技术标准及有关规定；</w:t>
            </w:r>
          </w:p>
          <w:p w14:paraId="67EF0B74">
            <w:pPr>
              <w:spacing w:line="440" w:lineRule="exact"/>
              <w:ind w:right="0" w:rightChars="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2.交货验收时，采购人已委托监理单位提供监理服务的，参照柳政规〔2020〕7号《柳州市政府投资信息化项目管理办法》的通知，应由采购人、监理单位、中标人三方共同进行收货验收。必要时可委托国家认可的质量检测机构开展采购项目验收工作；</w:t>
            </w:r>
          </w:p>
          <w:p w14:paraId="4997D54C">
            <w:pPr>
              <w:spacing w:line="440" w:lineRule="exact"/>
              <w:ind w:right="0" w:rightChars="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本项目因中标人提供的货物或服务不能满足采购需求的技术参数或其投标文件承诺等原因无法通过验收，造成不能按时、按质、按量完成项目要求的，将按照《中华人民共和国政府采购法》等法律法规由中标人承担相应的法律责任；</w:t>
            </w:r>
          </w:p>
          <w:p w14:paraId="0557A257">
            <w:pPr>
              <w:spacing w:line="440" w:lineRule="exact"/>
              <w:ind w:right="0" w:rightChars="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4.中标人完成安装调试后，可向采购人提出初验申请，采购人可以进行累计运行时间不超过72小时的试运行，以确认所供货物功能参数、兼容性及稳定性符合标准达到初验条件；</w:t>
            </w:r>
          </w:p>
          <w:p w14:paraId="437B3BB0">
            <w:pPr>
              <w:spacing w:line="440" w:lineRule="exact"/>
              <w:ind w:right="0" w:rightChars="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5.中标人通过初验后向采购人提出最终验收申请，采购人组织聘请验收专家组（3</w:t>
            </w:r>
            <w:r>
              <w:rPr>
                <w:rFonts w:hint="eastAsia" w:ascii="仿宋_GB2312" w:hAnsi="仿宋_GB2312" w:eastAsia="仿宋_GB2312" w:cs="仿宋_GB2312"/>
                <w:bCs/>
                <w:color w:val="auto"/>
                <w:sz w:val="24"/>
                <w:highlight w:val="none"/>
                <w:lang w:eastAsia="zh-CN"/>
              </w:rPr>
              <w:t>—</w:t>
            </w:r>
            <w:r>
              <w:rPr>
                <w:rFonts w:hint="eastAsia" w:ascii="仿宋_GB2312" w:hAnsi="仿宋_GB2312" w:eastAsia="仿宋_GB2312" w:cs="仿宋_GB2312"/>
                <w:bCs/>
                <w:color w:val="auto"/>
                <w:sz w:val="24"/>
                <w:highlight w:val="none"/>
              </w:rPr>
              <w:t>5人）、监理单位、中标人共同进行验收工作；</w:t>
            </w:r>
          </w:p>
          <w:p w14:paraId="0F796418">
            <w:pPr>
              <w:spacing w:line="440" w:lineRule="exact"/>
              <w:ind w:right="0" w:rightChars="0"/>
              <w:jc w:val="left"/>
              <w:rPr>
                <w:rFonts w:hint="eastAsia" w:ascii="仿宋_GB2312" w:hAnsi="仿宋_GB2312" w:eastAsia="仿宋_GB2312" w:cs="仿宋_GB2312"/>
                <w:bCs/>
                <w:color w:val="auto"/>
                <w:sz w:val="24"/>
                <w:szCs w:val="21"/>
                <w:highlight w:val="none"/>
              </w:rPr>
            </w:pPr>
            <w:r>
              <w:rPr>
                <w:rFonts w:hint="eastAsia" w:ascii="仿宋_GB2312" w:hAnsi="仿宋_GB2312" w:eastAsia="仿宋_GB2312" w:cs="仿宋_GB2312"/>
                <w:bCs/>
                <w:color w:val="auto"/>
                <w:sz w:val="24"/>
                <w:highlight w:val="none"/>
              </w:rPr>
              <w:t xml:space="preserve">6.验收费用：验收过程所产生的检验费、验收费及相关的全部费用均由中标人承担（验收费用参照柳财采〔2024〕24 号文件执行），中标人在投标报价时应充分考虑。 </w:t>
            </w:r>
          </w:p>
        </w:tc>
      </w:tr>
      <w:tr w14:paraId="2AC06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vAlign w:val="center"/>
          </w:tcPr>
          <w:p w14:paraId="3CD0A115">
            <w:pPr>
              <w:widowControl/>
              <w:snapToGrid w:val="0"/>
              <w:spacing w:before="120" w:after="120" w:line="440" w:lineRule="exact"/>
              <w:jc w:val="left"/>
              <w:rPr>
                <w:rFonts w:hint="eastAsia" w:ascii="仿宋_GB2312" w:hAnsi="宋体" w:eastAsia="仿宋_GB2312" w:cs="宋体"/>
                <w:bCs/>
                <w:color w:val="auto"/>
                <w:sz w:val="24"/>
                <w:highlight w:val="none"/>
              </w:rPr>
            </w:pPr>
            <w:r>
              <w:rPr>
                <w:rFonts w:hint="eastAsia" w:ascii="仿宋_GB2312" w:hAnsi="宋体" w:eastAsia="仿宋_GB2312" w:cs="Arial"/>
                <w:b/>
                <w:bCs/>
                <w:color w:val="auto"/>
                <w:sz w:val="24"/>
                <w:highlight w:val="none"/>
              </w:rPr>
              <w:t>四、资信要求</w:t>
            </w:r>
          </w:p>
        </w:tc>
      </w:tr>
      <w:tr w14:paraId="6992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gridSpan w:val="2"/>
            <w:vAlign w:val="center"/>
          </w:tcPr>
          <w:p w14:paraId="609EA618">
            <w:pPr>
              <w:snapToGrid w:val="0"/>
              <w:spacing w:line="400" w:lineRule="exact"/>
              <w:jc w:val="center"/>
              <w:rPr>
                <w:rFonts w:hint="eastAsia" w:ascii="仿宋_GB2312" w:hAnsi="宋体" w:eastAsia="仿宋_GB2312" w:cs="Arial"/>
                <w:bCs/>
                <w:color w:val="auto"/>
                <w:sz w:val="24"/>
                <w:highlight w:val="none"/>
              </w:rPr>
            </w:pPr>
            <w:r>
              <w:rPr>
                <w:rFonts w:ascii="仿宋_GB2312" w:hAnsi="仿宋_GB2312" w:eastAsia="仿宋_GB2312" w:cs="仿宋_GB2312"/>
                <w:bCs/>
                <w:color w:val="auto"/>
                <w:sz w:val="24"/>
                <w:szCs w:val="21"/>
                <w:highlight w:val="none"/>
              </w:rPr>
              <w:t>政策性加分条件（如有）</w:t>
            </w:r>
          </w:p>
        </w:tc>
        <w:tc>
          <w:tcPr>
            <w:tcW w:w="7763" w:type="dxa"/>
            <w:vAlign w:val="center"/>
          </w:tcPr>
          <w:p w14:paraId="119C5F73">
            <w:pPr>
              <w:pStyle w:val="595"/>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1．《政府采购促进中小企业发展管理办法》（财库〔2020〕46号），符合办法规定条件且出具该办法规定的《中小企业声明函》的小型和微型企业报价，对其报价给予20%的扣除。监狱企业、残疾人福利性单位视同小型和微型企业；</w:t>
            </w:r>
          </w:p>
          <w:p w14:paraId="511E5DC2">
            <w:pPr>
              <w:pStyle w:val="595"/>
              <w:spacing w:before="0" w:beforeAutospacing="0" w:after="0" w:afterAutospacing="0" w:line="460" w:lineRule="atLeast"/>
              <w:rPr>
                <w:rFonts w:hint="eastAsia" w:ascii="仿宋_GB2312" w:eastAsia="仿宋_GB2312"/>
                <w:color w:val="auto"/>
                <w:highlight w:val="none"/>
                <w:lang w:val="en-US" w:eastAsia="zh-CN"/>
              </w:rPr>
            </w:pPr>
            <w:r>
              <w:rPr>
                <w:rStyle w:val="596"/>
                <w:rFonts w:hint="eastAsia" w:ascii="仿宋_GB2312" w:eastAsia="仿宋_GB2312"/>
                <w:color w:val="auto"/>
                <w:highlight w:val="none"/>
              </w:rPr>
              <w:t>注：（1）采购标的对应的中小企业划分标准所属行业：</w:t>
            </w:r>
            <w:r>
              <w:rPr>
                <w:rStyle w:val="596"/>
                <w:rFonts w:hint="eastAsia" w:ascii="仿宋_GB2312" w:eastAsia="仿宋_GB2312"/>
                <w:color w:val="auto"/>
                <w:highlight w:val="none"/>
                <w:u w:val="none"/>
                <w:lang w:eastAsia="zh-CN"/>
              </w:rPr>
              <w:t>“</w:t>
            </w:r>
            <w:r>
              <w:rPr>
                <w:rFonts w:hint="eastAsia" w:ascii="仿宋_GB2312" w:eastAsia="仿宋_GB2312"/>
                <w:b/>
                <w:bCs/>
                <w:color w:val="auto"/>
                <w:highlight w:val="none"/>
                <w:u w:val="none"/>
              </w:rPr>
              <w:t>（</w:t>
            </w:r>
            <w:r>
              <w:rPr>
                <w:rFonts w:hint="eastAsia" w:ascii="仿宋_GB2312" w:eastAsia="仿宋_GB2312"/>
                <w:b/>
                <w:bCs/>
                <w:color w:val="auto"/>
                <w:highlight w:val="none"/>
                <w:u w:val="none"/>
                <w:lang w:eastAsia="zh-CN"/>
              </w:rPr>
              <w:t>一</w:t>
            </w:r>
            <w:r>
              <w:rPr>
                <w:rFonts w:hint="eastAsia" w:ascii="仿宋_GB2312" w:eastAsia="仿宋_GB2312"/>
                <w:b/>
                <w:bCs/>
                <w:color w:val="auto"/>
                <w:highlight w:val="none"/>
                <w:u w:val="none"/>
              </w:rPr>
              <w:t>）</w:t>
            </w:r>
            <w:r>
              <w:rPr>
                <w:rFonts w:hint="eastAsia" w:ascii="仿宋_GB2312" w:hAnsi="仿宋_GB2312" w:eastAsia="仿宋_GB2312" w:cs="仿宋_GB2312"/>
                <w:b/>
                <w:bCs/>
                <w:color w:val="auto"/>
                <w:kern w:val="0"/>
                <w:sz w:val="24"/>
                <w:szCs w:val="24"/>
                <w:highlight w:val="none"/>
                <w:u w:val="none"/>
                <w:lang w:val="en-US" w:eastAsia="zh-CN"/>
              </w:rPr>
              <w:t>2</w:t>
            </w:r>
            <w:r>
              <w:rPr>
                <w:rFonts w:hint="eastAsia" w:ascii="仿宋_GB2312" w:hAnsi="仿宋_GB2312" w:eastAsia="仿宋_GB2312" w:cs="仿宋_GB2312"/>
                <w:b/>
                <w:bCs/>
                <w:color w:val="auto"/>
                <w:kern w:val="0"/>
                <w:sz w:val="24"/>
                <w:szCs w:val="24"/>
                <w:highlight w:val="none"/>
                <w:u w:val="none"/>
              </w:rPr>
              <w:t>间计算机网络教室</w:t>
            </w:r>
            <w:r>
              <w:rPr>
                <w:rStyle w:val="596"/>
                <w:rFonts w:hint="eastAsia" w:ascii="仿宋_GB2312" w:eastAsia="仿宋_GB2312"/>
                <w:color w:val="auto"/>
                <w:highlight w:val="none"/>
                <w:u w:val="none"/>
                <w:lang w:eastAsia="zh-CN"/>
              </w:rPr>
              <w:t>”</w:t>
            </w:r>
            <w:r>
              <w:rPr>
                <w:rFonts w:hint="eastAsia" w:ascii="仿宋_GB2312" w:eastAsia="仿宋_GB2312"/>
                <w:b/>
                <w:bCs/>
                <w:color w:val="auto"/>
                <w:highlight w:val="none"/>
                <w:u w:val="none"/>
              </w:rPr>
              <w:t>的第1、2、4-</w:t>
            </w:r>
            <w:r>
              <w:rPr>
                <w:rFonts w:hint="eastAsia" w:ascii="仿宋_GB2312" w:eastAsia="仿宋_GB2312"/>
                <w:b/>
                <w:bCs/>
                <w:color w:val="auto"/>
                <w:highlight w:val="none"/>
                <w:u w:val="none"/>
                <w:lang w:val="en-US" w:eastAsia="zh-CN"/>
              </w:rPr>
              <w:t>8</w:t>
            </w:r>
            <w:r>
              <w:rPr>
                <w:rFonts w:hint="eastAsia" w:ascii="仿宋_GB2312" w:eastAsia="仿宋_GB2312"/>
                <w:b/>
                <w:bCs/>
                <w:color w:val="auto"/>
                <w:highlight w:val="none"/>
                <w:u w:val="none"/>
              </w:rPr>
              <w:t>项</w:t>
            </w:r>
            <w:r>
              <w:rPr>
                <w:rFonts w:hint="eastAsia" w:ascii="仿宋_GB2312" w:eastAsia="仿宋_GB2312"/>
                <w:b/>
                <w:bCs/>
                <w:color w:val="auto"/>
                <w:highlight w:val="none"/>
                <w:u w:val="none"/>
                <w:lang w:eastAsia="zh-CN"/>
              </w:rPr>
              <w:t>、“</w:t>
            </w:r>
            <w:r>
              <w:rPr>
                <w:rFonts w:hint="eastAsia" w:ascii="仿宋_GB2312" w:eastAsia="仿宋_GB2312"/>
                <w:b/>
                <w:bCs/>
                <w:color w:val="auto"/>
                <w:highlight w:val="none"/>
                <w:u w:val="none"/>
              </w:rPr>
              <w:t>（</w:t>
            </w:r>
            <w:r>
              <w:rPr>
                <w:rFonts w:hint="eastAsia" w:ascii="仿宋_GB2312" w:eastAsia="仿宋_GB2312"/>
                <w:b/>
                <w:bCs/>
                <w:color w:val="auto"/>
                <w:highlight w:val="none"/>
                <w:u w:val="none"/>
                <w:lang w:eastAsia="zh-CN"/>
              </w:rPr>
              <w:t>二</w:t>
            </w:r>
            <w:r>
              <w:rPr>
                <w:rFonts w:hint="eastAsia" w:ascii="仿宋_GB2312" w:eastAsia="仿宋_GB2312"/>
                <w:b/>
                <w:bCs/>
                <w:color w:val="auto"/>
                <w:highlight w:val="none"/>
                <w:u w:val="none"/>
              </w:rPr>
              <w:t>）</w:t>
            </w:r>
            <w:r>
              <w:rPr>
                <w:rFonts w:hint="eastAsia" w:ascii="仿宋_GB2312" w:hAnsi="仿宋_GB2312" w:eastAsia="仿宋_GB2312" w:cs="仿宋_GB2312"/>
                <w:b/>
                <w:bCs/>
                <w:color w:val="auto"/>
                <w:kern w:val="0"/>
                <w:sz w:val="24"/>
                <w:szCs w:val="24"/>
                <w:highlight w:val="none"/>
                <w:u w:val="none"/>
                <w:lang w:val="en-US" w:eastAsia="zh-CN"/>
              </w:rPr>
              <w:t>33套普通教室互动平板一体机教学系统</w:t>
            </w:r>
            <w:r>
              <w:rPr>
                <w:rFonts w:hint="eastAsia" w:ascii="仿宋_GB2312" w:eastAsia="仿宋_GB2312"/>
                <w:b/>
                <w:bCs/>
                <w:color w:val="auto"/>
                <w:highlight w:val="none"/>
                <w:u w:val="none"/>
                <w:lang w:eastAsia="zh-CN"/>
              </w:rPr>
              <w:t>”</w:t>
            </w:r>
            <w:r>
              <w:rPr>
                <w:rFonts w:hint="eastAsia" w:ascii="仿宋_GB2312" w:eastAsia="仿宋_GB2312"/>
                <w:b/>
                <w:bCs/>
                <w:color w:val="auto"/>
                <w:highlight w:val="none"/>
                <w:u w:val="none"/>
              </w:rPr>
              <w:t>的1-5项为工业，</w:t>
            </w:r>
            <w:r>
              <w:rPr>
                <w:rStyle w:val="596"/>
                <w:rFonts w:hint="eastAsia" w:ascii="仿宋_GB2312" w:eastAsia="仿宋_GB2312"/>
                <w:color w:val="auto"/>
                <w:highlight w:val="none"/>
                <w:u w:val="none"/>
                <w:lang w:eastAsia="zh-CN"/>
              </w:rPr>
              <w:t>“</w:t>
            </w:r>
            <w:r>
              <w:rPr>
                <w:rFonts w:hint="eastAsia" w:ascii="仿宋_GB2312" w:eastAsia="仿宋_GB2312"/>
                <w:b/>
                <w:bCs/>
                <w:color w:val="auto"/>
                <w:highlight w:val="none"/>
                <w:u w:val="none"/>
              </w:rPr>
              <w:t>（</w:t>
            </w:r>
            <w:r>
              <w:rPr>
                <w:rFonts w:hint="eastAsia" w:ascii="仿宋_GB2312" w:eastAsia="仿宋_GB2312"/>
                <w:b/>
                <w:bCs/>
                <w:color w:val="auto"/>
                <w:highlight w:val="none"/>
                <w:u w:val="none"/>
                <w:lang w:eastAsia="zh-CN"/>
              </w:rPr>
              <w:t>一</w:t>
            </w:r>
            <w:r>
              <w:rPr>
                <w:rFonts w:hint="eastAsia" w:ascii="仿宋_GB2312" w:eastAsia="仿宋_GB2312"/>
                <w:b/>
                <w:bCs/>
                <w:color w:val="auto"/>
                <w:highlight w:val="none"/>
                <w:u w:val="none"/>
              </w:rPr>
              <w:t>）</w:t>
            </w:r>
            <w:r>
              <w:rPr>
                <w:rFonts w:hint="eastAsia" w:ascii="仿宋_GB2312" w:hAnsi="仿宋_GB2312" w:eastAsia="仿宋_GB2312" w:cs="仿宋_GB2312"/>
                <w:b/>
                <w:bCs/>
                <w:color w:val="auto"/>
                <w:kern w:val="0"/>
                <w:sz w:val="24"/>
                <w:szCs w:val="24"/>
                <w:highlight w:val="none"/>
                <w:u w:val="none"/>
                <w:lang w:val="en-US" w:eastAsia="zh-CN"/>
              </w:rPr>
              <w:t>2</w:t>
            </w:r>
            <w:r>
              <w:rPr>
                <w:rFonts w:hint="eastAsia" w:ascii="仿宋_GB2312" w:hAnsi="仿宋_GB2312" w:eastAsia="仿宋_GB2312" w:cs="仿宋_GB2312"/>
                <w:b/>
                <w:bCs/>
                <w:color w:val="auto"/>
                <w:kern w:val="0"/>
                <w:sz w:val="24"/>
                <w:szCs w:val="24"/>
                <w:highlight w:val="none"/>
                <w:u w:val="none"/>
              </w:rPr>
              <w:t>间计算机网络教室</w:t>
            </w:r>
            <w:r>
              <w:rPr>
                <w:rStyle w:val="596"/>
                <w:rFonts w:hint="eastAsia" w:ascii="仿宋_GB2312" w:eastAsia="仿宋_GB2312"/>
                <w:color w:val="auto"/>
                <w:highlight w:val="none"/>
                <w:u w:val="none"/>
                <w:lang w:eastAsia="zh-CN"/>
              </w:rPr>
              <w:t>”</w:t>
            </w:r>
            <w:r>
              <w:rPr>
                <w:rFonts w:hint="eastAsia" w:ascii="仿宋_GB2312" w:eastAsia="仿宋_GB2312"/>
                <w:b/>
                <w:bCs/>
                <w:color w:val="auto"/>
                <w:highlight w:val="none"/>
                <w:u w:val="none"/>
              </w:rPr>
              <w:t>的第3项为软件与信息技术服务业，其余不</w:t>
            </w:r>
            <w:r>
              <w:rPr>
                <w:rFonts w:hint="eastAsia" w:ascii="仿宋_GB2312" w:eastAsia="仿宋_GB2312"/>
                <w:b/>
                <w:bCs/>
                <w:color w:val="auto"/>
                <w:highlight w:val="none"/>
                <w:u w:val="none"/>
                <w:lang w:val="en-US" w:eastAsia="zh-CN"/>
              </w:rPr>
              <w:t>作中小企业</w:t>
            </w:r>
            <w:r>
              <w:rPr>
                <w:rFonts w:hint="eastAsia" w:ascii="仿宋_GB2312" w:eastAsia="仿宋_GB2312"/>
                <w:b/>
                <w:bCs/>
                <w:color w:val="auto"/>
                <w:highlight w:val="none"/>
                <w:u w:val="none"/>
              </w:rPr>
              <w:t>划分</w:t>
            </w:r>
            <w:r>
              <w:rPr>
                <w:rFonts w:hint="eastAsia" w:ascii="仿宋_GB2312" w:eastAsia="仿宋_GB2312"/>
                <w:b/>
                <w:bCs/>
                <w:color w:val="auto"/>
                <w:highlight w:val="none"/>
                <w:u w:val="none"/>
                <w:lang w:val="en-US" w:eastAsia="zh-CN"/>
              </w:rPr>
              <w:t>要求；</w:t>
            </w:r>
          </w:p>
          <w:p w14:paraId="36F4B41C">
            <w:pPr>
              <w:pStyle w:val="595"/>
              <w:spacing w:before="0" w:beforeAutospacing="0" w:after="0" w:afterAutospacing="0" w:line="460" w:lineRule="atLeast"/>
              <w:rPr>
                <w:rFonts w:hint="eastAsia" w:ascii="仿宋_GB2312" w:eastAsia="仿宋_GB2312"/>
                <w:color w:val="auto"/>
                <w:highlight w:val="none"/>
              </w:rPr>
            </w:pPr>
            <w:r>
              <w:rPr>
                <w:rStyle w:val="596"/>
                <w:rFonts w:hint="eastAsia" w:ascii="仿宋_GB2312" w:eastAsia="仿宋_GB2312"/>
                <w:color w:val="auto"/>
                <w:highlight w:val="none"/>
              </w:rPr>
              <w:t>（2）中小企业划分有关标准根据工信部等部委发布的《关于印发中小企业划型标准规定的通知》（工信部联企业〔2011〕300号）确定；</w:t>
            </w:r>
          </w:p>
          <w:p w14:paraId="445DC8FF">
            <w:pPr>
              <w:pStyle w:val="595"/>
              <w:spacing w:before="0" w:beforeAutospacing="0" w:after="0" w:afterAutospacing="0" w:line="460" w:lineRule="atLeast"/>
              <w:rPr>
                <w:rFonts w:hint="eastAsia" w:ascii="仿宋_GB2312" w:eastAsia="仿宋_GB2312"/>
                <w:color w:val="auto"/>
                <w:highlight w:val="none"/>
              </w:rPr>
            </w:pPr>
            <w:r>
              <w:rPr>
                <w:rStyle w:val="596"/>
                <w:rFonts w:hint="eastAsia" w:ascii="仿宋_GB2312" w:eastAsia="仿宋_GB2312"/>
                <w:color w:val="auto"/>
                <w:highlight w:val="none"/>
              </w:rPr>
              <w:t>（3）为方便投标人识别企业规模类型，投标人可使用工业和信息化部组织开发的中小企业规模类型自测小程序生成企业规模类型测试结果。自测小程序链接：https://baosong.miit.gov.cn/ScaleTest</w:t>
            </w:r>
          </w:p>
          <w:p w14:paraId="071711A1">
            <w:pPr>
              <w:pStyle w:val="595"/>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2.《财政部、司法部关于政府采购支持监狱企业发展有关问题的通知》（财库〔2014〕68号）；</w:t>
            </w:r>
          </w:p>
          <w:p w14:paraId="7E893941">
            <w:pPr>
              <w:pStyle w:val="595"/>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3.《财政部 民政部 中国残疾人联合会关于促进残疾人就业政府采购政策的通知》（财库〔2017〕141号）；</w:t>
            </w:r>
          </w:p>
          <w:p w14:paraId="71B7FA37">
            <w:pPr>
              <w:pStyle w:val="595"/>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14:paraId="1BDA7C6F">
            <w:pPr>
              <w:pStyle w:val="595"/>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5.财政部 生态环境部《关于印发环境标志产品政府采购品目清单的通知》（财库〔2019〕18号）；</w:t>
            </w:r>
          </w:p>
          <w:p w14:paraId="607BAB21">
            <w:pPr>
              <w:pStyle w:val="595"/>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6.财政部 发展改革委《关于印发节能产品政府采购品目清单的通知》（财库〔2019〕19号）；</w:t>
            </w:r>
          </w:p>
          <w:p w14:paraId="7D70C363">
            <w:pPr>
              <w:pStyle w:val="595"/>
              <w:spacing w:before="0" w:beforeAutospacing="0" w:after="0" w:afterAutospacing="0" w:line="460" w:lineRule="atLeast"/>
              <w:rPr>
                <w:rFonts w:hint="eastAsia" w:ascii="仿宋_GB2312" w:eastAsia="仿宋_GB2312"/>
                <w:color w:val="auto"/>
                <w:highlight w:val="none"/>
              </w:rPr>
            </w:pPr>
            <w:r>
              <w:rPr>
                <w:rStyle w:val="596"/>
                <w:rFonts w:hint="eastAsia" w:ascii="仿宋_GB2312" w:eastAsia="仿宋_GB2312"/>
                <w:color w:val="auto"/>
                <w:highlight w:val="none"/>
              </w:rPr>
              <w:t>7.国务院办公厅关于在政府采购中实施本国产品标准及相关政策的通知（国办发〔2025〕34号）。</w:t>
            </w:r>
          </w:p>
          <w:p w14:paraId="79C5AF20">
            <w:pPr>
              <w:pStyle w:val="595"/>
              <w:spacing w:before="0" w:beforeAutospacing="0" w:after="0" w:afterAutospacing="0" w:line="460" w:lineRule="atLeast"/>
              <w:rPr>
                <w:rFonts w:hint="eastAsia" w:ascii="仿宋_GB2312" w:eastAsia="仿宋_GB2312"/>
                <w:color w:val="auto"/>
                <w:highlight w:val="none"/>
              </w:rPr>
            </w:pPr>
            <w:r>
              <w:rPr>
                <w:rStyle w:val="596"/>
                <w:rFonts w:hint="eastAsia" w:ascii="仿宋_GB2312" w:eastAsia="仿宋_GB2312"/>
                <w:color w:val="auto"/>
                <w:highlight w:val="none"/>
              </w:rPr>
              <w:t>本国产品标准的适用范围：</w:t>
            </w:r>
            <w:r>
              <w:rPr>
                <w:rFonts w:hint="eastAsia" w:ascii="仿宋_GB2312" w:eastAsia="仿宋_GB2312"/>
                <w:color w:val="auto"/>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9BE06D4">
            <w:pPr>
              <w:pStyle w:val="595"/>
              <w:spacing w:before="0" w:beforeAutospacing="0" w:after="0" w:afterAutospacing="0" w:line="460" w:lineRule="atLeast"/>
              <w:rPr>
                <w:rFonts w:hint="eastAsia" w:ascii="仿宋_GB2312" w:eastAsia="仿宋_GB2312"/>
                <w:color w:val="auto"/>
                <w:highlight w:val="none"/>
              </w:rPr>
            </w:pPr>
            <w:r>
              <w:rPr>
                <w:rStyle w:val="596"/>
                <w:rFonts w:hint="eastAsia" w:ascii="仿宋_GB2312" w:eastAsia="仿宋_GB2312"/>
                <w:color w:val="auto"/>
                <w:highlight w:val="none"/>
              </w:rPr>
              <w:t>本国产品应当符合以下条件：</w:t>
            </w:r>
            <w:r>
              <w:rPr>
                <w:rFonts w:hint="eastAsia" w:ascii="仿宋_GB2312" w:eastAsia="仿宋_GB2312"/>
                <w:color w:val="auto"/>
                <w:highlight w:val="none"/>
              </w:rPr>
              <w:t>产品应当在中国境内生产，即在中华人民共和国关境内实现从原材料、组件到产品的属性改变。属性改变是指经过制造、加工或者组装等工序，产生完全不同于原材料、组件的新产品，并具有新的名称和特征（用途）。</w:t>
            </w:r>
          </w:p>
          <w:p w14:paraId="51CED283">
            <w:pPr>
              <w:pStyle w:val="595"/>
              <w:spacing w:before="0" w:beforeAutospacing="0" w:after="0" w:afterAutospacing="0" w:line="460" w:lineRule="atLeast"/>
              <w:rPr>
                <w:rFonts w:hint="eastAsia" w:ascii="仿宋_GB2312" w:eastAsia="仿宋_GB2312"/>
                <w:color w:val="auto"/>
                <w:highlight w:val="none"/>
              </w:rPr>
            </w:pPr>
            <w:r>
              <w:rPr>
                <w:rStyle w:val="596"/>
                <w:rFonts w:hint="eastAsia" w:ascii="仿宋_GB2312" w:eastAsia="仿宋_GB2312"/>
                <w:color w:val="auto"/>
                <w:highlight w:val="none"/>
              </w:rPr>
              <w:t>对本国产品的支持政策：</w:t>
            </w:r>
            <w:r>
              <w:rPr>
                <w:rFonts w:hint="eastAsia" w:ascii="仿宋_GB2312" w:eastAsia="仿宋_GB2312"/>
                <w:color w:val="auto"/>
                <w:highlight w:val="none"/>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6502200E">
            <w:pPr>
              <w:pStyle w:val="595"/>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7E79E8FB">
            <w:pPr>
              <w:pStyle w:val="595"/>
              <w:spacing w:before="0" w:beforeAutospacing="0" w:after="0" w:afterAutospacing="0" w:line="460" w:lineRule="atLeast"/>
              <w:rPr>
                <w:rFonts w:hint="eastAsia" w:ascii="仿宋_GB2312" w:eastAsia="仿宋_GB2312"/>
                <w:color w:val="auto"/>
                <w:highlight w:val="none"/>
              </w:rPr>
            </w:pPr>
            <w:r>
              <w:rPr>
                <w:rStyle w:val="596"/>
                <w:rFonts w:hint="eastAsia" w:ascii="仿宋_GB2312" w:eastAsia="仿宋_GB2312"/>
                <w:color w:val="auto"/>
                <w:highlight w:val="none"/>
              </w:rPr>
              <w:t>供应商应提供的证明文件：</w:t>
            </w:r>
            <w:r>
              <w:rPr>
                <w:rFonts w:hint="eastAsia" w:ascii="仿宋_GB2312" w:eastAsia="仿宋_GB2312"/>
                <w:color w:val="auto"/>
                <w:highlight w:val="none"/>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2877E1CA">
            <w:pPr>
              <w:pStyle w:val="595"/>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14:paraId="6038B123">
            <w:pPr>
              <w:pStyle w:val="595"/>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若供应商依法享受本国产品优惠政策的，供应商提供的声明函或有关证明文件应当随中标结果同时公告。其他未尽事宜按照《国务院办公厅关于在政府采购中实施本国产品标准及相关政策的通知》（国办发〔2025〕34号）执行。</w:t>
            </w:r>
          </w:p>
        </w:tc>
      </w:tr>
      <w:tr w14:paraId="14DC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gridSpan w:val="2"/>
            <w:vAlign w:val="center"/>
          </w:tcPr>
          <w:p w14:paraId="202C20F4">
            <w:pPr>
              <w:snapToGrid w:val="0"/>
              <w:spacing w:line="400" w:lineRule="exact"/>
              <w:jc w:val="center"/>
              <w:rPr>
                <w:rFonts w:hint="eastAsia" w:ascii="仿宋_GB2312" w:hAnsi="宋体" w:eastAsia="仿宋_GB2312" w:cs="Arial"/>
                <w:bCs/>
                <w:color w:val="auto"/>
                <w:sz w:val="24"/>
                <w:highlight w:val="none"/>
              </w:rPr>
            </w:pPr>
            <w:r>
              <w:rPr>
                <w:rFonts w:ascii="仿宋_GB2312" w:hAnsi="仿宋_GB2312" w:eastAsia="仿宋_GB2312" w:cs="仿宋_GB2312"/>
                <w:bCs/>
                <w:color w:val="auto"/>
                <w:sz w:val="24"/>
                <w:szCs w:val="21"/>
                <w:highlight w:val="none"/>
              </w:rPr>
              <w:t xml:space="preserve">质量管理、企业信用要求（如有） </w:t>
            </w:r>
          </w:p>
        </w:tc>
        <w:tc>
          <w:tcPr>
            <w:tcW w:w="7763" w:type="dxa"/>
            <w:vAlign w:val="center"/>
          </w:tcPr>
          <w:p w14:paraId="34A6C48F">
            <w:pPr>
              <w:pStyle w:val="616"/>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1.投标人或所投核心产品生产厂商具备有效的质量管理体系认证证书；</w:t>
            </w:r>
            <w:r>
              <w:rPr>
                <w:rFonts w:hint="eastAsia" w:ascii="仿宋_GB2312" w:eastAsia="仿宋_GB2312"/>
                <w:color w:val="auto"/>
                <w:highlight w:val="none"/>
              </w:rPr>
              <w:br w:type="textWrapping"/>
            </w:r>
            <w:r>
              <w:rPr>
                <w:rFonts w:hint="eastAsia" w:ascii="仿宋_GB2312" w:eastAsia="仿宋_GB2312"/>
                <w:color w:val="auto"/>
                <w:highlight w:val="none"/>
              </w:rPr>
              <w:t>2.投标人或所投核心产品生产厂商具备有效的环境管理体系认证证书；</w:t>
            </w:r>
            <w:r>
              <w:rPr>
                <w:rFonts w:hint="eastAsia" w:ascii="仿宋_GB2312" w:eastAsia="仿宋_GB2312"/>
                <w:color w:val="auto"/>
                <w:highlight w:val="none"/>
              </w:rPr>
              <w:br w:type="textWrapping"/>
            </w:r>
            <w:r>
              <w:rPr>
                <w:rFonts w:hint="eastAsia" w:ascii="仿宋_GB2312" w:eastAsia="仿宋_GB2312"/>
                <w:color w:val="auto"/>
                <w:highlight w:val="none"/>
              </w:rPr>
              <w:t>3.投标人或所投核心产品生产厂商具备有效的职业健康安全管理体系认证证书。</w:t>
            </w:r>
          </w:p>
        </w:tc>
      </w:tr>
      <w:tr w14:paraId="6243B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vAlign w:val="center"/>
          </w:tcPr>
          <w:p w14:paraId="04DB0B0D">
            <w:pPr>
              <w:snapToGrid w:val="0"/>
              <w:spacing w:line="440" w:lineRule="exact"/>
              <w:rPr>
                <w:rFonts w:ascii="仿宋_GB2312" w:hAnsi="Courier New" w:eastAsia="仿宋_GB2312" w:cs="Courier New"/>
                <w:bCs/>
                <w:color w:val="auto"/>
                <w:kern w:val="0"/>
                <w:sz w:val="24"/>
                <w:szCs w:val="21"/>
                <w:highlight w:val="none"/>
              </w:rPr>
            </w:pPr>
            <w:r>
              <w:rPr>
                <w:rFonts w:hint="eastAsia" w:ascii="仿宋_GB2312" w:hAnsi="宋体" w:eastAsia="仿宋_GB2312" w:cs="Courier New"/>
                <w:b/>
                <w:bCs/>
                <w:color w:val="auto"/>
                <w:kern w:val="0"/>
                <w:sz w:val="24"/>
                <w:szCs w:val="21"/>
                <w:highlight w:val="none"/>
              </w:rPr>
              <w:t>五、其他要求</w:t>
            </w:r>
          </w:p>
        </w:tc>
      </w:tr>
      <w:tr w14:paraId="24C0F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1481" w:type="dxa"/>
            <w:vAlign w:val="center"/>
          </w:tcPr>
          <w:p w14:paraId="5AC04932">
            <w:pPr>
              <w:jc w:val="center"/>
              <w:rPr>
                <w:rFonts w:hint="eastAsia" w:ascii="仿宋_GB2312" w:hAnsi="宋体" w:eastAsia="仿宋_GB2312"/>
                <w:color w:val="auto"/>
                <w:sz w:val="24"/>
                <w:highlight w:val="none"/>
              </w:rPr>
            </w:pPr>
            <w:r>
              <w:rPr>
                <w:rFonts w:ascii="仿宋_GB2312" w:hAnsi="宋体" w:eastAsia="仿宋_GB2312" w:cs="宋体"/>
                <w:bCs/>
                <w:color w:val="auto"/>
                <w:sz w:val="24"/>
                <w:highlight w:val="none"/>
              </w:rPr>
              <w:t>无</w:t>
            </w:r>
          </w:p>
        </w:tc>
        <w:tc>
          <w:tcPr>
            <w:tcW w:w="7823" w:type="dxa"/>
            <w:gridSpan w:val="2"/>
            <w:vAlign w:val="center"/>
          </w:tcPr>
          <w:p w14:paraId="1DC4DF8E">
            <w:pPr>
              <w:snapToGrid w:val="0"/>
              <w:spacing w:line="440" w:lineRule="exact"/>
              <w:jc w:val="left"/>
              <w:rPr>
                <w:rFonts w:ascii="仿宋_GB2312" w:eastAsia="仿宋_GB2312"/>
                <w:bCs/>
                <w:color w:val="auto"/>
                <w:kern w:val="0"/>
                <w:sz w:val="24"/>
                <w:highlight w:val="none"/>
              </w:rPr>
            </w:pPr>
            <w:r>
              <w:rPr>
                <w:rFonts w:ascii="仿宋_GB2312" w:eastAsia="仿宋_GB2312"/>
                <w:bCs/>
                <w:color w:val="auto"/>
                <w:kern w:val="0"/>
                <w:sz w:val="24"/>
                <w:highlight w:val="none"/>
              </w:rPr>
              <w:t xml:space="preserve"> </w:t>
            </w:r>
          </w:p>
        </w:tc>
      </w:tr>
    </w:tbl>
    <w:p w14:paraId="46ECD28A">
      <w:pPr>
        <w:spacing w:line="360" w:lineRule="auto"/>
        <w:rPr>
          <w:rFonts w:hint="eastAsia" w:ascii="仿宋_GB2312" w:hAnsi="宋体" w:eastAsia="仿宋_GB2312"/>
          <w:color w:val="auto"/>
          <w:sz w:val="24"/>
          <w:highlight w:val="none"/>
        </w:rPr>
      </w:pPr>
    </w:p>
    <w:p w14:paraId="0CE810F8">
      <w:pPr>
        <w:rPr>
          <w:color w:val="auto"/>
          <w:highlight w:val="none"/>
        </w:rPr>
        <w:sectPr>
          <w:pgSz w:w="11906" w:h="16838"/>
          <w:pgMar w:top="1440" w:right="1440" w:bottom="1440" w:left="1440" w:header="851" w:footer="992" w:gutter="0"/>
          <w:cols w:space="720" w:num="1"/>
          <w:docGrid w:linePitch="312" w:charSpace="0"/>
        </w:sectPr>
      </w:pPr>
    </w:p>
    <w:p w14:paraId="1422A870">
      <w:pPr>
        <w:pStyle w:val="4"/>
        <w:spacing w:line="276" w:lineRule="auto"/>
        <w:jc w:val="center"/>
        <w:rPr>
          <w:color w:val="auto"/>
          <w:sz w:val="32"/>
          <w:szCs w:val="32"/>
          <w:highlight w:val="none"/>
        </w:rPr>
      </w:pPr>
      <w:bookmarkStart w:id="27" w:name="_Toc29711"/>
      <w:bookmarkStart w:id="28" w:name="_Toc28571"/>
      <w:r>
        <w:rPr>
          <w:rFonts w:hint="eastAsia"/>
          <w:color w:val="auto"/>
          <w:sz w:val="32"/>
          <w:szCs w:val="32"/>
          <w:highlight w:val="none"/>
        </w:rPr>
        <w:t>第三章 投标人须知</w:t>
      </w:r>
      <w:bookmarkEnd w:id="27"/>
      <w:bookmarkEnd w:id="28"/>
    </w:p>
    <w:p w14:paraId="10A49C25">
      <w:pPr>
        <w:spacing w:line="276" w:lineRule="auto"/>
        <w:jc w:val="center"/>
        <w:rPr>
          <w:rFonts w:ascii="仿宋_GB2312" w:eastAsia="仿宋_GB2312"/>
          <w:b/>
          <w:color w:val="auto"/>
          <w:sz w:val="28"/>
          <w:szCs w:val="28"/>
          <w:highlight w:val="none"/>
        </w:rPr>
      </w:pPr>
      <w:r>
        <w:rPr>
          <w:rFonts w:hint="eastAsia" w:ascii="仿宋_GB2312" w:eastAsia="仿宋_GB2312"/>
          <w:b/>
          <w:color w:val="auto"/>
          <w:sz w:val="28"/>
          <w:szCs w:val="28"/>
          <w:highlight w:val="none"/>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36A6E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1606E78C">
            <w:pPr>
              <w:spacing w:line="400" w:lineRule="exact"/>
              <w:jc w:val="center"/>
              <w:rPr>
                <w:rFonts w:ascii="仿宋_GB2312" w:eastAsia="仿宋_GB2312"/>
                <w:b/>
                <w:color w:val="auto"/>
                <w:sz w:val="24"/>
                <w:highlight w:val="none"/>
              </w:rPr>
            </w:pPr>
            <w:r>
              <w:rPr>
                <w:rFonts w:hint="eastAsia" w:ascii="仿宋_GB2312" w:eastAsia="仿宋_GB2312"/>
                <w:b/>
                <w:color w:val="auto"/>
                <w:sz w:val="24"/>
                <w:highlight w:val="none"/>
              </w:rPr>
              <w:t>序号</w:t>
            </w:r>
          </w:p>
        </w:tc>
        <w:tc>
          <w:tcPr>
            <w:tcW w:w="8232" w:type="dxa"/>
          </w:tcPr>
          <w:p w14:paraId="21EDB0DD">
            <w:pPr>
              <w:spacing w:line="400" w:lineRule="exact"/>
              <w:jc w:val="center"/>
              <w:rPr>
                <w:rFonts w:ascii="仿宋_GB2312" w:eastAsia="仿宋_GB2312"/>
                <w:b/>
                <w:color w:val="auto"/>
                <w:sz w:val="24"/>
                <w:highlight w:val="none"/>
              </w:rPr>
            </w:pPr>
            <w:r>
              <w:rPr>
                <w:rFonts w:hint="eastAsia" w:ascii="仿宋_GB2312" w:eastAsia="仿宋_GB2312"/>
                <w:b/>
                <w:color w:val="auto"/>
                <w:sz w:val="24"/>
                <w:highlight w:val="none"/>
              </w:rPr>
              <w:t>内    容</w:t>
            </w:r>
          </w:p>
        </w:tc>
      </w:tr>
      <w:tr w14:paraId="1ED02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B1E5111">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w:t>
            </w:r>
          </w:p>
        </w:tc>
        <w:tc>
          <w:tcPr>
            <w:tcW w:w="8232" w:type="dxa"/>
            <w:vAlign w:val="center"/>
          </w:tcPr>
          <w:p w14:paraId="1518C9F4">
            <w:pPr>
              <w:spacing w:line="400" w:lineRule="exact"/>
              <w:rPr>
                <w:rFonts w:ascii="仿宋_GB2312" w:eastAsia="仿宋_GB2312"/>
                <w:color w:val="auto"/>
                <w:sz w:val="24"/>
                <w:highlight w:val="none"/>
              </w:rPr>
            </w:pPr>
            <w:r>
              <w:rPr>
                <w:rFonts w:hint="eastAsia" w:ascii="仿宋_GB2312" w:eastAsia="仿宋_GB2312"/>
                <w:color w:val="auto"/>
                <w:sz w:val="24"/>
                <w:highlight w:val="none"/>
              </w:rPr>
              <w:t>项目名称：</w:t>
            </w:r>
            <w:r>
              <w:rPr>
                <w:rFonts w:ascii="仿宋_GB2312" w:hAnsi="宋体" w:eastAsia="仿宋_GB2312"/>
                <w:color w:val="auto"/>
                <w:sz w:val="24"/>
                <w:highlight w:val="none"/>
              </w:rPr>
              <w:t>中小学增补设备采购</w:t>
            </w:r>
          </w:p>
          <w:p w14:paraId="730841C5">
            <w:pPr>
              <w:spacing w:line="400" w:lineRule="exact"/>
              <w:rPr>
                <w:rFonts w:ascii="仿宋_GB2312" w:eastAsia="仿宋_GB2312"/>
                <w:color w:val="auto"/>
                <w:sz w:val="24"/>
                <w:highlight w:val="none"/>
              </w:rPr>
            </w:pPr>
            <w:r>
              <w:rPr>
                <w:rFonts w:hint="eastAsia" w:ascii="仿宋_GB2312" w:eastAsia="仿宋_GB2312"/>
                <w:color w:val="auto"/>
                <w:sz w:val="24"/>
                <w:highlight w:val="none"/>
              </w:rPr>
              <w:t>项目编号：</w:t>
            </w:r>
            <w:r>
              <w:rPr>
                <w:rFonts w:ascii="仿宋_GB2312" w:hAnsi="宋体" w:eastAsia="仿宋_GB2312"/>
                <w:color w:val="auto"/>
                <w:sz w:val="24"/>
                <w:highlight w:val="none"/>
              </w:rPr>
              <w:t>LZZC2026-G1-990433-LZSZ</w:t>
            </w:r>
          </w:p>
        </w:tc>
      </w:tr>
      <w:tr w14:paraId="432BB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35A2473">
            <w:pPr>
              <w:spacing w:line="400" w:lineRule="exact"/>
              <w:jc w:val="center"/>
              <w:rPr>
                <w:rFonts w:ascii="仿宋_GB2312" w:eastAsia="仿宋_GB2312"/>
                <w:color w:val="auto"/>
                <w:sz w:val="24"/>
                <w:highlight w:val="none"/>
              </w:rPr>
            </w:pPr>
            <w:r>
              <w:rPr>
                <w:rFonts w:ascii="仿宋_GB2312" w:eastAsia="仿宋_GB2312"/>
                <w:color w:val="auto"/>
                <w:sz w:val="24"/>
                <w:highlight w:val="none"/>
              </w:rPr>
              <w:t>2</w:t>
            </w:r>
          </w:p>
        </w:tc>
        <w:tc>
          <w:tcPr>
            <w:tcW w:w="8232" w:type="dxa"/>
          </w:tcPr>
          <w:p w14:paraId="3434FA7D">
            <w:pPr>
              <w:autoSpaceDE w:val="0"/>
              <w:autoSpaceDN w:val="0"/>
              <w:spacing w:line="400" w:lineRule="exact"/>
              <w:textAlignment w:val="bottom"/>
              <w:rPr>
                <w:rFonts w:ascii="仿宋_GB2312" w:eastAsia="仿宋_GB2312"/>
                <w:color w:val="auto"/>
                <w:sz w:val="24"/>
                <w:highlight w:val="none"/>
              </w:rPr>
            </w:pPr>
            <w:r>
              <w:rPr>
                <w:rFonts w:hint="eastAsia" w:ascii="仿宋_GB2312" w:eastAsia="仿宋_GB2312"/>
                <w:color w:val="auto"/>
                <w:sz w:val="24"/>
                <w:highlight w:val="none"/>
              </w:rPr>
              <w:t>采购资金来源：财政性资金</w:t>
            </w:r>
          </w:p>
          <w:p w14:paraId="1283C5F2">
            <w:pPr>
              <w:autoSpaceDE w:val="0"/>
              <w:autoSpaceDN w:val="0"/>
              <w:spacing w:line="400" w:lineRule="exact"/>
              <w:textAlignment w:val="bottom"/>
              <w:rPr>
                <w:rFonts w:ascii="仿宋_GB2312" w:eastAsia="仿宋_GB2312"/>
                <w:color w:val="auto"/>
                <w:sz w:val="24"/>
                <w:highlight w:val="none"/>
              </w:rPr>
            </w:pPr>
            <w:r>
              <w:rPr>
                <w:rFonts w:hint="eastAsia" w:ascii="仿宋_GB2312" w:eastAsia="仿宋_GB2312"/>
                <w:color w:val="auto"/>
                <w:sz w:val="24"/>
                <w:highlight w:val="none"/>
              </w:rPr>
              <w:t>预算金额（人民币）：</w:t>
            </w:r>
          </w:p>
          <w:p w14:paraId="6F7A556A">
            <w:pPr>
              <w:autoSpaceDE w:val="0"/>
              <w:autoSpaceDN w:val="0"/>
              <w:spacing w:line="400" w:lineRule="exact"/>
              <w:textAlignment w:val="bottom"/>
              <w:rPr>
                <w:rFonts w:ascii="仿宋_GB2312" w:eastAsia="仿宋_GB2312"/>
                <w:color w:val="auto"/>
                <w:sz w:val="24"/>
                <w:highlight w:val="none"/>
              </w:rPr>
            </w:pPr>
            <w:r>
              <w:rPr>
                <w:rFonts w:hint="eastAsia" w:ascii="仿宋_GB2312" w:hAnsi="宋体" w:eastAsia="仿宋_GB2312"/>
                <w:color w:val="auto"/>
                <w:sz w:val="24"/>
                <w:highlight w:val="none"/>
              </w:rPr>
              <w:t>分标</w:t>
            </w:r>
            <w:r>
              <w:rPr>
                <w:rFonts w:hint="eastAsia" w:ascii="仿宋_GB2312" w:hAnsi="宋体" w:eastAsia="仿宋_GB2312"/>
                <w:color w:val="auto"/>
                <w:sz w:val="24"/>
                <w:highlight w:val="none"/>
                <w:lang w:val="en-US" w:eastAsia="zh-CN"/>
              </w:rPr>
              <w:t>1</w:t>
            </w:r>
            <w:r>
              <w:rPr>
                <w:rFonts w:hint="eastAsia" w:ascii="仿宋_GB2312" w:hAnsi="宋体" w:eastAsia="仿宋_GB2312"/>
                <w:color w:val="auto"/>
                <w:sz w:val="24"/>
                <w:highlight w:val="none"/>
              </w:rPr>
              <w:t>：壹佰柒拾叁万贰仟元整（¥1,732,000.00）；</w:t>
            </w:r>
            <w:r>
              <w:rPr>
                <w:rFonts w:hint="eastAsia" w:ascii="仿宋_GB2312" w:hAnsi="宋体" w:eastAsia="仿宋_GB2312"/>
                <w:color w:val="auto"/>
                <w:sz w:val="24"/>
                <w:highlight w:val="none"/>
              </w:rPr>
              <w:br w:type="textWrapping"/>
            </w:r>
            <w:r>
              <w:rPr>
                <w:rFonts w:hint="eastAsia" w:ascii="仿宋_GB2312" w:hAnsi="宋体" w:eastAsia="仿宋_GB2312"/>
                <w:color w:val="auto"/>
                <w:sz w:val="24"/>
                <w:highlight w:val="none"/>
              </w:rPr>
              <w:t>分标</w:t>
            </w:r>
            <w:r>
              <w:rPr>
                <w:rFonts w:hint="eastAsia" w:ascii="仿宋_GB2312" w:hAnsi="宋体" w:eastAsia="仿宋_GB2312"/>
                <w:color w:val="auto"/>
                <w:sz w:val="24"/>
                <w:highlight w:val="none"/>
                <w:lang w:val="en-US" w:eastAsia="zh-CN"/>
              </w:rPr>
              <w:t>2</w:t>
            </w:r>
            <w:r>
              <w:rPr>
                <w:rFonts w:hint="eastAsia" w:ascii="仿宋_GB2312" w:hAnsi="宋体" w:eastAsia="仿宋_GB2312"/>
                <w:color w:val="auto"/>
                <w:sz w:val="24"/>
                <w:highlight w:val="none"/>
              </w:rPr>
              <w:t>：壹佰伍拾陆万贰仟贰佰陆拾元整（¥1,562,260.00）。</w:t>
            </w:r>
          </w:p>
        </w:tc>
      </w:tr>
      <w:tr w14:paraId="6774A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1BE9225">
            <w:pPr>
              <w:spacing w:line="400" w:lineRule="exact"/>
              <w:jc w:val="center"/>
              <w:rPr>
                <w:rFonts w:ascii="仿宋_GB2312" w:eastAsia="仿宋_GB2312"/>
                <w:color w:val="auto"/>
                <w:sz w:val="24"/>
                <w:highlight w:val="none"/>
              </w:rPr>
            </w:pPr>
            <w:r>
              <w:rPr>
                <w:rFonts w:ascii="仿宋_GB2312" w:eastAsia="仿宋_GB2312"/>
                <w:color w:val="auto"/>
                <w:sz w:val="24"/>
                <w:highlight w:val="none"/>
              </w:rPr>
              <w:t>3</w:t>
            </w:r>
          </w:p>
        </w:tc>
        <w:tc>
          <w:tcPr>
            <w:tcW w:w="8232" w:type="dxa"/>
            <w:vAlign w:val="center"/>
          </w:tcPr>
          <w:p w14:paraId="76F96550">
            <w:pPr>
              <w:spacing w:line="400" w:lineRule="exact"/>
              <w:rPr>
                <w:rFonts w:ascii="仿宋_GB2312" w:eastAsia="仿宋_GB2312"/>
                <w:color w:val="auto"/>
                <w:sz w:val="24"/>
                <w:highlight w:val="none"/>
              </w:rPr>
            </w:pPr>
            <w:r>
              <w:rPr>
                <w:rFonts w:hint="eastAsia" w:ascii="仿宋_GB2312" w:eastAsia="仿宋_GB2312"/>
                <w:color w:val="auto"/>
                <w:sz w:val="24"/>
                <w:highlight w:val="none"/>
              </w:rPr>
              <w:t>投标报价及费用：</w:t>
            </w:r>
          </w:p>
          <w:p w14:paraId="58B0A007">
            <w:pPr>
              <w:spacing w:line="400" w:lineRule="exact"/>
              <w:rPr>
                <w:rFonts w:ascii="仿宋_GB2312" w:eastAsia="仿宋_GB2312"/>
                <w:color w:val="auto"/>
                <w:sz w:val="24"/>
                <w:highlight w:val="none"/>
              </w:rPr>
            </w:pPr>
            <w:r>
              <w:rPr>
                <w:rFonts w:hint="eastAsia" w:ascii="仿宋_GB2312" w:eastAsia="仿宋_GB2312"/>
                <w:color w:val="auto"/>
                <w:sz w:val="24"/>
                <w:highlight w:val="none"/>
              </w:rPr>
              <w:t>1.本项目投标应以人民币报价；</w:t>
            </w:r>
          </w:p>
          <w:p w14:paraId="0AF81106">
            <w:pPr>
              <w:spacing w:line="400" w:lineRule="exact"/>
              <w:rPr>
                <w:rFonts w:ascii="仿宋_GB2312" w:eastAsia="仿宋_GB2312"/>
                <w:color w:val="auto"/>
                <w:sz w:val="24"/>
                <w:highlight w:val="none"/>
              </w:rPr>
            </w:pPr>
            <w:r>
              <w:rPr>
                <w:rFonts w:hint="eastAsia" w:ascii="仿宋_GB2312" w:eastAsia="仿宋_GB2312"/>
                <w:color w:val="auto"/>
                <w:sz w:val="24"/>
                <w:highlight w:val="none"/>
              </w:rPr>
              <w:t>2.不论投标结果如何，投标人均应自行承担所有与投标有关的全部费用；</w:t>
            </w:r>
          </w:p>
          <w:p w14:paraId="69B1DCE8">
            <w:pPr>
              <w:spacing w:line="400" w:lineRule="exact"/>
              <w:rPr>
                <w:rFonts w:ascii="仿宋_GB2312" w:eastAsia="仿宋_GB2312"/>
                <w:color w:val="auto"/>
                <w:sz w:val="24"/>
                <w:highlight w:val="none"/>
              </w:rPr>
            </w:pPr>
            <w:r>
              <w:rPr>
                <w:rFonts w:hint="eastAsia" w:ascii="仿宋_GB2312" w:eastAsia="仿宋_GB2312"/>
                <w:color w:val="auto"/>
                <w:sz w:val="24"/>
                <w:highlight w:val="none"/>
              </w:rPr>
              <w:t>3.本次招标文件和代理服务费用全免。</w:t>
            </w:r>
          </w:p>
        </w:tc>
      </w:tr>
      <w:tr w14:paraId="43FDF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5373ADF1">
            <w:pPr>
              <w:spacing w:line="400" w:lineRule="exact"/>
              <w:jc w:val="center"/>
              <w:rPr>
                <w:rFonts w:ascii="仿宋_GB2312" w:eastAsia="仿宋_GB2312"/>
                <w:color w:val="auto"/>
                <w:sz w:val="24"/>
                <w:highlight w:val="none"/>
              </w:rPr>
            </w:pPr>
            <w:r>
              <w:rPr>
                <w:rFonts w:ascii="仿宋_GB2312" w:eastAsia="仿宋_GB2312"/>
                <w:color w:val="auto"/>
                <w:sz w:val="24"/>
                <w:highlight w:val="none"/>
              </w:rPr>
              <w:t>4</w:t>
            </w:r>
          </w:p>
        </w:tc>
        <w:tc>
          <w:tcPr>
            <w:tcW w:w="8232" w:type="dxa"/>
            <w:vAlign w:val="center"/>
          </w:tcPr>
          <w:p w14:paraId="17E4EA51">
            <w:pPr>
              <w:spacing w:line="400" w:lineRule="exact"/>
              <w:rPr>
                <w:rFonts w:ascii="仿宋_GB2312" w:eastAsia="仿宋_GB2312"/>
                <w:color w:val="auto"/>
                <w:sz w:val="24"/>
                <w:highlight w:val="none"/>
              </w:rPr>
            </w:pPr>
            <w:r>
              <w:rPr>
                <w:rFonts w:hint="eastAsia" w:ascii="仿宋_GB2312" w:eastAsia="仿宋_GB2312"/>
                <w:color w:val="auto"/>
                <w:sz w:val="24"/>
                <w:highlight w:val="none"/>
              </w:rPr>
              <w:t>投标保证金为：本项目无需提交投标保证金。</w:t>
            </w:r>
          </w:p>
        </w:tc>
      </w:tr>
      <w:tr w14:paraId="79620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EE23166">
            <w:pPr>
              <w:spacing w:line="400" w:lineRule="exact"/>
              <w:jc w:val="center"/>
              <w:rPr>
                <w:rFonts w:ascii="仿宋_GB2312" w:eastAsia="仿宋_GB2312"/>
                <w:color w:val="auto"/>
                <w:sz w:val="24"/>
                <w:highlight w:val="none"/>
              </w:rPr>
            </w:pPr>
            <w:r>
              <w:rPr>
                <w:rFonts w:ascii="仿宋_GB2312" w:eastAsia="仿宋_GB2312"/>
                <w:color w:val="auto"/>
                <w:sz w:val="24"/>
                <w:highlight w:val="none"/>
              </w:rPr>
              <w:t>5</w:t>
            </w:r>
          </w:p>
        </w:tc>
        <w:tc>
          <w:tcPr>
            <w:tcW w:w="8232" w:type="dxa"/>
            <w:vAlign w:val="center"/>
          </w:tcPr>
          <w:p w14:paraId="368DCF9A">
            <w:pPr>
              <w:spacing w:line="400" w:lineRule="exact"/>
              <w:rPr>
                <w:rFonts w:ascii="仿宋_GB2312" w:eastAsia="仿宋_GB2312"/>
                <w:color w:val="auto"/>
                <w:sz w:val="24"/>
                <w:highlight w:val="none"/>
              </w:rPr>
            </w:pPr>
            <w:r>
              <w:rPr>
                <w:rFonts w:hint="eastAsia" w:ascii="仿宋_GB2312" w:hAnsi="宋体" w:eastAsia="仿宋_GB2312"/>
                <w:color w:val="auto"/>
                <w:sz w:val="24"/>
                <w:highlight w:val="none"/>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color w:val="auto"/>
                <w:sz w:val="24"/>
                <w:highlight w:val="none"/>
              </w:rPr>
              <w:t>招标文件提供期限，并在财政部门指定的政府采购信息发布媒体上发布公告。</w:t>
            </w:r>
          </w:p>
        </w:tc>
      </w:tr>
      <w:tr w14:paraId="43225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84536C9">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6</w:t>
            </w:r>
          </w:p>
        </w:tc>
        <w:tc>
          <w:tcPr>
            <w:tcW w:w="8232" w:type="dxa"/>
            <w:vAlign w:val="center"/>
          </w:tcPr>
          <w:p w14:paraId="39EA6C04">
            <w:pPr>
              <w:pStyle w:val="676"/>
              <w:spacing w:before="0" w:beforeAutospacing="0" w:after="0" w:afterAutospacing="0" w:line="460" w:lineRule="atLeast"/>
              <w:rPr>
                <w:rFonts w:ascii="仿宋_GB2312" w:eastAsia="仿宋_GB2312"/>
                <w:color w:val="auto"/>
                <w:highlight w:val="none"/>
              </w:rPr>
            </w:pPr>
            <w:r>
              <w:rPr>
                <w:rStyle w:val="677"/>
                <w:rFonts w:hint="eastAsia" w:ascii="仿宋_GB2312" w:eastAsia="仿宋_GB2312"/>
                <w:color w:val="auto"/>
                <w:highlight w:val="none"/>
              </w:rPr>
              <w:t>电子投标文件：</w:t>
            </w:r>
            <w:r>
              <w:rPr>
                <w:rFonts w:hint="eastAsia" w:ascii="仿宋_GB2312" w:eastAsia="仿宋_GB2312"/>
                <w:b/>
                <w:bCs/>
                <w:color w:val="auto"/>
                <w:highlight w:val="none"/>
              </w:rPr>
              <w:br w:type="textWrapping"/>
            </w:r>
            <w:r>
              <w:rPr>
                <w:rStyle w:val="677"/>
                <w:rFonts w:hint="eastAsia" w:ascii="仿宋_GB2312" w:eastAsia="仿宋_GB2312"/>
                <w:color w:val="auto"/>
                <w:highlight w:val="none"/>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auto"/>
                <w:highlight w:val="none"/>
              </w:rPr>
              <w:br w:type="textWrapping"/>
            </w:r>
            <w:r>
              <w:rPr>
                <w:rStyle w:val="677"/>
                <w:rFonts w:hint="eastAsia" w:ascii="仿宋_GB2312" w:eastAsia="仿宋_GB2312"/>
                <w:color w:val="auto"/>
                <w:highlight w:val="none"/>
              </w:rPr>
              <w:t>2.未按规定传输提交电子投标文件的将被广西政府采购云平台拒绝。</w:t>
            </w:r>
            <w:r>
              <w:rPr>
                <w:rFonts w:hint="eastAsia" w:ascii="仿宋_GB2312" w:eastAsia="仿宋_GB2312"/>
                <w:b/>
                <w:bCs/>
                <w:color w:val="auto"/>
                <w:highlight w:val="none"/>
              </w:rPr>
              <w:br w:type="textWrapping"/>
            </w:r>
            <w:r>
              <w:rPr>
                <w:rStyle w:val="677"/>
                <w:rFonts w:hint="eastAsia" w:ascii="仿宋_GB2312" w:eastAsia="仿宋_GB2312"/>
                <w:color w:val="auto"/>
                <w:highlight w:val="none"/>
              </w:rPr>
              <w:t>3.电子投标文件成功提交后，投标人可自行打印投标文件接收回执。</w:t>
            </w:r>
          </w:p>
        </w:tc>
      </w:tr>
      <w:tr w14:paraId="1D535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37151CD">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7</w:t>
            </w:r>
          </w:p>
        </w:tc>
        <w:tc>
          <w:tcPr>
            <w:tcW w:w="8232" w:type="dxa"/>
            <w:vAlign w:val="center"/>
          </w:tcPr>
          <w:p w14:paraId="5632F26F">
            <w:pPr>
              <w:pStyle w:val="697"/>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投标文件提交截止时间及地点：详见公开招标公告。</w:t>
            </w:r>
          </w:p>
        </w:tc>
      </w:tr>
      <w:tr w14:paraId="3B231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6F6C38C">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8</w:t>
            </w:r>
          </w:p>
        </w:tc>
        <w:tc>
          <w:tcPr>
            <w:tcW w:w="8232" w:type="dxa"/>
            <w:vAlign w:val="center"/>
          </w:tcPr>
          <w:p w14:paraId="36360856">
            <w:pPr>
              <w:pStyle w:val="717"/>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开标时间：详见公开招标公告。</w:t>
            </w:r>
          </w:p>
        </w:tc>
      </w:tr>
      <w:tr w14:paraId="74316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EE1491E">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9</w:t>
            </w:r>
          </w:p>
        </w:tc>
        <w:tc>
          <w:tcPr>
            <w:tcW w:w="8232" w:type="dxa"/>
            <w:vAlign w:val="center"/>
          </w:tcPr>
          <w:p w14:paraId="73A8CFA6">
            <w:pPr>
              <w:pStyle w:val="737"/>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5E7D5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47DCC35">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10</w:t>
            </w:r>
          </w:p>
        </w:tc>
        <w:tc>
          <w:tcPr>
            <w:tcW w:w="8232" w:type="dxa"/>
            <w:vAlign w:val="center"/>
          </w:tcPr>
          <w:p w14:paraId="0FB3FB18">
            <w:pPr>
              <w:pStyle w:val="757"/>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评标方法：综合评分法</w:t>
            </w:r>
          </w:p>
        </w:tc>
      </w:tr>
      <w:tr w14:paraId="33549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F594DB5">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11</w:t>
            </w:r>
          </w:p>
        </w:tc>
        <w:tc>
          <w:tcPr>
            <w:tcW w:w="8232" w:type="dxa"/>
            <w:vAlign w:val="center"/>
          </w:tcPr>
          <w:p w14:paraId="22B4A9DC">
            <w:pPr>
              <w:pStyle w:val="777"/>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发布媒体：中国政府采购网（www.ccgp.gov.cn）、广西壮族自治区政府采购网（zfcg.gxzf.gov.cn）、柳州市政府采购网（zfcg.lzscz.liuzhou.gov.cn）。</w:t>
            </w:r>
          </w:p>
        </w:tc>
      </w:tr>
      <w:tr w14:paraId="08A86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15FB267">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12</w:t>
            </w:r>
          </w:p>
        </w:tc>
        <w:tc>
          <w:tcPr>
            <w:tcW w:w="8232" w:type="dxa"/>
            <w:vAlign w:val="center"/>
          </w:tcPr>
          <w:p w14:paraId="66273F96">
            <w:pPr>
              <w:pStyle w:val="797"/>
              <w:spacing w:before="0" w:beforeAutospacing="0" w:after="0" w:afterAutospacing="0" w:line="460" w:lineRule="atLeast"/>
              <w:rPr>
                <w:rFonts w:ascii="仿宋_GB2312" w:eastAsia="仿宋_GB2312"/>
                <w:color w:val="auto"/>
                <w:highlight w:val="none"/>
              </w:rPr>
            </w:pPr>
            <w:r>
              <w:rPr>
                <w:rStyle w:val="798"/>
                <w:rFonts w:hint="eastAsia" w:ascii="仿宋_GB2312" w:eastAsia="仿宋_GB2312"/>
                <w:color w:val="auto"/>
                <w:highlight w:val="none"/>
              </w:rPr>
              <w:t>一、信用信息使用规则：</w:t>
            </w:r>
            <w:r>
              <w:rPr>
                <w:rFonts w:hint="eastAsia" w:ascii="仿宋_GB2312" w:eastAsia="仿宋_GB2312"/>
                <w:color w:val="auto"/>
                <w:highlight w:val="none"/>
              </w:rPr>
              <w:br w:type="textWrapping"/>
            </w:r>
            <w:r>
              <w:rPr>
                <w:rFonts w:hint="eastAsia" w:ascii="仿宋_GB2312" w:eastAsia="仿宋_GB2312"/>
                <w:color w:val="auto"/>
                <w:highlight w:val="none"/>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auto"/>
                <w:highlight w:val="none"/>
              </w:rPr>
              <w:br w:type="textWrapping"/>
            </w:r>
            <w:r>
              <w:rPr>
                <w:rStyle w:val="798"/>
                <w:rFonts w:hint="eastAsia" w:ascii="仿宋_GB2312" w:eastAsia="仿宋_GB2312"/>
                <w:color w:val="auto"/>
                <w:highlight w:val="none"/>
              </w:rPr>
              <w:t>二、甄别方式：</w:t>
            </w:r>
            <w:r>
              <w:rPr>
                <w:rFonts w:hint="eastAsia" w:ascii="仿宋_GB2312" w:eastAsia="仿宋_GB2312"/>
                <w:b/>
                <w:bCs/>
                <w:color w:val="auto"/>
                <w:highlight w:val="none"/>
              </w:rPr>
              <w:br w:type="textWrapping"/>
            </w:r>
            <w:r>
              <w:rPr>
                <w:rStyle w:val="798"/>
                <w:rFonts w:hint="eastAsia" w:ascii="仿宋_GB2312" w:eastAsia="仿宋_GB2312"/>
                <w:color w:val="auto"/>
                <w:highlight w:val="none"/>
              </w:rPr>
              <w:t>1.在本项目资格性审查时，采购人将对投标人信用进行查询，并按照以上信用信息使用规则处理；</w:t>
            </w:r>
            <w:r>
              <w:rPr>
                <w:rFonts w:hint="eastAsia" w:ascii="仿宋_GB2312" w:eastAsia="仿宋_GB2312"/>
                <w:b/>
                <w:bCs/>
                <w:color w:val="auto"/>
                <w:highlight w:val="none"/>
              </w:rPr>
              <w:br w:type="textWrapping"/>
            </w:r>
            <w:r>
              <w:rPr>
                <w:rStyle w:val="798"/>
                <w:rFonts w:hint="eastAsia" w:ascii="仿宋_GB2312" w:eastAsia="仿宋_GB2312"/>
                <w:color w:val="auto"/>
                <w:highlight w:val="none"/>
              </w:rPr>
              <w:t>2.在中标通知书发出前，采购人或者采购代理机构将对中标人信用进行查询，并按照以上信用信息使用规则处理；</w:t>
            </w:r>
            <w:r>
              <w:rPr>
                <w:rFonts w:hint="eastAsia" w:ascii="仿宋_GB2312" w:eastAsia="仿宋_GB2312"/>
                <w:b/>
                <w:bCs/>
                <w:color w:val="auto"/>
                <w:highlight w:val="none"/>
              </w:rPr>
              <w:br w:type="textWrapping"/>
            </w:r>
            <w:r>
              <w:rPr>
                <w:rStyle w:val="798"/>
                <w:rFonts w:hint="eastAsia" w:ascii="仿宋_GB2312" w:eastAsia="仿宋_GB2312"/>
                <w:color w:val="auto"/>
                <w:highlight w:val="none"/>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39FE5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0C75BC0">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13</w:t>
            </w:r>
          </w:p>
        </w:tc>
        <w:tc>
          <w:tcPr>
            <w:tcW w:w="8232" w:type="dxa"/>
            <w:vAlign w:val="center"/>
          </w:tcPr>
          <w:p w14:paraId="0B623E68">
            <w:pPr>
              <w:pStyle w:val="818"/>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中标公告及中标通知书：采购代理机构在采购人依法确认中标人后两个工作日内发布中标公告和中标通知书。</w:t>
            </w:r>
            <w:r>
              <w:rPr>
                <w:rFonts w:hint="eastAsia" w:ascii="仿宋_GB2312" w:eastAsia="仿宋_GB2312"/>
                <w:color w:val="auto"/>
                <w:highlight w:val="none"/>
              </w:rPr>
              <w:br w:type="textWrapping"/>
            </w:r>
            <w:r>
              <w:rPr>
                <w:rStyle w:val="819"/>
                <w:rFonts w:hint="eastAsia" w:ascii="仿宋_GB2312" w:eastAsia="仿宋_GB2312"/>
                <w:color w:val="auto"/>
                <w:highlight w:val="none"/>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49143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0ED23FD">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14</w:t>
            </w:r>
          </w:p>
        </w:tc>
        <w:tc>
          <w:tcPr>
            <w:tcW w:w="8232" w:type="dxa"/>
            <w:vAlign w:val="center"/>
          </w:tcPr>
          <w:p w14:paraId="4B83B8BF">
            <w:pPr>
              <w:pStyle w:val="839"/>
              <w:spacing w:before="0" w:beforeAutospacing="0" w:after="0" w:afterAutospacing="0" w:line="460" w:lineRule="atLeast"/>
              <w:rPr>
                <w:rFonts w:ascii="仿宋_GB2312" w:eastAsia="仿宋_GB2312"/>
                <w:color w:val="auto"/>
                <w:highlight w:val="none"/>
              </w:rPr>
            </w:pPr>
            <w:r>
              <w:rPr>
                <w:rStyle w:val="840"/>
                <w:rFonts w:hint="eastAsia" w:ascii="仿宋_GB2312" w:eastAsia="仿宋_GB2312"/>
                <w:color w:val="auto"/>
                <w:highlight w:val="none"/>
              </w:rPr>
              <w:t>签订合同时间：中标通知书发出后</w:t>
            </w:r>
            <w:r>
              <w:rPr>
                <w:rStyle w:val="840"/>
                <w:rFonts w:hint="eastAsia" w:ascii="仿宋_GB2312" w:eastAsia="仿宋_GB2312"/>
                <w:color w:val="auto"/>
                <w:highlight w:val="none"/>
                <w:u w:val="single"/>
              </w:rPr>
              <w:t>25</w:t>
            </w:r>
            <w:r>
              <w:rPr>
                <w:rStyle w:val="840"/>
                <w:rFonts w:hint="eastAsia" w:ascii="仿宋_GB2312" w:eastAsia="仿宋_GB2312"/>
                <w:color w:val="auto"/>
                <w:highlight w:val="none"/>
              </w:rPr>
              <w:t>日内。</w:t>
            </w:r>
          </w:p>
        </w:tc>
      </w:tr>
      <w:tr w14:paraId="7DA6E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383A730">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15</w:t>
            </w:r>
          </w:p>
        </w:tc>
        <w:tc>
          <w:tcPr>
            <w:tcW w:w="8232" w:type="dxa"/>
            <w:vAlign w:val="center"/>
          </w:tcPr>
          <w:p w14:paraId="508818C0">
            <w:pPr>
              <w:pStyle w:val="860"/>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投标文件有效期：投标截止日期后</w:t>
            </w:r>
            <w:r>
              <w:rPr>
                <w:rFonts w:hint="eastAsia" w:ascii="仿宋_GB2312" w:eastAsia="仿宋_GB2312"/>
                <w:color w:val="auto"/>
                <w:highlight w:val="none"/>
                <w:u w:val="single"/>
              </w:rPr>
              <w:t>不得少于90天</w:t>
            </w:r>
            <w:r>
              <w:rPr>
                <w:rFonts w:hint="eastAsia" w:ascii="仿宋_GB2312" w:eastAsia="仿宋_GB2312"/>
                <w:color w:val="auto"/>
                <w:highlight w:val="none"/>
              </w:rPr>
              <w:t>。</w:t>
            </w:r>
          </w:p>
        </w:tc>
      </w:tr>
      <w:tr w14:paraId="58D14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24E6518">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16</w:t>
            </w:r>
          </w:p>
        </w:tc>
        <w:tc>
          <w:tcPr>
            <w:tcW w:w="8232" w:type="dxa"/>
            <w:vAlign w:val="center"/>
          </w:tcPr>
          <w:p w14:paraId="3161769B">
            <w:pPr>
              <w:pStyle w:val="880"/>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解释：本招标文件的解释权属于采购代理机构。</w:t>
            </w:r>
          </w:p>
        </w:tc>
      </w:tr>
      <w:tr w14:paraId="3EE8B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BB6F21A">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17</w:t>
            </w:r>
          </w:p>
        </w:tc>
        <w:tc>
          <w:tcPr>
            <w:tcW w:w="8232" w:type="dxa"/>
            <w:vAlign w:val="center"/>
          </w:tcPr>
          <w:p w14:paraId="09E9354B">
            <w:pPr>
              <w:pStyle w:val="900"/>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0C054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2FAEA1C">
            <w:pPr>
              <w:spacing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18</w:t>
            </w:r>
          </w:p>
        </w:tc>
        <w:tc>
          <w:tcPr>
            <w:tcW w:w="8232" w:type="dxa"/>
            <w:vAlign w:val="center"/>
          </w:tcPr>
          <w:p w14:paraId="61663961">
            <w:pPr>
              <w:pStyle w:val="920"/>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1.本招标文件中描述投标人的“公章”是指投标人的CA电子签章。</w:t>
            </w:r>
            <w:r>
              <w:rPr>
                <w:rFonts w:hint="eastAsia" w:ascii="仿宋_GB2312" w:eastAsia="仿宋_GB2312"/>
                <w:color w:val="auto"/>
                <w:highlight w:val="none"/>
              </w:rPr>
              <w:br w:type="textWrapping"/>
            </w:r>
            <w:r>
              <w:rPr>
                <w:rFonts w:hint="eastAsia" w:ascii="仿宋_GB2312" w:eastAsia="仿宋_GB2312"/>
                <w:color w:val="auto"/>
                <w:highlight w:val="none"/>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5EAEC42E">
      <w:pPr>
        <w:spacing w:line="360" w:lineRule="auto"/>
        <w:jc w:val="center"/>
        <w:rPr>
          <w:b/>
          <w:color w:val="auto"/>
          <w:sz w:val="32"/>
          <w:szCs w:val="32"/>
          <w:highlight w:val="none"/>
        </w:rPr>
        <w:sectPr>
          <w:pgSz w:w="11906" w:h="16838"/>
          <w:pgMar w:top="1440" w:right="1440" w:bottom="1440" w:left="1440" w:header="851" w:footer="992" w:gutter="0"/>
          <w:cols w:space="720" w:num="1"/>
          <w:docGrid w:linePitch="312" w:charSpace="0"/>
        </w:sectPr>
      </w:pPr>
    </w:p>
    <w:p w14:paraId="5288A8D3">
      <w:pPr>
        <w:spacing w:line="360" w:lineRule="auto"/>
        <w:jc w:val="center"/>
        <w:rPr>
          <w:b/>
          <w:color w:val="auto"/>
          <w:sz w:val="32"/>
          <w:szCs w:val="32"/>
          <w:highlight w:val="none"/>
        </w:rPr>
      </w:pPr>
      <w:r>
        <w:rPr>
          <w:rFonts w:hint="eastAsia"/>
          <w:b/>
          <w:color w:val="auto"/>
          <w:sz w:val="32"/>
          <w:szCs w:val="32"/>
          <w:highlight w:val="none"/>
        </w:rPr>
        <w:t>投标人须知</w:t>
      </w:r>
    </w:p>
    <w:p w14:paraId="5FC1764D">
      <w:pPr>
        <w:spacing w:line="300" w:lineRule="exact"/>
        <w:jc w:val="center"/>
        <w:rPr>
          <w:b/>
          <w:color w:val="auto"/>
          <w:sz w:val="32"/>
          <w:szCs w:val="32"/>
          <w:highlight w:val="none"/>
        </w:rPr>
      </w:pPr>
    </w:p>
    <w:p w14:paraId="1BE44509">
      <w:pPr>
        <w:pStyle w:val="26"/>
        <w:snapToGrid w:val="0"/>
        <w:spacing w:line="360" w:lineRule="exact"/>
        <w:ind w:right="-330" w:rightChars="-157"/>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一、总  则</w:t>
      </w:r>
    </w:p>
    <w:p w14:paraId="1F3934AD">
      <w:pPr>
        <w:snapToGrid w:val="0"/>
        <w:spacing w:line="360" w:lineRule="exact"/>
        <w:ind w:right="-330" w:rightChars="-157" w:firstLine="472" w:firstLineChars="196"/>
        <w:jc w:val="left"/>
        <w:outlineLvl w:val="1"/>
        <w:rPr>
          <w:rFonts w:ascii="仿宋_GB2312" w:eastAsia="仿宋_GB2312"/>
          <w:b/>
          <w:color w:val="auto"/>
          <w:sz w:val="24"/>
          <w:highlight w:val="none"/>
        </w:rPr>
      </w:pPr>
      <w:bookmarkStart w:id="29" w:name="_Toc254970527"/>
      <w:bookmarkStart w:id="30" w:name="_Toc254970668"/>
      <w:r>
        <w:rPr>
          <w:rFonts w:hint="eastAsia" w:ascii="仿宋_GB2312" w:eastAsia="仿宋_GB2312"/>
          <w:b/>
          <w:color w:val="auto"/>
          <w:sz w:val="24"/>
          <w:highlight w:val="none"/>
        </w:rPr>
        <w:t>1. 适用范围</w:t>
      </w:r>
      <w:bookmarkEnd w:id="29"/>
      <w:bookmarkEnd w:id="30"/>
    </w:p>
    <w:p w14:paraId="70A6927B">
      <w:pPr>
        <w:pStyle w:val="26"/>
        <w:snapToGrid w:val="0"/>
        <w:spacing w:line="360" w:lineRule="exact"/>
        <w:ind w:right="-330" w:rightChars="-157"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1.1本招标文件适用于</w:t>
      </w:r>
      <w:r>
        <w:rPr>
          <w:rFonts w:hint="eastAsia" w:ascii="仿宋_GB2312" w:hAnsi="宋体" w:eastAsia="仿宋_GB2312"/>
          <w:color w:val="auto"/>
          <w:sz w:val="24"/>
          <w:highlight w:val="none"/>
          <w:u w:val="single"/>
        </w:rPr>
        <w:t>中小学增补设备采购</w:t>
      </w:r>
      <w:r>
        <w:rPr>
          <w:rFonts w:hint="eastAsia" w:ascii="仿宋_GB2312" w:hAnsi="宋体" w:eastAsia="仿宋_GB2312"/>
          <w:bCs/>
          <w:color w:val="auto"/>
          <w:sz w:val="24"/>
          <w:szCs w:val="24"/>
          <w:highlight w:val="none"/>
        </w:rPr>
        <w:t>项目的招标、投标、评标、定标、验收、合同履约、付款等行为（法律、法规另有规定的，从其规定）。</w:t>
      </w:r>
    </w:p>
    <w:p w14:paraId="414E7D62">
      <w:pPr>
        <w:snapToGrid w:val="0"/>
        <w:spacing w:line="360" w:lineRule="exact"/>
        <w:ind w:right="-330" w:rightChars="-157" w:firstLine="354" w:firstLineChars="147"/>
        <w:jc w:val="left"/>
        <w:outlineLvl w:val="1"/>
        <w:rPr>
          <w:rFonts w:ascii="仿宋_GB2312" w:eastAsia="仿宋_GB2312"/>
          <w:b/>
          <w:color w:val="auto"/>
          <w:sz w:val="24"/>
          <w:highlight w:val="none"/>
        </w:rPr>
      </w:pPr>
      <w:bookmarkStart w:id="31" w:name="_Toc254970528"/>
      <w:bookmarkStart w:id="32" w:name="_Toc254970669"/>
      <w:r>
        <w:rPr>
          <w:rFonts w:hint="eastAsia" w:ascii="仿宋_GB2312" w:eastAsia="仿宋_GB2312"/>
          <w:b/>
          <w:color w:val="auto"/>
          <w:sz w:val="24"/>
          <w:highlight w:val="none"/>
        </w:rPr>
        <w:t>2.定义</w:t>
      </w:r>
      <w:bookmarkEnd w:id="31"/>
      <w:bookmarkEnd w:id="32"/>
    </w:p>
    <w:p w14:paraId="7B2CE673">
      <w:pPr>
        <w:pStyle w:val="26"/>
        <w:snapToGrid w:val="0"/>
        <w:spacing w:line="360" w:lineRule="exact"/>
        <w:ind w:right="-330" w:rightChars="-157"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2.1“采购人”是指：</w:t>
      </w:r>
      <w:r>
        <w:rPr>
          <w:rFonts w:hint="eastAsia" w:ascii="仿宋_GB2312" w:hAnsi="宋体" w:eastAsia="仿宋_GB2312"/>
          <w:color w:val="auto"/>
          <w:sz w:val="24"/>
          <w:highlight w:val="none"/>
          <w:u w:val="single"/>
        </w:rPr>
        <w:t>柳州市电化教育站</w:t>
      </w:r>
      <w:r>
        <w:rPr>
          <w:rFonts w:hint="eastAsia" w:ascii="仿宋_GB2312" w:hAnsi="宋体" w:eastAsia="仿宋_GB2312"/>
          <w:bCs/>
          <w:color w:val="auto"/>
          <w:sz w:val="24"/>
          <w:szCs w:val="24"/>
          <w:highlight w:val="none"/>
        </w:rPr>
        <w:t>；“采购代理机构”是指：</w:t>
      </w:r>
      <w:r>
        <w:rPr>
          <w:rFonts w:hint="eastAsia" w:ascii="仿宋_GB2312" w:hAnsi="宋体" w:eastAsia="仿宋_GB2312"/>
          <w:bCs/>
          <w:color w:val="auto"/>
          <w:sz w:val="24"/>
          <w:szCs w:val="24"/>
          <w:highlight w:val="none"/>
          <w:u w:val="single"/>
        </w:rPr>
        <w:t>柳州市政府集中采购中心</w:t>
      </w:r>
      <w:r>
        <w:rPr>
          <w:rFonts w:hint="eastAsia" w:ascii="仿宋_GB2312" w:hAnsi="宋体" w:eastAsia="仿宋_GB2312"/>
          <w:bCs/>
          <w:color w:val="auto"/>
          <w:sz w:val="24"/>
          <w:szCs w:val="24"/>
          <w:highlight w:val="none"/>
        </w:rPr>
        <w:t>。</w:t>
      </w:r>
    </w:p>
    <w:p w14:paraId="1E8F9858">
      <w:pPr>
        <w:pStyle w:val="26"/>
        <w:snapToGrid w:val="0"/>
        <w:spacing w:line="360" w:lineRule="exact"/>
        <w:ind w:right="-330" w:rightChars="-157"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2.2“投标人”系指响应本公开招标文件要求，参加投标的法人或其他组织或自然人。如果该投标人在本次投标中中标，即成为“中标人”。</w:t>
      </w:r>
    </w:p>
    <w:p w14:paraId="05D41DC5">
      <w:pPr>
        <w:pStyle w:val="26"/>
        <w:snapToGrid w:val="0"/>
        <w:spacing w:line="360" w:lineRule="exact"/>
        <w:ind w:right="-330" w:rightChars="-157"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2.3“产品”系指投标人按招标文件规定，须向采购人提供的一切设备（含安装）、保险、税金、备品备件、工具、手册及其它有关技术资料和材料。</w:t>
      </w:r>
    </w:p>
    <w:p w14:paraId="6AECDF1B">
      <w:pPr>
        <w:pStyle w:val="26"/>
        <w:snapToGrid w:val="0"/>
        <w:spacing w:line="360" w:lineRule="exact"/>
        <w:ind w:right="-330" w:rightChars="-157"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2.4“服务”系指招标文件规定投标人须承担的安装、调试、技术协助、校准、培训、技术指导以及其他类似的义务。</w:t>
      </w:r>
    </w:p>
    <w:p w14:paraId="1C37ECB2">
      <w:pPr>
        <w:pStyle w:val="26"/>
        <w:snapToGrid w:val="0"/>
        <w:spacing w:line="360" w:lineRule="exact"/>
        <w:ind w:right="-330" w:rightChars="-157"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2.5“项目”系指投标人按招标文件规定向采购人提供的产品和服务。</w:t>
      </w:r>
    </w:p>
    <w:p w14:paraId="28803312">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2.6“签字”系指投标人的法定代表人或授权委托代理人的电子签名或电子签章或手写签名或盖章，表示同意、认可、承担责任或义务的行为。</w:t>
      </w:r>
    </w:p>
    <w:p w14:paraId="6F69D766">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2.7“电子投标文件”系指完整的投标文件，内容包括资格文件、报价要求文件、商务技术文件。</w:t>
      </w:r>
    </w:p>
    <w:p w14:paraId="4A7964B5">
      <w:pPr>
        <w:pStyle w:val="26"/>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2.8“★”系指本次采购项目“第二章 采购需求”中的实质性要求。</w:t>
      </w:r>
    </w:p>
    <w:p w14:paraId="7023129A">
      <w:pPr>
        <w:pStyle w:val="26"/>
        <w:snapToGrid w:val="0"/>
        <w:spacing w:line="360" w:lineRule="exact"/>
        <w:ind w:right="-330" w:rightChars="-157" w:firstLine="480" w:firstLineChars="200"/>
        <w:rPr>
          <w:rFonts w:hint="eastAsia" w:ascii="仿宋_GB2312" w:hAnsi="宋体" w:eastAsia="仿宋_GB2312"/>
          <w:bCs/>
          <w:color w:val="auto"/>
          <w:sz w:val="24"/>
          <w:szCs w:val="24"/>
          <w:highlight w:val="none"/>
        </w:rPr>
      </w:pPr>
      <w:bookmarkStart w:id="33" w:name="_Toc254970670"/>
      <w:bookmarkStart w:id="34" w:name="_Toc254970529"/>
      <w:bookmarkStart w:id="35" w:name="_Toc254970536"/>
      <w:bookmarkStart w:id="36" w:name="_Toc254970677"/>
      <w:r>
        <w:rPr>
          <w:rFonts w:hint="eastAsia" w:ascii="仿宋_GB2312" w:hAnsi="宋体" w:eastAsia="仿宋_GB2312"/>
          <w:bCs/>
          <w:color w:val="auto"/>
          <w:sz w:val="24"/>
          <w:szCs w:val="24"/>
          <w:highlight w:val="none"/>
        </w:rPr>
        <w:t>2.9“▲”系指本次采购的核心产品。</w:t>
      </w:r>
    </w:p>
    <w:p w14:paraId="0C8D89C5">
      <w:pPr>
        <w:pStyle w:val="26"/>
        <w:snapToGrid w:val="0"/>
        <w:spacing w:line="360" w:lineRule="exact"/>
        <w:ind w:right="-330" w:rightChars="-157"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2.10公开招标文件中所称的“以上”、“以下”、“内”、“以内”、“届满”，包括本数；所称的“不满”、“不足”、“以外”，不包括本数。</w:t>
      </w:r>
    </w:p>
    <w:p w14:paraId="7F3C76D0">
      <w:pPr>
        <w:pStyle w:val="26"/>
        <w:widowControl/>
        <w:snapToGrid w:val="0"/>
        <w:spacing w:line="400" w:lineRule="exact"/>
        <w:ind w:firstLine="480" w:firstLineChars="200"/>
        <w:rPr>
          <w:rFonts w:hint="eastAsia" w:ascii="仿宋_GB2312" w:hAnsi="宋体" w:eastAsia="仿宋_GB2312"/>
          <w:bCs/>
          <w:color w:val="auto"/>
          <w:sz w:val="24"/>
          <w:highlight w:val="none"/>
        </w:rPr>
      </w:pPr>
      <w:r>
        <w:rPr>
          <w:rFonts w:hint="eastAsia" w:ascii="仿宋_GB2312" w:hAnsi="宋体" w:eastAsia="仿宋_GB2312"/>
          <w:bCs/>
          <w:color w:val="auto"/>
          <w:sz w:val="24"/>
          <w:highlight w:val="none"/>
        </w:rPr>
        <w:t>2.11“法定代表人”系指投标人的法定代表人、负责人或自然人。</w:t>
      </w:r>
    </w:p>
    <w:p w14:paraId="3A37CBAF">
      <w:pPr>
        <w:snapToGrid w:val="0"/>
        <w:spacing w:line="360" w:lineRule="exact"/>
        <w:ind w:right="-330" w:rightChars="-157" w:firstLine="482" w:firstLineChars="200"/>
        <w:jc w:val="left"/>
        <w:rPr>
          <w:rFonts w:ascii="仿宋_GB2312" w:eastAsia="仿宋_GB2312"/>
          <w:b/>
          <w:color w:val="auto"/>
          <w:sz w:val="24"/>
          <w:highlight w:val="none"/>
        </w:rPr>
      </w:pPr>
      <w:r>
        <w:rPr>
          <w:rFonts w:hint="eastAsia" w:ascii="仿宋_GB2312" w:eastAsia="仿宋_GB2312"/>
          <w:b/>
          <w:color w:val="auto"/>
          <w:sz w:val="24"/>
          <w:highlight w:val="none"/>
        </w:rPr>
        <w:t>3.招标方式</w:t>
      </w:r>
      <w:bookmarkEnd w:id="33"/>
      <w:bookmarkEnd w:id="34"/>
    </w:p>
    <w:p w14:paraId="098DC65A">
      <w:pPr>
        <w:snapToGrid w:val="0"/>
        <w:spacing w:line="360" w:lineRule="exact"/>
        <w:ind w:right="-330" w:rightChars="-157" w:firstLine="480" w:firstLineChars="200"/>
        <w:jc w:val="left"/>
        <w:rPr>
          <w:rFonts w:ascii="仿宋_GB2312" w:eastAsia="仿宋_GB2312"/>
          <w:color w:val="auto"/>
          <w:sz w:val="24"/>
          <w:highlight w:val="none"/>
        </w:rPr>
      </w:pPr>
      <w:r>
        <w:rPr>
          <w:rFonts w:hint="eastAsia" w:ascii="仿宋_GB2312" w:eastAsia="仿宋_GB2312"/>
          <w:color w:val="auto"/>
          <w:sz w:val="24"/>
          <w:highlight w:val="none"/>
        </w:rPr>
        <w:t>3.1公开招标方式。</w:t>
      </w:r>
    </w:p>
    <w:p w14:paraId="1EFF3301">
      <w:pPr>
        <w:snapToGrid w:val="0"/>
        <w:spacing w:line="360" w:lineRule="exact"/>
        <w:ind w:right="-330" w:rightChars="-157" w:firstLine="482" w:firstLineChars="200"/>
        <w:jc w:val="left"/>
        <w:rPr>
          <w:rFonts w:ascii="仿宋_GB2312" w:eastAsia="仿宋_GB2312"/>
          <w:b/>
          <w:color w:val="auto"/>
          <w:sz w:val="24"/>
          <w:highlight w:val="none"/>
        </w:rPr>
      </w:pPr>
      <w:bookmarkStart w:id="37" w:name="_Toc254970530"/>
      <w:bookmarkStart w:id="38" w:name="_Toc254970671"/>
      <w:r>
        <w:rPr>
          <w:rFonts w:hint="eastAsia" w:ascii="仿宋_GB2312" w:eastAsia="仿宋_GB2312"/>
          <w:b/>
          <w:color w:val="auto"/>
          <w:sz w:val="24"/>
          <w:highlight w:val="none"/>
        </w:rPr>
        <w:t>4.投标委托</w:t>
      </w:r>
      <w:bookmarkEnd w:id="37"/>
      <w:bookmarkEnd w:id="38"/>
    </w:p>
    <w:p w14:paraId="3F546BB4">
      <w:pPr>
        <w:pStyle w:val="26"/>
        <w:snapToGrid w:val="0"/>
        <w:spacing w:line="360" w:lineRule="exact"/>
        <w:ind w:right="-330" w:rightChars="-157"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4.1如投标人代表不是法定代表人，须有法定代表人出具的授权委托书（格式见第六章投标文件格式）。</w:t>
      </w:r>
      <w:bookmarkStart w:id="39" w:name="_Toc254970672"/>
      <w:bookmarkStart w:id="40" w:name="_Toc254970531"/>
    </w:p>
    <w:p w14:paraId="24B4B707">
      <w:pPr>
        <w:snapToGrid w:val="0"/>
        <w:spacing w:line="360" w:lineRule="exact"/>
        <w:ind w:right="-330" w:rightChars="-157" w:firstLine="482" w:firstLineChars="200"/>
        <w:jc w:val="left"/>
        <w:rPr>
          <w:rFonts w:ascii="仿宋_GB2312" w:eastAsia="仿宋_GB2312"/>
          <w:b/>
          <w:color w:val="auto"/>
          <w:sz w:val="24"/>
          <w:highlight w:val="none"/>
        </w:rPr>
      </w:pPr>
      <w:r>
        <w:rPr>
          <w:rFonts w:hint="eastAsia" w:ascii="仿宋_GB2312" w:eastAsia="仿宋_GB2312"/>
          <w:b/>
          <w:color w:val="auto"/>
          <w:sz w:val="24"/>
          <w:highlight w:val="none"/>
        </w:rPr>
        <w:t>5.投标费用</w:t>
      </w:r>
      <w:bookmarkEnd w:id="39"/>
      <w:bookmarkEnd w:id="40"/>
    </w:p>
    <w:p w14:paraId="43DE4AD4">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5.1投标人均应自行承担所有与投标有关的全部费用（招标文件有相关规定的除外）。</w:t>
      </w:r>
    </w:p>
    <w:p w14:paraId="41E98533">
      <w:pPr>
        <w:snapToGrid w:val="0"/>
        <w:spacing w:line="360" w:lineRule="exact"/>
        <w:ind w:right="-330" w:rightChars="-157" w:firstLine="482" w:firstLineChars="200"/>
        <w:jc w:val="left"/>
        <w:rPr>
          <w:rFonts w:ascii="仿宋_GB2312" w:eastAsia="仿宋_GB2312"/>
          <w:b/>
          <w:color w:val="auto"/>
          <w:sz w:val="24"/>
          <w:highlight w:val="none"/>
        </w:rPr>
      </w:pPr>
      <w:r>
        <w:rPr>
          <w:rFonts w:hint="eastAsia" w:ascii="仿宋_GB2312" w:eastAsia="仿宋_GB2312"/>
          <w:b/>
          <w:color w:val="auto"/>
          <w:sz w:val="24"/>
          <w:highlight w:val="none"/>
        </w:rPr>
        <w:t>6.联合体投标</w:t>
      </w:r>
    </w:p>
    <w:p w14:paraId="36A7DBBB">
      <w:pPr>
        <w:snapToGrid w:val="0"/>
        <w:spacing w:line="360" w:lineRule="exact"/>
        <w:ind w:right="-330" w:rightChars="-157" w:firstLine="420"/>
        <w:jc w:val="left"/>
        <w:rPr>
          <w:rFonts w:ascii="仿宋_GB2312" w:eastAsia="仿宋_GB2312"/>
          <w:color w:val="auto"/>
          <w:sz w:val="24"/>
          <w:highlight w:val="none"/>
        </w:rPr>
      </w:pPr>
      <w:r>
        <w:rPr>
          <w:rFonts w:hint="eastAsia" w:ascii="仿宋_GB2312" w:eastAsia="仿宋_GB2312"/>
          <w:color w:val="auto"/>
          <w:sz w:val="24"/>
          <w:highlight w:val="none"/>
        </w:rPr>
        <w:t>6.1本项目</w:t>
      </w:r>
      <w:r>
        <w:rPr>
          <w:rFonts w:hint="eastAsia" w:ascii="仿宋_GB2312" w:eastAsia="仿宋_GB2312"/>
          <w:color w:val="auto"/>
          <w:sz w:val="24"/>
          <w:highlight w:val="none"/>
          <w:u w:val="single"/>
        </w:rPr>
        <w:t>不接受</w:t>
      </w:r>
      <w:r>
        <w:rPr>
          <w:rFonts w:hint="eastAsia" w:ascii="仿宋_GB2312" w:eastAsia="仿宋_GB2312"/>
          <w:color w:val="auto"/>
          <w:sz w:val="24"/>
          <w:highlight w:val="none"/>
        </w:rPr>
        <w:t>联合体投标。</w:t>
      </w:r>
    </w:p>
    <w:p w14:paraId="60A5657B">
      <w:pPr>
        <w:snapToGrid w:val="0"/>
        <w:spacing w:line="360" w:lineRule="exact"/>
        <w:ind w:right="-330" w:rightChars="-157" w:firstLine="470" w:firstLineChars="195"/>
        <w:rPr>
          <w:rFonts w:ascii="仿宋_GB2312" w:eastAsia="仿宋_GB2312"/>
          <w:b/>
          <w:color w:val="auto"/>
          <w:kern w:val="0"/>
          <w:sz w:val="24"/>
          <w:highlight w:val="none"/>
        </w:rPr>
      </w:pPr>
      <w:r>
        <w:rPr>
          <w:rFonts w:hint="eastAsia" w:ascii="仿宋_GB2312" w:eastAsia="仿宋_GB2312"/>
          <w:b/>
          <w:color w:val="auto"/>
          <w:sz w:val="24"/>
          <w:highlight w:val="none"/>
        </w:rPr>
        <w:t>7.</w:t>
      </w:r>
      <w:r>
        <w:rPr>
          <w:rFonts w:hint="eastAsia" w:ascii="仿宋_GB2312" w:eastAsia="仿宋_GB2312"/>
          <w:b/>
          <w:color w:val="auto"/>
          <w:kern w:val="0"/>
          <w:sz w:val="24"/>
          <w:highlight w:val="none"/>
        </w:rPr>
        <w:t xml:space="preserve">转包与分包             </w:t>
      </w:r>
    </w:p>
    <w:p w14:paraId="503F7BF4">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7.1本项目不允许转包。</w:t>
      </w:r>
    </w:p>
    <w:p w14:paraId="2E831762">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7.2本项目不可以分包。</w:t>
      </w:r>
    </w:p>
    <w:p w14:paraId="1F67C4C8">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7.2.1享受扶持政策获得政府采购合同的，小微企业不得将合同分包给大中型企业，中型企业不得将合同分包给大型企业。</w:t>
      </w:r>
    </w:p>
    <w:p w14:paraId="742E3C52">
      <w:pPr>
        <w:snapToGrid w:val="0"/>
        <w:spacing w:line="360" w:lineRule="exact"/>
        <w:ind w:right="-330" w:rightChars="-157" w:firstLine="472" w:firstLineChars="196"/>
        <w:jc w:val="left"/>
        <w:outlineLvl w:val="1"/>
        <w:rPr>
          <w:rFonts w:ascii="仿宋_GB2312" w:eastAsia="仿宋_GB2312"/>
          <w:b/>
          <w:color w:val="auto"/>
          <w:sz w:val="24"/>
          <w:highlight w:val="none"/>
        </w:rPr>
      </w:pPr>
      <w:bookmarkStart w:id="41" w:name="_Toc254970532"/>
      <w:bookmarkStart w:id="42" w:name="_Toc254970673"/>
      <w:r>
        <w:rPr>
          <w:rFonts w:hint="eastAsia" w:ascii="仿宋_GB2312" w:eastAsia="仿宋_GB2312"/>
          <w:b/>
          <w:color w:val="auto"/>
          <w:sz w:val="24"/>
          <w:highlight w:val="none"/>
        </w:rPr>
        <w:t>8</w:t>
      </w:r>
      <w:r>
        <w:rPr>
          <w:rFonts w:ascii="仿宋_GB2312" w:eastAsia="仿宋_GB2312"/>
          <w:b/>
          <w:color w:val="auto"/>
          <w:sz w:val="24"/>
          <w:highlight w:val="none"/>
        </w:rPr>
        <w:t>.</w:t>
      </w:r>
      <w:r>
        <w:rPr>
          <w:rFonts w:hint="eastAsia" w:ascii="仿宋_GB2312" w:eastAsia="仿宋_GB2312"/>
          <w:b/>
          <w:color w:val="auto"/>
          <w:sz w:val="24"/>
          <w:highlight w:val="none"/>
        </w:rPr>
        <w:t>特别说明：</w:t>
      </w:r>
      <w:bookmarkEnd w:id="41"/>
      <w:bookmarkEnd w:id="42"/>
    </w:p>
    <w:p w14:paraId="4BE30151">
      <w:pPr>
        <w:pStyle w:val="26"/>
        <w:snapToGrid w:val="0"/>
        <w:spacing w:line="400" w:lineRule="exact"/>
        <w:ind w:firstLine="480" w:firstLineChars="200"/>
        <w:rPr>
          <w:rFonts w:hint="eastAsia" w:ascii="仿宋_GB2312" w:hAnsi="宋体" w:eastAsia="仿宋_GB2312"/>
          <w:bCs/>
          <w:color w:val="auto"/>
          <w:sz w:val="24"/>
          <w:szCs w:val="24"/>
          <w:highlight w:val="none"/>
        </w:rPr>
      </w:pPr>
      <w:bookmarkStart w:id="43" w:name="_Toc254970533"/>
      <w:bookmarkStart w:id="44" w:name="_Toc254970674"/>
      <w:r>
        <w:rPr>
          <w:rFonts w:hint="eastAsia" w:ascii="仿宋_GB2312" w:hAnsi="宋体" w:eastAsia="仿宋_GB2312"/>
          <w:bCs/>
          <w:color w:val="auto"/>
          <w:sz w:val="24"/>
          <w:szCs w:val="24"/>
          <w:highlight w:val="none"/>
        </w:rPr>
        <w:t>8.1投标人应仔细阅读招标文件的所有内容，按照招标文件的要求提交投标文件，并对所提供的全部资料的真实性承担法律责任。</w:t>
      </w:r>
    </w:p>
    <w:p w14:paraId="5EB65CA9">
      <w:pPr>
        <w:pStyle w:val="26"/>
        <w:spacing w:line="400" w:lineRule="exact"/>
        <w:ind w:firstLine="480" w:firstLineChars="200"/>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8.2关联供应商不得参加同一合同项下的政府采购活动，否则投标文件将被视为无效：</w:t>
      </w:r>
    </w:p>
    <w:p w14:paraId="150DB03D">
      <w:pPr>
        <w:pStyle w:val="26"/>
        <w:snapToGrid w:val="0"/>
        <w:spacing w:line="400" w:lineRule="exact"/>
        <w:ind w:firstLine="480" w:firstLineChars="200"/>
        <w:outlineLvl w:val="1"/>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8.2.1 单位负责人为同一人或者存在直接控股、管理关系的不同供应商，不得参加同一合同项下的政府采购活动。</w:t>
      </w:r>
    </w:p>
    <w:p w14:paraId="3B748492">
      <w:pPr>
        <w:pStyle w:val="26"/>
        <w:widowControl/>
        <w:snapToGrid w:val="0"/>
        <w:spacing w:line="400" w:lineRule="atLeast"/>
        <w:ind w:firstLine="480" w:firstLineChars="200"/>
        <w:outlineLvl w:val="1"/>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8.3除单一来源采购项目外，为采购项目提供整体设计、规范编制或者项目管理、监理、检测等服务的供应商，不得再参加该采购项目的其他采购活动。</w:t>
      </w:r>
    </w:p>
    <w:bookmarkEnd w:id="43"/>
    <w:bookmarkEnd w:id="44"/>
    <w:p w14:paraId="2DD6C7C7">
      <w:pPr>
        <w:pStyle w:val="26"/>
        <w:snapToGrid w:val="0"/>
        <w:spacing w:line="360" w:lineRule="exact"/>
        <w:ind w:right="-330" w:rightChars="-157" w:firstLine="472" w:firstLineChars="196"/>
        <w:outlineLvl w:val="1"/>
        <w:rPr>
          <w:rFonts w:hint="eastAsia" w:ascii="仿宋_GB2312" w:hAnsi="宋体" w:eastAsia="仿宋_GB2312"/>
          <w:b/>
          <w:bCs/>
          <w:color w:val="auto"/>
          <w:sz w:val="24"/>
          <w:szCs w:val="24"/>
          <w:highlight w:val="none"/>
        </w:rPr>
      </w:pPr>
      <w:bookmarkStart w:id="45" w:name="_Toc254970675"/>
      <w:bookmarkStart w:id="46" w:name="_Toc254970534"/>
      <w:r>
        <w:rPr>
          <w:rFonts w:hint="eastAsia" w:ascii="仿宋_GB2312" w:hAnsi="宋体" w:eastAsia="仿宋_GB2312"/>
          <w:b/>
          <w:bCs/>
          <w:color w:val="auto"/>
          <w:sz w:val="24"/>
          <w:szCs w:val="24"/>
          <w:highlight w:val="none"/>
        </w:rPr>
        <w:t>9.</w:t>
      </w:r>
      <w:r>
        <w:rPr>
          <w:rFonts w:hint="eastAsia" w:ascii="仿宋_GB2312" w:hAnsi="宋体" w:eastAsia="仿宋_GB2312" w:cs="宋体"/>
          <w:b/>
          <w:color w:val="auto"/>
          <w:sz w:val="24"/>
          <w:szCs w:val="24"/>
          <w:highlight w:val="none"/>
        </w:rPr>
        <w:t>质疑和投诉</w:t>
      </w:r>
    </w:p>
    <w:p w14:paraId="0E9BBDA0">
      <w:pPr>
        <w:pStyle w:val="26"/>
        <w:snapToGrid w:val="0"/>
        <w:spacing w:line="400" w:lineRule="exact"/>
        <w:ind w:firstLine="482" w:firstLineChars="200"/>
        <w:rPr>
          <w:rFonts w:hint="eastAsia" w:ascii="仿宋_GB2312" w:hAnsi="宋体" w:eastAsia="仿宋_GB2312"/>
          <w:bCs/>
          <w:color w:val="auto"/>
          <w:sz w:val="24"/>
          <w:szCs w:val="24"/>
          <w:highlight w:val="none"/>
        </w:rPr>
      </w:pPr>
      <w:r>
        <w:rPr>
          <w:rFonts w:hint="eastAsia" w:ascii="仿宋_GB2312" w:hAnsi="宋体" w:eastAsia="仿宋_GB2312"/>
          <w:b/>
          <w:color w:val="auto"/>
          <w:sz w:val="24"/>
          <w:highlight w:val="none"/>
        </w:rPr>
        <w:t>注：投标人对电子标项目提出质疑和投诉的，应按照《政府采购质疑和投诉办法》（财政部令第94号）规定的方式提交质疑和投诉。</w:t>
      </w:r>
    </w:p>
    <w:p w14:paraId="07C66B5D">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621176CC">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9.1.1对可以质疑的采购文件提出质疑的，为收到采购文件之日或者采购文件公告期限届满之日；</w:t>
      </w:r>
    </w:p>
    <w:p w14:paraId="530749CC">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9.1.2对采购过程提出质疑的，为各采购程序环节结束之日；</w:t>
      </w:r>
    </w:p>
    <w:p w14:paraId="59A70135">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9.1.3对成交结果提出质疑的，为成交结果公告期限届满之日。</w:t>
      </w:r>
    </w:p>
    <w:p w14:paraId="76E62FE2">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投标人对采购人或采购代理机构的答复不满意或者采购人、采购代理机构未在规定时间内作出答复的，可以在答复期满后十五个工作日内向同级政府采购监管部门投诉。</w:t>
      </w:r>
    </w:p>
    <w:p w14:paraId="77C7E4F0">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 xml:space="preserve">9.2采购人或采购代理机构（采购代理机构应当按照有关规定就采购人委托授权范围内的事项）在收到供应商的书面质疑后七个工作日内作出答复，但答复的内容不得涉及商业秘密。 </w:t>
      </w:r>
    </w:p>
    <w:p w14:paraId="4AA6C47F">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7ACD18F8">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9.4质疑书面要求</w:t>
      </w:r>
    </w:p>
    <w:p w14:paraId="2943E452">
      <w:pPr>
        <w:pStyle w:val="26"/>
        <w:spacing w:line="400" w:lineRule="exact"/>
        <w:ind w:firstLine="480" w:firstLineChars="200"/>
        <w:rPr>
          <w:rFonts w:hint="eastAsia" w:ascii="仿宋_GB2312" w:hAnsi="宋体" w:eastAsia="仿宋_GB2312"/>
          <w:color w:val="auto"/>
          <w:sz w:val="24"/>
          <w:szCs w:val="24"/>
          <w:highlight w:val="none"/>
        </w:rPr>
      </w:pPr>
      <w:r>
        <w:rPr>
          <w:rFonts w:hint="eastAsia" w:ascii="仿宋_GB2312" w:hAnsi="宋体" w:eastAsia="仿宋_GB2312"/>
          <w:bCs/>
          <w:color w:val="auto"/>
          <w:sz w:val="24"/>
          <w:szCs w:val="24"/>
          <w:highlight w:val="none"/>
        </w:rPr>
        <w:t>9.4.1质疑人质疑时须提交质疑</w:t>
      </w:r>
      <w:r>
        <w:rPr>
          <w:rFonts w:ascii="仿宋_GB2312" w:hAnsi="宋体" w:eastAsia="仿宋_GB2312"/>
          <w:color w:val="auto"/>
          <w:sz w:val="24"/>
          <w:szCs w:val="24"/>
          <w:highlight w:val="none"/>
        </w:rPr>
        <w:t>函</w:t>
      </w:r>
      <w:r>
        <w:rPr>
          <w:rFonts w:hint="eastAsia" w:ascii="仿宋_GB2312" w:hAnsi="宋体" w:eastAsia="仿宋_GB2312"/>
          <w:color w:val="auto"/>
          <w:sz w:val="24"/>
          <w:szCs w:val="24"/>
          <w:highlight w:val="none"/>
        </w:rPr>
        <w:t>和必要的证明材料</w:t>
      </w:r>
      <w:r>
        <w:rPr>
          <w:rFonts w:hint="eastAsia" w:ascii="仿宋_GB2312" w:eastAsia="仿宋_GB2312"/>
          <w:color w:val="auto"/>
          <w:sz w:val="24"/>
          <w:highlight w:val="none"/>
        </w:rPr>
        <w:t>，</w:t>
      </w:r>
      <w:r>
        <w:rPr>
          <w:rFonts w:hint="eastAsia" w:ascii="仿宋_GB2312" w:hAnsi="宋体" w:eastAsia="仿宋_GB2312"/>
          <w:color w:val="auto"/>
          <w:sz w:val="24"/>
          <w:szCs w:val="24"/>
          <w:highlight w:val="none"/>
        </w:rPr>
        <w:t>供应商须在法定质疑期内一次性提出针对同一采购程序环节的质疑。</w:t>
      </w:r>
      <w:r>
        <w:rPr>
          <w:rFonts w:hint="eastAsia" w:ascii="仿宋_GB2312" w:hAnsi="宋体" w:eastAsia="仿宋_GB2312"/>
          <w:bCs/>
          <w:color w:val="auto"/>
          <w:sz w:val="24"/>
          <w:szCs w:val="24"/>
          <w:highlight w:val="none"/>
        </w:rPr>
        <w:t>质疑函至少包括下列主要内容：</w:t>
      </w:r>
    </w:p>
    <w:p w14:paraId="2C9AEBF1">
      <w:pPr>
        <w:pStyle w:val="26"/>
        <w:numPr>
          <w:ilvl w:val="0"/>
          <w:numId w:val="2"/>
        </w:numPr>
        <w:tabs>
          <w:tab w:val="left" w:pos="1150"/>
          <w:tab w:val="left" w:pos="1350"/>
        </w:tabs>
        <w:spacing w:line="400" w:lineRule="exac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供应商的姓名或名称、地址、邮编、联系人及联系电话；</w:t>
      </w:r>
    </w:p>
    <w:p w14:paraId="4E5A4156">
      <w:pPr>
        <w:pStyle w:val="26"/>
        <w:numPr>
          <w:ilvl w:val="0"/>
          <w:numId w:val="2"/>
        </w:numPr>
        <w:spacing w:line="400" w:lineRule="exac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质疑项目的名称、编号；</w:t>
      </w:r>
    </w:p>
    <w:p w14:paraId="77895056">
      <w:pPr>
        <w:pStyle w:val="26"/>
        <w:numPr>
          <w:ilvl w:val="0"/>
          <w:numId w:val="2"/>
        </w:numPr>
        <w:spacing w:line="400" w:lineRule="exac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具体、明确的质疑事项和与质疑事项相关的请求；</w:t>
      </w:r>
    </w:p>
    <w:p w14:paraId="69DBFA1C">
      <w:pPr>
        <w:pStyle w:val="26"/>
        <w:numPr>
          <w:ilvl w:val="0"/>
          <w:numId w:val="2"/>
        </w:numPr>
        <w:spacing w:line="400" w:lineRule="exac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事实依据；</w:t>
      </w:r>
    </w:p>
    <w:p w14:paraId="37170294">
      <w:pPr>
        <w:pStyle w:val="26"/>
        <w:numPr>
          <w:ilvl w:val="0"/>
          <w:numId w:val="2"/>
        </w:numPr>
        <w:spacing w:line="400" w:lineRule="exac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必要的法律依据；</w:t>
      </w:r>
    </w:p>
    <w:p w14:paraId="08CAABA8">
      <w:pPr>
        <w:pStyle w:val="26"/>
        <w:numPr>
          <w:ilvl w:val="0"/>
          <w:numId w:val="2"/>
        </w:numPr>
        <w:spacing w:line="400" w:lineRule="exact"/>
        <w:ind w:left="1025" w:hanging="590"/>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提出质疑的日期。</w:t>
      </w:r>
    </w:p>
    <w:p w14:paraId="6227EEDF">
      <w:pPr>
        <w:pStyle w:val="26"/>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bCs/>
          <w:color w:val="auto"/>
          <w:sz w:val="24"/>
          <w:szCs w:val="24"/>
          <w:highlight w:val="none"/>
        </w:rPr>
        <w:t>供应商为自然人的，应当由本人签字；供应商为法人或者其他组织的，应当由法定代表人、主要负责人，或其授权代表签字或者盖章，并加盖公章。</w:t>
      </w:r>
    </w:p>
    <w:p w14:paraId="3103CC9C">
      <w:pPr>
        <w:pStyle w:val="26"/>
        <w:spacing w:line="400" w:lineRule="exact"/>
        <w:ind w:firstLine="480" w:firstLineChars="200"/>
        <w:rPr>
          <w:rFonts w:hint="eastAsia" w:ascii="仿宋_GB2312" w:hAnsi="宋体" w:eastAsia="仿宋_GB2312"/>
          <w:color w:val="auto"/>
          <w:sz w:val="24"/>
          <w:szCs w:val="24"/>
          <w:highlight w:val="none"/>
        </w:rPr>
      </w:pPr>
      <w:r>
        <w:rPr>
          <w:rFonts w:hint="eastAsia" w:ascii="仿宋_GB2312" w:hAnsi="宋体" w:eastAsia="仿宋_GB2312"/>
          <w:bCs/>
          <w:color w:val="auto"/>
          <w:sz w:val="24"/>
          <w:szCs w:val="24"/>
          <w:highlight w:val="none"/>
        </w:rPr>
        <w:t>代理人提出质疑和投诉，应当提交供应商签署的授权委托书。</w:t>
      </w:r>
    </w:p>
    <w:p w14:paraId="79CD5037">
      <w:pPr>
        <w:snapToGrid w:val="0"/>
        <w:spacing w:line="400" w:lineRule="exact"/>
        <w:ind w:firstLine="480" w:firstLineChars="20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548B3C20">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9.6联系部门：柳州市政府集中采购中心监督科。</w:t>
      </w:r>
    </w:p>
    <w:p w14:paraId="7C8E720F">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9.7联系电话：0772-2992103。</w:t>
      </w:r>
    </w:p>
    <w:p w14:paraId="7FBAB2DD">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9.8通讯地址：广西</w:t>
      </w:r>
      <w:r>
        <w:rPr>
          <w:rFonts w:ascii="仿宋_GB2312" w:eastAsia="仿宋_GB2312" w:cs="Courier New"/>
          <w:color w:val="auto"/>
          <w:sz w:val="24"/>
          <w:highlight w:val="none"/>
        </w:rPr>
        <w:t>柳州市三中路6</w:t>
      </w:r>
      <w:r>
        <w:rPr>
          <w:rFonts w:hint="eastAsia" w:ascii="仿宋_GB2312" w:eastAsia="仿宋_GB2312" w:cs="Courier New"/>
          <w:color w:val="auto"/>
          <w:sz w:val="24"/>
          <w:highlight w:val="none"/>
        </w:rPr>
        <w:t>4-2</w:t>
      </w:r>
      <w:r>
        <w:rPr>
          <w:rFonts w:ascii="仿宋_GB2312" w:eastAsia="仿宋_GB2312" w:cs="Courier New"/>
          <w:color w:val="auto"/>
          <w:sz w:val="24"/>
          <w:highlight w:val="none"/>
        </w:rPr>
        <w:t>号</w:t>
      </w:r>
      <w:r>
        <w:rPr>
          <w:rFonts w:hint="eastAsia" w:ascii="仿宋_GB2312" w:eastAsia="仿宋_GB2312" w:cs="Courier New"/>
          <w:color w:val="auto"/>
          <w:sz w:val="24"/>
          <w:highlight w:val="none"/>
        </w:rPr>
        <w:t>。</w:t>
      </w:r>
    </w:p>
    <w:p w14:paraId="386CCD95">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9.9现场提交质疑办理业务时间：工作日8时00分到12时00分，15时00分到18时 00分，业务时间以外、双休日和法定节假日不办理业务。</w:t>
      </w:r>
    </w:p>
    <w:p w14:paraId="4117AC5D">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9.10投诉的书面要求</w:t>
      </w:r>
    </w:p>
    <w:p w14:paraId="6996C281">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9.10.1符合《政府采购质疑和投诉办法》（财政部第94号令）要求。</w:t>
      </w:r>
    </w:p>
    <w:p w14:paraId="36295E81">
      <w:pPr>
        <w:pStyle w:val="26"/>
        <w:snapToGrid w:val="0"/>
        <w:spacing w:line="360" w:lineRule="exact"/>
        <w:ind w:right="-330" w:rightChars="-157" w:firstLine="472" w:firstLineChars="196"/>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二、招标文件</w:t>
      </w:r>
      <w:bookmarkEnd w:id="45"/>
      <w:bookmarkEnd w:id="46"/>
    </w:p>
    <w:p w14:paraId="6C1B5CCB">
      <w:pPr>
        <w:snapToGrid w:val="0"/>
        <w:spacing w:line="360" w:lineRule="exact"/>
        <w:ind w:right="-330" w:rightChars="-157" w:firstLine="472" w:firstLineChars="196"/>
        <w:jc w:val="left"/>
        <w:rPr>
          <w:rFonts w:hint="eastAsia" w:eastAsia="仿宋_GB2312" w:asciiTheme="minorHAnsi" w:hAnsiTheme="minorHAnsi"/>
          <w:b/>
          <w:color w:val="auto"/>
          <w:sz w:val="24"/>
          <w:highlight w:val="none"/>
          <w:lang w:val="en-GB"/>
        </w:rPr>
      </w:pPr>
      <w:r>
        <w:rPr>
          <w:rFonts w:hint="eastAsia" w:ascii="仿宋_GB2312" w:eastAsia="仿宋_GB2312" w:cs="Courier New"/>
          <w:b/>
          <w:color w:val="auto"/>
          <w:sz w:val="24"/>
          <w:highlight w:val="none"/>
        </w:rPr>
        <w:t>10.招标文件的构成</w:t>
      </w:r>
    </w:p>
    <w:p w14:paraId="1D99E479">
      <w:pPr>
        <w:tabs>
          <w:tab w:val="left" w:pos="3870"/>
          <w:tab w:val="left" w:pos="4085"/>
        </w:tabs>
        <w:snapToGrid w:val="0"/>
        <w:spacing w:line="360" w:lineRule="exact"/>
        <w:ind w:right="-330" w:rightChars="-157" w:firstLine="720" w:firstLineChars="300"/>
        <w:jc w:val="left"/>
        <w:rPr>
          <w:rFonts w:ascii="仿宋_GB2312" w:eastAsia="仿宋_GB2312"/>
          <w:color w:val="auto"/>
          <w:sz w:val="24"/>
          <w:highlight w:val="none"/>
        </w:rPr>
      </w:pPr>
      <w:r>
        <w:rPr>
          <w:rFonts w:ascii="仿宋_GB2312" w:eastAsia="仿宋_GB2312"/>
          <w:color w:val="auto"/>
          <w:sz w:val="24"/>
          <w:highlight w:val="none"/>
        </w:rPr>
        <w:t>（1）公开招标公告；</w:t>
      </w:r>
    </w:p>
    <w:p w14:paraId="57336569">
      <w:pPr>
        <w:tabs>
          <w:tab w:val="left" w:pos="3870"/>
          <w:tab w:val="left" w:pos="4085"/>
        </w:tabs>
        <w:snapToGrid w:val="0"/>
        <w:spacing w:line="360" w:lineRule="exact"/>
        <w:ind w:right="-330" w:rightChars="-157" w:firstLine="720" w:firstLineChars="300"/>
        <w:jc w:val="left"/>
        <w:rPr>
          <w:rFonts w:ascii="仿宋_GB2312" w:eastAsia="仿宋_GB2312"/>
          <w:color w:val="auto"/>
          <w:sz w:val="24"/>
          <w:highlight w:val="none"/>
        </w:rPr>
      </w:pPr>
      <w:r>
        <w:rPr>
          <w:rFonts w:ascii="仿宋_GB2312" w:eastAsia="仿宋_GB2312"/>
          <w:color w:val="auto"/>
          <w:sz w:val="24"/>
          <w:highlight w:val="none"/>
        </w:rPr>
        <w:t>（2）采购需求；</w:t>
      </w:r>
    </w:p>
    <w:p w14:paraId="68DE0DB8">
      <w:pPr>
        <w:tabs>
          <w:tab w:val="left" w:pos="3870"/>
          <w:tab w:val="left" w:pos="4085"/>
        </w:tabs>
        <w:snapToGrid w:val="0"/>
        <w:spacing w:line="360" w:lineRule="exact"/>
        <w:ind w:right="-330" w:rightChars="-157" w:firstLine="720" w:firstLineChars="300"/>
        <w:jc w:val="left"/>
        <w:rPr>
          <w:rFonts w:ascii="仿宋_GB2312" w:eastAsia="仿宋_GB2312"/>
          <w:color w:val="auto"/>
          <w:sz w:val="24"/>
          <w:highlight w:val="none"/>
        </w:rPr>
      </w:pPr>
      <w:r>
        <w:rPr>
          <w:rFonts w:ascii="仿宋_GB2312" w:eastAsia="仿宋_GB2312"/>
          <w:color w:val="auto"/>
          <w:sz w:val="24"/>
          <w:highlight w:val="none"/>
        </w:rPr>
        <w:t>（3）投标人须知；</w:t>
      </w:r>
    </w:p>
    <w:p w14:paraId="537EC589">
      <w:pPr>
        <w:tabs>
          <w:tab w:val="left" w:pos="3870"/>
          <w:tab w:val="left" w:pos="4085"/>
        </w:tabs>
        <w:snapToGrid w:val="0"/>
        <w:spacing w:line="360" w:lineRule="exact"/>
        <w:ind w:right="-330" w:rightChars="-157" w:firstLine="720" w:firstLineChars="300"/>
        <w:jc w:val="left"/>
        <w:rPr>
          <w:rFonts w:ascii="仿宋_GB2312" w:eastAsia="仿宋_GB2312"/>
          <w:color w:val="auto"/>
          <w:sz w:val="24"/>
          <w:highlight w:val="none"/>
        </w:rPr>
      </w:pPr>
      <w:r>
        <w:rPr>
          <w:rFonts w:ascii="仿宋_GB2312" w:eastAsia="仿宋_GB2312"/>
          <w:color w:val="auto"/>
          <w:sz w:val="24"/>
          <w:highlight w:val="none"/>
        </w:rPr>
        <w:t>（4）评标方法及评标标准；</w:t>
      </w:r>
    </w:p>
    <w:p w14:paraId="2EAFC52D">
      <w:pPr>
        <w:tabs>
          <w:tab w:val="left" w:pos="3870"/>
          <w:tab w:val="left" w:pos="4085"/>
        </w:tabs>
        <w:snapToGrid w:val="0"/>
        <w:spacing w:line="360" w:lineRule="exact"/>
        <w:ind w:right="-330" w:rightChars="-157" w:firstLine="720" w:firstLineChars="300"/>
        <w:jc w:val="left"/>
        <w:rPr>
          <w:rFonts w:ascii="仿宋_GB2312" w:eastAsia="仿宋_GB2312"/>
          <w:color w:val="auto"/>
          <w:sz w:val="24"/>
          <w:highlight w:val="none"/>
        </w:rPr>
      </w:pPr>
      <w:r>
        <w:rPr>
          <w:rFonts w:ascii="仿宋_GB2312" w:eastAsia="仿宋_GB2312"/>
          <w:color w:val="auto"/>
          <w:sz w:val="24"/>
          <w:highlight w:val="none"/>
        </w:rPr>
        <w:t>（5）合同主要条款及验收书格式；</w:t>
      </w:r>
    </w:p>
    <w:p w14:paraId="0A603BBF">
      <w:pPr>
        <w:tabs>
          <w:tab w:val="left" w:pos="3870"/>
          <w:tab w:val="left" w:pos="4085"/>
        </w:tabs>
        <w:snapToGrid w:val="0"/>
        <w:spacing w:line="360" w:lineRule="exact"/>
        <w:ind w:right="-330" w:rightChars="-157" w:firstLine="720" w:firstLineChars="300"/>
        <w:jc w:val="left"/>
        <w:rPr>
          <w:rFonts w:ascii="仿宋_GB2312" w:eastAsia="仿宋_GB2312"/>
          <w:color w:val="auto"/>
          <w:sz w:val="24"/>
          <w:highlight w:val="none"/>
        </w:rPr>
      </w:pPr>
      <w:r>
        <w:rPr>
          <w:rFonts w:ascii="仿宋_GB2312" w:eastAsia="仿宋_GB2312"/>
          <w:color w:val="auto"/>
          <w:sz w:val="24"/>
          <w:highlight w:val="none"/>
        </w:rPr>
        <w:t>（6）投标文件格式。</w:t>
      </w:r>
    </w:p>
    <w:p w14:paraId="73E8D0D4">
      <w:pPr>
        <w:snapToGrid w:val="0"/>
        <w:spacing w:line="360" w:lineRule="exact"/>
        <w:ind w:right="-330" w:rightChars="-157" w:firstLine="472" w:firstLineChars="196"/>
        <w:jc w:val="left"/>
        <w:rPr>
          <w:rFonts w:ascii="仿宋_GB2312" w:eastAsia="仿宋_GB2312" w:cs="Courier New"/>
          <w:b/>
          <w:color w:val="auto"/>
          <w:sz w:val="24"/>
          <w:highlight w:val="none"/>
        </w:rPr>
      </w:pPr>
      <w:r>
        <w:rPr>
          <w:rFonts w:hint="eastAsia" w:ascii="仿宋_GB2312" w:eastAsia="仿宋_GB2312" w:cs="Courier New"/>
          <w:b/>
          <w:color w:val="auto"/>
          <w:sz w:val="24"/>
          <w:highlight w:val="none"/>
        </w:rPr>
        <w:t>11.投标人的风险</w:t>
      </w:r>
    </w:p>
    <w:p w14:paraId="45A03F6A">
      <w:pPr>
        <w:snapToGrid w:val="0"/>
        <w:spacing w:line="360" w:lineRule="exact"/>
        <w:ind w:right="-330" w:rightChars="-157"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11.1投标人没有按照招标文件要求提供全部资料，或者投标人没有对招标文件在各方面作出实质性响应是投标人的风险，并可能导致其投标被拒绝。</w:t>
      </w:r>
    </w:p>
    <w:p w14:paraId="2FAD9CA7">
      <w:pPr>
        <w:snapToGrid w:val="0"/>
        <w:spacing w:line="360" w:lineRule="exact"/>
        <w:ind w:right="-330" w:rightChars="-157" w:firstLine="472" w:firstLineChars="196"/>
        <w:jc w:val="left"/>
        <w:rPr>
          <w:rFonts w:ascii="仿宋_GB2312" w:eastAsia="仿宋_GB2312"/>
          <w:b/>
          <w:color w:val="auto"/>
          <w:sz w:val="24"/>
          <w:highlight w:val="none"/>
        </w:rPr>
      </w:pPr>
      <w:r>
        <w:rPr>
          <w:rFonts w:hint="eastAsia" w:ascii="仿宋_GB2312" w:eastAsia="仿宋_GB2312" w:cs="Courier New"/>
          <w:b/>
          <w:color w:val="auto"/>
          <w:sz w:val="24"/>
          <w:highlight w:val="none"/>
        </w:rPr>
        <w:t>12.招标文件的澄清与修改</w:t>
      </w:r>
      <w:r>
        <w:rPr>
          <w:rFonts w:hint="eastAsia" w:ascii="仿宋_GB2312" w:eastAsia="仿宋_GB2312"/>
          <w:b/>
          <w:color w:val="auto"/>
          <w:sz w:val="24"/>
          <w:highlight w:val="none"/>
        </w:rPr>
        <w:t xml:space="preserve"> </w:t>
      </w:r>
    </w:p>
    <w:p w14:paraId="4A7FC172">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222D1F10">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12.2采购人或采购代理机构以书面形式答复投标人询问的问题，除书面答复以外的其他澄清方式及澄清内容均无效。</w:t>
      </w:r>
    </w:p>
    <w:p w14:paraId="380D6AD3">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12.3招标文件澄清、答复、修改、补充的内容为招标文件的组成部分。当招标文件与招标文件的答复、澄清、修改、补充通知就同一内容的表述不一致时，以最后发出的书面文件为准。</w:t>
      </w:r>
    </w:p>
    <w:p w14:paraId="75C7FB76">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12.4招标文件的澄清、答复、修改或补充都应该通过本采购代理机构以法定形式发布，采购人非通过代理机构，不得擅自澄清、答复、修改或补充招标文件。</w:t>
      </w:r>
    </w:p>
    <w:p w14:paraId="3B3A6DD8">
      <w:pPr>
        <w:snapToGrid w:val="0"/>
        <w:spacing w:line="360" w:lineRule="exact"/>
        <w:ind w:right="-330" w:rightChars="-157"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12.5</w:t>
      </w:r>
      <w:r>
        <w:rPr>
          <w:rFonts w:hint="eastAsia" w:ascii="仿宋_GB2312" w:hAnsi="宋体" w:eastAsia="仿宋_GB2312"/>
          <w:color w:val="auto"/>
          <w:sz w:val="24"/>
          <w:highlight w:val="none"/>
        </w:rPr>
        <w:t>采购人或采购代理机构可以视采购具体情况，延长</w:t>
      </w:r>
      <w:r>
        <w:rPr>
          <w:rFonts w:hint="eastAsia" w:ascii="仿宋_GB2312" w:eastAsia="仿宋_GB2312"/>
          <w:color w:val="auto"/>
          <w:sz w:val="24"/>
          <w:highlight w:val="none"/>
        </w:rPr>
        <w:t>招标文件提供期限，并在财政部门指定的政府采购信息发布媒体上发布公告</w:t>
      </w:r>
      <w:r>
        <w:rPr>
          <w:rFonts w:hint="eastAsia" w:ascii="仿宋_GB2312" w:eastAsia="仿宋_GB2312" w:cs="Courier New"/>
          <w:color w:val="auto"/>
          <w:sz w:val="24"/>
          <w:highlight w:val="none"/>
        </w:rPr>
        <w:t>。</w:t>
      </w:r>
    </w:p>
    <w:p w14:paraId="4B94C23F">
      <w:pPr>
        <w:snapToGrid w:val="0"/>
        <w:spacing w:line="360" w:lineRule="exact"/>
        <w:ind w:right="-330" w:rightChars="-157" w:firstLine="472" w:firstLineChars="196"/>
        <w:jc w:val="left"/>
        <w:rPr>
          <w:rFonts w:ascii="仿宋_GB2312" w:eastAsia="仿宋_GB2312" w:cs="Courier New"/>
          <w:b/>
          <w:color w:val="auto"/>
          <w:sz w:val="24"/>
          <w:highlight w:val="none"/>
        </w:rPr>
      </w:pPr>
      <w:bookmarkStart w:id="47" w:name="_Toc254970535"/>
      <w:bookmarkStart w:id="48" w:name="_Toc254970676"/>
      <w:r>
        <w:rPr>
          <w:rFonts w:hint="eastAsia" w:ascii="仿宋_GB2312" w:eastAsia="仿宋_GB2312" w:cs="Courier New"/>
          <w:b/>
          <w:color w:val="auto"/>
          <w:sz w:val="24"/>
          <w:highlight w:val="none"/>
        </w:rPr>
        <w:t>三、投标文件的编制</w:t>
      </w:r>
      <w:bookmarkEnd w:id="47"/>
      <w:bookmarkEnd w:id="48"/>
    </w:p>
    <w:p w14:paraId="24ECCF5E">
      <w:pPr>
        <w:snapToGrid w:val="0"/>
        <w:spacing w:line="360" w:lineRule="exact"/>
        <w:ind w:right="-330" w:rightChars="-157" w:firstLine="472" w:firstLineChars="196"/>
        <w:jc w:val="left"/>
        <w:rPr>
          <w:rFonts w:ascii="仿宋_GB2312" w:eastAsia="仿宋_GB2312"/>
          <w:b/>
          <w:color w:val="auto"/>
          <w:sz w:val="24"/>
          <w:highlight w:val="none"/>
        </w:rPr>
      </w:pPr>
      <w:r>
        <w:rPr>
          <w:rFonts w:hint="eastAsia" w:ascii="仿宋_GB2312" w:eastAsia="仿宋_GB2312" w:cs="Courier New"/>
          <w:b/>
          <w:color w:val="auto"/>
          <w:sz w:val="24"/>
          <w:highlight w:val="none"/>
        </w:rPr>
        <w:t>13.投标文件的组成</w:t>
      </w:r>
    </w:p>
    <w:p w14:paraId="2BDC12E1">
      <w:pPr>
        <w:snapToGrid w:val="0"/>
        <w:spacing w:line="400" w:lineRule="exact"/>
        <w:ind w:firstLine="482" w:firstLineChars="200"/>
        <w:jc w:val="left"/>
        <w:rPr>
          <w:rFonts w:ascii="仿宋_GB2312" w:eastAsia="仿宋_GB2312"/>
          <w:b/>
          <w:bCs/>
          <w:color w:val="auto"/>
          <w:sz w:val="24"/>
          <w:highlight w:val="none"/>
        </w:rPr>
      </w:pPr>
      <w:r>
        <w:rPr>
          <w:rFonts w:hint="eastAsia" w:ascii="仿宋_GB2312" w:eastAsia="仿宋_GB2312"/>
          <w:b/>
          <w:bCs/>
          <w:color w:val="auto"/>
          <w:sz w:val="24"/>
          <w:highlight w:val="none"/>
        </w:rPr>
        <w:t>13.1投标文件由资格文件、报价要求文件、商务技术文件三部分组成。</w:t>
      </w:r>
    </w:p>
    <w:bookmarkEnd w:id="35"/>
    <w:bookmarkEnd w:id="36"/>
    <w:p w14:paraId="4367E7FF">
      <w:pPr>
        <w:snapToGrid w:val="0"/>
        <w:spacing w:line="360" w:lineRule="exact"/>
        <w:ind w:right="-330" w:rightChars="-157" w:firstLine="472" w:firstLineChars="196"/>
        <w:jc w:val="left"/>
        <w:rPr>
          <w:rFonts w:ascii="仿宋_GB2312" w:eastAsia="仿宋_GB2312" w:cs="Courier New"/>
          <w:b/>
          <w:color w:val="auto"/>
          <w:sz w:val="24"/>
          <w:highlight w:val="none"/>
        </w:rPr>
      </w:pPr>
      <w:r>
        <w:rPr>
          <w:rFonts w:hint="eastAsia" w:ascii="仿宋_GB2312" w:eastAsia="仿宋_GB2312"/>
          <w:b/>
          <w:color w:val="auto"/>
          <w:sz w:val="24"/>
          <w:highlight w:val="none"/>
        </w:rPr>
        <w:t>13.1.</w:t>
      </w:r>
      <w:r>
        <w:rPr>
          <w:rFonts w:ascii="仿宋_GB2312" w:eastAsia="仿宋_GB2312"/>
          <w:b/>
          <w:color w:val="auto"/>
          <w:sz w:val="24"/>
          <w:highlight w:val="none"/>
        </w:rPr>
        <w:t>1</w:t>
      </w:r>
      <w:r>
        <w:rPr>
          <w:rFonts w:hint="eastAsia" w:ascii="仿宋_GB2312" w:eastAsia="仿宋_GB2312" w:cs="Courier New"/>
          <w:b/>
          <w:bCs/>
          <w:color w:val="auto"/>
          <w:sz w:val="24"/>
          <w:highlight w:val="none"/>
        </w:rPr>
        <w:t>资格文件</w:t>
      </w:r>
    </w:p>
    <w:p w14:paraId="59AA33D6">
      <w:pPr>
        <w:snapToGrid w:val="0"/>
        <w:spacing w:line="340" w:lineRule="exact"/>
        <w:ind w:right="-330" w:rightChars="-157" w:firstLine="472" w:firstLineChars="196"/>
        <w:jc w:val="left"/>
        <w:rPr>
          <w:rFonts w:hint="eastAsia" w:ascii="仿宋_GB2312" w:hAnsi="宋体" w:eastAsia="仿宋_GB2312" w:cs="Courier New"/>
          <w:color w:val="auto"/>
          <w:sz w:val="24"/>
          <w:highlight w:val="none"/>
        </w:rPr>
      </w:pPr>
      <w:r>
        <w:rPr>
          <w:rFonts w:hint="eastAsia" w:ascii="仿宋_GB2312" w:hAnsi="宋体" w:eastAsia="仿宋_GB2312"/>
          <w:b/>
          <w:bCs/>
          <w:color w:val="auto"/>
          <w:sz w:val="24"/>
          <w:highlight w:val="none"/>
        </w:rPr>
        <w:t>注：以下各项必须提供并加盖投标人CA电子签章、按照第六章格式要求签字，否则其投标无效。</w:t>
      </w:r>
    </w:p>
    <w:p w14:paraId="4AB1509D">
      <w:pPr>
        <w:pStyle w:val="286"/>
        <w:spacing w:before="0" w:beforeAutospacing="0" w:after="0" w:afterAutospacing="0" w:line="360" w:lineRule="atLeast"/>
        <w:rPr>
          <w:rFonts w:ascii="仿宋_GB2312" w:eastAsia="仿宋_GB2312"/>
          <w:color w:val="auto"/>
          <w:highlight w:val="none"/>
        </w:rPr>
      </w:pPr>
      <w:r>
        <w:rPr>
          <w:rFonts w:hint="eastAsia" w:ascii="仿宋_GB2312" w:eastAsia="仿宋_GB2312"/>
          <w:color w:val="auto"/>
          <w:highlight w:val="none"/>
        </w:rPr>
        <w:t>  （1）法定代表人身份证明书（</w:t>
      </w:r>
      <w:r>
        <w:rPr>
          <w:rFonts w:hint="eastAsia" w:ascii="仿宋_GB2312" w:eastAsia="仿宋_GB2312"/>
          <w:b/>
          <w:bCs/>
          <w:color w:val="auto"/>
          <w:highlight w:val="none"/>
        </w:rPr>
        <w:t>必须提供</w:t>
      </w:r>
      <w:r>
        <w:rPr>
          <w:rFonts w:hint="eastAsia" w:ascii="仿宋_GB2312" w:eastAsia="仿宋_GB2312"/>
          <w:color w:val="auto"/>
          <w:highlight w:val="none"/>
        </w:rPr>
        <w:t>，格式见第六章）；</w:t>
      </w:r>
    </w:p>
    <w:p w14:paraId="0546B000">
      <w:pPr>
        <w:pStyle w:val="286"/>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（2）法定代表人授权委托书（</w:t>
      </w:r>
      <w:r>
        <w:rPr>
          <w:rFonts w:hint="eastAsia" w:ascii="仿宋_GB2312" w:eastAsia="仿宋_GB2312"/>
          <w:b/>
          <w:bCs/>
          <w:color w:val="auto"/>
          <w:highlight w:val="none"/>
        </w:rPr>
        <w:t>委托代理时必须提供</w:t>
      </w:r>
      <w:r>
        <w:rPr>
          <w:rFonts w:hint="eastAsia" w:ascii="仿宋_GB2312" w:eastAsia="仿宋_GB2312"/>
          <w:color w:val="auto"/>
          <w:highlight w:val="none"/>
        </w:rPr>
        <w:t>，格式见第六章）；</w:t>
      </w:r>
    </w:p>
    <w:p w14:paraId="5C130379">
      <w:pPr>
        <w:pStyle w:val="286"/>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（3）投标人资格声明函（</w:t>
      </w:r>
      <w:r>
        <w:rPr>
          <w:rFonts w:hint="eastAsia" w:ascii="仿宋_GB2312" w:eastAsia="仿宋_GB2312"/>
          <w:b/>
          <w:bCs/>
          <w:color w:val="auto"/>
          <w:highlight w:val="none"/>
        </w:rPr>
        <w:t>必须提供</w:t>
      </w:r>
      <w:r>
        <w:rPr>
          <w:rFonts w:hint="eastAsia" w:ascii="仿宋_GB2312" w:eastAsia="仿宋_GB2312"/>
          <w:color w:val="auto"/>
          <w:highlight w:val="none"/>
        </w:rPr>
        <w:t>，格式见第六章）；</w:t>
      </w:r>
    </w:p>
    <w:p w14:paraId="7169AF50">
      <w:pPr>
        <w:pStyle w:val="286"/>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（4）投标人有效主体资格证明（如营业执照、事业单位法人证书、执业许可证、自然人身份证等）（</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25080D3D">
      <w:pPr>
        <w:snapToGrid w:val="0"/>
        <w:spacing w:line="400" w:lineRule="exact"/>
        <w:ind w:firstLine="420"/>
        <w:jc w:val="left"/>
        <w:rPr>
          <w:rFonts w:ascii="仿宋_GB2312" w:eastAsia="仿宋_GB2312" w:cs="Courier New"/>
          <w:b/>
          <w:bCs/>
          <w:color w:val="auto"/>
          <w:sz w:val="24"/>
          <w:highlight w:val="none"/>
        </w:rPr>
      </w:pPr>
      <w:r>
        <w:rPr>
          <w:rFonts w:hint="eastAsia" w:ascii="仿宋_GB2312" w:eastAsia="仿宋_GB2312" w:cs="Courier New"/>
          <w:b/>
          <w:bCs/>
          <w:color w:val="auto"/>
          <w:sz w:val="24"/>
          <w:highlight w:val="none"/>
        </w:rPr>
        <w:t>13.1.2报价要求文件</w:t>
      </w:r>
    </w:p>
    <w:p w14:paraId="40F0AFA8">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b/>
          <w:bCs/>
          <w:color w:val="auto"/>
          <w:sz w:val="24"/>
          <w:highlight w:val="none"/>
        </w:rPr>
        <w:t>注：以下各项必须提供并加盖投标人</w:t>
      </w:r>
      <w:r>
        <w:rPr>
          <w:rFonts w:hint="eastAsia" w:ascii="仿宋_GB2312" w:hAnsi="宋体" w:eastAsia="仿宋_GB2312"/>
          <w:b/>
          <w:bCs/>
          <w:color w:val="auto"/>
          <w:sz w:val="24"/>
          <w:highlight w:val="none"/>
        </w:rPr>
        <w:t>CA电子签章</w:t>
      </w:r>
      <w:r>
        <w:rPr>
          <w:rFonts w:hint="eastAsia" w:ascii="仿宋_GB2312" w:eastAsia="仿宋_GB2312" w:cs="Courier New"/>
          <w:b/>
          <w:bCs/>
          <w:color w:val="auto"/>
          <w:sz w:val="24"/>
          <w:highlight w:val="none"/>
        </w:rPr>
        <w:t>、</w:t>
      </w:r>
      <w:r>
        <w:rPr>
          <w:rFonts w:hint="eastAsia" w:ascii="仿宋_GB2312" w:eastAsia="仿宋_GB2312"/>
          <w:b/>
          <w:bCs/>
          <w:color w:val="auto"/>
          <w:sz w:val="24"/>
          <w:highlight w:val="none"/>
        </w:rPr>
        <w:t>按照第六章格式要求签字，</w:t>
      </w:r>
      <w:r>
        <w:rPr>
          <w:rFonts w:hint="eastAsia" w:ascii="仿宋_GB2312" w:eastAsia="仿宋_GB2312" w:cs="Courier New"/>
          <w:b/>
          <w:bCs/>
          <w:color w:val="auto"/>
          <w:sz w:val="24"/>
          <w:highlight w:val="none"/>
        </w:rPr>
        <w:t>否则其投标无效。</w:t>
      </w:r>
    </w:p>
    <w:p w14:paraId="6C8F9958">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（1）开标一览表（</w:t>
      </w:r>
      <w:r>
        <w:rPr>
          <w:rFonts w:hint="eastAsia" w:ascii="仿宋_GB2312" w:eastAsia="仿宋_GB2312"/>
          <w:b/>
          <w:bCs/>
          <w:color w:val="auto"/>
          <w:sz w:val="24"/>
          <w:highlight w:val="none"/>
        </w:rPr>
        <w:t>必须提供</w:t>
      </w:r>
      <w:r>
        <w:rPr>
          <w:rFonts w:hint="eastAsia" w:ascii="仿宋_GB2312" w:eastAsia="仿宋_GB2312"/>
          <w:color w:val="auto"/>
          <w:sz w:val="24"/>
          <w:highlight w:val="none"/>
        </w:rPr>
        <w:t>，格式见第六章</w:t>
      </w:r>
      <w:r>
        <w:rPr>
          <w:rFonts w:hint="eastAsia" w:ascii="仿宋_GB2312" w:eastAsia="仿宋_GB2312" w:cs="Courier New"/>
          <w:color w:val="auto"/>
          <w:sz w:val="24"/>
          <w:highlight w:val="none"/>
        </w:rPr>
        <w:t>）；</w:t>
      </w:r>
    </w:p>
    <w:p w14:paraId="3E70B0E2">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（2）投标报价明细表（</w:t>
      </w:r>
      <w:r>
        <w:rPr>
          <w:rFonts w:hint="eastAsia" w:ascii="仿宋_GB2312" w:eastAsia="仿宋_GB2312"/>
          <w:b/>
          <w:bCs/>
          <w:color w:val="auto"/>
          <w:sz w:val="24"/>
          <w:highlight w:val="none"/>
        </w:rPr>
        <w:t>必须提供，</w:t>
      </w:r>
      <w:r>
        <w:rPr>
          <w:rFonts w:hint="eastAsia" w:ascii="仿宋_GB2312" w:eastAsia="仿宋_GB2312"/>
          <w:color w:val="auto"/>
          <w:sz w:val="24"/>
          <w:highlight w:val="none"/>
        </w:rPr>
        <w:t>格式见第六章</w:t>
      </w:r>
      <w:r>
        <w:rPr>
          <w:rFonts w:hint="eastAsia" w:ascii="仿宋_GB2312" w:eastAsia="仿宋_GB2312" w:cs="Courier New"/>
          <w:color w:val="auto"/>
          <w:sz w:val="24"/>
          <w:highlight w:val="none"/>
        </w:rPr>
        <w:t>）。</w:t>
      </w:r>
    </w:p>
    <w:p w14:paraId="043EA579">
      <w:pPr>
        <w:snapToGrid w:val="0"/>
        <w:spacing w:line="340" w:lineRule="exact"/>
        <w:ind w:right="-330" w:rightChars="-157" w:firstLine="441" w:firstLineChars="183"/>
        <w:jc w:val="left"/>
        <w:rPr>
          <w:rFonts w:ascii="仿宋_GB2312" w:eastAsia="仿宋_GB2312" w:cs="Courier New"/>
          <w:b/>
          <w:color w:val="auto"/>
          <w:sz w:val="24"/>
          <w:highlight w:val="none"/>
        </w:rPr>
      </w:pPr>
      <w:r>
        <w:rPr>
          <w:rFonts w:hint="eastAsia" w:ascii="仿宋_GB2312" w:eastAsia="仿宋_GB2312"/>
          <w:b/>
          <w:color w:val="auto"/>
          <w:sz w:val="24"/>
          <w:highlight w:val="none"/>
        </w:rPr>
        <w:t>13.1.3商务技术文件</w:t>
      </w:r>
    </w:p>
    <w:p w14:paraId="725EBE7D">
      <w:pPr>
        <w:snapToGrid w:val="0"/>
        <w:spacing w:line="340" w:lineRule="exact"/>
        <w:ind w:right="-330" w:rightChars="-157" w:firstLine="472" w:firstLineChars="196"/>
        <w:jc w:val="left"/>
        <w:rPr>
          <w:rFonts w:hint="eastAsia" w:ascii="仿宋_GB2312" w:hAnsi="宋体" w:eastAsia="仿宋_GB2312" w:cs="Courier New"/>
          <w:color w:val="auto"/>
          <w:sz w:val="24"/>
          <w:highlight w:val="none"/>
        </w:rPr>
      </w:pPr>
      <w:bookmarkStart w:id="49" w:name="_Hlk517112171"/>
      <w:bookmarkStart w:id="50" w:name="_Hlk517112217"/>
      <w:bookmarkStart w:id="51" w:name="_Toc254970678"/>
      <w:bookmarkStart w:id="52" w:name="_Toc254970537"/>
      <w:r>
        <w:rPr>
          <w:rFonts w:hint="eastAsia" w:ascii="仿宋_GB2312" w:hAnsi="宋体" w:eastAsia="仿宋_GB2312"/>
          <w:b/>
          <w:bCs/>
          <w:color w:val="auto"/>
          <w:sz w:val="24"/>
          <w:highlight w:val="none"/>
        </w:rPr>
        <w:t>注：以下第（1）至第（</w:t>
      </w:r>
      <w:r>
        <w:rPr>
          <w:rFonts w:hint="eastAsia" w:ascii="仿宋_GB2312" w:hAnsi="宋体" w:eastAsia="仿宋_GB2312"/>
          <w:b/>
          <w:bCs/>
          <w:color w:val="auto"/>
          <w:sz w:val="24"/>
          <w:highlight w:val="none"/>
          <w:lang w:val="en-US" w:eastAsia="zh-CN"/>
        </w:rPr>
        <w:t>6</w:t>
      </w:r>
      <w:r>
        <w:rPr>
          <w:rFonts w:hint="eastAsia" w:ascii="仿宋_GB2312" w:hAnsi="宋体" w:eastAsia="仿宋_GB2312"/>
          <w:b/>
          <w:bCs/>
          <w:color w:val="auto"/>
          <w:sz w:val="24"/>
          <w:highlight w:val="none"/>
        </w:rPr>
        <w:t>）项必须提供并加盖投标人CA电子签章、并按照第六章格式要求签字，否则投标无效。其余各项如有请提供，同时要加盖投标人CA电子签章，否则该材料被视为无效。</w:t>
      </w:r>
    </w:p>
    <w:bookmarkEnd w:id="49"/>
    <w:p w14:paraId="53324D3B">
      <w:pPr>
        <w:pStyle w:val="306"/>
        <w:spacing w:before="0" w:beforeAutospacing="0" w:after="0" w:afterAutospacing="0" w:line="360" w:lineRule="atLeast"/>
        <w:rPr>
          <w:rFonts w:ascii="仿宋_GB2312" w:eastAsia="仿宋_GB2312"/>
          <w:color w:val="auto"/>
          <w:highlight w:val="none"/>
        </w:rPr>
      </w:pPr>
      <w:r>
        <w:rPr>
          <w:rFonts w:hint="eastAsia" w:ascii="仿宋_GB2312" w:eastAsia="仿宋_GB2312"/>
          <w:color w:val="auto"/>
          <w:highlight w:val="none"/>
        </w:rPr>
        <w:t>  （1）投标函（</w:t>
      </w:r>
      <w:r>
        <w:rPr>
          <w:rFonts w:hint="eastAsia" w:ascii="仿宋_GB2312" w:eastAsia="仿宋_GB2312"/>
          <w:b/>
          <w:bCs/>
          <w:color w:val="auto"/>
          <w:highlight w:val="none"/>
        </w:rPr>
        <w:t>必须提供</w:t>
      </w:r>
      <w:r>
        <w:rPr>
          <w:rFonts w:hint="eastAsia" w:ascii="仿宋_GB2312" w:eastAsia="仿宋_GB2312"/>
          <w:color w:val="auto"/>
          <w:highlight w:val="none"/>
        </w:rPr>
        <w:t>，格式见第六章）；</w:t>
      </w:r>
    </w:p>
    <w:p w14:paraId="431B3B6B">
      <w:pPr>
        <w:pStyle w:val="306"/>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（2）技术响应表（</w:t>
      </w:r>
      <w:r>
        <w:rPr>
          <w:rFonts w:hint="eastAsia" w:ascii="仿宋_GB2312" w:eastAsia="仿宋_GB2312"/>
          <w:b/>
          <w:bCs/>
          <w:color w:val="auto"/>
          <w:highlight w:val="none"/>
        </w:rPr>
        <w:t>必须提供</w:t>
      </w:r>
      <w:r>
        <w:rPr>
          <w:rFonts w:hint="eastAsia" w:ascii="仿宋_GB2312" w:eastAsia="仿宋_GB2312"/>
          <w:color w:val="auto"/>
          <w:highlight w:val="none"/>
        </w:rPr>
        <w:t>，格式见第六章）；</w:t>
      </w:r>
    </w:p>
    <w:p w14:paraId="6439A16A">
      <w:pPr>
        <w:pStyle w:val="306"/>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（3）商务响应表（</w:t>
      </w:r>
      <w:r>
        <w:rPr>
          <w:rFonts w:hint="eastAsia" w:ascii="仿宋_GB2312" w:eastAsia="仿宋_GB2312"/>
          <w:b/>
          <w:bCs/>
          <w:color w:val="auto"/>
          <w:highlight w:val="none"/>
        </w:rPr>
        <w:t>必须提供</w:t>
      </w:r>
      <w:r>
        <w:rPr>
          <w:rFonts w:hint="eastAsia" w:ascii="仿宋_GB2312" w:eastAsia="仿宋_GB2312"/>
          <w:color w:val="auto"/>
          <w:highlight w:val="none"/>
        </w:rPr>
        <w:t>，格式见第六章）；</w:t>
      </w:r>
    </w:p>
    <w:p w14:paraId="70701BF8">
      <w:pPr>
        <w:pStyle w:val="306"/>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4）分标1投标产品“教师台式机”、“网络教室教师机”、“网络教室学生机”和分标2投标产品“网络教室教师机”、“网络教室学生机”为政府强制采购节能产品，由国家确定的认证机构出具的、处于有效期之内的节能产品认证证书（</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58B797A4">
      <w:pPr>
        <w:pStyle w:val="927"/>
        <w:spacing w:before="0" w:beforeAutospacing="0" w:after="0" w:afterAutospacing="0" w:line="360"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（5）</w:t>
      </w:r>
      <w:r>
        <w:rPr>
          <w:rFonts w:hint="eastAsia" w:ascii="仿宋_GB2312" w:eastAsia="仿宋_GB2312"/>
          <w:color w:val="auto"/>
          <w:highlight w:val="none"/>
          <w:lang w:eastAsia="zh-CN"/>
        </w:rPr>
        <w:t>分标</w:t>
      </w:r>
      <w:r>
        <w:rPr>
          <w:rFonts w:hint="eastAsia" w:ascii="仿宋_GB2312" w:eastAsia="仿宋_GB2312"/>
          <w:color w:val="auto"/>
          <w:highlight w:val="none"/>
          <w:lang w:val="en-US" w:eastAsia="zh-CN"/>
        </w:rPr>
        <w:t>1</w:t>
      </w:r>
      <w:r>
        <w:rPr>
          <w:rFonts w:hint="eastAsia" w:ascii="仿宋_GB2312" w:eastAsia="仿宋_GB2312"/>
          <w:color w:val="auto"/>
          <w:highlight w:val="none"/>
        </w:rPr>
        <w:t>所投产品</w:t>
      </w:r>
      <w:r>
        <w:rPr>
          <w:rFonts w:hint="eastAsia" w:ascii="仿宋_GB2312" w:eastAsia="仿宋_GB2312"/>
          <w:color w:val="auto"/>
          <w:highlight w:val="none"/>
          <w:lang w:eastAsia="zh-CN"/>
        </w:rPr>
        <w:t>满足</w:t>
      </w:r>
      <w:r>
        <w:rPr>
          <w:rFonts w:hint="eastAsia" w:ascii="仿宋_GB2312" w:eastAsia="仿宋_GB2312"/>
          <w:color w:val="auto"/>
          <w:highlight w:val="none"/>
        </w:rPr>
        <w:t>采购</w:t>
      </w:r>
      <w:r>
        <w:rPr>
          <w:rFonts w:hint="eastAsia" w:ascii="仿宋_GB2312" w:eastAsia="仿宋_GB2312"/>
          <w:b w:val="0"/>
          <w:bCs w:val="0"/>
          <w:color w:val="auto"/>
          <w:highlight w:val="none"/>
        </w:rPr>
        <w:t>需求“</w:t>
      </w:r>
      <w:r>
        <w:rPr>
          <w:rFonts w:hint="eastAsia" w:ascii="仿宋_GB2312" w:hAnsi="仿宋_GB2312" w:eastAsia="仿宋_GB2312" w:cs="仿宋_GB2312"/>
          <w:b w:val="0"/>
          <w:bCs w:val="0"/>
          <w:color w:val="auto"/>
          <w:kern w:val="0"/>
          <w:sz w:val="24"/>
          <w:szCs w:val="24"/>
          <w:highlight w:val="none"/>
        </w:rPr>
        <w:t>（</w:t>
      </w:r>
      <w:r>
        <w:rPr>
          <w:rFonts w:hint="eastAsia" w:ascii="仿宋_GB2312" w:hAnsi="仿宋_GB2312" w:eastAsia="仿宋_GB2312" w:cs="仿宋_GB2312"/>
          <w:b w:val="0"/>
          <w:bCs w:val="0"/>
          <w:color w:val="auto"/>
          <w:kern w:val="0"/>
          <w:sz w:val="24"/>
          <w:szCs w:val="24"/>
          <w:highlight w:val="none"/>
          <w:lang w:eastAsia="zh-CN"/>
        </w:rPr>
        <w:t>三</w:t>
      </w:r>
      <w:r>
        <w:rPr>
          <w:rFonts w:hint="eastAsia" w:ascii="仿宋_GB2312" w:hAnsi="仿宋_GB2312" w:eastAsia="仿宋_GB2312" w:cs="仿宋_GB2312"/>
          <w:b w:val="0"/>
          <w:bCs w:val="0"/>
          <w:color w:val="auto"/>
          <w:kern w:val="0"/>
          <w:sz w:val="24"/>
          <w:szCs w:val="24"/>
          <w:highlight w:val="none"/>
        </w:rPr>
        <w:t>）</w:t>
      </w:r>
      <w:r>
        <w:rPr>
          <w:rFonts w:hint="eastAsia" w:ascii="仿宋_GB2312" w:hAnsi="仿宋_GB2312" w:eastAsia="仿宋_GB2312" w:cs="仿宋_GB2312"/>
          <w:b w:val="0"/>
          <w:bCs w:val="0"/>
          <w:color w:val="auto"/>
          <w:kern w:val="0"/>
          <w:sz w:val="24"/>
          <w:szCs w:val="24"/>
          <w:highlight w:val="none"/>
          <w:lang w:val="en-US" w:eastAsia="zh-CN"/>
        </w:rPr>
        <w:t xml:space="preserve">32套普通教室互动平板一体机教学系统 </w:t>
      </w:r>
      <w:r>
        <w:rPr>
          <w:rFonts w:hint="eastAsia" w:ascii="仿宋_GB2312" w:hAnsi="仿宋_GB2312" w:eastAsia="仿宋_GB2312" w:cs="仿宋_GB2312"/>
          <w:b w:val="0"/>
          <w:bCs w:val="0"/>
          <w:color w:val="auto"/>
          <w:sz w:val="24"/>
          <w:szCs w:val="24"/>
          <w:highlight w:val="none"/>
          <w:lang w:val="en-US" w:eastAsia="zh-CN"/>
        </w:rPr>
        <w:t>1.</w:t>
      </w:r>
      <w:r>
        <w:rPr>
          <w:rFonts w:hint="eastAsia" w:ascii="仿宋_GB2312" w:hAnsi="仿宋_GB2312" w:eastAsia="仿宋_GB2312" w:cs="仿宋_GB2312"/>
          <w:b w:val="0"/>
          <w:bCs w:val="0"/>
          <w:color w:val="auto"/>
          <w:kern w:val="0"/>
          <w:sz w:val="24"/>
          <w:highlight w:val="none"/>
        </w:rPr>
        <w:t>互动平板一体机</w:t>
      </w:r>
      <w:r>
        <w:rPr>
          <w:rFonts w:hint="eastAsia" w:ascii="仿宋_GB2312" w:hAnsi="仿宋_GB2312" w:eastAsia="仿宋_GB2312" w:cs="仿宋_GB2312"/>
          <w:b w:val="0"/>
          <w:bCs w:val="0"/>
          <w:color w:val="auto"/>
          <w:kern w:val="0"/>
          <w:sz w:val="24"/>
          <w:highlight w:val="none"/>
          <w:lang w:val="en-US" w:eastAsia="zh-CN"/>
        </w:rPr>
        <w:t xml:space="preserve"> </w:t>
      </w:r>
      <w:r>
        <w:rPr>
          <w:rFonts w:hint="eastAsia" w:ascii="仿宋_GB2312" w:hAnsi="仿宋_GB2312" w:eastAsia="仿宋_GB2312" w:cs="仿宋_GB2312"/>
          <w:b w:val="0"/>
          <w:bCs w:val="0"/>
          <w:color w:val="auto"/>
          <w:sz w:val="24"/>
          <w:highlight w:val="none"/>
          <w:lang w:val="en-US" w:eastAsia="zh-CN"/>
        </w:rPr>
        <w:t xml:space="preserve">二、整机屏幕及护眼设计 </w:t>
      </w:r>
      <w:r>
        <w:rPr>
          <w:rFonts w:hint="eastAsia" w:ascii="仿宋_GB2312" w:hAnsi="仿宋_GB2312" w:eastAsia="仿宋_GB2312" w:cs="仿宋_GB2312"/>
          <w:b w:val="0"/>
          <w:bCs w:val="0"/>
          <w:color w:val="auto"/>
          <w:kern w:val="0"/>
          <w:sz w:val="24"/>
          <w:highlight w:val="none"/>
          <w:lang w:val="en-US" w:eastAsia="zh-CN"/>
        </w:rPr>
        <w:t>第9点、</w:t>
      </w:r>
      <w:r>
        <w:rPr>
          <w:rFonts w:hint="eastAsia" w:ascii="仿宋_GB2312" w:hAnsi="仿宋_GB2312" w:eastAsia="仿宋_GB2312" w:cs="仿宋_GB2312"/>
          <w:b w:val="0"/>
          <w:bCs w:val="0"/>
          <w:color w:val="auto"/>
          <w:sz w:val="24"/>
          <w:highlight w:val="none"/>
          <w:lang w:val="en-US" w:eastAsia="zh-CN"/>
        </w:rPr>
        <w:t>三、音视频功能设计 第1点、第3点”</w:t>
      </w:r>
      <w:r>
        <w:rPr>
          <w:rFonts w:hint="eastAsia" w:ascii="仿宋_GB2312" w:eastAsia="仿宋_GB2312"/>
          <w:b w:val="0"/>
          <w:bCs w:val="0"/>
          <w:color w:val="auto"/>
          <w:highlight w:val="none"/>
        </w:rPr>
        <w:t>的全部技术参数要求的证明材料，证明材料可以是检测（检验）报告、彩页、官网或功能截图等任意一种</w:t>
      </w:r>
      <w:r>
        <w:rPr>
          <w:rFonts w:hint="eastAsia" w:ascii="仿宋_GB2312" w:eastAsia="仿宋_GB2312"/>
          <w:color w:val="auto"/>
          <w:highlight w:val="none"/>
        </w:rPr>
        <w:t>（</w:t>
      </w:r>
      <w:r>
        <w:rPr>
          <w:rFonts w:hint="eastAsia" w:ascii="仿宋_GB2312" w:eastAsia="仿宋_GB2312"/>
          <w:b/>
          <w:bCs/>
          <w:color w:val="auto"/>
          <w:highlight w:val="none"/>
        </w:rPr>
        <w:t>必须提供</w:t>
      </w:r>
      <w:r>
        <w:rPr>
          <w:rFonts w:hint="eastAsia" w:ascii="仿宋_GB2312" w:hAnsi="仿宋_GB2312" w:eastAsia="仿宋_GB2312" w:cs="仿宋_GB2312"/>
          <w:color w:val="auto"/>
          <w:highlight w:val="none"/>
        </w:rPr>
        <w:t>，格式自拟</w:t>
      </w:r>
      <w:r>
        <w:rPr>
          <w:rFonts w:hint="eastAsia" w:ascii="仿宋_GB2312" w:eastAsia="仿宋_GB2312"/>
          <w:color w:val="auto"/>
          <w:highlight w:val="none"/>
        </w:rPr>
        <w:t>）；</w:t>
      </w:r>
    </w:p>
    <w:p w14:paraId="1E749B0E">
      <w:pPr>
        <w:pStyle w:val="927"/>
        <w:spacing w:before="0" w:beforeAutospacing="0" w:after="0" w:afterAutospacing="0" w:line="360"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w:t>
      </w:r>
      <w:r>
        <w:rPr>
          <w:rFonts w:hint="eastAsia" w:ascii="仿宋_GB2312" w:eastAsia="仿宋_GB2312"/>
          <w:color w:val="auto"/>
          <w:highlight w:val="none"/>
          <w:lang w:val="en-US" w:eastAsia="zh-CN"/>
        </w:rPr>
        <w:t>6</w:t>
      </w:r>
      <w:r>
        <w:rPr>
          <w:rFonts w:hint="eastAsia" w:ascii="仿宋_GB2312" w:eastAsia="仿宋_GB2312"/>
          <w:color w:val="auto"/>
          <w:highlight w:val="none"/>
        </w:rPr>
        <w:t>）</w:t>
      </w:r>
      <w:r>
        <w:rPr>
          <w:rFonts w:hint="eastAsia" w:ascii="仿宋_GB2312" w:eastAsia="仿宋_GB2312"/>
          <w:color w:val="auto"/>
          <w:highlight w:val="none"/>
          <w:lang w:eastAsia="zh-CN"/>
        </w:rPr>
        <w:t>分标</w:t>
      </w:r>
      <w:r>
        <w:rPr>
          <w:rFonts w:hint="eastAsia" w:ascii="仿宋_GB2312" w:eastAsia="仿宋_GB2312"/>
          <w:color w:val="auto"/>
          <w:highlight w:val="none"/>
          <w:lang w:val="en-US" w:eastAsia="zh-CN"/>
        </w:rPr>
        <w:t>2</w:t>
      </w:r>
      <w:r>
        <w:rPr>
          <w:rFonts w:hint="eastAsia" w:ascii="仿宋_GB2312" w:eastAsia="仿宋_GB2312"/>
          <w:color w:val="auto"/>
          <w:highlight w:val="none"/>
        </w:rPr>
        <w:t>所投产品</w:t>
      </w:r>
      <w:r>
        <w:rPr>
          <w:rFonts w:hint="eastAsia" w:ascii="仿宋_GB2312" w:eastAsia="仿宋_GB2312"/>
          <w:color w:val="auto"/>
          <w:highlight w:val="none"/>
          <w:lang w:eastAsia="zh-CN"/>
        </w:rPr>
        <w:t>满足</w:t>
      </w:r>
      <w:r>
        <w:rPr>
          <w:rFonts w:hint="eastAsia" w:ascii="仿宋_GB2312" w:eastAsia="仿宋_GB2312"/>
          <w:color w:val="auto"/>
          <w:highlight w:val="none"/>
        </w:rPr>
        <w:t>采购</w:t>
      </w:r>
      <w:r>
        <w:rPr>
          <w:rFonts w:hint="eastAsia" w:ascii="仿宋_GB2312" w:eastAsia="仿宋_GB2312"/>
          <w:b w:val="0"/>
          <w:bCs w:val="0"/>
          <w:color w:val="auto"/>
          <w:highlight w:val="none"/>
        </w:rPr>
        <w:t>需求“</w:t>
      </w:r>
      <w:r>
        <w:rPr>
          <w:rFonts w:hint="eastAsia" w:ascii="仿宋_GB2312" w:hAnsi="仿宋_GB2312" w:eastAsia="仿宋_GB2312" w:cs="仿宋_GB2312"/>
          <w:b w:val="0"/>
          <w:bCs w:val="0"/>
          <w:color w:val="auto"/>
          <w:kern w:val="0"/>
          <w:sz w:val="24"/>
          <w:szCs w:val="24"/>
          <w:highlight w:val="none"/>
        </w:rPr>
        <w:t>（</w:t>
      </w:r>
      <w:r>
        <w:rPr>
          <w:rFonts w:hint="eastAsia" w:ascii="仿宋_GB2312" w:hAnsi="仿宋_GB2312" w:eastAsia="仿宋_GB2312" w:cs="仿宋_GB2312"/>
          <w:b w:val="0"/>
          <w:bCs w:val="0"/>
          <w:color w:val="auto"/>
          <w:kern w:val="0"/>
          <w:sz w:val="24"/>
          <w:szCs w:val="24"/>
          <w:highlight w:val="none"/>
          <w:lang w:eastAsia="zh-CN"/>
        </w:rPr>
        <w:t>二</w:t>
      </w:r>
      <w:r>
        <w:rPr>
          <w:rFonts w:hint="eastAsia" w:ascii="仿宋_GB2312" w:hAnsi="仿宋_GB2312" w:eastAsia="仿宋_GB2312" w:cs="仿宋_GB2312"/>
          <w:b w:val="0"/>
          <w:bCs w:val="0"/>
          <w:color w:val="auto"/>
          <w:kern w:val="0"/>
          <w:sz w:val="24"/>
          <w:szCs w:val="24"/>
          <w:highlight w:val="none"/>
        </w:rPr>
        <w:t>）</w:t>
      </w:r>
      <w:r>
        <w:rPr>
          <w:rFonts w:hint="eastAsia" w:ascii="仿宋_GB2312" w:hAnsi="仿宋_GB2312" w:eastAsia="仿宋_GB2312" w:cs="仿宋_GB2312"/>
          <w:b w:val="0"/>
          <w:bCs w:val="0"/>
          <w:color w:val="auto"/>
          <w:kern w:val="0"/>
          <w:sz w:val="24"/>
          <w:szCs w:val="24"/>
          <w:highlight w:val="none"/>
          <w:lang w:val="en-US" w:eastAsia="zh-CN"/>
        </w:rPr>
        <w:t xml:space="preserve">33套普通教室互动平板一体机教学系统 </w:t>
      </w:r>
      <w:r>
        <w:rPr>
          <w:rFonts w:hint="eastAsia" w:ascii="仿宋_GB2312" w:hAnsi="仿宋_GB2312" w:eastAsia="仿宋_GB2312" w:cs="仿宋_GB2312"/>
          <w:b w:val="0"/>
          <w:bCs w:val="0"/>
          <w:color w:val="auto"/>
          <w:sz w:val="24"/>
          <w:szCs w:val="24"/>
          <w:highlight w:val="none"/>
          <w:lang w:val="en-US" w:eastAsia="zh-CN"/>
        </w:rPr>
        <w:t>1.</w:t>
      </w:r>
      <w:r>
        <w:rPr>
          <w:rFonts w:hint="eastAsia" w:ascii="仿宋_GB2312" w:hAnsi="仿宋_GB2312" w:eastAsia="仿宋_GB2312" w:cs="仿宋_GB2312"/>
          <w:b w:val="0"/>
          <w:bCs w:val="0"/>
          <w:color w:val="auto"/>
          <w:kern w:val="0"/>
          <w:sz w:val="24"/>
          <w:highlight w:val="none"/>
        </w:rPr>
        <w:t>互动平板一体机</w:t>
      </w:r>
      <w:r>
        <w:rPr>
          <w:rFonts w:hint="eastAsia" w:ascii="仿宋_GB2312" w:hAnsi="仿宋_GB2312" w:eastAsia="仿宋_GB2312" w:cs="仿宋_GB2312"/>
          <w:b w:val="0"/>
          <w:bCs w:val="0"/>
          <w:color w:val="auto"/>
          <w:kern w:val="0"/>
          <w:sz w:val="24"/>
          <w:highlight w:val="none"/>
          <w:lang w:val="en-US" w:eastAsia="zh-CN"/>
        </w:rPr>
        <w:t xml:space="preserve"> </w:t>
      </w:r>
      <w:r>
        <w:rPr>
          <w:rFonts w:hint="eastAsia" w:ascii="仿宋_GB2312" w:hAnsi="仿宋_GB2312" w:eastAsia="仿宋_GB2312" w:cs="仿宋_GB2312"/>
          <w:b w:val="0"/>
          <w:bCs w:val="0"/>
          <w:color w:val="auto"/>
          <w:sz w:val="24"/>
          <w:highlight w:val="none"/>
          <w:lang w:val="en-US" w:eastAsia="zh-CN"/>
        </w:rPr>
        <w:t xml:space="preserve">二、整机屏幕及护眼设计 </w:t>
      </w:r>
      <w:r>
        <w:rPr>
          <w:rFonts w:hint="eastAsia" w:ascii="仿宋_GB2312" w:hAnsi="仿宋_GB2312" w:eastAsia="仿宋_GB2312" w:cs="仿宋_GB2312"/>
          <w:b w:val="0"/>
          <w:bCs w:val="0"/>
          <w:color w:val="auto"/>
          <w:kern w:val="0"/>
          <w:sz w:val="24"/>
          <w:highlight w:val="none"/>
          <w:lang w:val="en-US" w:eastAsia="zh-CN"/>
        </w:rPr>
        <w:t>第9点、</w:t>
      </w:r>
      <w:r>
        <w:rPr>
          <w:rFonts w:hint="eastAsia" w:ascii="仿宋_GB2312" w:hAnsi="仿宋_GB2312" w:eastAsia="仿宋_GB2312" w:cs="仿宋_GB2312"/>
          <w:b w:val="0"/>
          <w:bCs w:val="0"/>
          <w:color w:val="auto"/>
          <w:sz w:val="24"/>
          <w:highlight w:val="none"/>
          <w:lang w:val="en-US" w:eastAsia="zh-CN"/>
        </w:rPr>
        <w:t>三、音视频功能设计 第1点、第3点”</w:t>
      </w:r>
      <w:r>
        <w:rPr>
          <w:rFonts w:hint="eastAsia" w:ascii="仿宋_GB2312" w:eastAsia="仿宋_GB2312"/>
          <w:b w:val="0"/>
          <w:bCs w:val="0"/>
          <w:color w:val="auto"/>
          <w:highlight w:val="none"/>
        </w:rPr>
        <w:t>的全部技术参数要求的证明材料，证明材料可以是检测（检验）报告、彩页、官网或功能截图等任意一种</w:t>
      </w:r>
      <w:r>
        <w:rPr>
          <w:rFonts w:hint="eastAsia" w:ascii="仿宋_GB2312" w:eastAsia="仿宋_GB2312"/>
          <w:color w:val="auto"/>
          <w:highlight w:val="none"/>
        </w:rPr>
        <w:t>（</w:t>
      </w:r>
      <w:r>
        <w:rPr>
          <w:rFonts w:hint="eastAsia" w:ascii="仿宋_GB2312" w:eastAsia="仿宋_GB2312"/>
          <w:b/>
          <w:bCs/>
          <w:color w:val="auto"/>
          <w:highlight w:val="none"/>
        </w:rPr>
        <w:t>必须提供</w:t>
      </w:r>
      <w:r>
        <w:rPr>
          <w:rFonts w:hint="eastAsia" w:ascii="仿宋_GB2312" w:hAnsi="仿宋_GB2312" w:eastAsia="仿宋_GB2312" w:cs="仿宋_GB2312"/>
          <w:color w:val="auto"/>
          <w:highlight w:val="none"/>
        </w:rPr>
        <w:t>，格式自拟</w:t>
      </w:r>
      <w:r>
        <w:rPr>
          <w:rFonts w:hint="eastAsia" w:ascii="仿宋_GB2312" w:eastAsia="仿宋_GB2312"/>
          <w:color w:val="auto"/>
          <w:highlight w:val="none"/>
        </w:rPr>
        <w:t>）；</w:t>
      </w:r>
    </w:p>
    <w:p w14:paraId="664A1E98">
      <w:pPr>
        <w:pStyle w:val="306"/>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w:t>
      </w:r>
      <w:r>
        <w:rPr>
          <w:rFonts w:hint="eastAsia" w:ascii="仿宋_GB2312" w:eastAsia="仿宋_GB2312"/>
          <w:color w:val="auto"/>
          <w:highlight w:val="none"/>
          <w:lang w:val="en-US" w:eastAsia="zh-CN"/>
        </w:rPr>
        <w:t>7</w:t>
      </w:r>
      <w:r>
        <w:rPr>
          <w:rFonts w:hint="eastAsia" w:ascii="仿宋_GB2312" w:eastAsia="仿宋_GB2312"/>
          <w:color w:val="auto"/>
          <w:highlight w:val="none"/>
        </w:rPr>
        <w:t>）项目实施组织结构（如有，格式见第六章）；</w:t>
      </w:r>
    </w:p>
    <w:p w14:paraId="615D5BAE">
      <w:pPr>
        <w:pStyle w:val="306"/>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w:t>
      </w:r>
      <w:r>
        <w:rPr>
          <w:rFonts w:hint="eastAsia" w:ascii="仿宋_GB2312" w:eastAsia="仿宋_GB2312"/>
          <w:color w:val="auto"/>
          <w:highlight w:val="none"/>
          <w:lang w:val="en-US" w:eastAsia="zh-CN"/>
        </w:rPr>
        <w:t>8</w:t>
      </w:r>
      <w:r>
        <w:rPr>
          <w:rFonts w:hint="eastAsia" w:ascii="仿宋_GB2312" w:eastAsia="仿宋_GB2312"/>
          <w:color w:val="auto"/>
          <w:highlight w:val="none"/>
        </w:rPr>
        <w:t>）安装进度计划和工期保证（如有，格式见第六章）；</w:t>
      </w:r>
    </w:p>
    <w:p w14:paraId="1D302AF9">
      <w:pPr>
        <w:pStyle w:val="306"/>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w:t>
      </w:r>
      <w:r>
        <w:rPr>
          <w:rFonts w:hint="eastAsia" w:ascii="仿宋_GB2312" w:eastAsia="仿宋_GB2312"/>
          <w:color w:val="auto"/>
          <w:highlight w:val="none"/>
          <w:lang w:val="en-US" w:eastAsia="zh-CN"/>
        </w:rPr>
        <w:t>9</w:t>
      </w:r>
      <w:r>
        <w:rPr>
          <w:rFonts w:hint="eastAsia" w:ascii="仿宋_GB2312" w:eastAsia="仿宋_GB2312"/>
          <w:color w:val="auto"/>
          <w:highlight w:val="none"/>
        </w:rPr>
        <w:t>）</w:t>
      </w:r>
      <w:r>
        <w:rPr>
          <w:rFonts w:hint="eastAsia" w:ascii="仿宋_GB2312" w:eastAsia="仿宋_GB2312"/>
          <w:color w:val="auto"/>
          <w:highlight w:val="none"/>
          <w:lang w:eastAsia="zh-CN"/>
        </w:rPr>
        <w:t>技术培训方案</w:t>
      </w:r>
      <w:r>
        <w:rPr>
          <w:rFonts w:hint="eastAsia" w:ascii="仿宋_GB2312" w:eastAsia="仿宋_GB2312"/>
          <w:color w:val="auto"/>
          <w:highlight w:val="none"/>
        </w:rPr>
        <w:t>（如有，格式见第六章）；</w:t>
      </w:r>
    </w:p>
    <w:p w14:paraId="7F1DF588">
      <w:pPr>
        <w:pStyle w:val="306"/>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w:t>
      </w:r>
      <w:r>
        <w:rPr>
          <w:rFonts w:hint="eastAsia" w:ascii="仿宋_GB2312" w:eastAsia="仿宋_GB2312"/>
          <w:color w:val="auto"/>
          <w:highlight w:val="none"/>
          <w:lang w:val="en-US" w:eastAsia="zh-CN"/>
        </w:rPr>
        <w:t>10</w:t>
      </w:r>
      <w:r>
        <w:rPr>
          <w:rFonts w:hint="eastAsia" w:ascii="仿宋_GB2312" w:eastAsia="仿宋_GB2312"/>
          <w:color w:val="auto"/>
          <w:highlight w:val="none"/>
        </w:rPr>
        <w:t>）售后服务方案（如有，格式见第六章）；</w:t>
      </w:r>
    </w:p>
    <w:p w14:paraId="0D7DFF70">
      <w:pPr>
        <w:pStyle w:val="306"/>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w:t>
      </w:r>
      <w:r>
        <w:rPr>
          <w:rFonts w:hint="eastAsia" w:ascii="仿宋_GB2312" w:eastAsia="仿宋_GB2312"/>
          <w:color w:val="auto"/>
          <w:highlight w:val="none"/>
          <w:lang w:val="en-US" w:eastAsia="zh-CN"/>
        </w:rPr>
        <w:t>11</w:t>
      </w:r>
      <w:r>
        <w:rPr>
          <w:rFonts w:hint="eastAsia" w:ascii="仿宋_GB2312" w:eastAsia="仿宋_GB2312"/>
          <w:color w:val="auto"/>
          <w:highlight w:val="none"/>
        </w:rPr>
        <w:t>）所投产品</w:t>
      </w:r>
      <w:r>
        <w:rPr>
          <w:rFonts w:hint="eastAsia" w:ascii="仿宋_GB2312" w:eastAsia="仿宋_GB2312"/>
          <w:color w:val="auto"/>
          <w:highlight w:val="none"/>
          <w:lang w:eastAsia="zh-CN"/>
        </w:rPr>
        <w:t>优于</w:t>
      </w:r>
      <w:r>
        <w:rPr>
          <w:rFonts w:hint="eastAsia" w:ascii="仿宋_GB2312" w:eastAsia="仿宋_GB2312"/>
          <w:color w:val="auto"/>
          <w:highlight w:val="none"/>
        </w:rPr>
        <w:t>采购需求中标记“◆”带下划线“</w:t>
      </w:r>
      <w:r>
        <w:rPr>
          <w:rFonts w:hint="eastAsia" w:ascii="仿宋_GB2312" w:eastAsia="仿宋_GB2312"/>
          <w:color w:val="auto"/>
          <w:highlight w:val="none"/>
          <w:u w:val="wave"/>
          <w:lang w:eastAsia="zh-CN"/>
        </w:rPr>
        <w:t xml:space="preserve"> </w:t>
      </w:r>
      <w:r>
        <w:rPr>
          <w:rFonts w:hint="eastAsia" w:ascii="仿宋_GB2312" w:eastAsia="仿宋_GB2312"/>
          <w:color w:val="auto"/>
          <w:highlight w:val="none"/>
          <w:u w:val="wave"/>
          <w:lang w:val="en-US" w:eastAsia="zh-CN"/>
        </w:rPr>
        <w:t xml:space="preserve">   </w:t>
      </w:r>
      <w:r>
        <w:rPr>
          <w:rFonts w:hint="eastAsia" w:ascii="仿宋_GB2312" w:eastAsia="仿宋_GB2312"/>
          <w:color w:val="auto"/>
          <w:highlight w:val="none"/>
        </w:rPr>
        <w:t>”</w:t>
      </w:r>
      <w:r>
        <w:rPr>
          <w:rFonts w:hint="eastAsia" w:ascii="仿宋_GB2312" w:eastAsia="仿宋_GB2312"/>
          <w:color w:val="auto"/>
          <w:highlight w:val="none"/>
          <w:lang w:eastAsia="zh-CN"/>
        </w:rPr>
        <w:t>技术参数</w:t>
      </w:r>
      <w:r>
        <w:rPr>
          <w:rFonts w:hint="eastAsia" w:ascii="仿宋_GB2312" w:eastAsia="仿宋_GB2312"/>
          <w:color w:val="auto"/>
          <w:highlight w:val="none"/>
        </w:rPr>
        <w:t>的</w:t>
      </w:r>
      <w:r>
        <w:rPr>
          <w:rFonts w:hint="eastAsia" w:ascii="仿宋_GB2312" w:eastAsia="仿宋_GB2312"/>
          <w:b w:val="0"/>
          <w:bCs w:val="0"/>
          <w:color w:val="auto"/>
          <w:highlight w:val="none"/>
        </w:rPr>
        <w:t>证明材料</w:t>
      </w:r>
      <w:r>
        <w:rPr>
          <w:rFonts w:hint="eastAsia" w:ascii="仿宋_GB2312" w:eastAsia="仿宋_GB2312"/>
          <w:b w:val="0"/>
          <w:bCs w:val="0"/>
          <w:color w:val="auto"/>
          <w:highlight w:val="none"/>
          <w:lang w:eastAsia="zh-CN"/>
        </w:rPr>
        <w:t>，证明材料可以是检测（检验）报告、彩页、官网或功能截图等任意一种</w:t>
      </w:r>
      <w:r>
        <w:rPr>
          <w:rFonts w:hint="eastAsia" w:ascii="仿宋_GB2312" w:eastAsia="仿宋_GB2312"/>
          <w:color w:val="auto"/>
          <w:highlight w:val="none"/>
        </w:rPr>
        <w:t>（如有）；</w:t>
      </w:r>
    </w:p>
    <w:p w14:paraId="5824CB52">
      <w:pPr>
        <w:pStyle w:val="306"/>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（1</w:t>
      </w:r>
      <w:r>
        <w:rPr>
          <w:rFonts w:hint="eastAsia" w:ascii="仿宋_GB2312" w:eastAsia="仿宋_GB2312"/>
          <w:color w:val="auto"/>
          <w:highlight w:val="none"/>
          <w:lang w:val="en-US" w:eastAsia="zh-CN"/>
        </w:rPr>
        <w:t>2</w:t>
      </w:r>
      <w:r>
        <w:rPr>
          <w:rFonts w:hint="eastAsia" w:ascii="仿宋_GB2312" w:eastAsia="仿宋_GB2312"/>
          <w:color w:val="auto"/>
          <w:highlight w:val="none"/>
        </w:rPr>
        <w:t>）投标人或所投核心产品生产厂商具备有效的质量管理体系认证证书（如有）；</w:t>
      </w:r>
    </w:p>
    <w:p w14:paraId="0A273EBD">
      <w:pPr>
        <w:pStyle w:val="306"/>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（1</w:t>
      </w:r>
      <w:r>
        <w:rPr>
          <w:rFonts w:hint="eastAsia" w:ascii="仿宋_GB2312" w:eastAsia="仿宋_GB2312"/>
          <w:color w:val="auto"/>
          <w:highlight w:val="none"/>
          <w:lang w:val="en-US" w:eastAsia="zh-CN"/>
        </w:rPr>
        <w:t>3</w:t>
      </w:r>
      <w:r>
        <w:rPr>
          <w:rFonts w:hint="eastAsia" w:ascii="仿宋_GB2312" w:eastAsia="仿宋_GB2312"/>
          <w:color w:val="auto"/>
          <w:highlight w:val="none"/>
        </w:rPr>
        <w:t>）投标人或所投核心产品生产厂商具备有效的职业健康安全管理体系认证证书（如有）；</w:t>
      </w:r>
    </w:p>
    <w:p w14:paraId="5A021DB2">
      <w:pPr>
        <w:pStyle w:val="306"/>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（1</w:t>
      </w:r>
      <w:r>
        <w:rPr>
          <w:rFonts w:hint="eastAsia" w:ascii="仿宋_GB2312" w:eastAsia="仿宋_GB2312"/>
          <w:color w:val="auto"/>
          <w:highlight w:val="none"/>
          <w:lang w:val="en-US" w:eastAsia="zh-CN"/>
        </w:rPr>
        <w:t>4</w:t>
      </w:r>
      <w:r>
        <w:rPr>
          <w:rFonts w:hint="eastAsia" w:ascii="仿宋_GB2312" w:eastAsia="仿宋_GB2312"/>
          <w:color w:val="auto"/>
          <w:highlight w:val="none"/>
        </w:rPr>
        <w:t>）投标人或所投核心产品生产厂商具备有效的环境管理体系认证证书（如有）；</w:t>
      </w:r>
    </w:p>
    <w:p w14:paraId="52044CA0">
      <w:pPr>
        <w:pStyle w:val="306"/>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（1</w:t>
      </w:r>
      <w:r>
        <w:rPr>
          <w:rFonts w:hint="eastAsia" w:ascii="仿宋_GB2312" w:eastAsia="仿宋_GB2312"/>
          <w:color w:val="auto"/>
          <w:highlight w:val="none"/>
          <w:lang w:val="en-US" w:eastAsia="zh-CN"/>
        </w:rPr>
        <w:t>5</w:t>
      </w:r>
      <w:r>
        <w:rPr>
          <w:rFonts w:hint="eastAsia" w:ascii="仿宋_GB2312" w:eastAsia="仿宋_GB2312"/>
          <w:color w:val="auto"/>
          <w:highlight w:val="none"/>
        </w:rPr>
        <w:t>）投标产品由国家确定的认证机构出具的、处于有效期之内的环境标志产品认证证书（如有）；</w:t>
      </w:r>
    </w:p>
    <w:p w14:paraId="5CD7A2FD">
      <w:pPr>
        <w:pStyle w:val="306"/>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（1</w:t>
      </w:r>
      <w:r>
        <w:rPr>
          <w:rFonts w:hint="eastAsia" w:ascii="仿宋_GB2312" w:eastAsia="仿宋_GB2312"/>
          <w:color w:val="auto"/>
          <w:highlight w:val="none"/>
          <w:lang w:val="en-US" w:eastAsia="zh-CN"/>
        </w:rPr>
        <w:t>6</w:t>
      </w:r>
      <w:r>
        <w:rPr>
          <w:rFonts w:hint="eastAsia" w:ascii="仿宋_GB2312" w:eastAsia="仿宋_GB2312"/>
          <w:color w:val="auto"/>
          <w:highlight w:val="none"/>
        </w:rPr>
        <w:t>）投标人对本项目的合理化建议和改进措施（如有，格式自拟）；</w:t>
      </w:r>
    </w:p>
    <w:p w14:paraId="53C2C903">
      <w:pPr>
        <w:pStyle w:val="306"/>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（1</w:t>
      </w:r>
      <w:r>
        <w:rPr>
          <w:rFonts w:hint="eastAsia" w:ascii="仿宋_GB2312" w:eastAsia="仿宋_GB2312"/>
          <w:color w:val="auto"/>
          <w:highlight w:val="none"/>
          <w:lang w:val="en-US" w:eastAsia="zh-CN"/>
        </w:rPr>
        <w:t>7</w:t>
      </w:r>
      <w:r>
        <w:rPr>
          <w:rFonts w:hint="eastAsia" w:ascii="仿宋_GB2312" w:eastAsia="仿宋_GB2312"/>
          <w:color w:val="auto"/>
          <w:highlight w:val="none"/>
        </w:rPr>
        <w:t>）投标人认为必要提供的声明及文件资料（如有，格式自拟）。</w:t>
      </w:r>
    </w:p>
    <w:bookmarkEnd w:id="50"/>
    <w:bookmarkEnd w:id="51"/>
    <w:bookmarkEnd w:id="52"/>
    <w:p w14:paraId="7F61E717">
      <w:pPr>
        <w:snapToGrid w:val="0"/>
        <w:spacing w:line="400" w:lineRule="exact"/>
        <w:ind w:firstLine="422" w:firstLineChars="175"/>
        <w:jc w:val="left"/>
        <w:rPr>
          <w:rFonts w:ascii="仿宋_GB2312" w:eastAsia="仿宋_GB2312" w:cs="Courier New"/>
          <w:b/>
          <w:color w:val="auto"/>
          <w:sz w:val="24"/>
          <w:highlight w:val="none"/>
        </w:rPr>
      </w:pPr>
      <w:r>
        <w:rPr>
          <w:rFonts w:hint="eastAsia" w:ascii="仿宋_GB2312" w:eastAsia="仿宋_GB2312" w:cs="Courier New"/>
          <w:b/>
          <w:color w:val="auto"/>
          <w:sz w:val="24"/>
          <w:highlight w:val="none"/>
        </w:rPr>
        <w:t>14.投标文件的语言及计量</w:t>
      </w:r>
    </w:p>
    <w:p w14:paraId="69EB626D">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14.1投标文件以及投标人与采购代理机构就有关投标事宜的所有来往函电，均应以中文汉语书写。除签字、盖章、专用名称等特殊情形外，以中文汉语以外的文字表述的投标文件视同未提供。</w:t>
      </w:r>
    </w:p>
    <w:p w14:paraId="062BE038">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14.2投标计量单位，招标文件已有明确规定的，使用招标文件规定的计量单位；招标文件没有规定的，应采用中华人民共和国法定计量单位，否则视同未响应。</w:t>
      </w:r>
    </w:p>
    <w:p w14:paraId="5C45780B">
      <w:pPr>
        <w:snapToGrid w:val="0"/>
        <w:spacing w:line="400" w:lineRule="exact"/>
        <w:ind w:firstLine="422" w:firstLineChars="175"/>
        <w:jc w:val="left"/>
        <w:rPr>
          <w:rFonts w:ascii="仿宋_GB2312" w:eastAsia="仿宋_GB2312" w:cs="Courier New"/>
          <w:b/>
          <w:color w:val="auto"/>
          <w:sz w:val="24"/>
          <w:highlight w:val="none"/>
        </w:rPr>
      </w:pPr>
      <w:bookmarkStart w:id="53" w:name="_Toc254970538"/>
      <w:bookmarkStart w:id="54" w:name="_Toc254970679"/>
      <w:r>
        <w:rPr>
          <w:rFonts w:hint="eastAsia" w:ascii="仿宋_GB2312" w:eastAsia="仿宋_GB2312" w:cs="Courier New"/>
          <w:b/>
          <w:color w:val="auto"/>
          <w:sz w:val="24"/>
          <w:highlight w:val="none"/>
        </w:rPr>
        <w:t>15.投标报价</w:t>
      </w:r>
      <w:bookmarkEnd w:id="53"/>
      <w:bookmarkEnd w:id="54"/>
    </w:p>
    <w:p w14:paraId="701B2492">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15.1投标报价应按招标文件中相关附表格式填写。</w:t>
      </w:r>
    </w:p>
    <w:p w14:paraId="38D57240">
      <w:pPr>
        <w:snapToGrid w:val="0"/>
        <w:spacing w:line="360" w:lineRule="exact"/>
        <w:ind w:right="-330" w:rightChars="-157"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15.2投标报价是履行合同的最终价格，应包括货物及货物运抵指定交付地点的所有成本、各种费用的总和。</w:t>
      </w:r>
    </w:p>
    <w:p w14:paraId="0D1F9350">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15.3投标文件只允许有一个总报价，有选择的或有条件的报价将不予接受。</w:t>
      </w:r>
    </w:p>
    <w:p w14:paraId="0F632541">
      <w:pPr>
        <w:snapToGrid w:val="0"/>
        <w:spacing w:line="400" w:lineRule="exact"/>
        <w:ind w:firstLine="422" w:firstLineChars="175"/>
        <w:jc w:val="left"/>
        <w:rPr>
          <w:rFonts w:ascii="仿宋_GB2312" w:eastAsia="仿宋_GB2312" w:cs="Courier New"/>
          <w:b/>
          <w:color w:val="auto"/>
          <w:sz w:val="24"/>
          <w:highlight w:val="none"/>
        </w:rPr>
      </w:pPr>
      <w:r>
        <w:rPr>
          <w:rFonts w:hint="eastAsia" w:ascii="仿宋_GB2312" w:eastAsia="仿宋_GB2312" w:cs="Courier New"/>
          <w:b/>
          <w:color w:val="auto"/>
          <w:sz w:val="24"/>
          <w:highlight w:val="none"/>
        </w:rPr>
        <w:t>16.投标文件的有效期</w:t>
      </w:r>
    </w:p>
    <w:p w14:paraId="6998E323">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16.1 投标截止日期后不得少于90天，投标文件应保持有效。有效期不足的投标文件将被拒绝，视为投标无效。</w:t>
      </w:r>
    </w:p>
    <w:p w14:paraId="294E9C38">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16.2在特殊情况下，采购人可与投标人协商延长投标书的有效期，这种要求和答复均以书面形式进行。</w:t>
      </w:r>
    </w:p>
    <w:p w14:paraId="47CBD667">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 xml:space="preserve">16.3投标人可拒绝接受延长有效期要求，同意延长有效期的投标人不能修改投标文件其它内容。 </w:t>
      </w:r>
    </w:p>
    <w:p w14:paraId="71ED00E3">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16.4投标人的投标文件在投标有效期内保持有效；如中标，投标文件至合同履行完毕止均应保持有效。</w:t>
      </w:r>
    </w:p>
    <w:p w14:paraId="2C47EBA5">
      <w:pPr>
        <w:spacing w:line="400" w:lineRule="exact"/>
        <w:ind w:firstLine="472" w:firstLineChars="196"/>
        <w:rPr>
          <w:rFonts w:ascii="仿宋_GB2312" w:eastAsia="仿宋_GB2312" w:cs="Courier New"/>
          <w:b/>
          <w:color w:val="auto"/>
          <w:sz w:val="24"/>
          <w:highlight w:val="none"/>
        </w:rPr>
      </w:pPr>
      <w:bookmarkStart w:id="55" w:name="_Toc254970541"/>
      <w:bookmarkStart w:id="56" w:name="_Toc254970682"/>
      <w:r>
        <w:rPr>
          <w:rFonts w:hint="eastAsia" w:ascii="仿宋_GB2312" w:eastAsia="仿宋_GB2312" w:cs="Courier New"/>
          <w:b/>
          <w:color w:val="auto"/>
          <w:sz w:val="24"/>
          <w:highlight w:val="none"/>
        </w:rPr>
        <w:t>17.投标保证金</w:t>
      </w:r>
      <w:bookmarkEnd w:id="55"/>
      <w:bookmarkEnd w:id="56"/>
    </w:p>
    <w:p w14:paraId="5E27D110">
      <w:pPr>
        <w:snapToGrid w:val="0"/>
        <w:spacing w:line="400" w:lineRule="exact"/>
        <w:ind w:firstLine="420"/>
        <w:jc w:val="left"/>
        <w:rPr>
          <w:rFonts w:ascii="仿宋_GB2312" w:eastAsia="仿宋_GB2312" w:cs="Courier New"/>
          <w:color w:val="auto"/>
          <w:sz w:val="24"/>
          <w:highlight w:val="none"/>
        </w:rPr>
      </w:pPr>
      <w:bookmarkStart w:id="57" w:name="_Toc254970683"/>
      <w:bookmarkStart w:id="58" w:name="_Toc254970542"/>
      <w:r>
        <w:rPr>
          <w:rFonts w:hint="eastAsia" w:ascii="仿宋_GB2312" w:eastAsia="仿宋_GB2312" w:cs="Courier New"/>
          <w:color w:val="auto"/>
          <w:sz w:val="24"/>
          <w:highlight w:val="none"/>
        </w:rPr>
        <w:t>17.1本项目无需提交投标保证金。</w:t>
      </w:r>
    </w:p>
    <w:p w14:paraId="388C2E87">
      <w:pPr>
        <w:snapToGrid w:val="0"/>
        <w:spacing w:line="400" w:lineRule="exact"/>
        <w:ind w:firstLine="422" w:firstLineChars="175"/>
        <w:jc w:val="left"/>
        <w:rPr>
          <w:rFonts w:ascii="仿宋_GB2312" w:eastAsia="仿宋_GB2312" w:cs="Courier New"/>
          <w:b/>
          <w:color w:val="auto"/>
          <w:sz w:val="24"/>
          <w:highlight w:val="none"/>
        </w:rPr>
      </w:pPr>
      <w:r>
        <w:rPr>
          <w:rFonts w:hint="eastAsia" w:ascii="仿宋_GB2312" w:eastAsia="仿宋_GB2312" w:cs="Courier New"/>
          <w:b/>
          <w:color w:val="auto"/>
          <w:sz w:val="24"/>
          <w:highlight w:val="none"/>
        </w:rPr>
        <w:t>18.电子投标文件的</w:t>
      </w:r>
      <w:bookmarkEnd w:id="57"/>
      <w:bookmarkEnd w:id="58"/>
      <w:r>
        <w:rPr>
          <w:rFonts w:hint="eastAsia" w:ascii="仿宋_GB2312" w:eastAsia="仿宋_GB2312" w:cs="Courier New"/>
          <w:b/>
          <w:color w:val="auto"/>
          <w:sz w:val="24"/>
          <w:highlight w:val="none"/>
        </w:rPr>
        <w:t>编制、加密要求</w:t>
      </w:r>
    </w:p>
    <w:p w14:paraId="74E1B11B">
      <w:pPr>
        <w:spacing w:line="360" w:lineRule="auto"/>
        <w:ind w:firstLine="480" w:firstLineChars="200"/>
        <w:rPr>
          <w:rFonts w:ascii="仿宋_GB2312" w:eastAsia="仿宋_GB2312"/>
          <w:color w:val="auto"/>
          <w:sz w:val="24"/>
          <w:highlight w:val="none"/>
        </w:rPr>
      </w:pPr>
      <w:r>
        <w:rPr>
          <w:rFonts w:hint="eastAsia" w:ascii="仿宋_GB2312" w:eastAsia="仿宋_GB2312" w:cs="Courier New"/>
          <w:color w:val="auto"/>
          <w:sz w:val="24"/>
          <w:highlight w:val="none"/>
        </w:rPr>
        <w:t>18.1投标人应按本招标文件规定的格式</w:t>
      </w:r>
      <w:r>
        <w:rPr>
          <w:rFonts w:hint="eastAsia" w:ascii="仿宋_GB2312" w:eastAsia="仿宋_GB2312"/>
          <w:color w:val="auto"/>
          <w:sz w:val="24"/>
          <w:highlight w:val="none"/>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color w:val="auto"/>
          <w:sz w:val="24"/>
          <w:highlight w:val="none"/>
        </w:rPr>
        <w:t>未设置或设置关联点错误导致</w:t>
      </w:r>
      <w:r>
        <w:rPr>
          <w:rFonts w:hint="eastAsia" w:ascii="仿宋_GB2312" w:eastAsia="仿宋_GB2312"/>
          <w:color w:val="auto"/>
          <w:sz w:val="24"/>
          <w:highlight w:val="none"/>
        </w:rPr>
        <w:t>电子</w:t>
      </w:r>
      <w:r>
        <w:rPr>
          <w:rFonts w:hint="eastAsia" w:ascii="仿宋_GB2312" w:hAnsi="宋体" w:eastAsia="仿宋_GB2312"/>
          <w:color w:val="auto"/>
          <w:sz w:val="24"/>
          <w:highlight w:val="none"/>
        </w:rPr>
        <w:t>投标文件被误读、漏读或者查找不到相关内容，</w:t>
      </w:r>
      <w:r>
        <w:rPr>
          <w:rFonts w:hint="eastAsia" w:ascii="仿宋_GB2312" w:eastAsia="仿宋_GB2312"/>
          <w:color w:val="auto"/>
          <w:sz w:val="24"/>
          <w:highlight w:val="none"/>
        </w:rPr>
        <w:t>导致评标委员会在评审时做出对投标人不利的评审，所引起的后果由投标人自行承担。</w:t>
      </w:r>
    </w:p>
    <w:p w14:paraId="11543E44">
      <w:pPr>
        <w:spacing w:line="360" w:lineRule="auto"/>
        <w:ind w:firstLine="480" w:firstLineChars="200"/>
        <w:rPr>
          <w:rFonts w:ascii="仿宋_GB2312" w:eastAsia="仿宋_GB2312"/>
          <w:b/>
          <w:bCs/>
          <w:color w:val="auto"/>
          <w:sz w:val="24"/>
          <w:highlight w:val="none"/>
        </w:rPr>
      </w:pPr>
      <w:r>
        <w:rPr>
          <w:rFonts w:hint="eastAsia" w:ascii="仿宋_GB2312" w:eastAsia="仿宋_GB2312"/>
          <w:color w:val="auto"/>
          <w:sz w:val="24"/>
          <w:highlight w:val="none"/>
        </w:rPr>
        <w:t>18.2</w:t>
      </w:r>
      <w:r>
        <w:rPr>
          <w:rFonts w:hint="eastAsia" w:ascii="仿宋_GB2312" w:eastAsia="仿宋_GB2312"/>
          <w:b/>
          <w:bCs/>
          <w:color w:val="auto"/>
          <w:sz w:val="24"/>
          <w:highlight w:val="none"/>
        </w:rPr>
        <w:t>公开招标文件中规定须由投标人在规定处盖章的，投标人应加盖CA电子签章，否则视为投标无效。</w:t>
      </w:r>
    </w:p>
    <w:p w14:paraId="67E56814">
      <w:pPr>
        <w:spacing w:line="360" w:lineRule="auto"/>
        <w:ind w:firstLine="482" w:firstLineChars="200"/>
        <w:rPr>
          <w:rFonts w:ascii="仿宋_GB2312" w:eastAsia="仿宋_GB2312"/>
          <w:b/>
          <w:color w:val="auto"/>
          <w:sz w:val="24"/>
          <w:highlight w:val="none"/>
        </w:rPr>
      </w:pPr>
      <w:r>
        <w:rPr>
          <w:rFonts w:hint="eastAsia" w:ascii="仿宋_GB2312" w:eastAsia="仿宋_GB2312"/>
          <w:b/>
          <w:bCs/>
          <w:color w:val="auto"/>
          <w:sz w:val="24"/>
          <w:highlight w:val="none"/>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color w:val="auto"/>
          <w:sz w:val="24"/>
          <w:highlight w:val="none"/>
        </w:rPr>
        <w:t>否则视为投标无效。</w:t>
      </w:r>
    </w:p>
    <w:p w14:paraId="66D6BC00">
      <w:pPr>
        <w:spacing w:line="360" w:lineRule="auto"/>
        <w:ind w:firstLine="480" w:firstLineChars="200"/>
        <w:rPr>
          <w:rFonts w:ascii="仿宋_GB2312" w:eastAsia="仿宋_GB2312"/>
          <w:color w:val="auto"/>
          <w:sz w:val="24"/>
          <w:highlight w:val="none"/>
        </w:rPr>
      </w:pPr>
      <w:r>
        <w:rPr>
          <w:rFonts w:hint="eastAsia" w:ascii="仿宋_GB2312" w:eastAsia="仿宋_GB2312"/>
          <w:color w:val="auto"/>
          <w:sz w:val="24"/>
          <w:highlight w:val="none"/>
        </w:rPr>
        <w:t>18.4电子投标文件不得涂改，若有修改错漏处，须加盖投标人CA电子签章或者法定代表人或授权委托代理人签字。扫描不清晰或乱码或表达不清所引起的后果由投标人负责。</w:t>
      </w:r>
    </w:p>
    <w:p w14:paraId="56F74C0D">
      <w:pPr>
        <w:snapToGrid w:val="0"/>
        <w:spacing w:line="420" w:lineRule="exact"/>
        <w:ind w:firstLine="480"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18.5</w:t>
      </w:r>
      <w:r>
        <w:rPr>
          <w:rFonts w:hint="eastAsia" w:ascii="仿宋_GB2312" w:eastAsia="仿宋_GB2312"/>
          <w:color w:val="auto"/>
          <w:sz w:val="24"/>
          <w:highlight w:val="none"/>
        </w:rPr>
        <w:t>电子</w:t>
      </w:r>
      <w:r>
        <w:rPr>
          <w:rFonts w:hint="eastAsia" w:ascii="仿宋_GB2312" w:hAnsi="宋体" w:eastAsia="仿宋_GB2312"/>
          <w:color w:val="auto"/>
          <w:sz w:val="24"/>
          <w:highlight w:val="none"/>
        </w:rPr>
        <w:t>投标文件所提供的相关材料的尺寸和清晰度应该能够在电脑上被阅读、识别和判断。</w:t>
      </w:r>
    </w:p>
    <w:p w14:paraId="682D78D2">
      <w:pPr>
        <w:snapToGrid w:val="0"/>
        <w:spacing w:line="420" w:lineRule="exact"/>
        <w:ind w:firstLine="480"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18.6</w:t>
      </w:r>
      <w:r>
        <w:rPr>
          <w:rFonts w:hint="eastAsia" w:ascii="仿宋_GB2312" w:eastAsia="仿宋_GB2312"/>
          <w:color w:val="auto"/>
          <w:sz w:val="24"/>
          <w:highlight w:val="none"/>
        </w:rPr>
        <w:t>电子</w:t>
      </w:r>
      <w:r>
        <w:rPr>
          <w:rFonts w:hint="eastAsia" w:ascii="仿宋_GB2312" w:hAnsi="宋体" w:eastAsia="仿宋_GB2312"/>
          <w:color w:val="auto"/>
          <w:sz w:val="24"/>
          <w:highlight w:val="none"/>
        </w:rPr>
        <w:t>投标文件内容无法阅读、识别和判断的，视为未提供。</w:t>
      </w:r>
    </w:p>
    <w:p w14:paraId="3380F1EC">
      <w:pPr>
        <w:snapToGrid w:val="0"/>
        <w:spacing w:line="440" w:lineRule="exact"/>
        <w:ind w:firstLine="480"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18.7</w:t>
      </w:r>
      <w:r>
        <w:rPr>
          <w:rFonts w:hint="eastAsia" w:ascii="仿宋_GB2312" w:eastAsia="仿宋_GB2312"/>
          <w:color w:val="auto"/>
          <w:sz w:val="24"/>
          <w:highlight w:val="none"/>
        </w:rPr>
        <w:t>电子</w:t>
      </w:r>
      <w:r>
        <w:rPr>
          <w:rFonts w:hint="eastAsia" w:ascii="仿宋_GB2312" w:hAnsi="宋体" w:eastAsia="仿宋_GB2312"/>
          <w:color w:val="auto"/>
          <w:sz w:val="24"/>
          <w:highlight w:val="none"/>
        </w:rPr>
        <w:t>投标文件的容量大小须符合广西政府采购云平台客户端规定。</w:t>
      </w:r>
    </w:p>
    <w:p w14:paraId="74CDB835">
      <w:pPr>
        <w:snapToGrid w:val="0"/>
        <w:spacing w:line="440" w:lineRule="exact"/>
        <w:ind w:firstLine="482" w:firstLineChars="200"/>
        <w:jc w:val="left"/>
        <w:rPr>
          <w:rFonts w:hint="eastAsia" w:ascii="仿宋_GB2312" w:hAnsi="宋体" w:eastAsia="仿宋_GB2312"/>
          <w:b/>
          <w:bCs/>
          <w:color w:val="auto"/>
          <w:sz w:val="24"/>
          <w:highlight w:val="none"/>
        </w:rPr>
      </w:pPr>
      <w:r>
        <w:rPr>
          <w:rFonts w:hint="eastAsia" w:ascii="仿宋_GB2312" w:hAnsi="宋体" w:eastAsia="仿宋_GB2312"/>
          <w:b/>
          <w:bCs/>
          <w:color w:val="auto"/>
          <w:sz w:val="24"/>
          <w:highlight w:val="none"/>
        </w:rPr>
        <w:t>18.8电子投标文件的加密要求</w:t>
      </w:r>
    </w:p>
    <w:p w14:paraId="1320C26B">
      <w:pPr>
        <w:snapToGrid w:val="0"/>
        <w:spacing w:line="420" w:lineRule="exact"/>
        <w:ind w:firstLine="480" w:firstLineChars="200"/>
        <w:jc w:val="left"/>
        <w:rPr>
          <w:rFonts w:hint="eastAsia" w:ascii="仿宋_GB2312" w:hAnsi="宋体" w:eastAsia="仿宋_GB2312"/>
          <w:color w:val="auto"/>
          <w:sz w:val="24"/>
          <w:highlight w:val="none"/>
        </w:rPr>
      </w:pPr>
      <w:r>
        <w:rPr>
          <w:rFonts w:hint="eastAsia" w:ascii="仿宋_GB2312" w:eastAsia="仿宋_GB2312"/>
          <w:color w:val="auto"/>
          <w:sz w:val="24"/>
          <w:highlight w:val="none"/>
        </w:rPr>
        <w:t>电子</w:t>
      </w:r>
      <w:r>
        <w:rPr>
          <w:rFonts w:hint="eastAsia" w:ascii="仿宋_GB2312" w:hAnsi="宋体" w:eastAsia="仿宋_GB2312"/>
          <w:color w:val="auto"/>
          <w:sz w:val="24"/>
          <w:highlight w:val="none"/>
        </w:rPr>
        <w:t>投标文件应按广西政府采购云平台客户端软件有关规定加密，否则广西政府采购云平台将拒收</w:t>
      </w:r>
      <w:r>
        <w:rPr>
          <w:rFonts w:hint="eastAsia" w:ascii="仿宋_GB2312" w:eastAsia="仿宋_GB2312" w:cs="Courier New"/>
          <w:color w:val="auto"/>
          <w:sz w:val="24"/>
          <w:highlight w:val="none"/>
        </w:rPr>
        <w:t>，由此造成的风险由投标人承担。</w:t>
      </w:r>
    </w:p>
    <w:p w14:paraId="6ACF2B68">
      <w:pPr>
        <w:snapToGrid w:val="0"/>
        <w:spacing w:line="400" w:lineRule="exact"/>
        <w:ind w:firstLine="422" w:firstLineChars="175"/>
        <w:jc w:val="left"/>
        <w:rPr>
          <w:rFonts w:ascii="仿宋_GB2312" w:eastAsia="仿宋_GB2312"/>
          <w:b/>
          <w:color w:val="auto"/>
          <w:sz w:val="24"/>
          <w:highlight w:val="none"/>
        </w:rPr>
      </w:pPr>
      <w:r>
        <w:rPr>
          <w:rFonts w:hint="eastAsia" w:ascii="仿宋_GB2312" w:eastAsia="仿宋_GB2312" w:cs="Courier New"/>
          <w:b/>
          <w:color w:val="auto"/>
          <w:sz w:val="24"/>
          <w:highlight w:val="none"/>
        </w:rPr>
        <w:t>19.电子投标文件的提交、修改、撤回和解密</w:t>
      </w:r>
    </w:p>
    <w:p w14:paraId="28C118E3">
      <w:pPr>
        <w:tabs>
          <w:tab w:val="left" w:pos="3870"/>
          <w:tab w:val="left" w:pos="4085"/>
        </w:tabs>
        <w:snapToGrid w:val="0"/>
        <w:spacing w:line="420" w:lineRule="exact"/>
        <w:ind w:firstLine="480" w:firstLineChars="200"/>
        <w:jc w:val="left"/>
        <w:rPr>
          <w:rFonts w:hint="eastAsia" w:ascii="仿宋_GB2312" w:hAnsi="宋体" w:eastAsia="仿宋_GB2312"/>
          <w:color w:val="auto"/>
          <w:sz w:val="24"/>
          <w:highlight w:val="none"/>
        </w:rPr>
      </w:pPr>
      <w:bookmarkStart w:id="59" w:name="_Toc254970684"/>
      <w:bookmarkStart w:id="60" w:name="_Toc254970543"/>
      <w:r>
        <w:rPr>
          <w:rFonts w:hint="eastAsia" w:ascii="仿宋_GB2312" w:hAnsi="宋体" w:eastAsia="仿宋_GB2312"/>
          <w:color w:val="auto"/>
          <w:sz w:val="24"/>
          <w:highlight w:val="none"/>
        </w:rPr>
        <w:t>19.1本项目实行“网上投标、电子评标”，投标人应于提交投标文件截止时间前在广西政府采购云平台上提交已经加密的电子投标文件。</w:t>
      </w:r>
    </w:p>
    <w:p w14:paraId="12E489B8">
      <w:pPr>
        <w:tabs>
          <w:tab w:val="left" w:pos="3870"/>
          <w:tab w:val="left" w:pos="4085"/>
        </w:tabs>
        <w:snapToGrid w:val="0"/>
        <w:spacing w:line="420" w:lineRule="exact"/>
        <w:ind w:firstLine="480"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19.2未按规定上传的电子投标文件将被广西政府采购云平台拒收，由此造成电子投标文件解密失败或被误投的风险由投标人自行承担。</w:t>
      </w:r>
    </w:p>
    <w:p w14:paraId="648415BC">
      <w:pPr>
        <w:tabs>
          <w:tab w:val="left" w:pos="3870"/>
          <w:tab w:val="left" w:pos="4085"/>
        </w:tabs>
        <w:snapToGrid w:val="0"/>
        <w:spacing w:line="420" w:lineRule="exact"/>
        <w:ind w:firstLine="480"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3A42A87C">
      <w:pPr>
        <w:tabs>
          <w:tab w:val="left" w:pos="3870"/>
          <w:tab w:val="left" w:pos="4085"/>
        </w:tabs>
        <w:snapToGrid w:val="0"/>
        <w:spacing w:line="420" w:lineRule="exact"/>
        <w:ind w:firstLine="482" w:firstLineChars="200"/>
        <w:jc w:val="left"/>
        <w:rPr>
          <w:rFonts w:hint="eastAsia" w:ascii="仿宋_GB2312" w:hAnsi="宋体" w:eastAsia="仿宋_GB2312"/>
          <w:color w:val="auto"/>
          <w:sz w:val="24"/>
          <w:highlight w:val="none"/>
        </w:rPr>
      </w:pPr>
      <w:r>
        <w:rPr>
          <w:rFonts w:ascii="仿宋_GB2312" w:hAnsi="宋体" w:eastAsia="仿宋_GB2312"/>
          <w:b/>
          <w:bCs/>
          <w:color w:val="auto"/>
          <w:sz w:val="24"/>
          <w:highlight w:val="none"/>
        </w:rPr>
        <w:t>19.4</w:t>
      </w:r>
      <w:r>
        <w:rPr>
          <w:rFonts w:hint="eastAsia" w:ascii="仿宋_GB2312" w:eastAsia="仿宋_GB2312"/>
          <w:b/>
          <w:bCs/>
          <w:color w:val="auto"/>
          <w:sz w:val="24"/>
          <w:highlight w:val="none"/>
        </w:rPr>
        <w:t>电子投标文件成功提交后，投标人可自行打印投标文件接收回执。</w:t>
      </w:r>
    </w:p>
    <w:p w14:paraId="2A46790F">
      <w:pPr>
        <w:tabs>
          <w:tab w:val="left" w:pos="3870"/>
          <w:tab w:val="left" w:pos="4085"/>
        </w:tabs>
        <w:snapToGrid w:val="0"/>
        <w:spacing w:line="420" w:lineRule="exact"/>
        <w:ind w:firstLine="480"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6C9F1062">
      <w:pPr>
        <w:tabs>
          <w:tab w:val="left" w:pos="3870"/>
          <w:tab w:val="left" w:pos="4085"/>
        </w:tabs>
        <w:snapToGrid w:val="0"/>
        <w:spacing w:line="420" w:lineRule="exact"/>
        <w:ind w:firstLine="480"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非广西政府采购云平台技术原因造成的投标人超过解密时限未完成解密的，或投标文件无法解密或解密失败，视为投标人放弃投标，投标无效。</w:t>
      </w:r>
    </w:p>
    <w:p w14:paraId="2D447AEF">
      <w:pPr>
        <w:snapToGrid w:val="0"/>
        <w:spacing w:line="400" w:lineRule="exact"/>
        <w:ind w:firstLine="354" w:firstLineChars="147"/>
        <w:jc w:val="left"/>
        <w:rPr>
          <w:rFonts w:ascii="仿宋_GB2312" w:eastAsia="仿宋_GB2312"/>
          <w:b/>
          <w:color w:val="auto"/>
          <w:sz w:val="24"/>
          <w:highlight w:val="none"/>
        </w:rPr>
      </w:pPr>
      <w:r>
        <w:rPr>
          <w:rFonts w:hint="eastAsia" w:ascii="仿宋_GB2312" w:eastAsia="仿宋_GB2312" w:cs="Courier New"/>
          <w:b/>
          <w:color w:val="auto"/>
          <w:sz w:val="24"/>
          <w:highlight w:val="none"/>
        </w:rPr>
        <w:t>20.投标无效的情形</w:t>
      </w:r>
      <w:bookmarkEnd w:id="59"/>
      <w:bookmarkEnd w:id="60"/>
    </w:p>
    <w:p w14:paraId="7D2CF54D">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14:paraId="376D6EB7">
      <w:pPr>
        <w:snapToGrid w:val="0"/>
        <w:spacing w:line="400" w:lineRule="exact"/>
        <w:ind w:firstLine="472" w:firstLineChars="196"/>
        <w:rPr>
          <w:rFonts w:ascii="仿宋_GB2312" w:eastAsia="仿宋_GB2312"/>
          <w:b/>
          <w:bCs/>
          <w:color w:val="auto"/>
          <w:sz w:val="24"/>
          <w:highlight w:val="none"/>
        </w:rPr>
      </w:pPr>
      <w:r>
        <w:rPr>
          <w:rFonts w:hint="eastAsia" w:ascii="仿宋_GB2312" w:eastAsia="仿宋_GB2312"/>
          <w:b/>
          <w:color w:val="auto"/>
          <w:sz w:val="24"/>
          <w:highlight w:val="none"/>
        </w:rPr>
        <w:t>20.1.1投标人存在下列情况之一的，投标无效：</w:t>
      </w:r>
    </w:p>
    <w:p w14:paraId="7C3D210B">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（1）投标文件未按招标文件要求签署、盖章的；</w:t>
      </w:r>
    </w:p>
    <w:p w14:paraId="50299689">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（2）不具备招标文件中规定的资格要求的；</w:t>
      </w:r>
    </w:p>
    <w:p w14:paraId="6680E334">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（3）报价超过招标文件中规定的预算金额或者最高限价的；</w:t>
      </w:r>
    </w:p>
    <w:p w14:paraId="79992F22">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（4）投标文件含有采购人不能接受的附加条件的；</w:t>
      </w:r>
    </w:p>
    <w:p w14:paraId="04B2251D">
      <w:pPr>
        <w:snapToGrid w:val="0"/>
        <w:spacing w:line="400" w:lineRule="exact"/>
        <w:ind w:firstLine="420"/>
        <w:jc w:val="left"/>
        <w:rPr>
          <w:rFonts w:ascii="仿宋_GB2312" w:eastAsia="仿宋_GB2312" w:cs="Courier New"/>
          <w:b/>
          <w:bCs/>
          <w:color w:val="auto"/>
          <w:sz w:val="24"/>
          <w:highlight w:val="none"/>
        </w:rPr>
      </w:pPr>
      <w:r>
        <w:rPr>
          <w:rFonts w:hint="eastAsia" w:ascii="仿宋_GB2312" w:eastAsia="仿宋_GB2312" w:cs="Courier New"/>
          <w:b/>
          <w:bCs/>
          <w:color w:val="auto"/>
          <w:sz w:val="24"/>
          <w:highlight w:val="none"/>
        </w:rPr>
        <w:t>（5）投标人在线制作电子投标文件时填写的报价金额与解密后“电子加密投标文件”中《开标一览表》填写的金额不一致并拒绝按公开招标文件要求接受调整的；</w:t>
      </w:r>
    </w:p>
    <w:p w14:paraId="7BAA0D6B">
      <w:pPr>
        <w:snapToGrid w:val="0"/>
        <w:spacing w:line="360" w:lineRule="exact"/>
        <w:ind w:right="-330" w:rightChars="-157"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（6）法律、法规和招标文件规定的其他无效情形。</w:t>
      </w:r>
    </w:p>
    <w:p w14:paraId="45D1C3DF">
      <w:pPr>
        <w:snapToGrid w:val="0"/>
        <w:spacing w:line="350" w:lineRule="exact"/>
        <w:ind w:right="-330" w:rightChars="-157" w:firstLine="472" w:firstLineChars="196"/>
        <w:rPr>
          <w:rFonts w:ascii="仿宋_GB2312" w:eastAsia="仿宋_GB2312"/>
          <w:b/>
          <w:color w:val="auto"/>
          <w:sz w:val="24"/>
          <w:highlight w:val="none"/>
        </w:rPr>
      </w:pPr>
      <w:r>
        <w:rPr>
          <w:rFonts w:hint="eastAsia" w:ascii="仿宋_GB2312" w:eastAsia="仿宋_GB2312"/>
          <w:b/>
          <w:color w:val="auto"/>
          <w:sz w:val="24"/>
          <w:highlight w:val="none"/>
        </w:rPr>
        <w:t>20.1.2在资格性审查时，如发现下列情形之一的，投标文件将被视为无效：</w:t>
      </w:r>
    </w:p>
    <w:p w14:paraId="317FEC43">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（1）资格证明文件不全的，或者不符合招标文件标明的资格要求的；</w:t>
      </w:r>
    </w:p>
    <w:p w14:paraId="0D948C1B">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（2）无法定代表人或其授权委托代理人签字，或未提供法定代表人授权委托书或者填写项目不齐全的；</w:t>
      </w:r>
    </w:p>
    <w:p w14:paraId="3BE9E645">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（3）委托代理人与法定代表人授权委托书中的代理人不符的。</w:t>
      </w:r>
    </w:p>
    <w:p w14:paraId="1733B1B9">
      <w:pPr>
        <w:snapToGrid w:val="0"/>
        <w:spacing w:line="340" w:lineRule="exact"/>
        <w:ind w:right="-330" w:rightChars="-157" w:firstLine="472" w:firstLineChars="196"/>
        <w:rPr>
          <w:rFonts w:ascii="仿宋_GB2312" w:eastAsia="仿宋_GB2312"/>
          <w:b/>
          <w:bCs/>
          <w:color w:val="auto"/>
          <w:kern w:val="0"/>
          <w:sz w:val="24"/>
          <w:highlight w:val="none"/>
        </w:rPr>
      </w:pPr>
      <w:r>
        <w:rPr>
          <w:rFonts w:hint="eastAsia" w:ascii="仿宋_GB2312" w:eastAsia="仿宋_GB2312"/>
          <w:b/>
          <w:bCs/>
          <w:color w:val="auto"/>
          <w:kern w:val="0"/>
          <w:sz w:val="24"/>
          <w:highlight w:val="none"/>
        </w:rPr>
        <w:t>20.1.3在符合性评审时，如发现下列情形之一的，投标文件将被视为无效：</w:t>
      </w:r>
    </w:p>
    <w:p w14:paraId="2CD0B74D">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（1）投标有效期、服务期限、付款方式等商务条款不能满足招标文件要求的；</w:t>
      </w:r>
    </w:p>
    <w:p w14:paraId="1DCFA715">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（2）投标人就采购需求中标记 “★”符号的实质性响应内容发生负偏离一项以上的；投标人就采购需求中</w:t>
      </w:r>
      <w:r>
        <w:rPr>
          <w:rFonts w:hint="eastAsia" w:ascii="仿宋_GB2312" w:eastAsia="仿宋_GB2312"/>
          <w:color w:val="auto"/>
          <w:sz w:val="24"/>
          <w:highlight w:val="none"/>
        </w:rPr>
        <w:t>分标1</w:t>
      </w:r>
      <w:r>
        <w:rPr>
          <w:rFonts w:ascii="仿宋_GB2312" w:eastAsia="仿宋_GB2312"/>
          <w:color w:val="auto"/>
          <w:sz w:val="24"/>
          <w:highlight w:val="none"/>
        </w:rPr>
        <w:t>没有标记 “★”符号的技术参数要求响应内容发生负偏离</w:t>
      </w:r>
      <w:r>
        <w:rPr>
          <w:rFonts w:hint="eastAsia" w:ascii="仿宋_GB2312" w:eastAsia="仿宋_GB2312"/>
          <w:color w:val="auto"/>
          <w:sz w:val="24"/>
          <w:highlight w:val="none"/>
          <w:lang w:eastAsia="zh-CN"/>
        </w:rPr>
        <w:t>三</w:t>
      </w:r>
      <w:r>
        <w:rPr>
          <w:rFonts w:ascii="仿宋_GB2312" w:eastAsia="仿宋_GB2312"/>
          <w:color w:val="auto"/>
          <w:sz w:val="24"/>
          <w:highlight w:val="none"/>
        </w:rPr>
        <w:t>项以上的；</w:t>
      </w:r>
      <w:r>
        <w:rPr>
          <w:rFonts w:hint="default" w:ascii="仿宋_GB2312" w:eastAsia="仿宋_GB2312"/>
          <w:color w:val="auto"/>
          <w:sz w:val="24"/>
          <w:highlight w:val="none"/>
        </w:rPr>
        <w:t>投标人就采购需求中分标</w:t>
      </w:r>
      <w:r>
        <w:rPr>
          <w:rFonts w:hint="eastAsia" w:ascii="仿宋_GB2312" w:eastAsia="仿宋_GB2312"/>
          <w:color w:val="auto"/>
          <w:sz w:val="24"/>
          <w:highlight w:val="none"/>
          <w:lang w:val="en-US" w:eastAsia="zh-CN"/>
        </w:rPr>
        <w:t>2</w:t>
      </w:r>
      <w:r>
        <w:rPr>
          <w:rFonts w:hint="default" w:ascii="仿宋_GB2312" w:eastAsia="仿宋_GB2312"/>
          <w:color w:val="auto"/>
          <w:sz w:val="24"/>
          <w:highlight w:val="none"/>
        </w:rPr>
        <w:t>没有标记 “★”符号的技术参数要求响应内容发生负偏离三项以上的；</w:t>
      </w:r>
    </w:p>
    <w:p w14:paraId="5976B1F4">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（3）投标技术方案不明确，存在一个或一个以上备选（替代）投标方案的；</w:t>
      </w:r>
    </w:p>
    <w:p w14:paraId="17CE3EB9">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（4）未采用人民币报价或者未按照招标文件标明的币种报价的；</w:t>
      </w:r>
    </w:p>
    <w:p w14:paraId="2631DD7E">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（5）报价超出最高限价，或者超出采购预算金额的；</w:t>
      </w:r>
    </w:p>
    <w:p w14:paraId="55A143C8">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（6）投标报价具有选择性，或者开标价格与投标文件承诺的优惠（折扣）价格不一致的；</w:t>
      </w:r>
    </w:p>
    <w:p w14:paraId="31B481F9">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auto"/>
          <w:sz w:val="24"/>
          <w:highlight w:val="none"/>
        </w:rPr>
      </w:pPr>
      <w:r>
        <w:rPr>
          <w:rFonts w:ascii="仿宋_GB2312" w:eastAsia="仿宋_GB2312"/>
          <w:color w:val="auto"/>
          <w:sz w:val="24"/>
          <w:highlight w:val="none"/>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399D6D2E">
      <w:pPr>
        <w:snapToGrid w:val="0"/>
        <w:spacing w:line="400" w:lineRule="exact"/>
        <w:ind w:firstLine="472" w:firstLineChars="196"/>
        <w:rPr>
          <w:rFonts w:ascii="仿宋_GB2312" w:eastAsia="仿宋_GB2312"/>
          <w:b/>
          <w:color w:val="auto"/>
          <w:sz w:val="24"/>
          <w:highlight w:val="none"/>
        </w:rPr>
      </w:pPr>
      <w:r>
        <w:rPr>
          <w:rFonts w:hint="eastAsia" w:ascii="仿宋_GB2312" w:eastAsia="仿宋_GB2312"/>
          <w:b/>
          <w:color w:val="auto"/>
          <w:sz w:val="24"/>
          <w:highlight w:val="none"/>
        </w:rPr>
        <w:t>20.1.4在评审时有下列情形之一的视为投标人相互串通投标，投标文件将被视为无效：</w:t>
      </w:r>
    </w:p>
    <w:p w14:paraId="67724185">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（1）不同投标人的投标文件由同一单位或者个人编制；或不同投标人报名（获取文件）的IP地址一致的；</w:t>
      </w:r>
    </w:p>
    <w:p w14:paraId="254873EB">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（2）不同投标人委托同一单位或者个人办理投标事宜；</w:t>
      </w:r>
    </w:p>
    <w:p w14:paraId="6793C7B9">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（3）不同的投标人的投标文件载明的项目管理成员或者联系人员为同一个人；</w:t>
      </w:r>
    </w:p>
    <w:p w14:paraId="2B61FDBE">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（4）不同投标人的投标文件异常一致或投标报价呈规律性差异；</w:t>
      </w:r>
    </w:p>
    <w:p w14:paraId="69502D53">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（5）不同投标人的投标文件相互混装。</w:t>
      </w:r>
    </w:p>
    <w:p w14:paraId="43E7B80C">
      <w:pPr>
        <w:snapToGrid w:val="0"/>
        <w:spacing w:line="400" w:lineRule="exact"/>
        <w:ind w:firstLine="472" w:firstLineChars="196"/>
        <w:rPr>
          <w:rFonts w:ascii="仿宋_GB2312" w:eastAsia="仿宋_GB2312"/>
          <w:b/>
          <w:color w:val="auto"/>
          <w:sz w:val="24"/>
          <w:highlight w:val="none"/>
        </w:rPr>
      </w:pPr>
      <w:r>
        <w:rPr>
          <w:rFonts w:hint="eastAsia" w:ascii="仿宋_GB2312" w:eastAsia="仿宋_GB2312"/>
          <w:b/>
          <w:color w:val="auto"/>
          <w:sz w:val="24"/>
          <w:highlight w:val="none"/>
        </w:rPr>
        <w:t>20.1.5被拒绝的投标文件为无效。</w:t>
      </w:r>
    </w:p>
    <w:p w14:paraId="2B8C779B">
      <w:pPr>
        <w:spacing w:line="460" w:lineRule="exact"/>
        <w:ind w:firstLine="482" w:firstLineChars="200"/>
        <w:rPr>
          <w:rFonts w:ascii="仿宋_GB2312" w:eastAsia="仿宋_GB2312"/>
          <w:b/>
          <w:color w:val="auto"/>
          <w:sz w:val="24"/>
          <w:highlight w:val="none"/>
        </w:rPr>
      </w:pPr>
      <w:r>
        <w:rPr>
          <w:rFonts w:hint="eastAsia" w:ascii="仿宋_GB2312" w:eastAsia="仿宋_GB2312"/>
          <w:b/>
          <w:color w:val="auto"/>
          <w:sz w:val="24"/>
          <w:highlight w:val="none"/>
        </w:rPr>
        <w:t>20.2特别说明</w:t>
      </w:r>
    </w:p>
    <w:p w14:paraId="46D54794">
      <w:pPr>
        <w:spacing w:line="460" w:lineRule="exact"/>
        <w:ind w:firstLine="720" w:firstLineChars="300"/>
        <w:rPr>
          <w:rFonts w:ascii="仿宋_GB2312" w:eastAsia="仿宋_GB2312"/>
          <w:bCs/>
          <w:color w:val="auto"/>
          <w:sz w:val="24"/>
          <w:highlight w:val="none"/>
        </w:rPr>
      </w:pPr>
      <w:r>
        <w:rPr>
          <w:rFonts w:hint="eastAsia" w:ascii="仿宋_GB2312" w:eastAsia="仿宋_GB2312"/>
          <w:bCs/>
          <w:color w:val="auto"/>
          <w:sz w:val="24"/>
          <w:highlight w:val="none"/>
        </w:rPr>
        <w:t>20.2.1广西政府采购云平台如对电子化开评标程序有调整的，按调整后的程序操作。</w:t>
      </w:r>
    </w:p>
    <w:p w14:paraId="7F27E389">
      <w:pPr>
        <w:spacing w:line="460" w:lineRule="exact"/>
        <w:ind w:firstLine="720" w:firstLineChars="300"/>
        <w:rPr>
          <w:rFonts w:ascii="仿宋_GB2312" w:eastAsia="仿宋_GB2312"/>
          <w:bCs/>
          <w:color w:val="auto"/>
          <w:sz w:val="24"/>
          <w:highlight w:val="none"/>
        </w:rPr>
      </w:pPr>
      <w:r>
        <w:rPr>
          <w:rFonts w:hint="eastAsia" w:ascii="仿宋_GB2312" w:eastAsia="仿宋_GB2312"/>
          <w:bCs/>
          <w:color w:val="auto"/>
          <w:sz w:val="24"/>
          <w:highlight w:val="none"/>
        </w:rPr>
        <w:t>20.2.2评审在严格保密的情况下进行，任何一方不得透露与评审有关的其他投标人的技术资料、价格和其他信息。</w:t>
      </w:r>
    </w:p>
    <w:p w14:paraId="1563D2DE">
      <w:pPr>
        <w:spacing w:line="460" w:lineRule="exact"/>
        <w:ind w:firstLine="482" w:firstLineChars="200"/>
        <w:rPr>
          <w:rFonts w:ascii="仿宋_GB2312" w:eastAsia="仿宋_GB2312"/>
          <w:b/>
          <w:bCs/>
          <w:color w:val="auto"/>
          <w:sz w:val="24"/>
          <w:highlight w:val="none"/>
        </w:rPr>
      </w:pPr>
      <w:r>
        <w:rPr>
          <w:rFonts w:hint="eastAsia" w:ascii="仿宋_GB2312" w:eastAsia="仿宋_GB2312"/>
          <w:b/>
          <w:bCs/>
          <w:color w:val="auto"/>
          <w:sz w:val="24"/>
          <w:highlight w:val="none"/>
        </w:rPr>
        <w:t>20.3可中止电子交易活动的情形</w:t>
      </w:r>
    </w:p>
    <w:p w14:paraId="319D3E74">
      <w:pPr>
        <w:spacing w:line="460" w:lineRule="exact"/>
        <w:ind w:firstLine="480" w:firstLineChars="200"/>
        <w:rPr>
          <w:rFonts w:ascii="仿宋_GB2312" w:eastAsia="仿宋_GB2312"/>
          <w:color w:val="auto"/>
          <w:sz w:val="24"/>
          <w:highlight w:val="none"/>
        </w:rPr>
      </w:pPr>
      <w:r>
        <w:rPr>
          <w:rFonts w:hint="eastAsia" w:ascii="仿宋_GB2312" w:eastAsia="仿宋_GB2312"/>
          <w:color w:val="auto"/>
          <w:sz w:val="24"/>
          <w:highlight w:val="none"/>
        </w:rPr>
        <w:t>采购过程中出现以下情形，导致广西政府采购云平台无法正常运行，或者无法保证电子交易的公平、公正和安全时，采购代理机构可中止电子交易活动：</w:t>
      </w:r>
    </w:p>
    <w:p w14:paraId="7871BDA1">
      <w:pPr>
        <w:spacing w:line="460" w:lineRule="exact"/>
        <w:ind w:firstLine="600" w:firstLineChars="250"/>
        <w:rPr>
          <w:rFonts w:ascii="仿宋_GB2312" w:eastAsia="仿宋_GB2312"/>
          <w:color w:val="auto"/>
          <w:sz w:val="24"/>
          <w:highlight w:val="none"/>
        </w:rPr>
      </w:pPr>
      <w:r>
        <w:rPr>
          <w:rFonts w:hint="eastAsia" w:ascii="仿宋_GB2312" w:eastAsia="仿宋_GB2312"/>
          <w:color w:val="auto"/>
          <w:sz w:val="24"/>
          <w:highlight w:val="none"/>
        </w:rPr>
        <w:t>20.3.1广西政府采购云平台发生故障而无法登录访问的；</w:t>
      </w:r>
    </w:p>
    <w:p w14:paraId="3E84D35B">
      <w:pPr>
        <w:spacing w:line="460" w:lineRule="exact"/>
        <w:ind w:firstLine="600" w:firstLineChars="250"/>
        <w:rPr>
          <w:rFonts w:ascii="仿宋_GB2312" w:eastAsia="仿宋_GB2312"/>
          <w:color w:val="auto"/>
          <w:sz w:val="24"/>
          <w:highlight w:val="none"/>
        </w:rPr>
      </w:pPr>
      <w:r>
        <w:rPr>
          <w:rFonts w:hint="eastAsia" w:ascii="仿宋_GB2312" w:eastAsia="仿宋_GB2312"/>
          <w:color w:val="auto"/>
          <w:sz w:val="24"/>
          <w:highlight w:val="none"/>
        </w:rPr>
        <w:t>20.3.2广西政府采购云平台应用或数据库出现错误，不能进行正常操作的；</w:t>
      </w:r>
    </w:p>
    <w:p w14:paraId="08AD2C4B">
      <w:pPr>
        <w:spacing w:line="460" w:lineRule="exact"/>
        <w:ind w:firstLine="600" w:firstLineChars="250"/>
        <w:rPr>
          <w:rFonts w:ascii="仿宋_GB2312" w:eastAsia="仿宋_GB2312"/>
          <w:color w:val="auto"/>
          <w:sz w:val="24"/>
          <w:highlight w:val="none"/>
        </w:rPr>
      </w:pPr>
      <w:r>
        <w:rPr>
          <w:rFonts w:hint="eastAsia" w:ascii="仿宋_GB2312" w:eastAsia="仿宋_GB2312"/>
          <w:color w:val="auto"/>
          <w:sz w:val="24"/>
          <w:highlight w:val="none"/>
        </w:rPr>
        <w:t>20.3.3广西政府采购云平台发现严重安全漏洞，有潜在泄密危险的；</w:t>
      </w:r>
    </w:p>
    <w:p w14:paraId="7688F1BD">
      <w:pPr>
        <w:spacing w:line="460" w:lineRule="exact"/>
        <w:ind w:firstLine="600" w:firstLineChars="250"/>
        <w:rPr>
          <w:rFonts w:ascii="仿宋_GB2312" w:eastAsia="仿宋_GB2312"/>
          <w:color w:val="auto"/>
          <w:sz w:val="24"/>
          <w:highlight w:val="none"/>
        </w:rPr>
      </w:pPr>
      <w:r>
        <w:rPr>
          <w:rFonts w:hint="eastAsia" w:ascii="仿宋_GB2312" w:eastAsia="仿宋_GB2312"/>
          <w:color w:val="auto"/>
          <w:sz w:val="24"/>
          <w:highlight w:val="none"/>
        </w:rPr>
        <w:t>20.3.4病毒发作导致不能进行正常操作的；</w:t>
      </w:r>
    </w:p>
    <w:p w14:paraId="7EAEDE36">
      <w:pPr>
        <w:spacing w:line="460" w:lineRule="exact"/>
        <w:ind w:firstLine="600" w:firstLineChars="250"/>
        <w:rPr>
          <w:rFonts w:ascii="仿宋_GB2312" w:eastAsia="仿宋_GB2312"/>
          <w:color w:val="auto"/>
          <w:sz w:val="24"/>
          <w:highlight w:val="none"/>
        </w:rPr>
      </w:pPr>
      <w:r>
        <w:rPr>
          <w:rFonts w:hint="eastAsia" w:ascii="仿宋_GB2312" w:eastAsia="仿宋_GB2312"/>
          <w:color w:val="auto"/>
          <w:sz w:val="24"/>
          <w:highlight w:val="none"/>
        </w:rPr>
        <w:t>20.3.5其他无法保证电子交易的公平、公正和安全的情况。</w:t>
      </w:r>
    </w:p>
    <w:p w14:paraId="158FB5E1">
      <w:pPr>
        <w:spacing w:line="460" w:lineRule="exact"/>
        <w:ind w:firstLine="480" w:firstLineChars="200"/>
        <w:rPr>
          <w:rFonts w:ascii="仿宋_GB2312" w:eastAsia="仿宋_GB2312"/>
          <w:color w:val="auto"/>
          <w:sz w:val="24"/>
          <w:highlight w:val="none"/>
        </w:rPr>
      </w:pPr>
      <w:r>
        <w:rPr>
          <w:rFonts w:hint="eastAsia" w:ascii="仿宋_GB2312" w:eastAsia="仿宋_GB2312"/>
          <w:color w:val="auto"/>
          <w:sz w:val="24"/>
          <w:highlight w:val="none"/>
        </w:rPr>
        <w:t>出现前款规定情形，不影响采购公平、公正性的，采购代理机构可以待上述情形消除后继续组织电子交易活动，也可以决定某些环节以纸质形式进行；影响或可能影响采购公平、公正性的，应当重新采购。</w:t>
      </w:r>
    </w:p>
    <w:p w14:paraId="454140BF">
      <w:pPr>
        <w:snapToGrid w:val="0"/>
        <w:spacing w:line="400" w:lineRule="exact"/>
        <w:ind w:firstLine="472" w:firstLineChars="196"/>
        <w:rPr>
          <w:rFonts w:ascii="仿宋_GB2312" w:eastAsia="仿宋_GB2312" w:cs="Courier New"/>
          <w:b/>
          <w:color w:val="auto"/>
          <w:sz w:val="24"/>
          <w:highlight w:val="none"/>
        </w:rPr>
      </w:pPr>
      <w:r>
        <w:rPr>
          <w:rFonts w:hint="eastAsia" w:ascii="仿宋_GB2312" w:eastAsia="仿宋_GB2312" w:cs="Courier New"/>
          <w:b/>
          <w:color w:val="auto"/>
          <w:sz w:val="24"/>
          <w:highlight w:val="none"/>
        </w:rPr>
        <w:t>四、开标</w:t>
      </w:r>
    </w:p>
    <w:p w14:paraId="735DA837">
      <w:pPr>
        <w:pStyle w:val="26"/>
        <w:snapToGrid w:val="0"/>
        <w:spacing w:line="400" w:lineRule="exact"/>
        <w:ind w:firstLine="472" w:firstLineChars="196"/>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21.开标准备</w:t>
      </w:r>
    </w:p>
    <w:p w14:paraId="6B0B3519">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2800E84F">
      <w:pPr>
        <w:pStyle w:val="26"/>
        <w:snapToGrid w:val="0"/>
        <w:spacing w:line="400" w:lineRule="exact"/>
        <w:ind w:firstLine="482" w:firstLineChars="200"/>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22.开标程序</w:t>
      </w:r>
    </w:p>
    <w:p w14:paraId="45DCEBA7">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22.1开标会由采购代理机构主持；</w:t>
      </w:r>
    </w:p>
    <w:p w14:paraId="47492E0C">
      <w:pPr>
        <w:snapToGrid w:val="0"/>
        <w:spacing w:line="400" w:lineRule="exact"/>
        <w:ind w:firstLine="420"/>
        <w:jc w:val="left"/>
        <w:rPr>
          <w:rFonts w:hint="eastAsia" w:ascii="仿宋_GB2312" w:hAnsi="宋体" w:eastAsia="仿宋_GB2312"/>
          <w:color w:val="auto"/>
          <w:sz w:val="24"/>
          <w:highlight w:val="none"/>
        </w:rPr>
      </w:pPr>
      <w:r>
        <w:rPr>
          <w:rFonts w:hint="eastAsia" w:ascii="仿宋_GB2312" w:eastAsia="仿宋_GB2312" w:cs="Courier New"/>
          <w:color w:val="auto"/>
          <w:sz w:val="24"/>
          <w:highlight w:val="none"/>
        </w:rPr>
        <w:t>22.2</w:t>
      </w:r>
      <w:r>
        <w:rPr>
          <w:rFonts w:hint="eastAsia" w:ascii="仿宋_GB2312" w:hAnsi="宋体" w:eastAsia="仿宋_GB2312"/>
          <w:color w:val="auto"/>
          <w:sz w:val="24"/>
          <w:highlight w:val="none"/>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5D786E08">
      <w:pPr>
        <w:tabs>
          <w:tab w:val="left" w:pos="3870"/>
          <w:tab w:val="left" w:pos="4085"/>
        </w:tabs>
        <w:snapToGrid w:val="0"/>
        <w:spacing w:line="420" w:lineRule="exact"/>
        <w:ind w:firstLine="480"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7022036B">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22.4公开报价；</w:t>
      </w:r>
    </w:p>
    <w:p w14:paraId="63EA09E5">
      <w:pPr>
        <w:snapToGrid w:val="0"/>
        <w:spacing w:line="40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22.5报价确认：采购代理机构开启签字时段，投标人应及时通过CA证书对报价记录表进行确认。未在规定时间内确认的，视同认可开标结果；</w:t>
      </w:r>
    </w:p>
    <w:p w14:paraId="248A70EE">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22.6开标会结束。</w:t>
      </w:r>
    </w:p>
    <w:p w14:paraId="6E1B3306">
      <w:pPr>
        <w:snapToGrid w:val="0"/>
        <w:spacing w:line="370" w:lineRule="exact"/>
        <w:ind w:firstLine="472" w:firstLineChars="196"/>
        <w:rPr>
          <w:rFonts w:ascii="仿宋_GB2312" w:eastAsia="仿宋_GB2312"/>
          <w:b/>
          <w:bCs/>
          <w:color w:val="auto"/>
          <w:kern w:val="0"/>
          <w:sz w:val="24"/>
          <w:highlight w:val="none"/>
        </w:rPr>
      </w:pPr>
      <w:r>
        <w:rPr>
          <w:rFonts w:hint="eastAsia" w:ascii="仿宋_GB2312" w:eastAsia="仿宋_GB2312"/>
          <w:b/>
          <w:bCs/>
          <w:color w:val="auto"/>
          <w:kern w:val="0"/>
          <w:sz w:val="24"/>
          <w:highlight w:val="none"/>
        </w:rPr>
        <w:t>五、资格性审查</w:t>
      </w:r>
    </w:p>
    <w:p w14:paraId="248161D8">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23.采购人应当依法对投标人的资格进行审查。</w:t>
      </w:r>
    </w:p>
    <w:p w14:paraId="12936E45">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24.合格投标人不足三家的，不得评标。</w:t>
      </w:r>
    </w:p>
    <w:p w14:paraId="3CF9F587">
      <w:pPr>
        <w:pStyle w:val="26"/>
        <w:snapToGrid w:val="0"/>
        <w:spacing w:line="370" w:lineRule="exact"/>
        <w:ind w:firstLine="472" w:firstLineChars="196"/>
        <w:rPr>
          <w:rFonts w:hint="eastAsia" w:ascii="仿宋_GB2312" w:hAnsi="宋体" w:eastAsia="仿宋_GB2312"/>
          <w:b/>
          <w:color w:val="auto"/>
          <w:sz w:val="24"/>
          <w:szCs w:val="24"/>
          <w:highlight w:val="none"/>
        </w:rPr>
      </w:pPr>
      <w:bookmarkStart w:id="61" w:name="_Toc254970545"/>
      <w:bookmarkStart w:id="62" w:name="_Toc254970686"/>
      <w:r>
        <w:rPr>
          <w:rFonts w:hint="eastAsia" w:ascii="仿宋_GB2312" w:hAnsi="宋体" w:eastAsia="仿宋_GB2312"/>
          <w:b/>
          <w:color w:val="auto"/>
          <w:sz w:val="24"/>
          <w:szCs w:val="24"/>
          <w:highlight w:val="none"/>
        </w:rPr>
        <w:t>六、评标</w:t>
      </w:r>
      <w:bookmarkEnd w:id="61"/>
      <w:bookmarkEnd w:id="62"/>
    </w:p>
    <w:p w14:paraId="5C4D192D">
      <w:pPr>
        <w:pStyle w:val="26"/>
        <w:snapToGrid w:val="0"/>
        <w:spacing w:line="370" w:lineRule="exact"/>
        <w:ind w:left="720" w:leftChars="228" w:hanging="241" w:hangingChars="100"/>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25.组建评标委员会</w:t>
      </w:r>
    </w:p>
    <w:p w14:paraId="14CBCB16">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25.1本项目评标委员会由采购人代表和评审专家组成。</w:t>
      </w:r>
    </w:p>
    <w:p w14:paraId="693AC882">
      <w:pPr>
        <w:pStyle w:val="26"/>
        <w:snapToGrid w:val="0"/>
        <w:spacing w:line="370" w:lineRule="exact"/>
        <w:ind w:left="720" w:leftChars="228" w:hanging="241" w:hangingChars="100"/>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26.评标的方式</w:t>
      </w:r>
    </w:p>
    <w:p w14:paraId="0F2B01F0">
      <w:pPr>
        <w:snapToGrid w:val="0"/>
        <w:spacing w:line="370" w:lineRule="exact"/>
        <w:ind w:firstLine="420"/>
        <w:jc w:val="left"/>
        <w:rPr>
          <w:rFonts w:ascii="仿宋_GB2312" w:eastAsia="仿宋_GB2312"/>
          <w:color w:val="auto"/>
          <w:sz w:val="24"/>
          <w:highlight w:val="none"/>
        </w:rPr>
      </w:pPr>
      <w:r>
        <w:rPr>
          <w:rFonts w:hint="eastAsia" w:ascii="仿宋_GB2312" w:eastAsia="仿宋_GB2312" w:cs="Courier New"/>
          <w:color w:val="auto"/>
          <w:sz w:val="24"/>
          <w:highlight w:val="none"/>
        </w:rPr>
        <w:t>26.1本项目采用不公开方式评标，评标的依据为招标文件和投标文件。</w:t>
      </w:r>
    </w:p>
    <w:p w14:paraId="7FF61E70">
      <w:pPr>
        <w:pStyle w:val="26"/>
        <w:snapToGrid w:val="0"/>
        <w:spacing w:line="370" w:lineRule="exact"/>
        <w:ind w:left="720" w:leftChars="228" w:hanging="241" w:hangingChars="100"/>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27.</w:t>
      </w:r>
      <w:r>
        <w:rPr>
          <w:rFonts w:hint="eastAsia" w:ascii="仿宋_GB2312" w:hAnsi="宋体" w:eastAsia="仿宋_GB2312"/>
          <w:b/>
          <w:bCs/>
          <w:color w:val="auto"/>
          <w:sz w:val="24"/>
          <w:szCs w:val="24"/>
          <w:highlight w:val="none"/>
        </w:rPr>
        <w:t>评标程序</w:t>
      </w:r>
    </w:p>
    <w:p w14:paraId="1FFAAF1E">
      <w:pPr>
        <w:snapToGrid w:val="0"/>
        <w:spacing w:line="370" w:lineRule="exact"/>
        <w:ind w:firstLine="472" w:firstLineChars="196"/>
        <w:rPr>
          <w:rFonts w:ascii="仿宋_GB2312" w:eastAsia="仿宋_GB2312"/>
          <w:b/>
          <w:bCs/>
          <w:color w:val="auto"/>
          <w:kern w:val="0"/>
          <w:sz w:val="24"/>
          <w:highlight w:val="none"/>
        </w:rPr>
      </w:pPr>
      <w:r>
        <w:rPr>
          <w:rFonts w:hint="eastAsia" w:ascii="仿宋_GB2312" w:eastAsia="仿宋_GB2312"/>
          <w:b/>
          <w:bCs/>
          <w:color w:val="auto"/>
          <w:kern w:val="0"/>
          <w:sz w:val="24"/>
          <w:highlight w:val="none"/>
        </w:rPr>
        <w:t>27.1符合性审查</w:t>
      </w:r>
    </w:p>
    <w:p w14:paraId="6F1CD242">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（1）评标委员会审查、评价投标文件是否符合招标文件的商务、技术等实质性要求。</w:t>
      </w:r>
    </w:p>
    <w:p w14:paraId="3FBB2F4E">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（2）评标委员会将根据投标人的投标文件进行审查、核对，如有疑问，评标委员会将通过广西政府采购云平台，以询标函的方式要求投标人在线对相关问题进行澄清或者说明。</w:t>
      </w:r>
    </w:p>
    <w:p w14:paraId="0B128A99">
      <w:pPr>
        <w:snapToGrid w:val="0"/>
        <w:spacing w:line="370" w:lineRule="exact"/>
        <w:ind w:firstLine="472" w:firstLineChars="196"/>
        <w:rPr>
          <w:rFonts w:ascii="仿宋_GB2312" w:eastAsia="仿宋_GB2312"/>
          <w:b/>
          <w:bCs/>
          <w:color w:val="auto"/>
          <w:kern w:val="0"/>
          <w:sz w:val="24"/>
          <w:highlight w:val="none"/>
        </w:rPr>
      </w:pPr>
      <w:r>
        <w:rPr>
          <w:rFonts w:hint="eastAsia" w:ascii="仿宋_GB2312" w:eastAsia="仿宋_GB2312"/>
          <w:b/>
          <w:bCs/>
          <w:color w:val="auto"/>
          <w:kern w:val="0"/>
          <w:sz w:val="24"/>
          <w:highlight w:val="none"/>
        </w:rPr>
        <w:t>27.2投标文件的比较和评价</w:t>
      </w:r>
    </w:p>
    <w:p w14:paraId="615BB917">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（1）各投标人的技术得分为所有评委的有效评分的算术平均数。</w:t>
      </w:r>
    </w:p>
    <w:p w14:paraId="16D89953">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（2）评标委员会完成评标后，评委对各部分得分汇总，计算出本项目最终得分等。评标委员会按评标标准推荐中标候选人同时起草评标报告。</w:t>
      </w:r>
    </w:p>
    <w:p w14:paraId="0E7EC332">
      <w:pPr>
        <w:snapToGrid w:val="0"/>
        <w:spacing w:line="370" w:lineRule="exact"/>
        <w:ind w:firstLine="482" w:firstLineChars="200"/>
        <w:rPr>
          <w:rFonts w:ascii="仿宋_GB2312" w:eastAsia="仿宋_GB2312"/>
          <w:b/>
          <w:color w:val="auto"/>
          <w:sz w:val="24"/>
          <w:highlight w:val="none"/>
        </w:rPr>
      </w:pPr>
      <w:r>
        <w:rPr>
          <w:rFonts w:hint="eastAsia" w:ascii="仿宋_GB2312" w:eastAsia="仿宋_GB2312"/>
          <w:b/>
          <w:color w:val="auto"/>
          <w:sz w:val="24"/>
          <w:highlight w:val="none"/>
        </w:rPr>
        <w:t>28.澄清问题的形式</w:t>
      </w:r>
    </w:p>
    <w:p w14:paraId="301317ED">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6789B2DE">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28.2投标人应当在规定时间内通过广西政府采购云平台进行澄清、说明或者补正，并加盖投标人CA电子签章。投标人的澄清、说明或者补正不得超出投标文件的范围或者改变投标文件的实质性内容。</w:t>
      </w:r>
    </w:p>
    <w:p w14:paraId="731291F6">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28.3投标人有以下情形之一的，评标委员会有权视该投标文件无效:</w:t>
      </w:r>
    </w:p>
    <w:p w14:paraId="2A768C25">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（1）截止时间前未澄清、说明或者补正，或澄清、说明或者补正超过规定时间的:</w:t>
      </w:r>
    </w:p>
    <w:p w14:paraId="20EB31FF">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（2）澄清、说明或者补正超出投标文件范围或改变了投标文件的实质性内容的；</w:t>
      </w:r>
    </w:p>
    <w:p w14:paraId="289FCB56">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（3）澄清、说明或者补正后投标文件仍不符合招标文件要求的。</w:t>
      </w:r>
    </w:p>
    <w:p w14:paraId="1548702C">
      <w:pPr>
        <w:snapToGrid w:val="0"/>
        <w:spacing w:line="370" w:lineRule="exact"/>
        <w:ind w:firstLine="482" w:firstLineChars="200"/>
        <w:rPr>
          <w:rFonts w:ascii="仿宋_GB2312" w:eastAsia="仿宋_GB2312"/>
          <w:b/>
          <w:color w:val="auto"/>
          <w:sz w:val="24"/>
          <w:highlight w:val="none"/>
        </w:rPr>
      </w:pPr>
      <w:r>
        <w:rPr>
          <w:rFonts w:hint="eastAsia" w:ascii="仿宋_GB2312" w:eastAsia="仿宋_GB2312"/>
          <w:b/>
          <w:color w:val="auto"/>
          <w:sz w:val="24"/>
          <w:highlight w:val="none"/>
        </w:rPr>
        <w:t>29.错误修正</w:t>
      </w:r>
    </w:p>
    <w:p w14:paraId="1703F7DE">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29.1投标文件报价出现前后不一致的，除招标文件另有规定外，按照下列规定修正：</w:t>
      </w:r>
    </w:p>
    <w:p w14:paraId="0E48B5C0">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（1）投标文件中开标一览表（报价表）内容与投标文件中相应内容不一致的，以开标一览表（报价表）为准；</w:t>
      </w:r>
    </w:p>
    <w:p w14:paraId="16713FC6">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（2）大写金额和小写金额不一致的，以大写金额为准；</w:t>
      </w:r>
    </w:p>
    <w:p w14:paraId="11A84B2D">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（3）单价金额小数点或者百分比有明显错位的，以开标一览表的总价为准，并修改单价；</w:t>
      </w:r>
    </w:p>
    <w:p w14:paraId="0058B254">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（4）总价金额与按单价汇总金额不一致的，以单价金额计算结果为准。</w:t>
      </w:r>
    </w:p>
    <w:p w14:paraId="65BDDDBC">
      <w:pPr>
        <w:snapToGrid w:val="0"/>
        <w:spacing w:line="370" w:lineRule="exact"/>
        <w:ind w:firstLine="420"/>
        <w:jc w:val="left"/>
        <w:rPr>
          <w:rFonts w:ascii="仿宋_GB2312" w:eastAsia="仿宋_GB2312" w:cs="Courier New"/>
          <w:b/>
          <w:color w:val="auto"/>
          <w:sz w:val="24"/>
          <w:highlight w:val="none"/>
        </w:rPr>
      </w:pPr>
      <w:r>
        <w:rPr>
          <w:rFonts w:hint="eastAsia" w:ascii="仿宋_GB2312" w:eastAsia="仿宋_GB2312" w:cs="Courier New"/>
          <w:b/>
          <w:color w:val="auto"/>
          <w:sz w:val="24"/>
          <w:highlight w:val="none"/>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3FF06F5B">
      <w:pPr>
        <w:pStyle w:val="26"/>
        <w:tabs>
          <w:tab w:val="left" w:pos="630"/>
        </w:tabs>
        <w:snapToGrid w:val="0"/>
        <w:spacing w:line="370" w:lineRule="exact"/>
        <w:ind w:firstLine="472" w:firstLineChars="196"/>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30.评标原则和评标方法</w:t>
      </w:r>
    </w:p>
    <w:p w14:paraId="05ECDA2B">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6A7A4A82">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30.2本项目评标方法是综合评分法，具体评标内容及评标标准等详见第四章：评标方法及评标标准。</w:t>
      </w:r>
    </w:p>
    <w:p w14:paraId="7089417A">
      <w:pPr>
        <w:pStyle w:val="26"/>
        <w:snapToGrid w:val="0"/>
        <w:spacing w:line="370" w:lineRule="exact"/>
        <w:ind w:firstLine="472" w:firstLineChars="196"/>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31.评标过程的监控</w:t>
      </w:r>
    </w:p>
    <w:p w14:paraId="5CA1E6DF">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31.1本项目评标过程实行全程录音、录像监控（或政府采购监督管理部门工作人员进行现场监督），投标人在评标过程中所进行的试图影响评标结果的不公正活动，可能导致其投标被拒绝。</w:t>
      </w:r>
    </w:p>
    <w:p w14:paraId="4A22D519">
      <w:pPr>
        <w:pStyle w:val="26"/>
        <w:snapToGrid w:val="0"/>
        <w:spacing w:line="370" w:lineRule="exact"/>
        <w:ind w:firstLine="482" w:firstLineChars="200"/>
        <w:rPr>
          <w:rFonts w:hint="eastAsia" w:ascii="仿宋_GB2312" w:hAnsi="宋体" w:eastAsia="仿宋_GB2312"/>
          <w:color w:val="auto"/>
          <w:sz w:val="24"/>
          <w:szCs w:val="24"/>
          <w:highlight w:val="none"/>
        </w:rPr>
      </w:pPr>
      <w:r>
        <w:rPr>
          <w:rFonts w:hint="eastAsia" w:ascii="仿宋_GB2312" w:hAnsi="宋体" w:eastAsia="仿宋_GB2312"/>
          <w:b/>
          <w:color w:val="auto"/>
          <w:sz w:val="24"/>
          <w:szCs w:val="24"/>
          <w:highlight w:val="none"/>
        </w:rPr>
        <w:t>七、评标结果</w:t>
      </w:r>
    </w:p>
    <w:p w14:paraId="355602FD">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32.采购人或者采购代理机构核对评标结果。</w:t>
      </w:r>
    </w:p>
    <w:p w14:paraId="3FBD74C2">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33.采购人或者采购代理机构在公告中标结果的同时，对未通过资格审查的投标人，应当告知其未通过的原因；采用综合评分法评审的，还应当告知未中标人本人的评审得分与排序。</w:t>
      </w:r>
    </w:p>
    <w:p w14:paraId="62350FF0">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28B165BF">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35.采购人或采购代理机构应当自中标人确定之日起2个工作日内，在中国政府采购网、广西壮族自治区政府采购网、柳州市政府采购网发布中标公告。在发布中标公告的同时，向中标人发出中标通知书。</w:t>
      </w:r>
    </w:p>
    <w:p w14:paraId="38991805">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36.在中标通知书发出前，采购人或采购代理机构应当对中标人信用进行查询，并按照信用信息使用规则处理。</w:t>
      </w:r>
    </w:p>
    <w:p w14:paraId="643B442B">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37.投标人对中标公告有异议的，应当在中标公告</w:t>
      </w:r>
      <w:r>
        <w:rPr>
          <w:rFonts w:hint="eastAsia" w:ascii="仿宋_GB2312" w:hAnsi="宋体" w:eastAsia="仿宋_GB2312"/>
          <w:bCs/>
          <w:color w:val="auto"/>
          <w:sz w:val="24"/>
          <w:highlight w:val="none"/>
        </w:rPr>
        <w:t>期限届满</w:t>
      </w:r>
      <w:r>
        <w:rPr>
          <w:rFonts w:hint="eastAsia" w:ascii="仿宋_GB2312" w:eastAsia="仿宋_GB2312" w:cs="Courier New"/>
          <w:color w:val="auto"/>
          <w:sz w:val="24"/>
          <w:highlight w:val="none"/>
        </w:rPr>
        <w:t>之日起七个工作日内，以书面形式向采购人或采购代理机构提出质疑，并及时索要书面回执。</w:t>
      </w:r>
    </w:p>
    <w:p w14:paraId="50B302FB">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38.采购人或采购代理机构（采购代理机构应当按照有关规定就采购人委托授权范围内的事项）在收到投标人的书面质疑后七个工作日内作出答复，但答复的内容不得涉及商业秘密。</w:t>
      </w:r>
    </w:p>
    <w:p w14:paraId="7E863D75">
      <w:pPr>
        <w:pStyle w:val="26"/>
        <w:snapToGrid w:val="0"/>
        <w:spacing w:line="370" w:lineRule="exact"/>
        <w:ind w:firstLine="472" w:firstLineChars="196"/>
        <w:rPr>
          <w:rFonts w:hint="eastAsia" w:ascii="仿宋_GB2312" w:hAnsi="宋体" w:eastAsia="仿宋_GB2312"/>
          <w:b/>
          <w:color w:val="auto"/>
          <w:sz w:val="24"/>
          <w:szCs w:val="24"/>
          <w:highlight w:val="none"/>
        </w:rPr>
      </w:pPr>
      <w:bookmarkStart w:id="63" w:name="_Toc254970688"/>
      <w:bookmarkStart w:id="64" w:name="_Toc254970547"/>
      <w:r>
        <w:rPr>
          <w:rFonts w:hint="eastAsia" w:ascii="仿宋_GB2312" w:hAnsi="宋体" w:eastAsia="仿宋_GB2312"/>
          <w:b/>
          <w:color w:val="auto"/>
          <w:sz w:val="24"/>
          <w:szCs w:val="24"/>
          <w:highlight w:val="none"/>
        </w:rPr>
        <w:t>八、</w:t>
      </w:r>
      <w:bookmarkEnd w:id="63"/>
      <w:bookmarkEnd w:id="64"/>
      <w:r>
        <w:rPr>
          <w:rFonts w:hint="eastAsia" w:ascii="仿宋_GB2312" w:hAnsi="宋体" w:eastAsia="仿宋_GB2312"/>
          <w:b/>
          <w:color w:val="auto"/>
          <w:sz w:val="24"/>
          <w:szCs w:val="24"/>
          <w:highlight w:val="none"/>
        </w:rPr>
        <w:t>签订合同</w:t>
      </w:r>
    </w:p>
    <w:p w14:paraId="7EF0AF61">
      <w:pPr>
        <w:pStyle w:val="26"/>
        <w:snapToGrid w:val="0"/>
        <w:spacing w:line="370" w:lineRule="exact"/>
        <w:ind w:firstLine="472" w:firstLineChars="196"/>
        <w:rPr>
          <w:rFonts w:hint="eastAsia" w:ascii="仿宋_GB2312" w:hAnsi="宋体" w:eastAsia="仿宋_GB2312"/>
          <w:b/>
          <w:bCs/>
          <w:color w:val="auto"/>
          <w:sz w:val="24"/>
          <w:szCs w:val="24"/>
          <w:highlight w:val="none"/>
        </w:rPr>
      </w:pPr>
      <w:r>
        <w:rPr>
          <w:rFonts w:hint="eastAsia" w:ascii="仿宋_GB2312" w:hAnsi="宋体" w:eastAsia="仿宋_GB2312"/>
          <w:b/>
          <w:color w:val="auto"/>
          <w:sz w:val="24"/>
          <w:szCs w:val="24"/>
          <w:highlight w:val="none"/>
        </w:rPr>
        <w:t>39.合同授予标准</w:t>
      </w:r>
    </w:p>
    <w:p w14:paraId="7285226F">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39.1合同将授予被确定实质上响应招标文件要求，具备履行合同能力，综合评分排名第一的投标人。</w:t>
      </w:r>
    </w:p>
    <w:p w14:paraId="7886E273">
      <w:pPr>
        <w:snapToGrid w:val="0"/>
        <w:spacing w:line="370" w:lineRule="exact"/>
        <w:ind w:firstLine="420"/>
        <w:jc w:val="left"/>
        <w:rPr>
          <w:rFonts w:ascii="仿宋_GB2312" w:eastAsia="仿宋_GB2312" w:cs="Courier New"/>
          <w:b/>
          <w:bCs/>
          <w:color w:val="auto"/>
          <w:sz w:val="24"/>
          <w:highlight w:val="none"/>
        </w:rPr>
      </w:pPr>
      <w:r>
        <w:rPr>
          <w:rFonts w:hint="eastAsia" w:ascii="仿宋_GB2312" w:eastAsia="仿宋_GB2312" w:cs="Courier New"/>
          <w:b/>
          <w:bCs/>
          <w:color w:val="auto"/>
          <w:sz w:val="24"/>
          <w:highlight w:val="none"/>
        </w:rPr>
        <w:t>40.签订合同</w:t>
      </w:r>
    </w:p>
    <w:p w14:paraId="69AA45CB">
      <w:pPr>
        <w:snapToGrid w:val="0"/>
        <w:spacing w:line="370" w:lineRule="exact"/>
        <w:ind w:firstLine="420"/>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40.1中标人接到中标通知书后，应按有关规定与采购人签订合同。</w:t>
      </w:r>
    </w:p>
    <w:p w14:paraId="32ABC30F">
      <w:pPr>
        <w:snapToGrid w:val="0"/>
        <w:spacing w:line="360" w:lineRule="exact"/>
        <w:ind w:right="-470" w:rightChars="-224" w:firstLine="420"/>
        <w:jc w:val="left"/>
        <w:rPr>
          <w:rFonts w:ascii="仿宋_GB2312" w:eastAsia="仿宋_GB2312" w:cs="Courier New"/>
          <w:color w:val="auto"/>
          <w:sz w:val="24"/>
          <w:highlight w:val="none"/>
        </w:rPr>
        <w:sectPr>
          <w:pgSz w:w="11906" w:h="16838"/>
          <w:pgMar w:top="1440" w:right="1440" w:bottom="1440" w:left="1440" w:header="851" w:footer="992" w:gutter="0"/>
          <w:cols w:space="720" w:num="1"/>
          <w:docGrid w:linePitch="312" w:charSpace="0"/>
        </w:sectPr>
      </w:pPr>
      <w:r>
        <w:rPr>
          <w:rFonts w:hint="eastAsia" w:ascii="仿宋_GB2312" w:eastAsia="仿宋_GB2312" w:cs="Courier New"/>
          <w:color w:val="auto"/>
          <w:sz w:val="24"/>
          <w:highlight w:val="none"/>
        </w:rPr>
        <w:t>40.2中标人因不可抗力或者自身原因不能履行采购合同的，采购人或采购代理机构应将该情况报政府采购监督管理部门，从合格的中标候选人中另行确定中标人或重新开展政府采购活动。</w:t>
      </w:r>
      <w:bookmarkStart w:id="65" w:name="_Toc254970689"/>
      <w:bookmarkStart w:id="66" w:name="_Toc254970548"/>
      <w:bookmarkStart w:id="67" w:name="_Toc497578452"/>
    </w:p>
    <w:p w14:paraId="6E564F2F">
      <w:pPr>
        <w:rPr>
          <w:color w:val="auto"/>
          <w:highlight w:val="none"/>
        </w:rPr>
      </w:pPr>
    </w:p>
    <w:p w14:paraId="6B8952AB">
      <w:pPr>
        <w:rPr>
          <w:color w:val="auto"/>
          <w:highlight w:val="none"/>
        </w:rPr>
      </w:pPr>
    </w:p>
    <w:p w14:paraId="32C3DDE6">
      <w:pPr>
        <w:rPr>
          <w:color w:val="auto"/>
          <w:highlight w:val="none"/>
        </w:rPr>
      </w:pPr>
    </w:p>
    <w:p w14:paraId="5B5358DD">
      <w:pPr>
        <w:rPr>
          <w:color w:val="auto"/>
          <w:highlight w:val="none"/>
        </w:rPr>
      </w:pPr>
    </w:p>
    <w:p w14:paraId="2784FD03">
      <w:pPr>
        <w:rPr>
          <w:color w:val="auto"/>
          <w:highlight w:val="none"/>
        </w:rPr>
      </w:pPr>
    </w:p>
    <w:p w14:paraId="33EB370E">
      <w:pPr>
        <w:rPr>
          <w:color w:val="auto"/>
          <w:highlight w:val="none"/>
        </w:rPr>
      </w:pPr>
    </w:p>
    <w:p w14:paraId="61ABDB31">
      <w:pPr>
        <w:rPr>
          <w:color w:val="auto"/>
          <w:highlight w:val="none"/>
        </w:rPr>
      </w:pPr>
    </w:p>
    <w:p w14:paraId="1904CF1B">
      <w:pPr>
        <w:rPr>
          <w:color w:val="auto"/>
          <w:highlight w:val="none"/>
        </w:rPr>
      </w:pPr>
    </w:p>
    <w:p w14:paraId="6889EC4A">
      <w:pPr>
        <w:rPr>
          <w:color w:val="auto"/>
          <w:highlight w:val="none"/>
        </w:rPr>
      </w:pPr>
    </w:p>
    <w:p w14:paraId="0E3AB68A">
      <w:pPr>
        <w:rPr>
          <w:color w:val="auto"/>
          <w:highlight w:val="none"/>
        </w:rPr>
      </w:pPr>
    </w:p>
    <w:p w14:paraId="7D7995EF">
      <w:pPr>
        <w:rPr>
          <w:color w:val="auto"/>
          <w:highlight w:val="none"/>
        </w:rPr>
      </w:pPr>
    </w:p>
    <w:p w14:paraId="3C79EECE">
      <w:pPr>
        <w:rPr>
          <w:color w:val="auto"/>
          <w:highlight w:val="none"/>
        </w:rPr>
      </w:pPr>
    </w:p>
    <w:p w14:paraId="2CCB2DC7">
      <w:pPr>
        <w:rPr>
          <w:color w:val="auto"/>
          <w:highlight w:val="none"/>
        </w:rPr>
      </w:pPr>
    </w:p>
    <w:p w14:paraId="09A7F613">
      <w:pPr>
        <w:rPr>
          <w:color w:val="auto"/>
          <w:highlight w:val="none"/>
        </w:rPr>
      </w:pPr>
    </w:p>
    <w:p w14:paraId="0B97F505">
      <w:pPr>
        <w:rPr>
          <w:color w:val="auto"/>
          <w:highlight w:val="none"/>
        </w:rPr>
      </w:pPr>
    </w:p>
    <w:p w14:paraId="2B171A6C">
      <w:pPr>
        <w:rPr>
          <w:color w:val="auto"/>
          <w:highlight w:val="none"/>
        </w:rPr>
      </w:pPr>
    </w:p>
    <w:p w14:paraId="7106812A">
      <w:pPr>
        <w:rPr>
          <w:color w:val="auto"/>
          <w:highlight w:val="none"/>
        </w:rPr>
      </w:pPr>
    </w:p>
    <w:p w14:paraId="5BC7D2F7">
      <w:pPr>
        <w:pStyle w:val="4"/>
        <w:jc w:val="center"/>
        <w:rPr>
          <w:color w:val="auto"/>
          <w:highlight w:val="none"/>
        </w:rPr>
      </w:pPr>
      <w:bookmarkStart w:id="68" w:name="_Toc27328"/>
      <w:bookmarkStart w:id="69" w:name="_Toc26012"/>
      <w:r>
        <w:rPr>
          <w:rFonts w:hint="eastAsia"/>
          <w:color w:val="auto"/>
          <w:sz w:val="30"/>
          <w:szCs w:val="30"/>
          <w:highlight w:val="none"/>
        </w:rPr>
        <w:t xml:space="preserve">第四章 </w:t>
      </w:r>
      <w:bookmarkEnd w:id="65"/>
      <w:bookmarkEnd w:id="66"/>
      <w:r>
        <w:rPr>
          <w:rFonts w:hint="eastAsia"/>
          <w:color w:val="auto"/>
          <w:sz w:val="30"/>
          <w:szCs w:val="30"/>
          <w:highlight w:val="none"/>
        </w:rPr>
        <w:t>评标方法及评标标准</w:t>
      </w:r>
      <w:bookmarkEnd w:id="67"/>
      <w:bookmarkEnd w:id="68"/>
      <w:bookmarkEnd w:id="69"/>
      <w:r>
        <w:rPr>
          <w:color w:val="auto"/>
          <w:highlight w:val="none"/>
        </w:rPr>
        <w:tab/>
      </w:r>
    </w:p>
    <w:p w14:paraId="68ED0FF9">
      <w:pPr>
        <w:rPr>
          <w:color w:val="auto"/>
          <w:highlight w:val="none"/>
        </w:rPr>
      </w:pPr>
      <w:r>
        <w:rPr>
          <w:color w:val="auto"/>
          <w:highlight w:val="none"/>
        </w:rPr>
        <w:br w:type="page"/>
      </w:r>
    </w:p>
    <w:p w14:paraId="187E87EC">
      <w:pPr>
        <w:tabs>
          <w:tab w:val="left" w:pos="3055"/>
        </w:tabs>
        <w:jc w:val="center"/>
        <w:rPr>
          <w:b/>
          <w:color w:val="auto"/>
          <w:sz w:val="30"/>
          <w:szCs w:val="30"/>
          <w:highlight w:val="none"/>
        </w:rPr>
      </w:pPr>
      <w:r>
        <w:rPr>
          <w:rFonts w:hint="eastAsia" w:ascii="宋体" w:hAnsi="宋体" w:cs="Courier New"/>
          <w:b/>
          <w:bCs/>
          <w:color w:val="auto"/>
          <w:sz w:val="32"/>
          <w:szCs w:val="32"/>
          <w:highlight w:val="none"/>
        </w:rPr>
        <w:t>评标方法及评标标准</w:t>
      </w:r>
    </w:p>
    <w:p w14:paraId="78B634D9">
      <w:pPr>
        <w:spacing w:line="390" w:lineRule="exact"/>
        <w:ind w:right="-168" w:rightChars="-80" w:firstLine="482" w:firstLineChars="200"/>
        <w:rPr>
          <w:rFonts w:ascii="仿宋_GB2312" w:eastAsia="仿宋_GB2312"/>
          <w:b/>
          <w:bCs/>
          <w:color w:val="auto"/>
          <w:sz w:val="24"/>
          <w:highlight w:val="none"/>
        </w:rPr>
      </w:pPr>
      <w:r>
        <w:rPr>
          <w:rFonts w:hint="eastAsia" w:ascii="仿宋_GB2312" w:eastAsia="仿宋_GB2312"/>
          <w:b/>
          <w:bCs/>
          <w:color w:val="auto"/>
          <w:sz w:val="24"/>
          <w:highlight w:val="none"/>
        </w:rPr>
        <w:t>一、评标原则</w:t>
      </w:r>
    </w:p>
    <w:p w14:paraId="69B1C738">
      <w:pPr>
        <w:spacing w:line="390" w:lineRule="exact"/>
        <w:ind w:right="-168" w:rightChars="-80"/>
        <w:rPr>
          <w:rFonts w:ascii="仿宋_GB2312" w:eastAsia="仿宋_GB2312"/>
          <w:color w:val="auto"/>
          <w:sz w:val="24"/>
          <w:highlight w:val="none"/>
        </w:rPr>
      </w:pPr>
      <w:r>
        <w:rPr>
          <w:rFonts w:hint="eastAsia" w:ascii="仿宋_GB2312" w:eastAsia="仿宋_GB2312"/>
          <w:color w:val="auto"/>
          <w:sz w:val="24"/>
          <w:highlight w:val="none"/>
        </w:rPr>
        <w:t xml:space="preserve">    （一）评委构成：本招标采购项目的评委分别由依法组成的评审专家、采购人代表共五人或以上单数构成，其中专家人数不少于评标委员会成员总数的三分之二。</w:t>
      </w:r>
    </w:p>
    <w:p w14:paraId="00BCBB42">
      <w:pPr>
        <w:spacing w:line="390" w:lineRule="exact"/>
        <w:ind w:right="-168" w:rightChars="-80" w:firstLine="435"/>
        <w:rPr>
          <w:rFonts w:ascii="仿宋_GB2312" w:eastAsia="仿宋_GB2312"/>
          <w:b/>
          <w:color w:val="auto"/>
          <w:sz w:val="24"/>
          <w:highlight w:val="none"/>
        </w:rPr>
      </w:pPr>
      <w:r>
        <w:rPr>
          <w:rFonts w:hint="eastAsia" w:ascii="仿宋_GB2312" w:eastAsia="仿宋_GB2312"/>
          <w:b/>
          <w:color w:val="auto"/>
          <w:sz w:val="24"/>
          <w:highlight w:val="none"/>
        </w:rPr>
        <w:t>（二）评标依据：评委将以招投标文件为评标依据</w:t>
      </w:r>
      <w:bookmarkStart w:id="70" w:name="_Hlk93676870"/>
      <w:r>
        <w:rPr>
          <w:rFonts w:hint="eastAsia" w:ascii="仿宋_GB2312" w:eastAsia="仿宋_GB2312"/>
          <w:b/>
          <w:color w:val="auto"/>
          <w:sz w:val="24"/>
          <w:highlight w:val="none"/>
        </w:rPr>
        <w:t>，对投标人的价格、技术、信誉、业绩等</w:t>
      </w:r>
      <w:bookmarkEnd w:id="70"/>
      <w:r>
        <w:rPr>
          <w:rFonts w:hint="eastAsia" w:ascii="仿宋_GB2312" w:eastAsia="仿宋_GB2312"/>
          <w:b/>
          <w:color w:val="auto"/>
          <w:sz w:val="24"/>
          <w:highlight w:val="none"/>
        </w:rPr>
        <w:t>方面按百分制打分。</w:t>
      </w:r>
    </w:p>
    <w:p w14:paraId="026C28EF">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（三）评标方式：以封闭方式进行。</w:t>
      </w:r>
    </w:p>
    <w:p w14:paraId="7818D148">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（四）在政府采购评审中出现下列情形之一的，评标委员会应当启动异常低价投标审查程序：</w:t>
      </w:r>
    </w:p>
    <w:p w14:paraId="7739EAFA">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1.投标报价低于全部通过符合性审查投标人投标报价平均值50%的，即投标报价&lt;全部通过符合性审查投标人投标报价平均值×50%；</w:t>
      </w:r>
    </w:p>
    <w:p w14:paraId="62594D3B">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2.投标报价低于通过符合性审查的次低报价投标人投标报价50%的，即投标报价&lt;通过符合性审查的次低报价投标人投标报价×50%；</w:t>
      </w:r>
    </w:p>
    <w:p w14:paraId="6725CF13">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3.投标报价低于采购项目最高限价45%的，即投标报价&lt;采购项目最高限价×45%；</w:t>
      </w:r>
    </w:p>
    <w:p w14:paraId="09F15046">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4.评标委员会基于专业判断，认为投标人报价过低，有可能影响产品质量或者不能诚信履约的其他情形。</w:t>
      </w:r>
    </w:p>
    <w:p w14:paraId="0687D058">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3B09639A">
      <w:pPr>
        <w:spacing w:line="390" w:lineRule="exact"/>
        <w:ind w:right="-168" w:rightChars="-80" w:firstLine="435"/>
        <w:rPr>
          <w:rFonts w:ascii="仿宋_GB2312" w:eastAsia="仿宋_GB2312"/>
          <w:color w:val="auto"/>
          <w:sz w:val="24"/>
          <w:highlight w:val="none"/>
        </w:rPr>
      </w:pPr>
      <w:r>
        <w:rPr>
          <w:rFonts w:hint="eastAsia" w:ascii="仿宋_GB2312" w:eastAsia="仿宋_GB2312"/>
          <w:color w:val="auto"/>
          <w:sz w:val="24"/>
          <w:highlight w:val="none"/>
        </w:rPr>
        <w:t xml:space="preserve">投标人不能提供书面说明、证明材料，或者提供的书面说明、证明材料不能证明其报价合理性的，评标委员会应当将其作为无效投标处理。 </w:t>
      </w:r>
    </w:p>
    <w:p w14:paraId="44CE9B0D">
      <w:pPr>
        <w:spacing w:line="390" w:lineRule="exact"/>
        <w:ind w:right="-168" w:rightChars="-80" w:firstLine="435"/>
        <w:rPr>
          <w:rFonts w:ascii="仿宋_GB2312" w:eastAsia="仿宋_GB2312"/>
          <w:b/>
          <w:bCs/>
          <w:color w:val="auto"/>
          <w:sz w:val="24"/>
          <w:highlight w:val="none"/>
        </w:rPr>
      </w:pPr>
      <w:r>
        <w:rPr>
          <w:rFonts w:hint="eastAsia" w:ascii="仿宋_GB2312" w:eastAsia="仿宋_GB2312"/>
          <w:b/>
          <w:bCs/>
          <w:color w:val="auto"/>
          <w:sz w:val="24"/>
          <w:highlight w:val="none"/>
        </w:rPr>
        <w:t>二、评标方法</w:t>
      </w:r>
      <w:r>
        <w:rPr>
          <w:rFonts w:ascii="仿宋_GB2312" w:eastAsia="仿宋_GB2312"/>
          <w:b/>
          <w:bCs/>
          <w:color w:val="auto"/>
          <w:sz w:val="24"/>
          <w:highlight w:val="none"/>
        </w:rPr>
        <w:tab/>
      </w:r>
    </w:p>
    <w:p w14:paraId="5B966EDC">
      <w:pPr>
        <w:spacing w:line="390" w:lineRule="exact"/>
        <w:ind w:right="-168" w:rightChars="-80" w:firstLine="435"/>
        <w:rPr>
          <w:rFonts w:hint="eastAsia" w:ascii="仿宋_GB2312" w:eastAsia="仿宋_GB2312"/>
          <w:color w:val="auto"/>
          <w:sz w:val="24"/>
          <w:highlight w:val="none"/>
        </w:rPr>
      </w:pPr>
      <w:r>
        <w:rPr>
          <w:rFonts w:hint="eastAsia" w:ascii="仿宋_GB2312" w:eastAsia="仿宋_GB2312"/>
          <w:color w:val="auto"/>
          <w:sz w:val="24"/>
          <w:highlight w:val="none"/>
        </w:rPr>
        <w:t>（一）对进入详评的，采用百分制综合评分法。</w:t>
      </w:r>
    </w:p>
    <w:p w14:paraId="2D64F1C3">
      <w:pPr>
        <w:spacing w:line="390" w:lineRule="exact"/>
        <w:ind w:right="-168" w:rightChars="-80" w:firstLine="435"/>
        <w:rPr>
          <w:rFonts w:hint="eastAsia" w:ascii="仿宋_GB2312" w:hAnsi="宋体" w:eastAsia="仿宋_GB2312"/>
          <w:color w:val="auto"/>
          <w:sz w:val="24"/>
          <w:highlight w:val="none"/>
        </w:rPr>
      </w:pPr>
      <w:r>
        <w:rPr>
          <w:rFonts w:hint="eastAsia" w:ascii="仿宋_GB2312" w:eastAsia="仿宋_GB2312"/>
          <w:color w:val="auto"/>
          <w:sz w:val="24"/>
          <w:highlight w:val="none"/>
        </w:rPr>
        <w:t>（二）计分办法（分值计算保留小数点后两位，第三位四舍五入）</w:t>
      </w:r>
      <w:r>
        <w:rPr>
          <w:rFonts w:hint="eastAsia" w:ascii="仿宋_GB2312" w:hAnsi="宋体" w:eastAsia="仿宋_GB2312"/>
          <w:color w:val="auto"/>
          <w:sz w:val="24"/>
          <w:highlight w:val="none"/>
        </w:rPr>
        <w:t>：</w:t>
      </w:r>
    </w:p>
    <w:p w14:paraId="6F51A458">
      <w:pPr>
        <w:rPr>
          <w:rFonts w:hint="eastAsia" w:ascii="仿宋_GB2312" w:eastAsia="仿宋_GB2312"/>
          <w:b/>
          <w:bCs/>
          <w:color w:val="auto"/>
          <w:sz w:val="24"/>
          <w:highlight w:val="none"/>
          <w:lang w:eastAsia="zh-CN"/>
        </w:rPr>
      </w:pPr>
      <w:r>
        <w:rPr>
          <w:rFonts w:hint="eastAsia" w:ascii="仿宋_GB2312" w:eastAsia="仿宋_GB2312"/>
          <w:b/>
          <w:bCs/>
          <w:color w:val="auto"/>
          <w:sz w:val="24"/>
          <w:highlight w:val="none"/>
          <w:lang w:eastAsia="zh-CN"/>
        </w:rPr>
        <w:br w:type="page"/>
      </w:r>
    </w:p>
    <w:p w14:paraId="7BC21167">
      <w:pPr>
        <w:pStyle w:val="5"/>
        <w:spacing w:line="240" w:lineRule="auto"/>
        <w:jc w:val="left"/>
        <w:rPr>
          <w:rFonts w:hint="default" w:eastAsia="仿宋_GB2312"/>
          <w:color w:val="auto"/>
          <w:highlight w:val="none"/>
          <w:lang w:val="en-US" w:eastAsia="zh-CN"/>
        </w:rPr>
      </w:pPr>
      <w:r>
        <w:rPr>
          <w:rFonts w:hint="eastAsia" w:ascii="仿宋_GB2312" w:eastAsia="仿宋_GB2312"/>
          <w:b/>
          <w:bCs/>
          <w:color w:val="auto"/>
          <w:sz w:val="24"/>
          <w:highlight w:val="none"/>
          <w:lang w:eastAsia="zh-CN"/>
        </w:rPr>
        <w:t>分标</w:t>
      </w:r>
      <w:r>
        <w:rPr>
          <w:rFonts w:hint="eastAsia" w:ascii="仿宋_GB2312" w:eastAsia="仿宋_GB2312"/>
          <w:b/>
          <w:bCs/>
          <w:color w:val="auto"/>
          <w:sz w:val="24"/>
          <w:highlight w:val="none"/>
          <w:lang w:val="en-US" w:eastAsia="zh-CN"/>
        </w:rPr>
        <w:t>1</w:t>
      </w:r>
    </w:p>
    <w:tbl>
      <w:tblPr>
        <w:tblStyle w:val="316"/>
        <w:tblpPr w:leftFromText="180" w:rightFromText="180" w:vertAnchor="text" w:horzAnchor="page" w:tblpX="661" w:tblpY="378"/>
        <w:tblOverlap w:val="never"/>
        <w:tblW w:w="103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1087"/>
        <w:gridCol w:w="6000"/>
        <w:gridCol w:w="838"/>
        <w:gridCol w:w="1402"/>
      </w:tblGrid>
      <w:tr w14:paraId="5E4DA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310" w:type="dxa"/>
            <w:gridSpan w:val="5"/>
            <w:shd w:val="clear" w:color="auto" w:fill="D7D7D7"/>
            <w:vAlign w:val="center"/>
          </w:tcPr>
          <w:p w14:paraId="5B9E8AE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highlight w:val="none"/>
                <w:lang w:val="en-US" w:eastAsia="zh-CN"/>
              </w:rPr>
            </w:pPr>
            <w:r>
              <w:rPr>
                <w:rFonts w:hint="eastAsia" w:ascii="仿宋_GB2312" w:eastAsia="仿宋_GB2312"/>
                <w:b/>
                <w:color w:val="auto"/>
                <w:sz w:val="32"/>
                <w:highlight w:val="none"/>
              </w:rPr>
              <w:t>客观分</w:t>
            </w:r>
          </w:p>
        </w:tc>
      </w:tr>
      <w:tr w14:paraId="5ECA7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54B99608">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1087" w:type="dxa"/>
            <w:vAlign w:val="center"/>
          </w:tcPr>
          <w:p w14:paraId="5BB6882A">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6000" w:type="dxa"/>
            <w:vAlign w:val="center"/>
          </w:tcPr>
          <w:p w14:paraId="473C4933">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838" w:type="dxa"/>
            <w:vAlign w:val="center"/>
          </w:tcPr>
          <w:p w14:paraId="713AF40F">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402" w:type="dxa"/>
            <w:vAlign w:val="center"/>
          </w:tcPr>
          <w:p w14:paraId="2B0063DD">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对应的投标文件格式</w:t>
            </w:r>
          </w:p>
        </w:tc>
      </w:tr>
      <w:tr w14:paraId="74083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983" w:type="dxa"/>
            <w:vAlign w:val="center"/>
          </w:tcPr>
          <w:p w14:paraId="3022458E">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价格分</w:t>
            </w:r>
          </w:p>
        </w:tc>
        <w:tc>
          <w:tcPr>
            <w:tcW w:w="1087" w:type="dxa"/>
            <w:vAlign w:val="center"/>
          </w:tcPr>
          <w:p w14:paraId="64427472">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w:t>
            </w:r>
          </w:p>
        </w:tc>
        <w:tc>
          <w:tcPr>
            <w:tcW w:w="6000" w:type="dxa"/>
            <w:vAlign w:val="center"/>
          </w:tcPr>
          <w:p w14:paraId="567110A1">
            <w:pPr>
              <w:spacing w:line="400" w:lineRule="exact"/>
              <w:ind w:firstLine="420" w:firstLineChars="200"/>
              <w:rPr>
                <w:rFonts w:ascii="仿宋_GB2312" w:eastAsia="仿宋_GB2312"/>
                <w:color w:val="auto"/>
                <w:highlight w:val="none"/>
              </w:rPr>
            </w:pPr>
            <w:r>
              <w:rPr>
                <w:rFonts w:hint="eastAsia" w:ascii="仿宋_GB2312" w:eastAsia="仿宋_GB2312"/>
                <w:color w:val="auto"/>
                <w:highlight w:val="none"/>
              </w:rPr>
              <w:t>1.满足招标文件要求且投标价格最低的投标报价为评标基准价，其投标人的报价分为最高分30分；</w:t>
            </w:r>
          </w:p>
          <w:p w14:paraId="47E76EB5">
            <w:pPr>
              <w:spacing w:line="400" w:lineRule="exact"/>
              <w:ind w:firstLine="420" w:firstLineChars="200"/>
              <w:rPr>
                <w:rFonts w:ascii="仿宋_GB2312" w:eastAsia="仿宋_GB2312"/>
                <w:color w:val="auto"/>
                <w:highlight w:val="none"/>
              </w:rPr>
            </w:pPr>
            <w:r>
              <w:rPr>
                <w:rFonts w:hint="eastAsia" w:ascii="仿宋_GB2312" w:eastAsia="仿宋_GB2312"/>
                <w:color w:val="auto"/>
                <w:highlight w:val="none"/>
              </w:rPr>
              <w:t>2.其他投标人的报价得分按以下公式计算：</w:t>
            </w:r>
          </w:p>
          <w:p w14:paraId="7CCD6ACD">
            <w:pPr>
              <w:spacing w:line="400" w:lineRule="exact"/>
              <w:ind w:firstLine="420" w:firstLineChars="200"/>
              <w:rPr>
                <w:rFonts w:ascii="仿宋_GB2312" w:eastAsia="仿宋_GB2312"/>
                <w:color w:val="auto"/>
                <w:highlight w:val="none"/>
              </w:rPr>
            </w:pPr>
            <w:r>
              <w:rPr>
                <w:rFonts w:hint="eastAsia" w:ascii="仿宋_GB2312" w:eastAsia="仿宋_GB2312"/>
                <w:color w:val="auto"/>
                <w:highlight w:val="none"/>
              </w:rPr>
              <w:t>报价得分=（评标基准价／某投标人投标报价）×30分；</w:t>
            </w:r>
          </w:p>
          <w:p w14:paraId="372C60A7">
            <w:pPr>
              <w:spacing w:line="400" w:lineRule="exact"/>
              <w:ind w:firstLine="420" w:firstLineChars="200"/>
              <w:rPr>
                <w:rFonts w:ascii="仿宋_GB2312" w:eastAsia="仿宋_GB2312"/>
                <w:color w:val="auto"/>
                <w:highlight w:val="none"/>
              </w:rPr>
            </w:pPr>
            <w:r>
              <w:rPr>
                <w:rFonts w:hint="eastAsia" w:ascii="仿宋_GB2312" w:eastAsia="仿宋_GB2312"/>
                <w:color w:val="auto"/>
                <w:highlight w:val="none"/>
              </w:rPr>
              <w:t>3.小型、微型企业价格折扣率：</w:t>
            </w:r>
          </w:p>
          <w:p w14:paraId="40B75DD3">
            <w:pPr>
              <w:spacing w:line="400" w:lineRule="exact"/>
              <w:ind w:firstLine="420" w:firstLineChars="200"/>
              <w:rPr>
                <w:rFonts w:ascii="仿宋_GB2312" w:eastAsia="仿宋_GB2312"/>
                <w:color w:val="auto"/>
                <w:highlight w:val="none"/>
              </w:rPr>
            </w:pPr>
            <w:r>
              <w:rPr>
                <w:rFonts w:hint="eastAsia" w:ascii="仿宋_GB2312" w:eastAsia="仿宋_GB2312"/>
                <w:color w:val="auto"/>
                <w:highlight w:val="none"/>
              </w:rPr>
              <w:t>符合《政府采购促进中小企业发展管理办法》（财库〔2020〕46号）规定条件且出具该办法规定的《中小企业声明函》的小型和微型企业参与报价，对其报价给予20%的扣除。监狱企业、残疾人福利性企业视同小微型企业，不重复享受政策。</w:t>
            </w:r>
          </w:p>
          <w:p w14:paraId="230E404C">
            <w:pPr>
              <w:spacing w:line="400" w:lineRule="exact"/>
              <w:ind w:firstLine="420" w:firstLineChars="200"/>
              <w:rPr>
                <w:rFonts w:ascii="仿宋_GB2312" w:eastAsia="仿宋_GB2312"/>
                <w:color w:val="auto"/>
                <w:highlight w:val="none"/>
              </w:rPr>
            </w:pPr>
            <w:r>
              <w:rPr>
                <w:rFonts w:hint="eastAsia" w:ascii="仿宋_GB2312" w:eastAsia="仿宋_GB2312"/>
                <w:color w:val="auto"/>
                <w:highlight w:val="none"/>
              </w:rPr>
              <w:t>4.本国产品价格折扣：</w:t>
            </w:r>
          </w:p>
          <w:p w14:paraId="0526693F">
            <w:pPr>
              <w:spacing w:line="400" w:lineRule="exact"/>
              <w:ind w:firstLine="420" w:firstLineChars="200"/>
              <w:rPr>
                <w:rFonts w:ascii="仿宋_GB2312" w:eastAsia="仿宋_GB2312"/>
                <w:color w:val="auto"/>
                <w:highlight w:val="none"/>
              </w:rPr>
            </w:pPr>
            <w:r>
              <w:rPr>
                <w:rFonts w:hint="eastAsia" w:ascii="仿宋_GB2312" w:eastAsia="仿宋_GB2312"/>
                <w:color w:val="auto"/>
                <w:highlight w:val="none"/>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71616402">
            <w:pPr>
              <w:spacing w:line="400" w:lineRule="exact"/>
              <w:ind w:firstLine="420" w:firstLineChars="200"/>
              <w:rPr>
                <w:rFonts w:ascii="仿宋_GB2312" w:eastAsia="仿宋_GB2312"/>
                <w:color w:val="auto"/>
                <w:highlight w:val="none"/>
              </w:rPr>
            </w:pPr>
            <w:r>
              <w:rPr>
                <w:rFonts w:hint="eastAsia" w:ascii="仿宋_GB2312" w:eastAsia="仿宋_GB2312"/>
                <w:color w:val="auto"/>
                <w:highlight w:val="none"/>
              </w:rPr>
              <w:t>（2）当采购项目中含有多种产品，投标人为该采购项目提供的符合本国产品标准的产品成本之和应占该投标人提供的全部产品成本之和的比例达到80%以上，方可依法享受本国产品价格扣除。</w:t>
            </w:r>
          </w:p>
          <w:p w14:paraId="0A5A5E6C">
            <w:pPr>
              <w:spacing w:line="400" w:lineRule="exact"/>
              <w:ind w:firstLine="420" w:firstLineChars="200"/>
              <w:rPr>
                <w:rFonts w:ascii="仿宋_GB2312" w:eastAsia="仿宋_GB2312"/>
                <w:color w:val="auto"/>
                <w:highlight w:val="none"/>
              </w:rPr>
            </w:pPr>
            <w:r>
              <w:rPr>
                <w:rFonts w:hint="eastAsia" w:ascii="仿宋_GB2312" w:eastAsia="仿宋_GB2312"/>
                <w:color w:val="auto"/>
                <w:highlight w:val="none"/>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1EC901A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仿宋_GB2312" w:hAnsi="仿宋_GB2312" w:eastAsia="仿宋_GB2312" w:cs="仿宋_GB2312"/>
                <w:b/>
                <w:color w:val="auto"/>
                <w:highlight w:val="none"/>
              </w:rPr>
            </w:pPr>
            <w:r>
              <w:rPr>
                <w:rFonts w:hint="eastAsia" w:ascii="仿宋_GB2312" w:eastAsia="仿宋_GB2312"/>
                <w:color w:val="auto"/>
                <w:highlight w:val="none"/>
              </w:rPr>
              <w:t>5.政策性扣除计算方法：评标价=投标人投标报价×（1-小微企业政策扣除比例-本国产品政策扣除比例），除上述政策性扣除情况外，评标价=投标人投标报价。</w:t>
            </w:r>
          </w:p>
        </w:tc>
        <w:tc>
          <w:tcPr>
            <w:tcW w:w="838" w:type="dxa"/>
            <w:vAlign w:val="center"/>
          </w:tcPr>
          <w:p w14:paraId="29AD995D">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strike/>
                <w:color w:val="auto"/>
                <w:highlight w:val="none"/>
              </w:rPr>
            </w:pPr>
            <w:r>
              <w:rPr>
                <w:rFonts w:ascii="仿宋_GB2312" w:hAnsi="仿宋_GB2312" w:eastAsia="仿宋_GB2312" w:cs="仿宋_GB2312"/>
                <w:b/>
                <w:bCs/>
                <w:color w:val="auto"/>
                <w:highlight w:val="none"/>
              </w:rPr>
              <w:t>30</w:t>
            </w:r>
          </w:p>
        </w:tc>
        <w:tc>
          <w:tcPr>
            <w:tcW w:w="1402" w:type="dxa"/>
            <w:vAlign w:val="center"/>
          </w:tcPr>
          <w:p w14:paraId="5D76610C">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bCs/>
                <w:color w:val="auto"/>
                <w:highlight w:val="none"/>
              </w:rPr>
            </w:pPr>
          </w:p>
        </w:tc>
      </w:tr>
      <w:tr w14:paraId="7041F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7" w:hRule="atLeast"/>
        </w:trPr>
        <w:tc>
          <w:tcPr>
            <w:tcW w:w="983" w:type="dxa"/>
            <w:vAlign w:val="center"/>
          </w:tcPr>
          <w:p w14:paraId="472FAD0D">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信誉分</w:t>
            </w:r>
          </w:p>
        </w:tc>
        <w:tc>
          <w:tcPr>
            <w:tcW w:w="1087" w:type="dxa"/>
            <w:tcBorders>
              <w:bottom w:val="single" w:color="auto" w:sz="4" w:space="0"/>
            </w:tcBorders>
            <w:vAlign w:val="center"/>
          </w:tcPr>
          <w:p w14:paraId="0A3641DB">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体系认证</w:t>
            </w:r>
          </w:p>
        </w:tc>
        <w:tc>
          <w:tcPr>
            <w:tcW w:w="6000" w:type="dxa"/>
            <w:tcBorders>
              <w:bottom w:val="single" w:color="auto" w:sz="4" w:space="0"/>
            </w:tcBorders>
            <w:vAlign w:val="center"/>
          </w:tcPr>
          <w:p w14:paraId="33D5B432">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仿宋_GB2312" w:eastAsia="仿宋_GB2312"/>
                <w:color w:val="auto"/>
                <w:szCs w:val="21"/>
                <w:highlight w:val="none"/>
              </w:rPr>
            </w:pPr>
            <w:r>
              <w:rPr>
                <w:rFonts w:hint="eastAsia" w:ascii="仿宋_GB2312" w:eastAsia="仿宋_GB2312"/>
                <w:color w:val="auto"/>
                <w:highlight w:val="none"/>
              </w:rPr>
              <w:t>1.投标人或</w:t>
            </w:r>
            <w:r>
              <w:rPr>
                <w:rFonts w:hint="eastAsia" w:ascii="仿宋_GB2312" w:hAnsi="仿宋_GB2312" w:eastAsia="仿宋_GB2312" w:cs="仿宋_GB2312"/>
                <w:color w:val="auto"/>
                <w:highlight w:val="none"/>
              </w:rPr>
              <w:t>投标核心产品</w:t>
            </w:r>
            <w:r>
              <w:rPr>
                <w:rFonts w:hint="eastAsia" w:ascii="仿宋_GB2312" w:eastAsia="仿宋_GB2312"/>
                <w:color w:val="auto"/>
                <w:highlight w:val="none"/>
              </w:rPr>
              <w:t>生产厂商具备有效的质量管理体系认证证书得1分，满分1分。</w:t>
            </w:r>
          </w:p>
          <w:p w14:paraId="53ABE0BB">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仿宋_GB2312" w:eastAsia="仿宋_GB2312"/>
                <w:color w:val="auto"/>
                <w:highlight w:val="none"/>
              </w:rPr>
            </w:pPr>
            <w:r>
              <w:rPr>
                <w:rFonts w:hint="eastAsia" w:ascii="仿宋_GB2312" w:eastAsia="仿宋_GB2312"/>
                <w:color w:val="auto"/>
                <w:highlight w:val="none"/>
              </w:rPr>
              <w:t>2.投标人或</w:t>
            </w:r>
            <w:r>
              <w:rPr>
                <w:rFonts w:hint="eastAsia" w:ascii="仿宋_GB2312" w:hAnsi="仿宋_GB2312" w:eastAsia="仿宋_GB2312" w:cs="仿宋_GB2312"/>
                <w:color w:val="auto"/>
                <w:highlight w:val="none"/>
              </w:rPr>
              <w:t>投标核心产品</w:t>
            </w:r>
            <w:r>
              <w:rPr>
                <w:rFonts w:hint="eastAsia" w:ascii="仿宋_GB2312" w:eastAsia="仿宋_GB2312"/>
                <w:color w:val="auto"/>
                <w:highlight w:val="none"/>
              </w:rPr>
              <w:t>生产厂商具备有效的环境管理体系认证证书得1分，满分1分。</w:t>
            </w:r>
          </w:p>
          <w:p w14:paraId="174FC35A">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仿宋_GB2312" w:eastAsia="仿宋_GB2312"/>
                <w:color w:val="auto"/>
                <w:highlight w:val="none"/>
              </w:rPr>
            </w:pPr>
            <w:r>
              <w:rPr>
                <w:rFonts w:hint="eastAsia" w:ascii="仿宋_GB2312" w:eastAsia="仿宋_GB2312"/>
                <w:color w:val="auto"/>
                <w:highlight w:val="none"/>
              </w:rPr>
              <w:t>3.</w:t>
            </w:r>
            <w:bookmarkStart w:id="71" w:name="OLE_LINK18"/>
            <w:bookmarkStart w:id="72" w:name="OLE_LINK17"/>
            <w:r>
              <w:rPr>
                <w:rFonts w:hint="eastAsia" w:ascii="仿宋_GB2312" w:eastAsia="仿宋_GB2312"/>
                <w:color w:val="auto"/>
                <w:highlight w:val="none"/>
              </w:rPr>
              <w:t>投标人或</w:t>
            </w:r>
            <w:r>
              <w:rPr>
                <w:rFonts w:hint="eastAsia" w:ascii="仿宋_GB2312" w:hAnsi="仿宋_GB2312" w:eastAsia="仿宋_GB2312" w:cs="仿宋_GB2312"/>
                <w:color w:val="auto"/>
                <w:highlight w:val="none"/>
              </w:rPr>
              <w:t>投标核心产品</w:t>
            </w:r>
            <w:r>
              <w:rPr>
                <w:rFonts w:hint="eastAsia" w:ascii="仿宋_GB2312" w:eastAsia="仿宋_GB2312"/>
                <w:color w:val="auto"/>
                <w:highlight w:val="none"/>
              </w:rPr>
              <w:t>生产厂商具备有效的</w:t>
            </w:r>
            <w:bookmarkEnd w:id="71"/>
            <w:bookmarkEnd w:id="72"/>
            <w:r>
              <w:rPr>
                <w:rFonts w:hint="eastAsia" w:ascii="仿宋_GB2312" w:eastAsia="仿宋_GB2312"/>
                <w:color w:val="auto"/>
                <w:highlight w:val="none"/>
              </w:rPr>
              <w:t>职业健康安全管理体系认证证书得1分，满分1分。</w:t>
            </w:r>
          </w:p>
          <w:p w14:paraId="0886BA1D">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color w:val="auto"/>
                <w:highlight w:val="none"/>
              </w:rPr>
            </w:pPr>
            <w:r>
              <w:rPr>
                <w:rFonts w:hint="eastAsia" w:ascii="仿宋_GB2312" w:hAnsi="仿宋_GB2312" w:eastAsia="仿宋_GB2312" w:cs="仿宋_GB2312"/>
                <w:b/>
                <w:color w:val="auto"/>
                <w:highlight w:val="none"/>
              </w:rPr>
              <w:t>注：投标人提供证书材料并加盖投标人CA电子签章，否则不予计分。</w:t>
            </w:r>
          </w:p>
        </w:tc>
        <w:tc>
          <w:tcPr>
            <w:tcW w:w="838" w:type="dxa"/>
            <w:tcBorders>
              <w:bottom w:val="single" w:color="auto" w:sz="4" w:space="0"/>
            </w:tcBorders>
            <w:vAlign w:val="center"/>
          </w:tcPr>
          <w:p w14:paraId="026D1CD1">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bCs/>
                <w:color w:val="auto"/>
                <w:highlight w:val="none"/>
              </w:rPr>
            </w:pPr>
            <w:r>
              <w:rPr>
                <w:rFonts w:ascii="仿宋_GB2312" w:hAnsi="仿宋_GB2312" w:eastAsia="仿宋_GB2312" w:cs="仿宋_GB2312"/>
                <w:b/>
                <w:bCs/>
                <w:color w:val="auto"/>
                <w:highlight w:val="none"/>
              </w:rPr>
              <w:t>3</w:t>
            </w:r>
          </w:p>
        </w:tc>
        <w:tc>
          <w:tcPr>
            <w:tcW w:w="1402" w:type="dxa"/>
            <w:tcBorders>
              <w:bottom w:val="single" w:color="auto" w:sz="4" w:space="0"/>
            </w:tcBorders>
            <w:vAlign w:val="center"/>
          </w:tcPr>
          <w:p w14:paraId="2E1A60EE">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相关认证证书材料</w:t>
            </w:r>
          </w:p>
        </w:tc>
      </w:tr>
      <w:tr w14:paraId="17416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9" w:hRule="atLeast"/>
        </w:trPr>
        <w:tc>
          <w:tcPr>
            <w:tcW w:w="983" w:type="dxa"/>
            <w:vAlign w:val="center"/>
          </w:tcPr>
          <w:p w14:paraId="26C0B3D4">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宋体" w:eastAsia="仿宋_GB2312"/>
                <w:b/>
                <w:color w:val="auto"/>
                <w:highlight w:val="none"/>
              </w:rPr>
              <w:t>政策功能分</w:t>
            </w:r>
          </w:p>
        </w:tc>
        <w:tc>
          <w:tcPr>
            <w:tcW w:w="1087" w:type="dxa"/>
            <w:vAlign w:val="center"/>
          </w:tcPr>
          <w:p w14:paraId="0BDF7E9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宋体" w:eastAsia="仿宋_GB2312"/>
                <w:b/>
                <w:color w:val="auto"/>
                <w:highlight w:val="none"/>
              </w:rPr>
              <w:t>政策功能</w:t>
            </w:r>
          </w:p>
        </w:tc>
        <w:tc>
          <w:tcPr>
            <w:tcW w:w="6000" w:type="dxa"/>
            <w:vAlign w:val="center"/>
          </w:tcPr>
          <w:p w14:paraId="3A6F01C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仿宋_GB2312" w:hAnsi="仿宋_GB2312" w:eastAsia="仿宋_GB2312" w:cs="仿宋_GB2312"/>
                <w:color w:val="auto"/>
                <w:highlight w:val="none"/>
              </w:rPr>
            </w:pPr>
            <w:r>
              <w:rPr>
                <w:rFonts w:hint="eastAsia" w:ascii="仿宋_GB2312" w:hAnsi="仿宋_GB2312" w:eastAsia="仿宋_GB2312" w:cs="仿宋_GB2312"/>
                <w:color w:val="auto"/>
                <w:szCs w:val="21"/>
                <w:highlight w:val="none"/>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每有一项产品得1分，满分</w:t>
            </w:r>
            <w:r>
              <w:rPr>
                <w:rFonts w:ascii="仿宋_GB2312" w:hAnsi="仿宋_GB2312" w:eastAsia="仿宋_GB2312" w:cs="仿宋_GB2312"/>
                <w:color w:val="auto"/>
                <w:szCs w:val="21"/>
                <w:highlight w:val="none"/>
              </w:rPr>
              <w:t>1</w:t>
            </w:r>
            <w:r>
              <w:rPr>
                <w:rFonts w:hint="eastAsia" w:ascii="仿宋_GB2312" w:hAnsi="仿宋_GB2312" w:eastAsia="仿宋_GB2312" w:cs="仿宋_GB2312"/>
                <w:color w:val="auto"/>
                <w:szCs w:val="21"/>
                <w:highlight w:val="none"/>
              </w:rPr>
              <w:t>分。</w:t>
            </w:r>
          </w:p>
        </w:tc>
        <w:tc>
          <w:tcPr>
            <w:tcW w:w="838" w:type="dxa"/>
            <w:vAlign w:val="center"/>
          </w:tcPr>
          <w:p w14:paraId="34D48F52">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bCs/>
                <w:color w:val="auto"/>
                <w:highlight w:val="none"/>
              </w:rPr>
            </w:pPr>
            <w:r>
              <w:rPr>
                <w:rFonts w:ascii="仿宋_GB2312" w:hAnsi="仿宋_GB2312" w:eastAsia="仿宋_GB2312" w:cs="仿宋_GB2312"/>
                <w:b/>
                <w:bCs/>
                <w:color w:val="auto"/>
                <w:highlight w:val="none"/>
              </w:rPr>
              <w:t>1</w:t>
            </w:r>
          </w:p>
        </w:tc>
        <w:tc>
          <w:tcPr>
            <w:tcW w:w="1402" w:type="dxa"/>
            <w:vAlign w:val="center"/>
          </w:tcPr>
          <w:p w14:paraId="6A7D9376">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相关证明材料</w:t>
            </w:r>
          </w:p>
        </w:tc>
      </w:tr>
      <w:tr w14:paraId="10EB0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3" w:type="dxa"/>
            <w:vAlign w:val="center"/>
          </w:tcPr>
          <w:p w14:paraId="51860614">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技术参数分</w:t>
            </w:r>
          </w:p>
        </w:tc>
        <w:tc>
          <w:tcPr>
            <w:tcW w:w="1087" w:type="dxa"/>
            <w:vAlign w:val="center"/>
          </w:tcPr>
          <w:p w14:paraId="02C6DCA9">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一般技术参数</w:t>
            </w:r>
          </w:p>
        </w:tc>
        <w:tc>
          <w:tcPr>
            <w:tcW w:w="6000" w:type="dxa"/>
            <w:vAlign w:val="center"/>
          </w:tcPr>
          <w:p w14:paraId="718C97C0">
            <w:pPr>
              <w:spacing w:line="400" w:lineRule="exact"/>
              <w:ind w:firstLine="420" w:firstLineChars="200"/>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所投产品标记“◆”符号带下划线“</w:t>
            </w:r>
            <w:r>
              <w:rPr>
                <w:rFonts w:hint="eastAsia" w:ascii="仿宋_GB2312" w:hAnsi="仿宋_GB2312" w:eastAsia="仿宋_GB2312" w:cs="仿宋_GB2312"/>
                <w:color w:val="auto"/>
                <w:highlight w:val="none"/>
                <w:u w:val="wave"/>
                <w:lang w:val="en-US" w:eastAsia="zh-CN"/>
              </w:rPr>
              <w:t xml:space="preserve">    </w:t>
            </w:r>
            <w:r>
              <w:rPr>
                <w:rFonts w:hint="eastAsia" w:ascii="仿宋_GB2312" w:hAnsi="仿宋_GB2312" w:eastAsia="仿宋_GB2312" w:cs="仿宋_GB2312"/>
                <w:color w:val="auto"/>
                <w:highlight w:val="none"/>
                <w:lang w:val="en-US" w:eastAsia="zh-CN"/>
              </w:rPr>
              <w:t>”的技术参数优于采购需求的，每有一项的得3分（如一项“◆”技术参数有多个下划线“</w:t>
            </w:r>
            <w:r>
              <w:rPr>
                <w:rFonts w:hint="eastAsia" w:ascii="仿宋_GB2312" w:hAnsi="仿宋_GB2312" w:eastAsia="仿宋_GB2312" w:cs="仿宋_GB2312"/>
                <w:color w:val="auto"/>
                <w:highlight w:val="none"/>
                <w:u w:val="wave"/>
                <w:lang w:val="en-US" w:eastAsia="zh-CN"/>
              </w:rPr>
              <w:t xml:space="preserve">    </w:t>
            </w:r>
            <w:r>
              <w:rPr>
                <w:rFonts w:hint="eastAsia" w:ascii="仿宋_GB2312" w:hAnsi="仿宋_GB2312" w:eastAsia="仿宋_GB2312" w:cs="仿宋_GB2312"/>
                <w:color w:val="auto"/>
                <w:highlight w:val="none"/>
                <w:lang w:val="en-US" w:eastAsia="zh-CN"/>
              </w:rPr>
              <w:t>”参数，优于其中一个参数即可），满分15分。</w:t>
            </w:r>
          </w:p>
          <w:p w14:paraId="4712FB79">
            <w:pPr>
              <w:spacing w:line="400" w:lineRule="exact"/>
              <w:ind w:firstLine="422" w:firstLineChars="200"/>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注：1.标记“◆”符号的技术参数为一项;</w:t>
            </w:r>
          </w:p>
          <w:p w14:paraId="21066AB8">
            <w:pPr>
              <w:spacing w:line="400" w:lineRule="exact"/>
              <w:ind w:firstLine="422" w:firstLineChars="200"/>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2.标记“◆”带“</w:t>
            </w:r>
            <w:r>
              <w:rPr>
                <w:rFonts w:hint="eastAsia" w:ascii="仿宋_GB2312" w:hAnsi="仿宋_GB2312" w:eastAsia="仿宋_GB2312" w:cs="仿宋_GB2312"/>
                <w:color w:val="auto"/>
                <w:highlight w:val="none"/>
                <w:u w:val="wave"/>
                <w:lang w:val="en-US" w:eastAsia="zh-CN"/>
              </w:rPr>
              <w:t xml:space="preserve">    </w:t>
            </w:r>
            <w:r>
              <w:rPr>
                <w:rFonts w:hint="eastAsia" w:ascii="仿宋_GB2312" w:hAnsi="仿宋_GB2312" w:eastAsia="仿宋_GB2312" w:cs="仿宋_GB2312"/>
                <w:b/>
                <w:bCs/>
                <w:color w:val="auto"/>
                <w:highlight w:val="none"/>
                <w:lang w:val="en-US" w:eastAsia="zh-CN"/>
              </w:rPr>
              <w:t>”参数中：≥XX的技术参数，投标人响应的参数仅等于XX的为无偏离，＞XX为正偏离（优于）；≤XX的技术参数，投标人响应的参数仅等于XX的为无偏离，＜XX为正偏离（优于）；</w:t>
            </w:r>
          </w:p>
          <w:p w14:paraId="2CAA7D39">
            <w:pPr>
              <w:keepNext w:val="0"/>
              <w:keepLines w:val="0"/>
              <w:pageBreakBefore w:val="0"/>
              <w:kinsoku/>
              <w:wordWrap/>
              <w:overflowPunct/>
              <w:topLinePunct w:val="0"/>
              <w:autoSpaceDE/>
              <w:autoSpaceDN/>
              <w:bidi w:val="0"/>
              <w:adjustRightInd/>
              <w:snapToGrid/>
              <w:spacing w:line="400" w:lineRule="exact"/>
              <w:ind w:firstLine="422" w:firstLineChars="200"/>
              <w:jc w:val="left"/>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lang w:val="en-US" w:eastAsia="zh-CN"/>
              </w:rPr>
              <w:t>3.</w:t>
            </w:r>
            <w:bookmarkStart w:id="73" w:name="OLE_LINK11"/>
            <w:r>
              <w:rPr>
                <w:rFonts w:hint="eastAsia" w:ascii="仿宋_GB2312" w:hAnsi="仿宋_GB2312" w:eastAsia="仿宋_GB2312" w:cs="仿宋_GB2312"/>
                <w:b/>
                <w:bCs/>
                <w:color w:val="auto"/>
                <w:highlight w:val="none"/>
                <w:lang w:val="en-US" w:eastAsia="zh-CN"/>
              </w:rPr>
              <w:t>标记“◆”带“</w:t>
            </w:r>
            <w:r>
              <w:rPr>
                <w:rFonts w:hint="eastAsia" w:ascii="仿宋_GB2312" w:hAnsi="仿宋_GB2312" w:eastAsia="仿宋_GB2312" w:cs="仿宋_GB2312"/>
                <w:color w:val="auto"/>
                <w:highlight w:val="none"/>
                <w:u w:val="wave"/>
                <w:lang w:val="en-US" w:eastAsia="zh-CN"/>
              </w:rPr>
              <w:t xml:space="preserve">    </w:t>
            </w:r>
            <w:r>
              <w:rPr>
                <w:rFonts w:hint="eastAsia" w:ascii="仿宋_GB2312" w:hAnsi="仿宋_GB2312" w:eastAsia="仿宋_GB2312" w:cs="仿宋_GB2312"/>
                <w:b/>
                <w:bCs/>
                <w:color w:val="auto"/>
                <w:highlight w:val="none"/>
                <w:lang w:val="en-US" w:eastAsia="zh-CN"/>
              </w:rPr>
              <w:t>”</w:t>
            </w:r>
            <w:bookmarkEnd w:id="73"/>
            <w:r>
              <w:rPr>
                <w:rFonts w:hint="eastAsia" w:ascii="仿宋_GB2312" w:hAnsi="仿宋_GB2312" w:eastAsia="仿宋_GB2312" w:cs="仿宋_GB2312"/>
                <w:b/>
                <w:bCs/>
                <w:color w:val="auto"/>
                <w:highlight w:val="none"/>
                <w:lang w:val="en-US" w:eastAsia="zh-CN"/>
              </w:rPr>
              <w:t>参数中内容优于采购需求的，投标人提供证明材料，证明材料可以是检测（检验）报告、彩页、官网或功能截图等任意一种，并加盖投标人CA电子签章，所提供的证明材料应体现标记“◆”带“</w:t>
            </w:r>
            <w:r>
              <w:rPr>
                <w:rFonts w:hint="eastAsia" w:ascii="仿宋_GB2312" w:hAnsi="仿宋_GB2312" w:eastAsia="仿宋_GB2312" w:cs="仿宋_GB2312"/>
                <w:color w:val="auto"/>
                <w:highlight w:val="none"/>
                <w:u w:val="wave"/>
                <w:lang w:val="en-US" w:eastAsia="zh-CN"/>
              </w:rPr>
              <w:t xml:space="preserve">    </w:t>
            </w:r>
            <w:r>
              <w:rPr>
                <w:rFonts w:hint="eastAsia" w:ascii="仿宋_GB2312" w:hAnsi="仿宋_GB2312" w:eastAsia="仿宋_GB2312" w:cs="仿宋_GB2312"/>
                <w:b/>
                <w:bCs/>
                <w:color w:val="auto"/>
                <w:highlight w:val="none"/>
                <w:lang w:val="en-US" w:eastAsia="zh-CN"/>
              </w:rPr>
              <w:t>”技术参数中优于部分的内容，如未提供证明材料，或提供的证明材料内容无优于的,对应项不予计分。</w:t>
            </w:r>
            <w:r>
              <w:rPr>
                <w:rFonts w:ascii="仿宋_GB2312" w:hAnsi="仿宋_GB2312" w:eastAsia="仿宋_GB2312" w:cs="仿宋_GB2312"/>
                <w:color w:val="auto"/>
                <w:szCs w:val="21"/>
                <w:highlight w:val="none"/>
              </w:rPr>
              <w:t xml:space="preserve">               </w:t>
            </w:r>
            <w:r>
              <w:rPr>
                <w:rFonts w:ascii="仿宋_GB2312" w:hAnsi="仿宋_GB2312" w:eastAsia="仿宋_GB2312" w:cs="仿宋_GB2312"/>
                <w:color w:val="auto"/>
                <w:highlight w:val="none"/>
              </w:rPr>
              <w:t xml:space="preserve">      </w:t>
            </w:r>
            <w:r>
              <w:rPr>
                <w:rFonts w:hint="eastAsia"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t xml:space="preserve">                                               </w:t>
            </w:r>
          </w:p>
        </w:tc>
        <w:tc>
          <w:tcPr>
            <w:tcW w:w="838" w:type="dxa"/>
            <w:vAlign w:val="center"/>
          </w:tcPr>
          <w:p w14:paraId="3EFF193C">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strike/>
                <w:color w:val="auto"/>
                <w:highlight w:val="none"/>
                <w:lang w:val="en-US" w:eastAsia="zh-CN"/>
              </w:rPr>
            </w:pPr>
            <w:r>
              <w:rPr>
                <w:rFonts w:hint="eastAsia" w:ascii="仿宋_GB2312" w:hAnsi="仿宋_GB2312" w:eastAsia="仿宋_GB2312" w:cs="仿宋_GB2312"/>
                <w:b/>
                <w:bCs/>
                <w:color w:val="auto"/>
                <w:highlight w:val="none"/>
                <w:lang w:val="en-US" w:eastAsia="zh-CN"/>
              </w:rPr>
              <w:t>15</w:t>
            </w:r>
          </w:p>
        </w:tc>
        <w:tc>
          <w:tcPr>
            <w:tcW w:w="1402" w:type="dxa"/>
            <w:vAlign w:val="center"/>
          </w:tcPr>
          <w:p w14:paraId="123F32A5">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技术响应表及相关证明材料</w:t>
            </w:r>
          </w:p>
        </w:tc>
      </w:tr>
      <w:tr w14:paraId="1B52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070" w:type="dxa"/>
            <w:gridSpan w:val="3"/>
            <w:vAlign w:val="center"/>
          </w:tcPr>
          <w:p w14:paraId="636F1F5B">
            <w:pPr>
              <w:pStyle w:val="317"/>
              <w:keepNext w:val="0"/>
              <w:keepLines w:val="0"/>
              <w:pageBreakBefore w:val="0"/>
              <w:tabs>
                <w:tab w:val="left" w:pos="312"/>
              </w:tabs>
              <w:kinsoku/>
              <w:wordWrap/>
              <w:overflowPunct/>
              <w:topLinePunct w:val="0"/>
              <w:autoSpaceDE/>
              <w:autoSpaceDN/>
              <w:bidi w:val="0"/>
              <w:adjustRightInd/>
              <w:snapToGrid/>
              <w:spacing w:line="400" w:lineRule="exact"/>
              <w:ind w:firstLine="422" w:firstLineChars="200"/>
              <w:jc w:val="center"/>
              <w:textAlignment w:val="auto"/>
              <w:rPr>
                <w:rFonts w:ascii="仿宋_GB2312" w:hAnsi="仿宋_GB2312" w:eastAsia="仿宋_GB2312" w:cs="仿宋_GB2312"/>
                <w:color w:val="auto"/>
                <w:szCs w:val="24"/>
                <w:highlight w:val="none"/>
              </w:rPr>
            </w:pPr>
            <w:r>
              <w:rPr>
                <w:rFonts w:hint="eastAsia" w:ascii="仿宋_GB2312" w:hAnsi="宋体" w:eastAsia="仿宋_GB2312"/>
                <w:b/>
                <w:bCs/>
                <w:color w:val="auto"/>
                <w:highlight w:val="none"/>
              </w:rPr>
              <w:t>客观分总分</w:t>
            </w:r>
          </w:p>
        </w:tc>
        <w:tc>
          <w:tcPr>
            <w:tcW w:w="838" w:type="dxa"/>
            <w:vAlign w:val="center"/>
          </w:tcPr>
          <w:p w14:paraId="64BDF4EE">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strike/>
                <w:color w:val="auto"/>
                <w:highlight w:val="none"/>
                <w:lang w:val="en-US" w:eastAsia="zh-CN"/>
              </w:rPr>
            </w:pPr>
            <w:r>
              <w:rPr>
                <w:rFonts w:hint="eastAsia" w:ascii="仿宋_GB2312" w:hAnsi="仿宋_GB2312" w:eastAsia="仿宋_GB2312" w:cs="仿宋_GB2312"/>
                <w:b/>
                <w:bCs/>
                <w:color w:val="auto"/>
                <w:highlight w:val="none"/>
                <w:lang w:val="en-US" w:eastAsia="zh-CN"/>
              </w:rPr>
              <w:t>49</w:t>
            </w:r>
          </w:p>
        </w:tc>
        <w:tc>
          <w:tcPr>
            <w:tcW w:w="1402" w:type="dxa"/>
            <w:vAlign w:val="center"/>
          </w:tcPr>
          <w:p w14:paraId="7290B0B8">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color w:val="auto"/>
                <w:highlight w:val="none"/>
              </w:rPr>
            </w:pPr>
          </w:p>
        </w:tc>
      </w:tr>
    </w:tbl>
    <w:p w14:paraId="0687426E">
      <w:pPr>
        <w:rPr>
          <w:color w:val="auto"/>
          <w:highlight w:val="none"/>
        </w:rPr>
      </w:pPr>
    </w:p>
    <w:tbl>
      <w:tblPr>
        <w:tblStyle w:val="319"/>
        <w:tblpPr w:leftFromText="180" w:rightFromText="180" w:vertAnchor="text" w:horzAnchor="page" w:tblpX="661"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090"/>
        <w:gridCol w:w="6196"/>
        <w:gridCol w:w="737"/>
        <w:gridCol w:w="1443"/>
      </w:tblGrid>
      <w:tr w14:paraId="088B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315" w:type="dxa"/>
            <w:gridSpan w:val="5"/>
            <w:shd w:val="clear" w:color="auto" w:fill="D7D7D7"/>
            <w:noWrap w:val="0"/>
            <w:vAlign w:val="center"/>
          </w:tcPr>
          <w:p w14:paraId="253F4C09">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auto"/>
                <w:highlight w:val="none"/>
                <w:lang w:val="en-US" w:eastAsia="zh-CN"/>
              </w:rPr>
            </w:pPr>
            <w:r>
              <w:rPr>
                <w:rFonts w:hint="eastAsia" w:ascii="仿宋_GB2312" w:eastAsia="仿宋_GB2312"/>
                <w:b/>
                <w:color w:val="auto"/>
                <w:sz w:val="32"/>
                <w:highlight w:val="none"/>
              </w:rPr>
              <w:t>主观分</w:t>
            </w:r>
          </w:p>
        </w:tc>
      </w:tr>
      <w:tr w14:paraId="18B6C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49" w:type="dxa"/>
            <w:noWrap w:val="0"/>
            <w:vAlign w:val="center"/>
          </w:tcPr>
          <w:p w14:paraId="270CB6CD">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1090" w:type="dxa"/>
            <w:noWrap w:val="0"/>
            <w:vAlign w:val="center"/>
          </w:tcPr>
          <w:p w14:paraId="0E6A1F76">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6196" w:type="dxa"/>
            <w:noWrap w:val="0"/>
            <w:vAlign w:val="center"/>
          </w:tcPr>
          <w:p w14:paraId="6E687C82">
            <w:pPr>
              <w:keepNext w:val="0"/>
              <w:keepLines w:val="0"/>
              <w:pageBreakBefore w:val="0"/>
              <w:kinsoku/>
              <w:wordWrap/>
              <w:overflowPunct/>
              <w:topLinePunct w:val="0"/>
              <w:autoSpaceDE/>
              <w:autoSpaceDN/>
              <w:bidi w:val="0"/>
              <w:adjustRightInd/>
              <w:snapToGrid/>
              <w:spacing w:line="340" w:lineRule="exact"/>
              <w:ind w:firstLine="0" w:firstLineChars="0"/>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737" w:type="dxa"/>
            <w:noWrap w:val="0"/>
            <w:vAlign w:val="center"/>
          </w:tcPr>
          <w:p w14:paraId="14EC1B05">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443" w:type="dxa"/>
            <w:noWrap w:val="0"/>
            <w:vAlign w:val="center"/>
          </w:tcPr>
          <w:p w14:paraId="532BC0C5">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对应的投标文件格式</w:t>
            </w:r>
          </w:p>
        </w:tc>
      </w:tr>
      <w:tr w14:paraId="2B658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noWrap w:val="0"/>
            <w:vAlign w:val="center"/>
          </w:tcPr>
          <w:p w14:paraId="6ACEA55C">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项目实施方案分</w:t>
            </w:r>
          </w:p>
        </w:tc>
        <w:tc>
          <w:tcPr>
            <w:tcW w:w="1090" w:type="dxa"/>
            <w:noWrap w:val="0"/>
            <w:vAlign w:val="center"/>
          </w:tcPr>
          <w:p w14:paraId="698DB5CD">
            <w:pPr>
              <w:spacing w:line="360" w:lineRule="exact"/>
              <w:jc w:val="center"/>
              <w:rPr>
                <w:rFonts w:hint="eastAsia" w:ascii="仿宋_GB2312" w:hAnsi="仿宋_GB2312" w:eastAsia="仿宋_GB2312" w:cs="仿宋_GB2312"/>
                <w:color w:val="auto"/>
                <w:kern w:val="2"/>
                <w:sz w:val="21"/>
                <w:szCs w:val="24"/>
                <w:highlight w:val="none"/>
                <w:lang w:val="en-US" w:eastAsia="zh-CN" w:bidi="ar-SA"/>
              </w:rPr>
            </w:pPr>
            <w:r>
              <w:rPr>
                <w:rFonts w:hint="eastAsia" w:ascii="仿宋_GB2312" w:hAnsi="仿宋_GB2312" w:eastAsia="仿宋_GB2312" w:cs="仿宋_GB2312"/>
                <w:b/>
                <w:bCs/>
                <w:color w:val="auto"/>
                <w:szCs w:val="24"/>
                <w:highlight w:val="none"/>
                <w:lang w:eastAsia="zh-CN"/>
              </w:rPr>
              <w:t>项目实施组织</w:t>
            </w:r>
            <w:r>
              <w:rPr>
                <w:rFonts w:hint="eastAsia" w:ascii="仿宋_GB2312" w:hAnsi="仿宋_GB2312" w:eastAsia="仿宋_GB2312" w:cs="仿宋_GB2312"/>
                <w:b/>
                <w:bCs/>
                <w:color w:val="auto"/>
                <w:szCs w:val="24"/>
                <w:highlight w:val="none"/>
                <w:lang w:val="en-US" w:eastAsia="zh-CN"/>
              </w:rPr>
              <w:t>结</w:t>
            </w:r>
            <w:r>
              <w:rPr>
                <w:rFonts w:hint="eastAsia" w:ascii="仿宋_GB2312" w:hAnsi="仿宋_GB2312" w:eastAsia="仿宋_GB2312" w:cs="仿宋_GB2312"/>
                <w:b/>
                <w:bCs/>
                <w:color w:val="auto"/>
                <w:szCs w:val="24"/>
                <w:highlight w:val="none"/>
                <w:lang w:eastAsia="zh-CN"/>
              </w:rPr>
              <w:t>构</w:t>
            </w:r>
          </w:p>
        </w:tc>
        <w:tc>
          <w:tcPr>
            <w:tcW w:w="6196" w:type="dxa"/>
            <w:noWrap w:val="0"/>
            <w:vAlign w:val="center"/>
          </w:tcPr>
          <w:p w14:paraId="187D6FC0">
            <w:pPr>
              <w:widowControl/>
              <w:spacing w:line="430" w:lineRule="exact"/>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val="en-US" w:eastAsia="zh-CN"/>
              </w:rPr>
              <w:t>15</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Cs/>
                <w:color w:val="auto"/>
                <w:highlight w:val="none"/>
              </w:rPr>
              <w:t>方案完全贴合本项目采购需求，内容详实、逻辑严谨、落地性极强。完整细化项目全套实施流程，各环节衔接紧密、考虑周全；配置项目</w:t>
            </w:r>
            <w:r>
              <w:rPr>
                <w:rFonts w:hint="eastAsia" w:ascii="仿宋_GB2312" w:hAnsi="仿宋_GB2312" w:eastAsia="仿宋_GB2312" w:cs="仿宋_GB2312"/>
                <w:b/>
                <w:bCs w:val="0"/>
                <w:color w:val="auto"/>
                <w:highlight w:val="none"/>
              </w:rPr>
              <w:t>管理人员≥3人</w:t>
            </w:r>
            <w:r>
              <w:rPr>
                <w:rFonts w:hint="eastAsia" w:ascii="仿宋_GB2312" w:hAnsi="仿宋_GB2312" w:eastAsia="仿宋_GB2312" w:cs="仿宋_GB2312"/>
                <w:bCs/>
                <w:color w:val="auto"/>
                <w:highlight w:val="none"/>
              </w:rPr>
              <w:t>，组织机构架构清晰、岗位职责全覆盖、分工精准到人；可精准预判设备安装、系统试运行、正式运行全流程各类风险，针对各类风险分别制定专属应对预案、问题处置方案，预案可落地、可执行；项目管控体系完善，进度、质量、安全、资料管控措施齐全；同时结合项目实际提出</w:t>
            </w:r>
            <w:r>
              <w:rPr>
                <w:rFonts w:hint="eastAsia" w:ascii="仿宋_GB2312" w:hAnsi="仿宋_GB2312" w:eastAsia="仿宋_GB2312" w:cs="仿宋_GB2312"/>
                <w:b/>
                <w:bCs w:val="0"/>
                <w:color w:val="auto"/>
                <w:highlight w:val="none"/>
              </w:rPr>
              <w:t>1项及以上</w:t>
            </w:r>
            <w:r>
              <w:rPr>
                <w:rFonts w:hint="eastAsia" w:ascii="仿宋_GB2312" w:hAnsi="仿宋_GB2312" w:eastAsia="仿宋_GB2312" w:cs="仿宋_GB2312"/>
                <w:bCs/>
                <w:color w:val="auto"/>
                <w:highlight w:val="none"/>
              </w:rPr>
              <w:t>针对性强、可落地的建设性优化方案，能有效提升项目落地质量与运行效果。</w:t>
            </w:r>
          </w:p>
          <w:p w14:paraId="3371373A">
            <w:pPr>
              <w:widowControl/>
              <w:spacing w:line="430" w:lineRule="exact"/>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二</w:t>
            </w:r>
            <w:r>
              <w:rPr>
                <w:rFonts w:hint="eastAsia" w:ascii="仿宋_GB2312" w:hAnsi="仿宋_GB2312" w:eastAsia="仿宋_GB2312" w:cs="仿宋_GB2312"/>
                <w:b/>
                <w:bCs/>
                <w:color w:val="auto"/>
                <w:highlight w:val="none"/>
                <w:lang w:eastAsia="zh-CN"/>
              </w:rPr>
              <w:t>档</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val="en-US" w:eastAsia="zh-CN"/>
              </w:rPr>
              <w:t>9</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kern w:val="2"/>
                <w:sz w:val="21"/>
                <w:szCs w:val="24"/>
                <w:highlight w:val="none"/>
                <w:lang w:val="en-US" w:eastAsia="zh-CN" w:bidi="ar"/>
              </w:rPr>
              <w:t>方案内容完整，充分理解项目采购核心需求，设备安装调试、系统运行保障、项目服务等核心技术措施完善，具备较强实操性。</w:t>
            </w:r>
            <w:r>
              <w:rPr>
                <w:rFonts w:hint="eastAsia" w:ascii="仿宋_GB2312" w:hAnsi="仿宋_GB2312" w:eastAsia="仿宋_GB2312" w:cs="仿宋_GB2312"/>
                <w:bCs/>
                <w:color w:val="auto"/>
                <w:highlight w:val="none"/>
              </w:rPr>
              <w:t>配置项目</w:t>
            </w:r>
            <w:r>
              <w:rPr>
                <w:rFonts w:hint="eastAsia" w:ascii="仿宋_GB2312" w:hAnsi="仿宋_GB2312" w:eastAsia="仿宋_GB2312" w:cs="仿宋_GB2312"/>
                <w:b/>
                <w:bCs w:val="0"/>
                <w:color w:val="auto"/>
                <w:highlight w:val="none"/>
              </w:rPr>
              <w:t>管理人员≥</w:t>
            </w:r>
            <w:r>
              <w:rPr>
                <w:rFonts w:hint="eastAsia" w:ascii="仿宋_GB2312" w:hAnsi="仿宋_GB2312" w:eastAsia="仿宋_GB2312" w:cs="仿宋_GB2312"/>
                <w:b/>
                <w:bCs w:val="0"/>
                <w:color w:val="auto"/>
                <w:highlight w:val="none"/>
                <w:lang w:val="en-US" w:eastAsia="zh-CN"/>
              </w:rPr>
              <w:t>2</w:t>
            </w:r>
            <w:r>
              <w:rPr>
                <w:rFonts w:hint="eastAsia" w:ascii="仿宋_GB2312" w:hAnsi="仿宋_GB2312" w:eastAsia="仿宋_GB2312" w:cs="仿宋_GB2312"/>
                <w:b/>
                <w:bCs w:val="0"/>
                <w:color w:val="auto"/>
                <w:highlight w:val="none"/>
              </w:rPr>
              <w:t>人</w:t>
            </w:r>
            <w:r>
              <w:rPr>
                <w:rFonts w:hint="eastAsia" w:ascii="仿宋_GB2312" w:hAnsi="仿宋_GB2312" w:eastAsia="仿宋_GB2312" w:cs="仿宋_GB2312"/>
                <w:b/>
                <w:bCs w:val="0"/>
                <w:color w:val="auto"/>
                <w:highlight w:val="none"/>
                <w:lang w:eastAsia="zh-CN"/>
              </w:rPr>
              <w:t>，</w:t>
            </w:r>
            <w:r>
              <w:rPr>
                <w:rFonts w:hint="eastAsia" w:ascii="仿宋_GB2312" w:hAnsi="仿宋_GB2312" w:eastAsia="仿宋_GB2312" w:cs="仿宋_GB2312"/>
                <w:color w:val="auto"/>
                <w:kern w:val="2"/>
                <w:sz w:val="21"/>
                <w:szCs w:val="24"/>
                <w:highlight w:val="none"/>
                <w:lang w:val="en-US" w:eastAsia="zh-CN" w:bidi="ar"/>
              </w:rPr>
              <w:t>组织机构及岗位职责规划合理、覆盖主要工作环节，无岗位缺失；具备基础的风险识别与应对、项目管控措施，实施流程规范合理，能够全面满足项目实施各项基本需求，但无专项优化建议或优化建议可行性一般。</w:t>
            </w:r>
          </w:p>
          <w:p w14:paraId="2DF557B4">
            <w:pPr>
              <w:widowControl/>
              <w:spacing w:line="430" w:lineRule="exact"/>
              <w:ind w:firstLine="422" w:firstLineChars="200"/>
              <w:rPr>
                <w:rFonts w:hint="eastAsia" w:ascii="仿宋_GB2312" w:hAnsi="仿宋_GB2312" w:eastAsia="仿宋_GB2312" w:cs="仿宋_GB2312"/>
                <w:color w:val="auto"/>
                <w:kern w:val="2"/>
                <w:sz w:val="21"/>
                <w:szCs w:val="24"/>
                <w:highlight w:val="none"/>
                <w:lang w:val="en-US" w:eastAsia="zh-CN" w:bidi="ar"/>
              </w:rPr>
            </w:pPr>
            <w:r>
              <w:rPr>
                <w:rFonts w:hint="eastAsia" w:ascii="仿宋_GB2312" w:hAnsi="仿宋_GB2312" w:eastAsia="仿宋_GB2312" w:cs="仿宋_GB2312"/>
                <w:b/>
                <w:bCs/>
                <w:color w:val="auto"/>
                <w:highlight w:val="none"/>
              </w:rPr>
              <w:t>三</w:t>
            </w:r>
            <w:r>
              <w:rPr>
                <w:rFonts w:hint="eastAsia" w:ascii="仿宋_GB2312" w:hAnsi="仿宋_GB2312" w:eastAsia="仿宋_GB2312" w:cs="仿宋_GB2312"/>
                <w:b/>
                <w:bCs/>
                <w:color w:val="auto"/>
                <w:highlight w:val="none"/>
                <w:lang w:eastAsia="zh-CN"/>
              </w:rPr>
              <w:t>档</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kern w:val="2"/>
                <w:sz w:val="21"/>
                <w:szCs w:val="24"/>
                <w:highlight w:val="none"/>
                <w:lang w:val="en-US" w:eastAsia="zh-CN" w:bidi="ar"/>
              </w:rPr>
              <w:t>方案内容简单笼统，仅覆盖基础采购需求。</w:t>
            </w:r>
            <w:r>
              <w:rPr>
                <w:rFonts w:hint="eastAsia" w:ascii="仿宋_GB2312" w:hAnsi="仿宋_GB2312" w:eastAsia="仿宋_GB2312" w:cs="仿宋_GB2312"/>
                <w:bCs/>
                <w:color w:val="auto"/>
                <w:highlight w:val="none"/>
              </w:rPr>
              <w:t>配置项目</w:t>
            </w:r>
            <w:r>
              <w:rPr>
                <w:rFonts w:hint="eastAsia" w:ascii="仿宋_GB2312" w:hAnsi="仿宋_GB2312" w:eastAsia="仿宋_GB2312" w:cs="仿宋_GB2312"/>
                <w:b/>
                <w:bCs w:val="0"/>
                <w:color w:val="auto"/>
                <w:highlight w:val="none"/>
              </w:rPr>
              <w:t>管理人员≥</w:t>
            </w:r>
            <w:r>
              <w:rPr>
                <w:rFonts w:hint="eastAsia" w:ascii="仿宋_GB2312" w:hAnsi="仿宋_GB2312" w:eastAsia="仿宋_GB2312" w:cs="仿宋_GB2312"/>
                <w:b/>
                <w:bCs w:val="0"/>
                <w:color w:val="auto"/>
                <w:highlight w:val="none"/>
                <w:lang w:val="en-US" w:eastAsia="zh-CN"/>
              </w:rPr>
              <w:t>1</w:t>
            </w:r>
            <w:r>
              <w:rPr>
                <w:rFonts w:hint="eastAsia" w:ascii="仿宋_GB2312" w:hAnsi="仿宋_GB2312" w:eastAsia="仿宋_GB2312" w:cs="仿宋_GB2312"/>
                <w:b/>
                <w:bCs w:val="0"/>
                <w:color w:val="auto"/>
                <w:highlight w:val="none"/>
              </w:rPr>
              <w:t>人</w:t>
            </w:r>
            <w:r>
              <w:rPr>
                <w:rFonts w:hint="eastAsia" w:ascii="仿宋_GB2312" w:hAnsi="仿宋_GB2312" w:eastAsia="仿宋_GB2312" w:cs="仿宋_GB2312"/>
                <w:b/>
                <w:bCs w:val="0"/>
                <w:color w:val="auto"/>
                <w:highlight w:val="none"/>
                <w:lang w:eastAsia="zh-CN"/>
              </w:rPr>
              <w:t>，</w:t>
            </w:r>
            <w:r>
              <w:rPr>
                <w:rFonts w:hint="eastAsia" w:ascii="仿宋_GB2312" w:hAnsi="仿宋_GB2312" w:eastAsia="仿宋_GB2312" w:cs="仿宋_GB2312"/>
                <w:color w:val="auto"/>
                <w:kern w:val="2"/>
                <w:sz w:val="21"/>
                <w:szCs w:val="24"/>
                <w:highlight w:val="none"/>
                <w:lang w:val="en-US" w:eastAsia="zh-CN" w:bidi="ar"/>
              </w:rPr>
              <w:t>组织机构、岗位职责描述简略，人员配置无明确规划；设备安装调试、系统运行实施流程简化、关键环节缺失；风险识别、应对措施、项目管理内容单薄，仅能满足项目最基础实施要求。</w:t>
            </w:r>
          </w:p>
          <w:p w14:paraId="4D6E450C">
            <w:pPr>
              <w:widowControl/>
              <w:spacing w:line="430" w:lineRule="exact"/>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四档（</w:t>
            </w:r>
            <w:r>
              <w:rPr>
                <w:rFonts w:hint="eastAsia" w:ascii="仿宋_GB2312" w:hAnsi="仿宋_GB2312" w:eastAsia="仿宋_GB2312" w:cs="仿宋_GB2312"/>
                <w:b/>
                <w:bCs/>
                <w:color w:val="auto"/>
                <w:highlight w:val="none"/>
                <w:lang w:val="en-US" w:eastAsia="zh-CN"/>
              </w:rPr>
              <w:t>1</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Cs/>
                <w:color w:val="auto"/>
                <w:highlight w:val="none"/>
              </w:rPr>
              <w:t>项目实施方案简单，能保障项目实施。</w:t>
            </w:r>
          </w:p>
          <w:p w14:paraId="4DF13100">
            <w:pPr>
              <w:kinsoku w:val="0"/>
              <w:autoSpaceDE w:val="0"/>
              <w:autoSpaceDN w:val="0"/>
              <w:spacing w:beforeLines="0" w:afterLines="0" w:line="440" w:lineRule="exact"/>
              <w:ind w:firstLine="422" w:firstLineChars="200"/>
              <w:rPr>
                <w:rFonts w:hint="eastAsia" w:ascii="仿宋_GB2312" w:hAnsi="仿宋_GB2312" w:eastAsia="仿宋_GB2312" w:cs="仿宋_GB2312"/>
                <w:b/>
                <w:color w:val="auto"/>
                <w:sz w:val="21"/>
                <w:szCs w:val="24"/>
                <w:highlight w:val="none"/>
              </w:rPr>
            </w:pPr>
            <w:r>
              <w:rPr>
                <w:rFonts w:hint="eastAsia" w:ascii="仿宋_GB2312" w:hAnsi="仿宋_GB2312" w:eastAsia="仿宋_GB2312" w:cs="仿宋_GB2312"/>
                <w:b/>
                <w:bCs/>
                <w:color w:val="auto"/>
                <w:highlight w:val="none"/>
              </w:rPr>
              <w:t>注：1.该方案内容可以包括：（1）人员配置；（2）组织机构架构</w:t>
            </w:r>
            <w:r>
              <w:rPr>
                <w:rFonts w:hint="eastAsia" w:ascii="仿宋_GB2312" w:hAnsi="仿宋_GB2312" w:eastAsia="仿宋_GB2312" w:cs="仿宋_GB2312"/>
                <w:b/>
                <w:bCs/>
                <w:color w:val="auto"/>
                <w:highlight w:val="none"/>
                <w:lang w:val="en-US" w:eastAsia="zh-CN"/>
              </w:rPr>
              <w:t>职责分工</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rPr>
              <w:t>）项目管控体系</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rPr>
              <w:t>建设性优化</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5</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sz w:val="21"/>
                <w:szCs w:val="24"/>
                <w:highlight w:val="none"/>
              </w:rPr>
              <w:t>设</w:t>
            </w:r>
            <w:r>
              <w:rPr>
                <w:rFonts w:hint="eastAsia" w:ascii="仿宋_GB2312" w:hAnsi="仿宋_GB2312" w:eastAsia="仿宋_GB2312" w:cs="仿宋_GB2312"/>
                <w:b/>
                <w:color w:val="auto"/>
                <w:sz w:val="21"/>
                <w:szCs w:val="24"/>
                <w:highlight w:val="none"/>
              </w:rPr>
              <w:t>备的安装和系统运行质量保证措施；（</w:t>
            </w:r>
            <w:r>
              <w:rPr>
                <w:rFonts w:hint="eastAsia" w:ascii="仿宋_GB2312" w:hAnsi="仿宋_GB2312" w:eastAsia="仿宋_GB2312" w:cs="仿宋_GB2312"/>
                <w:b/>
                <w:color w:val="auto"/>
                <w:sz w:val="21"/>
                <w:szCs w:val="24"/>
                <w:highlight w:val="none"/>
                <w:lang w:val="en-US" w:eastAsia="zh-CN"/>
              </w:rPr>
              <w:t>6</w:t>
            </w:r>
            <w:r>
              <w:rPr>
                <w:rFonts w:hint="eastAsia" w:ascii="仿宋_GB2312" w:hAnsi="仿宋_GB2312" w:eastAsia="仿宋_GB2312" w:cs="仿宋_GB2312"/>
                <w:b/>
                <w:color w:val="auto"/>
                <w:sz w:val="21"/>
                <w:szCs w:val="24"/>
                <w:highlight w:val="none"/>
              </w:rPr>
              <w:t>）风险应对措施。</w:t>
            </w:r>
          </w:p>
          <w:p w14:paraId="201861A6">
            <w:pPr>
              <w:pStyle w:val="924"/>
              <w:numPr>
                <w:ilvl w:val="0"/>
                <w:numId w:val="0"/>
              </w:numPr>
              <w:spacing w:line="430" w:lineRule="exact"/>
              <w:ind w:left="0" w:leftChars="0" w:firstLine="422" w:firstLineChars="200"/>
              <w:rPr>
                <w:rFonts w:hint="eastAsia" w:ascii="仿宋_GB2312" w:hAnsi="仿宋_GB2312" w:eastAsia="仿宋_GB2312" w:cs="仿宋_GB2312"/>
                <w:bCs w:val="0"/>
                <w:color w:val="auto"/>
                <w:spacing w:val="0"/>
                <w:kern w:val="2"/>
                <w:sz w:val="21"/>
                <w:szCs w:val="24"/>
                <w:highlight w:val="none"/>
                <w:lang w:val="en-US" w:eastAsia="zh-CN" w:bidi="ar-SA"/>
              </w:rPr>
            </w:pPr>
            <w:r>
              <w:rPr>
                <w:rFonts w:hint="eastAsia" w:ascii="仿宋_GB2312" w:hAnsi="仿宋_GB2312" w:eastAsia="仿宋_GB2312" w:cs="仿宋_GB2312"/>
                <w:b/>
                <w:bCs/>
                <w:color w:val="auto"/>
                <w:spacing w:val="0"/>
                <w:kern w:val="2"/>
                <w:sz w:val="21"/>
                <w:highlight w:val="none"/>
              </w:rPr>
              <w:t>2.未提供方案或提供的内容与本项目无关的得0分。</w:t>
            </w:r>
          </w:p>
        </w:tc>
        <w:tc>
          <w:tcPr>
            <w:tcW w:w="737" w:type="dxa"/>
            <w:noWrap w:val="0"/>
            <w:vAlign w:val="center"/>
          </w:tcPr>
          <w:p w14:paraId="371FD2AD">
            <w:pPr>
              <w:spacing w:line="360" w:lineRule="exact"/>
              <w:jc w:val="center"/>
              <w:rPr>
                <w:rFonts w:hint="default"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color w:val="auto"/>
                <w:szCs w:val="24"/>
                <w:highlight w:val="none"/>
                <w:lang w:val="en-US" w:eastAsia="zh-CN"/>
              </w:rPr>
              <w:t>15</w:t>
            </w:r>
          </w:p>
        </w:tc>
        <w:tc>
          <w:tcPr>
            <w:tcW w:w="1443" w:type="dxa"/>
            <w:noWrap w:val="0"/>
            <w:vAlign w:val="center"/>
          </w:tcPr>
          <w:p w14:paraId="42298B75">
            <w:pPr>
              <w:spacing w:line="360" w:lineRule="exact"/>
              <w:jc w:val="center"/>
              <w:rPr>
                <w:rFonts w:hint="eastAsia"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val="0"/>
                <w:bCs w:val="0"/>
                <w:color w:val="auto"/>
                <w:szCs w:val="24"/>
                <w:highlight w:val="none"/>
                <w:lang w:eastAsia="zh-CN"/>
              </w:rPr>
              <w:t>项目实施组织结构</w:t>
            </w:r>
          </w:p>
        </w:tc>
      </w:tr>
      <w:tr w14:paraId="0BC03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noWrap w:val="0"/>
            <w:vAlign w:val="center"/>
          </w:tcPr>
          <w:p w14:paraId="7F7470C5">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项目实施方案分</w:t>
            </w:r>
          </w:p>
        </w:tc>
        <w:tc>
          <w:tcPr>
            <w:tcW w:w="1090" w:type="dxa"/>
            <w:noWrap w:val="0"/>
            <w:vAlign w:val="center"/>
          </w:tcPr>
          <w:p w14:paraId="1F6DCA3F">
            <w:pPr>
              <w:widowControl/>
              <w:spacing w:line="360" w:lineRule="exact"/>
              <w:jc w:val="center"/>
              <w:rPr>
                <w:rFonts w:hint="eastAsia" w:ascii="仿宋_GB2312" w:hAnsi="仿宋_GB2312" w:eastAsia="仿宋_GB2312" w:cs="仿宋_GB2312"/>
                <w:color w:val="auto"/>
                <w:kern w:val="2"/>
                <w:sz w:val="21"/>
                <w:szCs w:val="24"/>
                <w:highlight w:val="none"/>
                <w:lang w:val="en-US" w:eastAsia="zh-CN" w:bidi="ar-SA"/>
              </w:rPr>
            </w:pPr>
            <w:r>
              <w:rPr>
                <w:rFonts w:hint="eastAsia" w:ascii="仿宋_GB2312" w:hAnsi="仿宋_GB2312" w:eastAsia="仿宋_GB2312" w:cs="仿宋_GB2312"/>
                <w:b/>
                <w:bCs/>
                <w:color w:val="auto"/>
                <w:szCs w:val="24"/>
                <w:highlight w:val="none"/>
                <w:lang w:val="en-US" w:eastAsia="zh-CN"/>
              </w:rPr>
              <w:t>安装进度计划和工期保证</w:t>
            </w:r>
          </w:p>
        </w:tc>
        <w:tc>
          <w:tcPr>
            <w:tcW w:w="6196" w:type="dxa"/>
            <w:noWrap w:val="0"/>
            <w:vAlign w:val="center"/>
          </w:tcPr>
          <w:p w14:paraId="016F0867">
            <w:pPr>
              <w:widowControl/>
              <w:spacing w:line="44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val="en-US" w:eastAsia="zh-CN"/>
              </w:rPr>
              <w:t>11</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实施进度规划科学紧凑、贴合项目现场实际，</w:t>
            </w:r>
            <w:r>
              <w:rPr>
                <w:rFonts w:hint="eastAsia" w:ascii="仿宋_GB2312" w:hAnsi="仿宋_GB2312" w:eastAsia="仿宋_GB2312" w:cs="仿宋_GB2312"/>
                <w:b/>
                <w:bCs/>
                <w:color w:val="auto"/>
                <w:highlight w:val="none"/>
              </w:rPr>
              <w:t>细化划分≥4个关键实施节点</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不限于</w:t>
            </w:r>
            <w:r>
              <w:rPr>
                <w:rFonts w:hint="eastAsia" w:ascii="仿宋_GB2312" w:hAnsi="仿宋_GB2312" w:eastAsia="仿宋_GB2312" w:cs="仿宋_GB2312"/>
                <w:b/>
                <w:bCs/>
                <w:color w:val="auto"/>
                <w:highlight w:val="none"/>
              </w:rPr>
              <w:t>甘特图、关键路径法(CPM)图、里程碑图、PERT图和时间线图</w:t>
            </w:r>
            <w:r>
              <w:rPr>
                <w:rFonts w:hint="eastAsia" w:ascii="仿宋_GB2312" w:hAnsi="仿宋_GB2312" w:eastAsia="仿宋_GB2312" w:cs="仿宋_GB2312"/>
                <w:b/>
                <w:bCs/>
                <w:color w:val="auto"/>
                <w:highlight w:val="none"/>
                <w:lang w:val="en-US" w:eastAsia="zh-CN"/>
              </w:rPr>
              <w:t>等其中一种</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color w:val="auto"/>
                <w:highlight w:val="none"/>
              </w:rPr>
              <w:t>，各节点工期分配合理、衔接连贯、无空档期，整体工期优于采购要求。关键工作实施步骤、操作要点、管控细节描述全面详实，实施方案先进合理、落地性极强；配套3项及以上专项工期保障措施（人员、设备、物料、应急、管控等维度），措施针对性、可行性极高，可有效保障项目按期甚至提前完工，对采购人项目落地、投入使用具备实质性助力。</w:t>
            </w:r>
          </w:p>
          <w:p w14:paraId="003D94B1">
            <w:pPr>
              <w:widowControl/>
              <w:spacing w:line="440" w:lineRule="exact"/>
              <w:ind w:firstLine="422" w:firstLineChars="20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val="en-US" w:eastAsia="zh-CN"/>
              </w:rPr>
              <w:t>7</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实施进度计划贴合项目需求，关键节点划分清晰，工期规划符合采购要求。实施步骤、工作要点描述较为详细，方案整体合理；具备针对性的工期保障措施，覆盖主要工期风险点，能够有效规避常规工期延误问题，保障项目如期完工</w:t>
            </w:r>
            <w:r>
              <w:rPr>
                <w:rFonts w:hint="eastAsia" w:ascii="仿宋_GB2312" w:hAnsi="仿宋_GB2312" w:eastAsia="仿宋_GB2312" w:cs="仿宋_GB2312"/>
                <w:color w:val="auto"/>
                <w:highlight w:val="none"/>
                <w:lang w:eastAsia="zh-CN"/>
              </w:rPr>
              <w:t>。</w:t>
            </w:r>
          </w:p>
          <w:p w14:paraId="325FB276">
            <w:pPr>
              <w:spacing w:line="44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仅提供基础进度规划，满足最低采购工期要求，节点划分简略、无细化管控；工期保证措施单一、内容笼统，仅具备基础可行性，无专项管控手段。</w:t>
            </w:r>
          </w:p>
          <w:p w14:paraId="57D7F2B2">
            <w:pPr>
              <w:widowControl/>
              <w:spacing w:line="440" w:lineRule="exact"/>
              <w:ind w:firstLine="422" w:firstLineChars="200"/>
              <w:rPr>
                <w:rFonts w:ascii="仿宋_GB2312" w:hAnsi="仿宋_GB2312" w:eastAsia="仿宋_GB2312" w:cs="仿宋_GB2312"/>
                <w:b/>
                <w:bCs/>
                <w:color w:val="auto"/>
                <w:highlight w:val="none"/>
              </w:rPr>
            </w:pPr>
            <w:r>
              <w:rPr>
                <w:rFonts w:ascii="仿宋_GB2312" w:hAnsi="仿宋_GB2312" w:eastAsia="仿宋_GB2312" w:cs="仿宋_GB2312"/>
                <w:b/>
                <w:bCs/>
                <w:color w:val="auto"/>
                <w:highlight w:val="none"/>
              </w:rPr>
              <w:t>注：1.该方案</w:t>
            </w:r>
            <w:r>
              <w:rPr>
                <w:rFonts w:hint="eastAsia" w:ascii="仿宋_GB2312" w:hAnsi="仿宋_GB2312" w:eastAsia="仿宋_GB2312" w:cs="仿宋_GB2312"/>
                <w:b/>
                <w:bCs/>
                <w:color w:val="auto"/>
                <w:highlight w:val="none"/>
              </w:rPr>
              <w:t>内容</w:t>
            </w:r>
            <w:r>
              <w:rPr>
                <w:rFonts w:hint="eastAsia" w:ascii="仿宋_GB2312" w:hAnsi="仿宋_GB2312" w:eastAsia="仿宋_GB2312" w:cs="仿宋_GB2312"/>
                <w:b/>
                <w:bCs/>
                <w:color w:val="auto"/>
                <w:highlight w:val="none"/>
                <w:lang w:eastAsia="zh-CN"/>
              </w:rPr>
              <w:t>可以</w:t>
            </w:r>
            <w:r>
              <w:rPr>
                <w:rFonts w:ascii="仿宋_GB2312" w:hAnsi="仿宋_GB2312" w:eastAsia="仿宋_GB2312" w:cs="仿宋_GB2312"/>
                <w:b/>
                <w:bCs/>
                <w:color w:val="auto"/>
                <w:highlight w:val="none"/>
              </w:rPr>
              <w:t>包括：（1）安装</w:t>
            </w:r>
            <w:r>
              <w:rPr>
                <w:rFonts w:hint="eastAsia" w:ascii="仿宋_GB2312" w:hAnsi="仿宋_GB2312" w:eastAsia="仿宋_GB2312" w:cs="仿宋_GB2312"/>
                <w:b/>
                <w:bCs/>
                <w:color w:val="auto"/>
                <w:highlight w:val="none"/>
                <w:lang w:val="en-US" w:eastAsia="zh-CN"/>
              </w:rPr>
              <w:t>调试</w:t>
            </w:r>
            <w:r>
              <w:rPr>
                <w:rFonts w:ascii="仿宋_GB2312" w:hAnsi="仿宋_GB2312" w:eastAsia="仿宋_GB2312" w:cs="仿宋_GB2312"/>
                <w:b/>
                <w:bCs/>
                <w:color w:val="auto"/>
                <w:highlight w:val="none"/>
              </w:rPr>
              <w:t>进度计划；（2）工期保证措施</w:t>
            </w:r>
            <w:r>
              <w:rPr>
                <w:rFonts w:hint="eastAsia" w:ascii="仿宋_GB2312" w:hAnsi="仿宋_GB2312" w:eastAsia="仿宋_GB2312" w:cs="仿宋_GB2312"/>
                <w:b/>
                <w:bCs/>
                <w:color w:val="auto"/>
                <w:highlight w:val="none"/>
              </w:rPr>
              <w:t>。</w:t>
            </w:r>
          </w:p>
          <w:p w14:paraId="2C51FAD7">
            <w:pPr>
              <w:pStyle w:val="324"/>
              <w:numPr>
                <w:ilvl w:val="0"/>
                <w:numId w:val="0"/>
              </w:numPr>
              <w:spacing w:line="430" w:lineRule="exact"/>
              <w:ind w:left="0" w:leftChars="0" w:firstLine="422" w:firstLineChars="200"/>
              <w:rPr>
                <w:rFonts w:hint="default" w:ascii="仿宋_GB2312" w:hAnsi="仿宋_GB2312" w:eastAsia="仿宋_GB2312" w:cs="仿宋_GB2312"/>
                <w:bCs w:val="0"/>
                <w:color w:val="auto"/>
                <w:spacing w:val="0"/>
                <w:kern w:val="2"/>
                <w:sz w:val="21"/>
                <w:szCs w:val="24"/>
                <w:highlight w:val="none"/>
                <w:lang w:val="en-US" w:eastAsia="zh-CN" w:bidi="ar-SA"/>
              </w:rPr>
            </w:pPr>
            <w:r>
              <w:rPr>
                <w:rFonts w:ascii="仿宋_GB2312" w:hAnsi="仿宋_GB2312" w:eastAsia="仿宋_GB2312" w:cs="仿宋_GB2312"/>
                <w:b/>
                <w:color w:val="auto"/>
                <w:highlight w:val="none"/>
              </w:rPr>
              <w:t>2.未提供方案或提供的内容与本项目无关的得0分。</w:t>
            </w:r>
          </w:p>
        </w:tc>
        <w:tc>
          <w:tcPr>
            <w:tcW w:w="737" w:type="dxa"/>
            <w:noWrap w:val="0"/>
            <w:vAlign w:val="center"/>
          </w:tcPr>
          <w:p w14:paraId="1B6DECC0">
            <w:pPr>
              <w:spacing w:line="360" w:lineRule="exact"/>
              <w:jc w:val="center"/>
              <w:rPr>
                <w:rFonts w:hint="default"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color w:val="auto"/>
                <w:kern w:val="2"/>
                <w:sz w:val="21"/>
                <w:szCs w:val="24"/>
                <w:highlight w:val="none"/>
                <w:lang w:val="en-US" w:eastAsia="zh-CN" w:bidi="ar-SA"/>
              </w:rPr>
              <w:t>11</w:t>
            </w:r>
          </w:p>
        </w:tc>
        <w:tc>
          <w:tcPr>
            <w:tcW w:w="1443" w:type="dxa"/>
            <w:noWrap w:val="0"/>
            <w:vAlign w:val="center"/>
          </w:tcPr>
          <w:p w14:paraId="2D5888F6">
            <w:pPr>
              <w:spacing w:line="360" w:lineRule="exact"/>
              <w:jc w:val="center"/>
              <w:rPr>
                <w:rFonts w:hint="eastAsia"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val="0"/>
                <w:bCs w:val="0"/>
                <w:color w:val="auto"/>
                <w:szCs w:val="24"/>
                <w:highlight w:val="none"/>
                <w:lang w:val="en-US" w:eastAsia="zh-CN"/>
              </w:rPr>
              <w:t>安装进度计划和工期保证</w:t>
            </w:r>
          </w:p>
        </w:tc>
      </w:tr>
      <w:tr w14:paraId="410E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noWrap w:val="0"/>
            <w:vAlign w:val="center"/>
          </w:tcPr>
          <w:p w14:paraId="1FB0FAD8">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szCs w:val="24"/>
                <w:highlight w:val="none"/>
                <w:lang w:val="en-US" w:eastAsia="zh-CN"/>
              </w:rPr>
              <w:t>技术培训方案分</w:t>
            </w:r>
          </w:p>
        </w:tc>
        <w:tc>
          <w:tcPr>
            <w:tcW w:w="1090" w:type="dxa"/>
            <w:noWrap w:val="0"/>
            <w:vAlign w:val="center"/>
          </w:tcPr>
          <w:p w14:paraId="528266A8">
            <w:pPr>
              <w:widowControl/>
              <w:spacing w:line="360" w:lineRule="exact"/>
              <w:jc w:val="center"/>
              <w:rPr>
                <w:rFonts w:hint="eastAsia" w:ascii="Times New Roman" w:hAnsi="Times New Roman" w:eastAsia="宋体" w:cs="Times New Roman"/>
                <w:color w:val="auto"/>
                <w:kern w:val="2"/>
                <w:sz w:val="21"/>
                <w:szCs w:val="24"/>
                <w:highlight w:val="none"/>
                <w:lang w:val="en-US" w:eastAsia="zh-CN" w:bidi="ar-SA"/>
              </w:rPr>
            </w:pPr>
            <w:r>
              <w:rPr>
                <w:rFonts w:hint="eastAsia" w:ascii="仿宋_GB2312" w:hAnsi="仿宋_GB2312" w:eastAsia="仿宋_GB2312" w:cs="仿宋_GB2312"/>
                <w:b/>
                <w:bCs/>
                <w:color w:val="auto"/>
                <w:szCs w:val="24"/>
                <w:highlight w:val="none"/>
                <w:lang w:val="en-US" w:eastAsia="zh-CN"/>
              </w:rPr>
              <w:t>技术培训方案</w:t>
            </w:r>
          </w:p>
        </w:tc>
        <w:tc>
          <w:tcPr>
            <w:tcW w:w="6196" w:type="dxa"/>
            <w:noWrap w:val="0"/>
            <w:vAlign w:val="center"/>
          </w:tcPr>
          <w:p w14:paraId="3CB57C6F">
            <w:pPr>
              <w:keepNext w:val="0"/>
              <w:keepLines w:val="0"/>
              <w:pageBreakBefore w:val="0"/>
              <w:widowControl/>
              <w:kinsoku/>
              <w:wordWrap/>
              <w:overflowPunct/>
              <w:topLinePunct w:val="0"/>
              <w:autoSpaceDE/>
              <w:autoSpaceDN/>
              <w:bidi w:val="0"/>
              <w:adjustRightInd/>
              <w:snapToGrid/>
              <w:spacing w:line="43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z w:val="21"/>
                <w:szCs w:val="24"/>
                <w:highlight w:val="none"/>
              </w:rPr>
              <w:t>一档（</w:t>
            </w:r>
            <w:r>
              <w:rPr>
                <w:rFonts w:hint="eastAsia" w:ascii="仿宋_GB2312" w:hAnsi="仿宋_GB2312" w:eastAsia="仿宋_GB2312" w:cs="仿宋_GB2312"/>
                <w:b/>
                <w:bCs/>
                <w:color w:val="auto"/>
                <w:sz w:val="21"/>
                <w:szCs w:val="24"/>
                <w:highlight w:val="none"/>
                <w:lang w:val="en-US" w:eastAsia="zh-CN"/>
              </w:rPr>
              <w:t>11</w:t>
            </w:r>
            <w:r>
              <w:rPr>
                <w:rFonts w:hint="eastAsia" w:ascii="仿宋_GB2312" w:hAnsi="仿宋_GB2312" w:eastAsia="仿宋_GB2312" w:cs="仿宋_GB2312"/>
                <w:b/>
                <w:bCs/>
                <w:color w:val="auto"/>
                <w:sz w:val="21"/>
                <w:szCs w:val="24"/>
                <w:highlight w:val="none"/>
              </w:rPr>
              <w:t>分）：</w:t>
            </w:r>
            <w:r>
              <w:rPr>
                <w:rFonts w:hint="eastAsia" w:ascii="仿宋_GB2312" w:hAnsi="仿宋_GB2312" w:eastAsia="仿宋_GB2312" w:cs="仿宋_GB2312"/>
                <w:color w:val="auto"/>
                <w:highlight w:val="none"/>
              </w:rPr>
              <w:t>技术培训方案完善详尽、针对性极强，完全匹配采购人岗位操作、运维管理需求。承诺采用现场实操+理论授课双模式培训，配备具备</w:t>
            </w:r>
            <w:r>
              <w:rPr>
                <w:rFonts w:hint="eastAsia" w:ascii="仿宋_GB2312" w:hAnsi="仿宋_GB2312" w:eastAsia="仿宋_GB2312" w:cs="仿宋_GB2312"/>
                <w:b/>
                <w:bCs/>
                <w:color w:val="auto"/>
                <w:highlight w:val="none"/>
                <w:lang w:eastAsia="zh-CN"/>
              </w:rPr>
              <w:t>2</w:t>
            </w:r>
            <w:r>
              <w:rPr>
                <w:rFonts w:hint="eastAsia" w:ascii="仿宋_GB2312" w:hAnsi="仿宋_GB2312" w:eastAsia="仿宋_GB2312" w:cs="仿宋_GB2312"/>
                <w:b/>
                <w:bCs/>
                <w:color w:val="auto"/>
                <w:highlight w:val="none"/>
              </w:rPr>
              <w:t>年</w:t>
            </w:r>
            <w:r>
              <w:rPr>
                <w:rFonts w:hint="eastAsia" w:ascii="仿宋_GB2312" w:hAnsi="仿宋_GB2312" w:eastAsia="仿宋_GB2312" w:cs="仿宋_GB2312"/>
                <w:color w:val="auto"/>
                <w:highlight w:val="none"/>
              </w:rPr>
              <w:t>及以上培训经验的讲师</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eastAsia="zh-CN"/>
              </w:rPr>
              <w:t>1</w:t>
            </w:r>
            <w:r>
              <w:rPr>
                <w:rFonts w:hint="eastAsia" w:ascii="仿宋_GB2312" w:hAnsi="仿宋_GB2312" w:eastAsia="仿宋_GB2312" w:cs="仿宋_GB2312"/>
                <w:b/>
                <w:bCs/>
                <w:color w:val="auto"/>
                <w:highlight w:val="none"/>
              </w:rPr>
              <w:t>名</w:t>
            </w:r>
            <w:r>
              <w:rPr>
                <w:rFonts w:hint="eastAsia" w:ascii="仿宋_GB2312" w:hAnsi="仿宋_GB2312" w:eastAsia="仿宋_GB2312" w:cs="仿宋_GB2312"/>
                <w:color w:val="auto"/>
                <w:highlight w:val="none"/>
              </w:rPr>
              <w:t>，师资专业性、实操能力过硬；课程体系完整，覆盖设备操作、系统运维、故障排查、日常管理等核心内容，课程安排科学循序渐进；</w:t>
            </w:r>
            <w:r>
              <w:rPr>
                <w:rFonts w:hint="eastAsia" w:ascii="仿宋_GB2312" w:hAnsi="仿宋_GB2312" w:eastAsia="仿宋_GB2312" w:cs="仿宋_GB2312"/>
                <w:color w:val="auto"/>
                <w:highlight w:val="none"/>
                <w:lang w:val="en-US" w:eastAsia="zh-CN"/>
              </w:rPr>
              <w:t>不限于</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计算机网络教室</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互动平板一体机</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教师台式机</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等内容</w:t>
            </w:r>
            <w:r>
              <w:rPr>
                <w:rFonts w:hint="eastAsia" w:ascii="仿宋_GB2312" w:hAnsi="仿宋_GB2312" w:eastAsia="仿宋_GB2312" w:cs="仿宋_GB2312"/>
                <w:b/>
                <w:bCs/>
                <w:color w:val="auto"/>
                <w:highlight w:val="none"/>
              </w:rPr>
              <w:t>总培训课时≥</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rPr>
              <w:t>课时</w:t>
            </w:r>
            <w:r>
              <w:rPr>
                <w:rFonts w:hint="eastAsia" w:ascii="仿宋_GB2312" w:hAnsi="仿宋_GB2312" w:eastAsia="仿宋_GB2312" w:cs="仿宋_GB2312"/>
                <w:color w:val="auto"/>
                <w:highlight w:val="none"/>
              </w:rPr>
              <w:t>，课时充足、培训节奏合理，同时配套课后答疑、实操考核、</w:t>
            </w:r>
            <w:r>
              <w:rPr>
                <w:rFonts w:hint="eastAsia" w:ascii="仿宋_GB2312" w:hAnsi="仿宋_GB2312" w:eastAsia="仿宋_GB2312" w:cs="仿宋_GB2312"/>
                <w:color w:val="auto"/>
                <w:highlight w:val="none"/>
                <w:lang w:val="en-US" w:eastAsia="zh-CN"/>
              </w:rPr>
              <w:t>培训</w:t>
            </w:r>
            <w:r>
              <w:rPr>
                <w:rFonts w:hint="eastAsia" w:ascii="仿宋_GB2312" w:hAnsi="仿宋_GB2312" w:eastAsia="仿宋_GB2312" w:cs="仿宋_GB2312"/>
                <w:color w:val="auto"/>
                <w:highlight w:val="none"/>
              </w:rPr>
              <w:t>资料交付等闭环培训机制，可全面保障培训效果。</w:t>
            </w:r>
          </w:p>
          <w:p w14:paraId="342A611E">
            <w:pPr>
              <w:keepNext w:val="0"/>
              <w:keepLines w:val="0"/>
              <w:pageBreakBefore w:val="0"/>
              <w:widowControl/>
              <w:kinsoku/>
              <w:wordWrap/>
              <w:overflowPunct/>
              <w:topLinePunct w:val="0"/>
              <w:autoSpaceDE/>
              <w:autoSpaceDN/>
              <w:bidi w:val="0"/>
              <w:adjustRightInd/>
              <w:snapToGrid/>
              <w:spacing w:line="430" w:lineRule="exact"/>
              <w:ind w:firstLine="422" w:firstLineChars="200"/>
              <w:textAlignment w:val="auto"/>
              <w:rPr>
                <w:rFonts w:hint="eastAsia" w:ascii="仿宋_GB2312" w:hAnsi="仿宋_GB2312" w:eastAsia="仿宋_GB2312" w:cs="仿宋_GB2312"/>
                <w:color w:val="auto"/>
                <w:kern w:val="2"/>
                <w:sz w:val="21"/>
                <w:szCs w:val="24"/>
                <w:highlight w:val="none"/>
                <w:lang w:val="en-US" w:eastAsia="zh-CN" w:bidi="ar-SA"/>
              </w:rPr>
            </w:pPr>
            <w:r>
              <w:rPr>
                <w:rFonts w:hint="eastAsia" w:ascii="仿宋_GB2312" w:hAnsi="仿宋_GB2312" w:eastAsia="仿宋_GB2312" w:cs="仿宋_GB2312"/>
                <w:b/>
                <w:bCs/>
                <w:color w:val="auto"/>
                <w:sz w:val="21"/>
                <w:szCs w:val="24"/>
                <w:highlight w:val="none"/>
              </w:rPr>
              <w:t>二档（</w:t>
            </w:r>
            <w:r>
              <w:rPr>
                <w:rFonts w:hint="eastAsia" w:ascii="仿宋_GB2312" w:hAnsi="仿宋_GB2312" w:eastAsia="仿宋_GB2312" w:cs="仿宋_GB2312"/>
                <w:b/>
                <w:bCs/>
                <w:color w:val="auto"/>
                <w:sz w:val="21"/>
                <w:szCs w:val="24"/>
                <w:highlight w:val="none"/>
                <w:lang w:val="en-US" w:eastAsia="zh-CN"/>
              </w:rPr>
              <w:t>6</w:t>
            </w:r>
            <w:r>
              <w:rPr>
                <w:rFonts w:hint="eastAsia" w:ascii="仿宋_GB2312" w:hAnsi="仿宋_GB2312" w:eastAsia="仿宋_GB2312" w:cs="仿宋_GB2312"/>
                <w:b/>
                <w:bCs/>
                <w:color w:val="auto"/>
                <w:sz w:val="21"/>
                <w:szCs w:val="24"/>
                <w:highlight w:val="none"/>
              </w:rPr>
              <w:t>分）：</w:t>
            </w:r>
            <w:r>
              <w:rPr>
                <w:rFonts w:hint="eastAsia" w:ascii="仿宋_GB2312" w:hAnsi="仿宋_GB2312" w:eastAsia="仿宋_GB2312" w:cs="仿宋_GB2312"/>
                <w:color w:val="auto"/>
                <w:kern w:val="2"/>
                <w:sz w:val="21"/>
                <w:szCs w:val="24"/>
                <w:highlight w:val="none"/>
                <w:lang w:val="en-US" w:eastAsia="zh-CN" w:bidi="ar-SA"/>
              </w:rPr>
              <w:t>培训方案内容具体、架构完整，明确包含课程安排、师资配置、培训对象、培训核心内容等模块，培训方式贴合项目需求，能够较好满足采购人人员操作、运维学习需求，培训流程规范，具备完整的培训闭环。</w:t>
            </w:r>
          </w:p>
          <w:p w14:paraId="1D8E8276">
            <w:pPr>
              <w:keepNext w:val="0"/>
              <w:keepLines w:val="0"/>
              <w:pageBreakBefore w:val="0"/>
              <w:widowControl/>
              <w:kinsoku/>
              <w:wordWrap/>
              <w:overflowPunct/>
              <w:topLinePunct w:val="0"/>
              <w:autoSpaceDE/>
              <w:autoSpaceDN/>
              <w:bidi w:val="0"/>
              <w:adjustRightInd/>
              <w:snapToGrid/>
              <w:spacing w:line="430" w:lineRule="exact"/>
              <w:ind w:firstLine="422" w:firstLineChars="200"/>
              <w:textAlignment w:val="auto"/>
              <w:rPr>
                <w:rFonts w:hint="eastAsia" w:ascii="仿宋_GB2312" w:hAnsi="仿宋_GB2312" w:eastAsia="仿宋_GB2312" w:cs="仿宋_GB2312"/>
                <w:color w:val="auto"/>
                <w:sz w:val="21"/>
                <w:szCs w:val="24"/>
                <w:highlight w:val="none"/>
              </w:rPr>
            </w:pPr>
            <w:r>
              <w:rPr>
                <w:rFonts w:hint="eastAsia" w:ascii="仿宋_GB2312" w:hAnsi="仿宋_GB2312" w:eastAsia="仿宋_GB2312" w:cs="仿宋_GB2312"/>
                <w:b/>
                <w:bCs/>
                <w:color w:val="auto"/>
                <w:sz w:val="21"/>
                <w:szCs w:val="24"/>
                <w:highlight w:val="none"/>
              </w:rPr>
              <w:t>三档（</w:t>
            </w:r>
            <w:r>
              <w:rPr>
                <w:rFonts w:hint="eastAsia" w:ascii="仿宋_GB2312" w:hAnsi="仿宋_GB2312" w:eastAsia="仿宋_GB2312" w:cs="仿宋_GB2312"/>
                <w:b/>
                <w:bCs/>
                <w:color w:val="auto"/>
                <w:sz w:val="21"/>
                <w:szCs w:val="24"/>
                <w:highlight w:val="none"/>
                <w:lang w:val="en-US" w:eastAsia="zh-CN"/>
              </w:rPr>
              <w:t>1</w:t>
            </w:r>
            <w:r>
              <w:rPr>
                <w:rFonts w:hint="eastAsia" w:ascii="仿宋_GB2312" w:hAnsi="仿宋_GB2312" w:eastAsia="仿宋_GB2312" w:cs="仿宋_GB2312"/>
                <w:b/>
                <w:bCs/>
                <w:color w:val="auto"/>
                <w:sz w:val="21"/>
                <w:szCs w:val="24"/>
                <w:highlight w:val="none"/>
              </w:rPr>
              <w:t>分）：</w:t>
            </w:r>
            <w:r>
              <w:rPr>
                <w:rFonts w:hint="eastAsia" w:ascii="仿宋_GB2312" w:hAnsi="仿宋_GB2312" w:eastAsia="仿宋_GB2312" w:cs="仿宋_GB2312"/>
                <w:color w:val="auto"/>
                <w:highlight w:val="none"/>
              </w:rPr>
              <w:t>仅提供基础培训框架，内容简单笼统，无明确课时、课程细则、师资规划，仅能满足最基础的入门培训需求</w:t>
            </w:r>
            <w:r>
              <w:rPr>
                <w:rFonts w:hint="eastAsia" w:ascii="仿宋_GB2312" w:hAnsi="仿宋_GB2312" w:eastAsia="仿宋_GB2312" w:cs="仿宋_GB2312"/>
                <w:color w:val="auto"/>
                <w:sz w:val="21"/>
                <w:szCs w:val="24"/>
                <w:highlight w:val="none"/>
              </w:rPr>
              <w:t>。</w:t>
            </w:r>
          </w:p>
          <w:p w14:paraId="0856FAE6">
            <w:pPr>
              <w:kinsoku w:val="0"/>
              <w:autoSpaceDE w:val="0"/>
              <w:autoSpaceDN w:val="0"/>
              <w:spacing w:line="440" w:lineRule="exact"/>
              <w:ind w:firstLine="420"/>
              <w:rPr>
                <w:rFonts w:hint="eastAsia" w:ascii="仿宋_GB2312" w:hAnsi="仿宋_GB2312" w:eastAsia="仿宋_GB2312" w:cs="仿宋_GB2312"/>
                <w:b/>
                <w:bCs/>
                <w:color w:val="auto"/>
                <w:spacing w:val="0"/>
                <w:kern w:val="2"/>
                <w:sz w:val="21"/>
                <w:szCs w:val="24"/>
                <w:highlight w:val="none"/>
              </w:rPr>
            </w:pPr>
            <w:r>
              <w:rPr>
                <w:rFonts w:hint="eastAsia" w:ascii="仿宋_GB2312" w:hAnsi="仿宋_GB2312" w:eastAsia="仿宋_GB2312" w:cs="仿宋_GB2312"/>
                <w:b/>
                <w:color w:val="auto"/>
                <w:sz w:val="21"/>
                <w:szCs w:val="24"/>
                <w:highlight w:val="none"/>
              </w:rPr>
              <w:t>注：</w:t>
            </w:r>
            <w:r>
              <w:rPr>
                <w:rFonts w:hint="eastAsia" w:ascii="仿宋_GB2312" w:hAnsi="仿宋_GB2312" w:eastAsia="仿宋_GB2312" w:cs="仿宋_GB2312"/>
                <w:b/>
                <w:bCs/>
                <w:color w:val="auto"/>
                <w:spacing w:val="0"/>
                <w:kern w:val="2"/>
                <w:sz w:val="21"/>
                <w:szCs w:val="24"/>
                <w:highlight w:val="none"/>
              </w:rPr>
              <w:t>1.该方案内容可以包括：（1）</w:t>
            </w:r>
            <w:r>
              <w:rPr>
                <w:rFonts w:hint="eastAsia" w:ascii="仿宋_GB2312" w:hAnsi="仿宋_GB2312" w:eastAsia="仿宋_GB2312" w:cs="仿宋_GB2312"/>
                <w:b/>
                <w:bCs/>
                <w:color w:val="auto"/>
                <w:kern w:val="2"/>
                <w:sz w:val="21"/>
                <w:szCs w:val="24"/>
                <w:highlight w:val="none"/>
                <w:lang w:val="en-US" w:eastAsia="zh-CN" w:bidi="ar-SA"/>
              </w:rPr>
              <w:t>课程安排</w:t>
            </w:r>
            <w:r>
              <w:rPr>
                <w:rFonts w:hint="eastAsia" w:ascii="仿宋_GB2312" w:hAnsi="仿宋_GB2312" w:eastAsia="仿宋_GB2312" w:cs="仿宋_GB2312"/>
                <w:b/>
                <w:bCs/>
                <w:color w:val="auto"/>
                <w:spacing w:val="0"/>
                <w:kern w:val="2"/>
                <w:sz w:val="21"/>
                <w:szCs w:val="24"/>
                <w:highlight w:val="none"/>
              </w:rPr>
              <w:t>；（2）</w:t>
            </w:r>
            <w:r>
              <w:rPr>
                <w:rStyle w:val="50"/>
                <w:rFonts w:hint="eastAsia" w:ascii="仿宋_GB2312" w:hAnsi="仿宋_GB2312" w:eastAsia="仿宋_GB2312" w:cs="仿宋_GB2312"/>
                <w:b/>
                <w:bCs/>
                <w:color w:val="auto"/>
                <w:kern w:val="2"/>
                <w:sz w:val="21"/>
                <w:szCs w:val="21"/>
                <w:highlight w:val="none"/>
                <w:lang w:val="en-US" w:eastAsia="zh-CN" w:bidi="ar-SA"/>
              </w:rPr>
              <w:t>授课模式；（3）</w:t>
            </w:r>
            <w:r>
              <w:rPr>
                <w:rFonts w:hint="eastAsia" w:ascii="仿宋_GB2312" w:hAnsi="仿宋_GB2312" w:eastAsia="仿宋_GB2312" w:cs="仿宋_GB2312"/>
                <w:b/>
                <w:bCs/>
                <w:color w:val="auto"/>
                <w:kern w:val="2"/>
                <w:sz w:val="21"/>
                <w:szCs w:val="24"/>
                <w:highlight w:val="none"/>
                <w:lang w:val="en-US" w:eastAsia="zh-CN" w:bidi="ar-SA"/>
              </w:rPr>
              <w:t>师资配置等内容。</w:t>
            </w:r>
          </w:p>
          <w:p w14:paraId="5CAFECF2">
            <w:pPr>
              <w:widowControl/>
              <w:spacing w:line="430" w:lineRule="exact"/>
              <w:ind w:firstLine="422" w:firstLineChars="200"/>
              <w:rPr>
                <w:rFonts w:hint="default" w:ascii="仿宋_GB2312" w:hAnsi="仿宋_GB2312" w:eastAsia="仿宋_GB2312" w:cs="仿宋_GB2312"/>
                <w:color w:val="auto"/>
                <w:kern w:val="2"/>
                <w:sz w:val="21"/>
                <w:szCs w:val="24"/>
                <w:highlight w:val="none"/>
                <w:lang w:val="en-US" w:eastAsia="zh-CN" w:bidi="ar-SA"/>
              </w:rPr>
            </w:pPr>
            <w:r>
              <w:rPr>
                <w:rFonts w:hint="eastAsia" w:ascii="仿宋_GB2312" w:hAnsi="仿宋_GB2312" w:eastAsia="仿宋_GB2312" w:cs="仿宋_GB2312"/>
                <w:b/>
                <w:color w:val="auto"/>
                <w:sz w:val="21"/>
                <w:szCs w:val="24"/>
                <w:highlight w:val="none"/>
                <w:lang w:val="en-US" w:eastAsia="zh-CN"/>
              </w:rPr>
              <w:t>2.</w:t>
            </w:r>
            <w:r>
              <w:rPr>
                <w:rFonts w:hint="eastAsia" w:ascii="仿宋_GB2312" w:hAnsi="仿宋_GB2312" w:eastAsia="仿宋_GB2312" w:cs="仿宋_GB2312"/>
                <w:b/>
                <w:color w:val="auto"/>
                <w:sz w:val="21"/>
                <w:szCs w:val="24"/>
                <w:highlight w:val="none"/>
              </w:rPr>
              <w:t>未提供方案或提供的内容与本项目无关的得0分。</w:t>
            </w:r>
          </w:p>
        </w:tc>
        <w:tc>
          <w:tcPr>
            <w:tcW w:w="737" w:type="dxa"/>
            <w:noWrap w:val="0"/>
            <w:vAlign w:val="center"/>
          </w:tcPr>
          <w:p w14:paraId="7592DFF2">
            <w:pPr>
              <w:spacing w:line="360" w:lineRule="exact"/>
              <w:jc w:val="center"/>
              <w:rPr>
                <w:rFonts w:hint="default"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color w:val="auto"/>
                <w:szCs w:val="24"/>
                <w:highlight w:val="none"/>
                <w:lang w:val="en-US" w:eastAsia="zh-CN"/>
              </w:rPr>
              <w:t>11</w:t>
            </w:r>
          </w:p>
        </w:tc>
        <w:tc>
          <w:tcPr>
            <w:tcW w:w="1443" w:type="dxa"/>
            <w:noWrap w:val="0"/>
            <w:vAlign w:val="center"/>
          </w:tcPr>
          <w:p w14:paraId="24C88B05">
            <w:pPr>
              <w:spacing w:line="360" w:lineRule="exact"/>
              <w:jc w:val="center"/>
              <w:rPr>
                <w:rFonts w:hint="eastAsia" w:ascii="仿宋_GB2312" w:hAnsi="仿宋_GB2312" w:eastAsia="仿宋_GB2312" w:cs="仿宋_GB2312"/>
                <w:b w:val="0"/>
                <w:bCs w:val="0"/>
                <w:color w:val="auto"/>
                <w:kern w:val="2"/>
                <w:sz w:val="21"/>
                <w:szCs w:val="24"/>
                <w:highlight w:val="none"/>
                <w:lang w:val="en-US" w:eastAsia="zh-CN" w:bidi="ar-SA"/>
              </w:rPr>
            </w:pPr>
            <w:r>
              <w:rPr>
                <w:rFonts w:hint="eastAsia" w:ascii="仿宋_GB2312" w:hAnsi="仿宋_GB2312" w:eastAsia="仿宋_GB2312" w:cs="仿宋_GB2312"/>
                <w:b w:val="0"/>
                <w:bCs w:val="0"/>
                <w:color w:val="auto"/>
                <w:szCs w:val="24"/>
                <w:highlight w:val="none"/>
                <w:lang w:val="en-US" w:eastAsia="zh-CN"/>
              </w:rPr>
              <w:t>技术培训方案</w:t>
            </w:r>
          </w:p>
        </w:tc>
      </w:tr>
      <w:tr w14:paraId="23745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noWrap w:val="0"/>
            <w:vAlign w:val="center"/>
          </w:tcPr>
          <w:p w14:paraId="3365A251">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售后服务方案分</w:t>
            </w:r>
          </w:p>
        </w:tc>
        <w:tc>
          <w:tcPr>
            <w:tcW w:w="1090" w:type="dxa"/>
            <w:noWrap w:val="0"/>
            <w:vAlign w:val="center"/>
          </w:tcPr>
          <w:p w14:paraId="0D72ED8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售后服务方案</w:t>
            </w:r>
          </w:p>
        </w:tc>
        <w:tc>
          <w:tcPr>
            <w:tcW w:w="6196" w:type="dxa"/>
            <w:noWrap w:val="0"/>
            <w:vAlign w:val="center"/>
          </w:tcPr>
          <w:p w14:paraId="3ABBE992">
            <w:pPr>
              <w:widowControl/>
              <w:spacing w:line="430" w:lineRule="exact"/>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val="en-US" w:eastAsia="zh-CN"/>
              </w:rPr>
              <w:t>14</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kern w:val="2"/>
                <w:sz w:val="21"/>
                <w:szCs w:val="24"/>
                <w:highlight w:val="none"/>
                <w:lang w:val="en-US" w:eastAsia="zh-CN" w:bidi="ar-SA"/>
              </w:rPr>
              <w:t>售后服务方案及服务承诺全面详实、逻辑清晰、闭环完整，可操作性极强。建立全周期售后保障体系，</w:t>
            </w:r>
            <w:r>
              <w:rPr>
                <w:rStyle w:val="51"/>
                <w:rFonts w:hint="eastAsia" w:ascii="仿宋_GB2312" w:hAnsi="仿宋_GB2312" w:eastAsia="仿宋_GB2312" w:cs="仿宋_GB2312"/>
                <w:color w:val="auto"/>
                <w:kern w:val="0"/>
                <w:sz w:val="21"/>
                <w:szCs w:val="24"/>
                <w:highlight w:val="none"/>
                <w:lang w:val="en-US" w:eastAsia="zh-CN" w:bidi="ar-SA"/>
              </w:rPr>
              <w:t>技术人员≥</w:t>
            </w:r>
            <w:r>
              <w:rPr>
                <w:rFonts w:hint="eastAsia" w:ascii="仿宋_GB2312" w:hAnsi="仿宋_GB2312" w:eastAsia="仿宋_GB2312" w:cs="仿宋_GB2312"/>
                <w:color w:val="auto"/>
                <w:kern w:val="2"/>
                <w:sz w:val="21"/>
                <w:szCs w:val="24"/>
                <w:highlight w:val="none"/>
                <w:lang w:val="en-US" w:eastAsia="zh-CN" w:bidi="ar-SA"/>
              </w:rPr>
              <w:t>2</w:t>
            </w:r>
            <w:r>
              <w:rPr>
                <w:rStyle w:val="51"/>
                <w:rFonts w:hint="eastAsia" w:ascii="仿宋_GB2312" w:hAnsi="仿宋_GB2312" w:eastAsia="仿宋_GB2312" w:cs="仿宋_GB2312"/>
                <w:color w:val="auto"/>
                <w:kern w:val="0"/>
                <w:sz w:val="21"/>
                <w:szCs w:val="24"/>
                <w:highlight w:val="none"/>
                <w:lang w:val="en-US" w:eastAsia="zh-CN" w:bidi="ar-SA"/>
              </w:rPr>
              <w:t>名</w:t>
            </w:r>
            <w:r>
              <w:rPr>
                <w:rFonts w:hint="eastAsia" w:ascii="仿宋_GB2312" w:hAnsi="仿宋_GB2312" w:eastAsia="仿宋_GB2312" w:cs="仿宋_GB2312"/>
                <w:color w:val="auto"/>
                <w:kern w:val="2"/>
                <w:sz w:val="21"/>
                <w:szCs w:val="24"/>
                <w:highlight w:val="none"/>
                <w:lang w:val="en-US" w:eastAsia="zh-CN" w:bidi="ar-SA"/>
              </w:rPr>
              <w:t>，售后团队配置充足；故障处置流程、报修响应、现场排查、修复交付全流程标准化，</w:t>
            </w:r>
            <w:r>
              <w:rPr>
                <w:rStyle w:val="51"/>
                <w:rFonts w:hint="eastAsia" w:ascii="仿宋_GB2312" w:hAnsi="仿宋_GB2312" w:eastAsia="仿宋_GB2312" w:cs="仿宋_GB2312"/>
                <w:color w:val="auto"/>
                <w:kern w:val="0"/>
                <w:sz w:val="21"/>
                <w:szCs w:val="24"/>
                <w:highlight w:val="none"/>
                <w:lang w:val="en-US" w:eastAsia="zh-CN" w:bidi="ar-SA"/>
              </w:rPr>
              <w:t>紧急故障响应≤30分钟、现场处置≤2小时</w:t>
            </w:r>
            <w:r>
              <w:rPr>
                <w:rFonts w:hint="eastAsia" w:ascii="仿宋_GB2312" w:hAnsi="仿宋_GB2312" w:eastAsia="仿宋_GB2312" w:cs="仿宋_GB2312"/>
                <w:color w:val="auto"/>
                <w:kern w:val="2"/>
                <w:sz w:val="21"/>
                <w:szCs w:val="24"/>
                <w:highlight w:val="none"/>
                <w:lang w:val="en-US" w:eastAsia="zh-CN" w:bidi="ar-SA"/>
              </w:rPr>
              <w:t>；完善保修期内免费维保、故障抢修、定期巡检服务，</w:t>
            </w:r>
            <w:r>
              <w:rPr>
                <w:rStyle w:val="50"/>
                <w:rFonts w:hint="eastAsia" w:ascii="仿宋_GB2312" w:hAnsi="仿宋_GB2312" w:eastAsia="仿宋_GB2312" w:cs="仿宋_GB2312"/>
                <w:color w:val="auto"/>
                <w:kern w:val="2"/>
                <w:sz w:val="21"/>
                <w:szCs w:val="24"/>
                <w:highlight w:val="none"/>
                <w:lang w:val="en-US" w:eastAsia="zh-CN" w:bidi="ar-SA"/>
              </w:rPr>
              <w:t>每季度不少于1次上门回访运维</w:t>
            </w:r>
            <w:r>
              <w:rPr>
                <w:rFonts w:hint="eastAsia" w:ascii="仿宋_GB2312" w:hAnsi="仿宋_GB2312" w:eastAsia="仿宋_GB2312" w:cs="仿宋_GB2312"/>
                <w:color w:val="auto"/>
                <w:kern w:val="2"/>
                <w:sz w:val="21"/>
                <w:szCs w:val="24"/>
                <w:highlight w:val="none"/>
                <w:lang w:val="en-US" w:eastAsia="zh-CN" w:bidi="ar-SA"/>
              </w:rPr>
              <w:t>；具备完善的零配件储备体系，常用备件库存充足、供货时效有保障；保修期外维修服务标准、收费标准、服务流程公开透明；配套完善的售后故障应急预案、突发问题处置机制，且投标人或产品厂商具备规范的售后管理制度、完善的售后资源体系，服务保障能力优于采购需求。</w:t>
            </w:r>
          </w:p>
          <w:p w14:paraId="0D466EB0">
            <w:pPr>
              <w:widowControl/>
              <w:spacing w:line="430" w:lineRule="exact"/>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二</w:t>
            </w:r>
            <w:r>
              <w:rPr>
                <w:rFonts w:hint="eastAsia" w:ascii="仿宋_GB2312" w:hAnsi="仿宋_GB2312" w:eastAsia="仿宋_GB2312" w:cs="仿宋_GB2312"/>
                <w:b/>
                <w:bCs/>
                <w:color w:val="auto"/>
                <w:highlight w:val="none"/>
                <w:lang w:eastAsia="zh-CN"/>
              </w:rPr>
              <w:t>档</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val="en-US" w:eastAsia="zh-CN"/>
              </w:rPr>
              <w:t>9</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售后服务方案完整规范，全面满足采购售后要求，核心售后指标（响应时效、维保服务等）优于采购基础需求。具备专项售后技术支持、基础故障应急方案、备件保障及回访机制，方案针对性、可行性较强，可有效保障项目后期稳定运行。</w:t>
            </w:r>
          </w:p>
          <w:p w14:paraId="356A299D">
            <w:pPr>
              <w:keepNext w:val="0"/>
              <w:keepLines w:val="0"/>
              <w:widowControl w:val="0"/>
              <w:suppressLineNumbers w:val="0"/>
              <w:kinsoku w:val="0"/>
              <w:autoSpaceDE w:val="0"/>
              <w:autoSpaceDN w:val="0"/>
              <w:spacing w:beforeLines="0" w:afterLines="0" w:line="440" w:lineRule="exact"/>
              <w:ind w:firstLine="422" w:firstLineChars="200"/>
              <w:jc w:val="left"/>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lang w:eastAsia="zh-CN"/>
              </w:rPr>
              <w:t>三</w:t>
            </w:r>
            <w:r>
              <w:rPr>
                <w:rFonts w:hint="eastAsia" w:ascii="仿宋_GB2312" w:hAnsi="仿宋_GB2312" w:eastAsia="仿宋_GB2312" w:cs="仿宋_GB2312"/>
                <w:b/>
                <w:bCs/>
                <w:color w:val="auto"/>
                <w:highlight w:val="none"/>
              </w:rPr>
              <w:t>档（</w:t>
            </w: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kern w:val="2"/>
                <w:sz w:val="21"/>
                <w:szCs w:val="24"/>
                <w:highlight w:val="none"/>
                <w:lang w:val="en-US" w:eastAsia="zh-CN" w:bidi="ar-SA"/>
              </w:rPr>
              <w:t>售后服务方案内容简略，仅覆盖基础采购售后需求，响应机制、维保措施、回访计划、备件保障等内容笼统，针对性、落地可行性一般，无细化量化服务标准。</w:t>
            </w:r>
          </w:p>
          <w:p w14:paraId="4720B6C7">
            <w:pPr>
              <w:spacing w:beforeLines="0" w:afterLines="0" w:line="430" w:lineRule="exact"/>
              <w:ind w:firstLine="422" w:firstLineChars="200"/>
              <w:rPr>
                <w:rFonts w:hint="eastAsia" w:ascii="仿宋_GB2312" w:hAnsi="仿宋_GB2312" w:eastAsia="仿宋_GB2312" w:cs="仿宋_GB2312"/>
                <w:b/>
                <w:color w:val="auto"/>
                <w:sz w:val="21"/>
                <w:szCs w:val="24"/>
                <w:highlight w:val="none"/>
              </w:rPr>
            </w:pPr>
            <w:r>
              <w:rPr>
                <w:rFonts w:hint="eastAsia" w:ascii="仿宋_GB2312" w:hAnsi="仿宋_GB2312" w:eastAsia="仿宋_GB2312" w:cs="仿宋_GB2312"/>
                <w:b/>
                <w:color w:val="auto"/>
                <w:sz w:val="21"/>
                <w:szCs w:val="24"/>
                <w:highlight w:val="none"/>
              </w:rPr>
              <w:t>注：1.该方案内容可以包括：（1）定期回访维护方案；（2）售后服务技术支持（包括售后服务机构、技术人员等）；（3）维修应急预案；（4）零配件储备供应；（5）保修期外维修方案。</w:t>
            </w:r>
          </w:p>
          <w:p w14:paraId="4E55F42D">
            <w:pPr>
              <w:pStyle w:val="926"/>
              <w:numPr>
                <w:ilvl w:val="0"/>
                <w:numId w:val="0"/>
              </w:numPr>
              <w:spacing w:line="360" w:lineRule="exact"/>
              <w:ind w:left="0" w:leftChars="0" w:firstLine="422" w:firstLineChars="200"/>
              <w:rPr>
                <w:rFonts w:ascii="仿宋_GB2312" w:hAnsi="仿宋_GB2312" w:eastAsia="仿宋_GB2312" w:cs="仿宋_GB2312"/>
                <w:color w:val="auto"/>
                <w:szCs w:val="24"/>
                <w:highlight w:val="none"/>
              </w:rPr>
            </w:pPr>
            <w:r>
              <w:rPr>
                <w:rFonts w:hint="eastAsia" w:ascii="仿宋_GB2312" w:hAnsi="仿宋_GB2312" w:eastAsia="仿宋_GB2312" w:cs="仿宋_GB2312"/>
                <w:b/>
                <w:color w:val="auto"/>
                <w:sz w:val="21"/>
                <w:szCs w:val="24"/>
                <w:highlight w:val="none"/>
              </w:rPr>
              <w:t>2.未提供方案或提供的内容与本项目无关的得0分。</w:t>
            </w:r>
          </w:p>
        </w:tc>
        <w:tc>
          <w:tcPr>
            <w:tcW w:w="737" w:type="dxa"/>
            <w:noWrap w:val="0"/>
            <w:vAlign w:val="center"/>
          </w:tcPr>
          <w:p w14:paraId="0BEBCF6F">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b/>
                <w:bCs/>
                <w:strike/>
                <w:color w:val="auto"/>
                <w:highlight w:val="none"/>
                <w:lang w:val="en-US" w:eastAsia="zh-CN"/>
              </w:rPr>
            </w:pPr>
            <w:r>
              <w:rPr>
                <w:rFonts w:hint="eastAsia" w:ascii="仿宋_GB2312" w:hAnsi="仿宋_GB2312" w:eastAsia="仿宋_GB2312" w:cs="仿宋_GB2312"/>
                <w:b/>
                <w:bCs/>
                <w:color w:val="auto"/>
                <w:highlight w:val="none"/>
                <w:lang w:val="en-US" w:eastAsia="zh-CN"/>
              </w:rPr>
              <w:t>14</w:t>
            </w:r>
          </w:p>
        </w:tc>
        <w:tc>
          <w:tcPr>
            <w:tcW w:w="1443" w:type="dxa"/>
            <w:noWrap w:val="0"/>
            <w:vAlign w:val="center"/>
          </w:tcPr>
          <w:p w14:paraId="244C3EDA">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售后服务方案</w:t>
            </w:r>
          </w:p>
        </w:tc>
      </w:tr>
      <w:tr w14:paraId="7EE12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35" w:type="dxa"/>
            <w:gridSpan w:val="3"/>
            <w:noWrap w:val="0"/>
            <w:vAlign w:val="center"/>
          </w:tcPr>
          <w:p w14:paraId="63F8EDBE">
            <w:pPr>
              <w:pStyle w:val="329"/>
              <w:keepNext w:val="0"/>
              <w:keepLines w:val="0"/>
              <w:pageBreakBefore w:val="0"/>
              <w:kinsoku/>
              <w:wordWrap/>
              <w:overflowPunct/>
              <w:topLinePunct w:val="0"/>
              <w:autoSpaceDE/>
              <w:autoSpaceDN/>
              <w:bidi w:val="0"/>
              <w:adjustRightInd/>
              <w:snapToGrid/>
              <w:spacing w:line="400" w:lineRule="exact"/>
              <w:ind w:firstLine="0" w:firstLineChars="0"/>
              <w:jc w:val="center"/>
              <w:textAlignment w:val="auto"/>
              <w:rPr>
                <w:rFonts w:ascii="仿宋_GB2312" w:hAnsi="仿宋_GB2312" w:eastAsia="仿宋_GB2312" w:cs="仿宋_GB2312"/>
                <w:b/>
                <w:bCs/>
                <w:color w:val="auto"/>
                <w:szCs w:val="24"/>
                <w:highlight w:val="none"/>
              </w:rPr>
            </w:pPr>
            <w:r>
              <w:rPr>
                <w:rFonts w:hint="eastAsia" w:ascii="仿宋_GB2312" w:hAnsi="仿宋_GB2312" w:eastAsia="仿宋_GB2312" w:cs="仿宋_GB2312"/>
                <w:b/>
                <w:bCs/>
                <w:color w:val="auto"/>
                <w:szCs w:val="24"/>
                <w:highlight w:val="none"/>
              </w:rPr>
              <w:t>主观分总分</w:t>
            </w:r>
          </w:p>
        </w:tc>
        <w:tc>
          <w:tcPr>
            <w:tcW w:w="737" w:type="dxa"/>
            <w:noWrap w:val="0"/>
            <w:vAlign w:val="center"/>
          </w:tcPr>
          <w:p w14:paraId="67AA11CE">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51</w:t>
            </w:r>
          </w:p>
        </w:tc>
        <w:tc>
          <w:tcPr>
            <w:tcW w:w="1443" w:type="dxa"/>
            <w:noWrap w:val="0"/>
            <w:vAlign w:val="center"/>
          </w:tcPr>
          <w:p w14:paraId="66050372">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color w:val="auto"/>
                <w:highlight w:val="none"/>
              </w:rPr>
            </w:pPr>
          </w:p>
        </w:tc>
      </w:tr>
    </w:tbl>
    <w:p w14:paraId="0B09AE04">
      <w:pPr>
        <w:pStyle w:val="314"/>
        <w:rPr>
          <w:color w:val="auto"/>
          <w:highlight w:val="none"/>
        </w:rPr>
      </w:pPr>
    </w:p>
    <w:p w14:paraId="72ADE6C6">
      <w:pPr>
        <w:rPr>
          <w:rFonts w:hint="eastAsia" w:ascii="仿宋_GB2312" w:eastAsia="仿宋_GB2312"/>
          <w:b/>
          <w:bCs/>
          <w:color w:val="auto"/>
          <w:sz w:val="24"/>
          <w:highlight w:val="none"/>
          <w:lang w:eastAsia="zh-CN"/>
        </w:rPr>
      </w:pPr>
      <w:r>
        <w:rPr>
          <w:rFonts w:hint="eastAsia" w:ascii="仿宋_GB2312" w:eastAsia="仿宋_GB2312"/>
          <w:b/>
          <w:bCs/>
          <w:color w:val="auto"/>
          <w:sz w:val="24"/>
          <w:highlight w:val="none"/>
          <w:lang w:eastAsia="zh-CN"/>
        </w:rPr>
        <w:br w:type="page"/>
      </w:r>
    </w:p>
    <w:p w14:paraId="14C9C0EA">
      <w:pPr>
        <w:pStyle w:val="5"/>
        <w:spacing w:line="240" w:lineRule="auto"/>
        <w:jc w:val="left"/>
        <w:rPr>
          <w:color w:val="auto"/>
          <w:highlight w:val="none"/>
        </w:rPr>
      </w:pPr>
      <w:r>
        <w:rPr>
          <w:rFonts w:hint="eastAsia" w:ascii="仿宋_GB2312" w:eastAsia="仿宋_GB2312"/>
          <w:b/>
          <w:bCs/>
          <w:color w:val="auto"/>
          <w:sz w:val="24"/>
          <w:highlight w:val="none"/>
          <w:lang w:eastAsia="zh-CN"/>
        </w:rPr>
        <w:t>分标</w:t>
      </w:r>
      <w:r>
        <w:rPr>
          <w:rFonts w:hint="eastAsia" w:ascii="仿宋_GB2312" w:eastAsia="仿宋_GB2312"/>
          <w:b/>
          <w:bCs/>
          <w:color w:val="auto"/>
          <w:sz w:val="24"/>
          <w:highlight w:val="none"/>
          <w:lang w:val="en-US" w:eastAsia="zh-CN"/>
        </w:rPr>
        <w:t>2</w:t>
      </w:r>
    </w:p>
    <w:tbl>
      <w:tblPr>
        <w:tblStyle w:val="316"/>
        <w:tblpPr w:leftFromText="180" w:rightFromText="180" w:vertAnchor="text" w:horzAnchor="page" w:tblpX="661" w:tblpY="378"/>
        <w:tblOverlap w:val="never"/>
        <w:tblW w:w="103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1087"/>
        <w:gridCol w:w="6000"/>
        <w:gridCol w:w="838"/>
        <w:gridCol w:w="1402"/>
      </w:tblGrid>
      <w:tr w14:paraId="22013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310" w:type="dxa"/>
            <w:gridSpan w:val="5"/>
            <w:shd w:val="clear" w:color="auto" w:fill="D7D7D7"/>
            <w:vAlign w:val="center"/>
          </w:tcPr>
          <w:p w14:paraId="3AC4D73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highlight w:val="none"/>
                <w:lang w:val="en-US" w:eastAsia="zh-CN"/>
              </w:rPr>
            </w:pPr>
            <w:r>
              <w:rPr>
                <w:rFonts w:hint="eastAsia" w:ascii="仿宋_GB2312" w:eastAsia="仿宋_GB2312"/>
                <w:b/>
                <w:color w:val="auto"/>
                <w:sz w:val="32"/>
                <w:highlight w:val="none"/>
              </w:rPr>
              <w:t>客观分</w:t>
            </w:r>
          </w:p>
        </w:tc>
      </w:tr>
      <w:tr w14:paraId="2B58A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7C55989E">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1087" w:type="dxa"/>
            <w:vAlign w:val="center"/>
          </w:tcPr>
          <w:p w14:paraId="66D681FD">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6000" w:type="dxa"/>
            <w:vAlign w:val="center"/>
          </w:tcPr>
          <w:p w14:paraId="4C7134DE">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838" w:type="dxa"/>
            <w:vAlign w:val="center"/>
          </w:tcPr>
          <w:p w14:paraId="5E5BED9E">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402" w:type="dxa"/>
            <w:vAlign w:val="center"/>
          </w:tcPr>
          <w:p w14:paraId="7149DBF4">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对应的投标文件格式</w:t>
            </w:r>
          </w:p>
        </w:tc>
      </w:tr>
      <w:tr w14:paraId="54462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983" w:type="dxa"/>
            <w:vAlign w:val="center"/>
          </w:tcPr>
          <w:p w14:paraId="1A68BB66">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价格分</w:t>
            </w:r>
          </w:p>
        </w:tc>
        <w:tc>
          <w:tcPr>
            <w:tcW w:w="1087" w:type="dxa"/>
            <w:vAlign w:val="center"/>
          </w:tcPr>
          <w:p w14:paraId="540B58E4">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w:t>
            </w:r>
          </w:p>
        </w:tc>
        <w:tc>
          <w:tcPr>
            <w:tcW w:w="6000" w:type="dxa"/>
            <w:vAlign w:val="center"/>
          </w:tcPr>
          <w:p w14:paraId="40267959">
            <w:pPr>
              <w:spacing w:line="400" w:lineRule="exact"/>
              <w:ind w:firstLine="420" w:firstLineChars="200"/>
              <w:rPr>
                <w:rFonts w:ascii="仿宋_GB2312" w:eastAsia="仿宋_GB2312"/>
                <w:color w:val="auto"/>
                <w:highlight w:val="none"/>
              </w:rPr>
            </w:pPr>
            <w:r>
              <w:rPr>
                <w:rFonts w:hint="eastAsia" w:ascii="仿宋_GB2312" w:eastAsia="仿宋_GB2312"/>
                <w:color w:val="auto"/>
                <w:highlight w:val="none"/>
              </w:rPr>
              <w:t>1.满足招标文件要求且投标价格最低的投标报价为评标基准价，其投标人的报价分为最高分30分；</w:t>
            </w:r>
          </w:p>
          <w:p w14:paraId="02604B7D">
            <w:pPr>
              <w:spacing w:line="400" w:lineRule="exact"/>
              <w:ind w:firstLine="420" w:firstLineChars="200"/>
              <w:rPr>
                <w:rFonts w:ascii="仿宋_GB2312" w:eastAsia="仿宋_GB2312"/>
                <w:color w:val="auto"/>
                <w:highlight w:val="none"/>
              </w:rPr>
            </w:pPr>
            <w:r>
              <w:rPr>
                <w:rFonts w:hint="eastAsia" w:ascii="仿宋_GB2312" w:eastAsia="仿宋_GB2312"/>
                <w:color w:val="auto"/>
                <w:highlight w:val="none"/>
              </w:rPr>
              <w:t>2.其他投标人的报价得分按以下公式计算：</w:t>
            </w:r>
          </w:p>
          <w:p w14:paraId="33E13C11">
            <w:pPr>
              <w:spacing w:line="400" w:lineRule="exact"/>
              <w:ind w:firstLine="420" w:firstLineChars="200"/>
              <w:rPr>
                <w:rFonts w:ascii="仿宋_GB2312" w:eastAsia="仿宋_GB2312"/>
                <w:color w:val="auto"/>
                <w:highlight w:val="none"/>
              </w:rPr>
            </w:pPr>
            <w:r>
              <w:rPr>
                <w:rFonts w:hint="eastAsia" w:ascii="仿宋_GB2312" w:eastAsia="仿宋_GB2312"/>
                <w:color w:val="auto"/>
                <w:highlight w:val="none"/>
              </w:rPr>
              <w:t>报价得分=（评标基准价／某投标人投标报价）×30分；</w:t>
            </w:r>
          </w:p>
          <w:p w14:paraId="613F24D6">
            <w:pPr>
              <w:spacing w:line="400" w:lineRule="exact"/>
              <w:ind w:firstLine="420" w:firstLineChars="200"/>
              <w:rPr>
                <w:rFonts w:ascii="仿宋_GB2312" w:eastAsia="仿宋_GB2312"/>
                <w:color w:val="auto"/>
                <w:highlight w:val="none"/>
              </w:rPr>
            </w:pPr>
            <w:r>
              <w:rPr>
                <w:rFonts w:hint="eastAsia" w:ascii="仿宋_GB2312" w:eastAsia="仿宋_GB2312"/>
                <w:color w:val="auto"/>
                <w:highlight w:val="none"/>
              </w:rPr>
              <w:t>3.小型、微型企业价格折扣率：</w:t>
            </w:r>
          </w:p>
          <w:p w14:paraId="4DFCA0DB">
            <w:pPr>
              <w:spacing w:line="400" w:lineRule="exact"/>
              <w:ind w:firstLine="420" w:firstLineChars="200"/>
              <w:rPr>
                <w:rFonts w:ascii="仿宋_GB2312" w:eastAsia="仿宋_GB2312"/>
                <w:color w:val="auto"/>
                <w:highlight w:val="none"/>
              </w:rPr>
            </w:pPr>
            <w:r>
              <w:rPr>
                <w:rFonts w:hint="eastAsia" w:ascii="仿宋_GB2312" w:eastAsia="仿宋_GB2312"/>
                <w:color w:val="auto"/>
                <w:highlight w:val="none"/>
              </w:rPr>
              <w:t>符合《政府采购促进中小企业发展管理办法》（财库〔2020〕46号）规定条件且出具该办法规定的《中小企业声明函》的小型和微型企业参与报价，对其报价给予20%的扣除。监狱企业、残疾人福利性企业视同小微型企业，不重复享受政策。</w:t>
            </w:r>
          </w:p>
          <w:p w14:paraId="3A6B6A8A">
            <w:pPr>
              <w:spacing w:line="400" w:lineRule="exact"/>
              <w:ind w:firstLine="420" w:firstLineChars="200"/>
              <w:rPr>
                <w:rFonts w:ascii="仿宋_GB2312" w:eastAsia="仿宋_GB2312"/>
                <w:color w:val="auto"/>
                <w:highlight w:val="none"/>
              </w:rPr>
            </w:pPr>
            <w:r>
              <w:rPr>
                <w:rFonts w:hint="eastAsia" w:ascii="仿宋_GB2312" w:eastAsia="仿宋_GB2312"/>
                <w:color w:val="auto"/>
                <w:highlight w:val="none"/>
              </w:rPr>
              <w:t>4.本国产品价格折扣：</w:t>
            </w:r>
          </w:p>
          <w:p w14:paraId="25902D5D">
            <w:pPr>
              <w:spacing w:line="400" w:lineRule="exact"/>
              <w:ind w:firstLine="420" w:firstLineChars="200"/>
              <w:rPr>
                <w:rFonts w:ascii="仿宋_GB2312" w:eastAsia="仿宋_GB2312"/>
                <w:color w:val="auto"/>
                <w:highlight w:val="none"/>
              </w:rPr>
            </w:pPr>
            <w:r>
              <w:rPr>
                <w:rFonts w:hint="eastAsia" w:ascii="仿宋_GB2312" w:eastAsia="仿宋_GB2312"/>
                <w:color w:val="auto"/>
                <w:highlight w:val="none"/>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49034B66">
            <w:pPr>
              <w:spacing w:line="400" w:lineRule="exact"/>
              <w:ind w:firstLine="420" w:firstLineChars="200"/>
              <w:rPr>
                <w:rFonts w:ascii="仿宋_GB2312" w:eastAsia="仿宋_GB2312"/>
                <w:color w:val="auto"/>
                <w:highlight w:val="none"/>
              </w:rPr>
            </w:pPr>
            <w:r>
              <w:rPr>
                <w:rFonts w:hint="eastAsia" w:ascii="仿宋_GB2312" w:eastAsia="仿宋_GB2312"/>
                <w:color w:val="auto"/>
                <w:highlight w:val="none"/>
              </w:rPr>
              <w:t>（2）当采购项目中含有多种产品，投标人为该采购项目提供的符合本国产品标准的产品成本之和应占该投标人提供的全部产品成本之和的比例达到80%以上，方可依法享受本国产品价格扣除。</w:t>
            </w:r>
          </w:p>
          <w:p w14:paraId="5A031F60">
            <w:pPr>
              <w:spacing w:line="400" w:lineRule="exact"/>
              <w:ind w:firstLine="420" w:firstLineChars="200"/>
              <w:rPr>
                <w:rFonts w:ascii="仿宋_GB2312" w:eastAsia="仿宋_GB2312"/>
                <w:color w:val="auto"/>
                <w:highlight w:val="none"/>
              </w:rPr>
            </w:pPr>
            <w:r>
              <w:rPr>
                <w:rFonts w:hint="eastAsia" w:ascii="仿宋_GB2312" w:eastAsia="仿宋_GB2312"/>
                <w:color w:val="auto"/>
                <w:highlight w:val="none"/>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0BFB2C3D">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仿宋_GB2312" w:hAnsi="仿宋_GB2312" w:eastAsia="仿宋_GB2312" w:cs="仿宋_GB2312"/>
                <w:b/>
                <w:color w:val="auto"/>
                <w:highlight w:val="none"/>
              </w:rPr>
            </w:pPr>
            <w:r>
              <w:rPr>
                <w:rFonts w:hint="eastAsia" w:ascii="仿宋_GB2312" w:eastAsia="仿宋_GB2312"/>
                <w:color w:val="auto"/>
                <w:highlight w:val="none"/>
              </w:rPr>
              <w:t>5.政策性扣除计算方法：评标价=投标人投标报价×（1-小微企业政策扣除比例-本国产品政策扣除比例），除上述政策性扣除情况外，评标价=投标人投标报价。</w:t>
            </w:r>
          </w:p>
        </w:tc>
        <w:tc>
          <w:tcPr>
            <w:tcW w:w="838" w:type="dxa"/>
            <w:vAlign w:val="center"/>
          </w:tcPr>
          <w:p w14:paraId="7B8AD661">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strike/>
                <w:color w:val="auto"/>
                <w:highlight w:val="none"/>
              </w:rPr>
            </w:pPr>
            <w:r>
              <w:rPr>
                <w:rFonts w:ascii="仿宋_GB2312" w:hAnsi="仿宋_GB2312" w:eastAsia="仿宋_GB2312" w:cs="仿宋_GB2312"/>
                <w:b/>
                <w:bCs/>
                <w:color w:val="auto"/>
                <w:highlight w:val="none"/>
              </w:rPr>
              <w:t>30</w:t>
            </w:r>
          </w:p>
        </w:tc>
        <w:tc>
          <w:tcPr>
            <w:tcW w:w="1402" w:type="dxa"/>
            <w:vAlign w:val="center"/>
          </w:tcPr>
          <w:p w14:paraId="26C92D83">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bCs/>
                <w:color w:val="auto"/>
                <w:highlight w:val="none"/>
              </w:rPr>
            </w:pPr>
          </w:p>
        </w:tc>
      </w:tr>
      <w:tr w14:paraId="2FA18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7" w:hRule="atLeast"/>
        </w:trPr>
        <w:tc>
          <w:tcPr>
            <w:tcW w:w="983" w:type="dxa"/>
            <w:vAlign w:val="center"/>
          </w:tcPr>
          <w:p w14:paraId="439BB5E2">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信誉分</w:t>
            </w:r>
          </w:p>
        </w:tc>
        <w:tc>
          <w:tcPr>
            <w:tcW w:w="1087" w:type="dxa"/>
            <w:tcBorders>
              <w:bottom w:val="single" w:color="auto" w:sz="4" w:space="0"/>
            </w:tcBorders>
            <w:vAlign w:val="center"/>
          </w:tcPr>
          <w:p w14:paraId="43D2CD14">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体系认证</w:t>
            </w:r>
          </w:p>
        </w:tc>
        <w:tc>
          <w:tcPr>
            <w:tcW w:w="6000" w:type="dxa"/>
            <w:tcBorders>
              <w:bottom w:val="single" w:color="auto" w:sz="4" w:space="0"/>
            </w:tcBorders>
            <w:vAlign w:val="center"/>
          </w:tcPr>
          <w:p w14:paraId="0FB1C52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仿宋_GB2312" w:eastAsia="仿宋_GB2312"/>
                <w:color w:val="auto"/>
                <w:szCs w:val="21"/>
                <w:highlight w:val="none"/>
              </w:rPr>
            </w:pPr>
            <w:r>
              <w:rPr>
                <w:rFonts w:hint="eastAsia" w:ascii="仿宋_GB2312" w:eastAsia="仿宋_GB2312"/>
                <w:color w:val="auto"/>
                <w:highlight w:val="none"/>
              </w:rPr>
              <w:t>1.投标人或</w:t>
            </w:r>
            <w:r>
              <w:rPr>
                <w:rFonts w:hint="eastAsia" w:ascii="仿宋_GB2312" w:hAnsi="仿宋_GB2312" w:eastAsia="仿宋_GB2312" w:cs="仿宋_GB2312"/>
                <w:color w:val="auto"/>
                <w:highlight w:val="none"/>
              </w:rPr>
              <w:t>投标核心产品</w:t>
            </w:r>
            <w:r>
              <w:rPr>
                <w:rFonts w:hint="eastAsia" w:ascii="仿宋_GB2312" w:eastAsia="仿宋_GB2312"/>
                <w:color w:val="auto"/>
                <w:highlight w:val="none"/>
              </w:rPr>
              <w:t>生产厂商具备有效的质量管理体系认证证书得1分，满分1分。</w:t>
            </w:r>
          </w:p>
          <w:p w14:paraId="43C25D73">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仿宋_GB2312" w:eastAsia="仿宋_GB2312"/>
                <w:color w:val="auto"/>
                <w:highlight w:val="none"/>
              </w:rPr>
            </w:pPr>
            <w:r>
              <w:rPr>
                <w:rFonts w:hint="eastAsia" w:ascii="仿宋_GB2312" w:eastAsia="仿宋_GB2312"/>
                <w:color w:val="auto"/>
                <w:highlight w:val="none"/>
              </w:rPr>
              <w:t>2.投标人或</w:t>
            </w:r>
            <w:r>
              <w:rPr>
                <w:rFonts w:hint="eastAsia" w:ascii="仿宋_GB2312" w:hAnsi="仿宋_GB2312" w:eastAsia="仿宋_GB2312" w:cs="仿宋_GB2312"/>
                <w:color w:val="auto"/>
                <w:highlight w:val="none"/>
              </w:rPr>
              <w:t>投标核心产品</w:t>
            </w:r>
            <w:r>
              <w:rPr>
                <w:rFonts w:hint="eastAsia" w:ascii="仿宋_GB2312" w:eastAsia="仿宋_GB2312"/>
                <w:color w:val="auto"/>
                <w:highlight w:val="none"/>
              </w:rPr>
              <w:t>生产厂商具备有效的环境管理体系认证证书得1分，满分1分。</w:t>
            </w:r>
          </w:p>
          <w:p w14:paraId="3D3864A0">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仿宋_GB2312" w:eastAsia="仿宋_GB2312"/>
                <w:color w:val="auto"/>
                <w:highlight w:val="none"/>
              </w:rPr>
            </w:pPr>
            <w:r>
              <w:rPr>
                <w:rFonts w:hint="eastAsia" w:ascii="仿宋_GB2312" w:eastAsia="仿宋_GB2312"/>
                <w:color w:val="auto"/>
                <w:highlight w:val="none"/>
              </w:rPr>
              <w:t>3.投标人或</w:t>
            </w:r>
            <w:r>
              <w:rPr>
                <w:rFonts w:hint="eastAsia" w:ascii="仿宋_GB2312" w:hAnsi="仿宋_GB2312" w:eastAsia="仿宋_GB2312" w:cs="仿宋_GB2312"/>
                <w:color w:val="auto"/>
                <w:highlight w:val="none"/>
              </w:rPr>
              <w:t>投标核心产品</w:t>
            </w:r>
            <w:r>
              <w:rPr>
                <w:rFonts w:hint="eastAsia" w:ascii="仿宋_GB2312" w:eastAsia="仿宋_GB2312"/>
                <w:color w:val="auto"/>
                <w:highlight w:val="none"/>
              </w:rPr>
              <w:t>生产厂商具备有效的职业健康安全管理体系认证证书得1分，满分1分。</w:t>
            </w:r>
          </w:p>
          <w:p w14:paraId="79EEBA10">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color w:val="auto"/>
                <w:highlight w:val="none"/>
              </w:rPr>
            </w:pPr>
            <w:r>
              <w:rPr>
                <w:rFonts w:hint="eastAsia" w:ascii="仿宋_GB2312" w:hAnsi="仿宋_GB2312" w:eastAsia="仿宋_GB2312" w:cs="仿宋_GB2312"/>
                <w:b/>
                <w:color w:val="auto"/>
                <w:highlight w:val="none"/>
              </w:rPr>
              <w:t>注：投标人提供证书材料并加盖投标人CA电子签章，否则不予计分。</w:t>
            </w:r>
          </w:p>
        </w:tc>
        <w:tc>
          <w:tcPr>
            <w:tcW w:w="838" w:type="dxa"/>
            <w:tcBorders>
              <w:bottom w:val="single" w:color="auto" w:sz="4" w:space="0"/>
            </w:tcBorders>
            <w:vAlign w:val="center"/>
          </w:tcPr>
          <w:p w14:paraId="266025A1">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bCs/>
                <w:color w:val="auto"/>
                <w:highlight w:val="none"/>
              </w:rPr>
            </w:pPr>
            <w:r>
              <w:rPr>
                <w:rFonts w:ascii="仿宋_GB2312" w:hAnsi="仿宋_GB2312" w:eastAsia="仿宋_GB2312" w:cs="仿宋_GB2312"/>
                <w:b/>
                <w:bCs/>
                <w:color w:val="auto"/>
                <w:highlight w:val="none"/>
              </w:rPr>
              <w:t>3</w:t>
            </w:r>
          </w:p>
        </w:tc>
        <w:tc>
          <w:tcPr>
            <w:tcW w:w="1402" w:type="dxa"/>
            <w:tcBorders>
              <w:bottom w:val="single" w:color="auto" w:sz="4" w:space="0"/>
            </w:tcBorders>
            <w:vAlign w:val="center"/>
          </w:tcPr>
          <w:p w14:paraId="722A4F2A">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相关认证证书材料</w:t>
            </w:r>
          </w:p>
        </w:tc>
      </w:tr>
      <w:tr w14:paraId="7496F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9" w:hRule="atLeast"/>
        </w:trPr>
        <w:tc>
          <w:tcPr>
            <w:tcW w:w="983" w:type="dxa"/>
            <w:vAlign w:val="center"/>
          </w:tcPr>
          <w:p w14:paraId="4B28F012">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宋体" w:eastAsia="仿宋_GB2312"/>
                <w:b/>
                <w:color w:val="auto"/>
                <w:highlight w:val="none"/>
              </w:rPr>
              <w:t>政策功能分</w:t>
            </w:r>
          </w:p>
        </w:tc>
        <w:tc>
          <w:tcPr>
            <w:tcW w:w="1087" w:type="dxa"/>
            <w:vAlign w:val="center"/>
          </w:tcPr>
          <w:p w14:paraId="126A91E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highlight w:val="none"/>
              </w:rPr>
            </w:pPr>
            <w:r>
              <w:rPr>
                <w:rFonts w:hint="eastAsia" w:ascii="仿宋_GB2312" w:hAnsi="宋体" w:eastAsia="仿宋_GB2312"/>
                <w:b/>
                <w:color w:val="auto"/>
                <w:highlight w:val="none"/>
              </w:rPr>
              <w:t>政策功能</w:t>
            </w:r>
          </w:p>
        </w:tc>
        <w:tc>
          <w:tcPr>
            <w:tcW w:w="6000" w:type="dxa"/>
            <w:vAlign w:val="center"/>
          </w:tcPr>
          <w:p w14:paraId="3AA3C46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仿宋_GB2312" w:hAnsi="仿宋_GB2312" w:eastAsia="仿宋_GB2312" w:cs="仿宋_GB2312"/>
                <w:color w:val="auto"/>
                <w:highlight w:val="none"/>
              </w:rPr>
            </w:pPr>
            <w:r>
              <w:rPr>
                <w:rFonts w:hint="eastAsia" w:ascii="仿宋_GB2312" w:hAnsi="仿宋_GB2312" w:eastAsia="仿宋_GB2312" w:cs="仿宋_GB2312"/>
                <w:color w:val="auto"/>
                <w:szCs w:val="21"/>
                <w:highlight w:val="none"/>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每有一项产品得1分，满分</w:t>
            </w:r>
            <w:r>
              <w:rPr>
                <w:rFonts w:ascii="仿宋_GB2312" w:hAnsi="仿宋_GB2312" w:eastAsia="仿宋_GB2312" w:cs="仿宋_GB2312"/>
                <w:color w:val="auto"/>
                <w:szCs w:val="21"/>
                <w:highlight w:val="none"/>
              </w:rPr>
              <w:t>1</w:t>
            </w:r>
            <w:r>
              <w:rPr>
                <w:rFonts w:hint="eastAsia" w:ascii="仿宋_GB2312" w:hAnsi="仿宋_GB2312" w:eastAsia="仿宋_GB2312" w:cs="仿宋_GB2312"/>
                <w:color w:val="auto"/>
                <w:szCs w:val="21"/>
                <w:highlight w:val="none"/>
              </w:rPr>
              <w:t>分。</w:t>
            </w:r>
          </w:p>
        </w:tc>
        <w:tc>
          <w:tcPr>
            <w:tcW w:w="838" w:type="dxa"/>
            <w:vAlign w:val="center"/>
          </w:tcPr>
          <w:p w14:paraId="084519C8">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bCs/>
                <w:color w:val="auto"/>
                <w:highlight w:val="none"/>
              </w:rPr>
            </w:pPr>
            <w:r>
              <w:rPr>
                <w:rFonts w:ascii="仿宋_GB2312" w:hAnsi="仿宋_GB2312" w:eastAsia="仿宋_GB2312" w:cs="仿宋_GB2312"/>
                <w:b/>
                <w:bCs/>
                <w:color w:val="auto"/>
                <w:highlight w:val="none"/>
              </w:rPr>
              <w:t>1</w:t>
            </w:r>
          </w:p>
        </w:tc>
        <w:tc>
          <w:tcPr>
            <w:tcW w:w="1402" w:type="dxa"/>
            <w:vAlign w:val="center"/>
          </w:tcPr>
          <w:p w14:paraId="006952F8">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相关证明材料</w:t>
            </w:r>
          </w:p>
        </w:tc>
      </w:tr>
      <w:tr w14:paraId="364C6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3" w:type="dxa"/>
            <w:vAlign w:val="center"/>
          </w:tcPr>
          <w:p w14:paraId="1A574F9D">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技术参数分</w:t>
            </w:r>
          </w:p>
        </w:tc>
        <w:tc>
          <w:tcPr>
            <w:tcW w:w="1087" w:type="dxa"/>
            <w:vAlign w:val="center"/>
          </w:tcPr>
          <w:p w14:paraId="73A02CBE">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一般技术参数</w:t>
            </w:r>
          </w:p>
        </w:tc>
        <w:tc>
          <w:tcPr>
            <w:tcW w:w="6000" w:type="dxa"/>
            <w:vAlign w:val="center"/>
          </w:tcPr>
          <w:p w14:paraId="0B48259D">
            <w:pPr>
              <w:spacing w:line="400" w:lineRule="exact"/>
              <w:ind w:firstLine="420" w:firstLineChars="200"/>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所投产品标记“◆”符号带下划线“</w:t>
            </w:r>
            <w:r>
              <w:rPr>
                <w:rFonts w:hint="eastAsia" w:ascii="仿宋_GB2312" w:hAnsi="仿宋_GB2312" w:eastAsia="仿宋_GB2312" w:cs="仿宋_GB2312"/>
                <w:color w:val="auto"/>
                <w:highlight w:val="none"/>
                <w:u w:val="wave"/>
                <w:lang w:val="en-US" w:eastAsia="zh-CN"/>
              </w:rPr>
              <w:t xml:space="preserve">    </w:t>
            </w:r>
            <w:r>
              <w:rPr>
                <w:rFonts w:hint="eastAsia" w:ascii="仿宋_GB2312" w:hAnsi="仿宋_GB2312" w:eastAsia="仿宋_GB2312" w:cs="仿宋_GB2312"/>
                <w:color w:val="auto"/>
                <w:highlight w:val="none"/>
                <w:lang w:val="en-US" w:eastAsia="zh-CN"/>
              </w:rPr>
              <w:t>”的技术参数优于采购需求的，每有一项的得3分（如一项“◆”技术参数有多个下划线“</w:t>
            </w:r>
            <w:r>
              <w:rPr>
                <w:rFonts w:hint="eastAsia" w:ascii="仿宋_GB2312" w:hAnsi="仿宋_GB2312" w:eastAsia="仿宋_GB2312" w:cs="仿宋_GB2312"/>
                <w:color w:val="auto"/>
                <w:highlight w:val="none"/>
                <w:u w:val="wave"/>
                <w:lang w:val="en-US" w:eastAsia="zh-CN"/>
              </w:rPr>
              <w:t xml:space="preserve">    </w:t>
            </w:r>
            <w:r>
              <w:rPr>
                <w:rFonts w:hint="eastAsia" w:ascii="仿宋_GB2312" w:hAnsi="仿宋_GB2312" w:eastAsia="仿宋_GB2312" w:cs="仿宋_GB2312"/>
                <w:color w:val="auto"/>
                <w:highlight w:val="none"/>
                <w:lang w:val="en-US" w:eastAsia="zh-CN"/>
              </w:rPr>
              <w:t>”参数，优于其中一个参数即可），满分15分。</w:t>
            </w:r>
          </w:p>
          <w:p w14:paraId="62B819F6">
            <w:pPr>
              <w:spacing w:line="400" w:lineRule="exact"/>
              <w:ind w:firstLine="422" w:firstLineChars="200"/>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注：1.标记“◆”符号的技术参数为一项;</w:t>
            </w:r>
          </w:p>
          <w:p w14:paraId="26A2C54D">
            <w:pPr>
              <w:spacing w:line="400" w:lineRule="exact"/>
              <w:ind w:firstLine="422" w:firstLineChars="200"/>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2.标记“◆”带“</w:t>
            </w:r>
            <w:r>
              <w:rPr>
                <w:rFonts w:hint="eastAsia" w:ascii="仿宋_GB2312" w:hAnsi="仿宋_GB2312" w:eastAsia="仿宋_GB2312" w:cs="仿宋_GB2312"/>
                <w:color w:val="auto"/>
                <w:highlight w:val="none"/>
                <w:u w:val="wave"/>
                <w:lang w:val="en-US" w:eastAsia="zh-CN"/>
              </w:rPr>
              <w:t xml:space="preserve">    </w:t>
            </w:r>
            <w:r>
              <w:rPr>
                <w:rFonts w:hint="eastAsia" w:ascii="仿宋_GB2312" w:hAnsi="仿宋_GB2312" w:eastAsia="仿宋_GB2312" w:cs="仿宋_GB2312"/>
                <w:b/>
                <w:bCs/>
                <w:color w:val="auto"/>
                <w:highlight w:val="none"/>
                <w:lang w:val="en-US" w:eastAsia="zh-CN"/>
              </w:rPr>
              <w:t>”参数中：≥XX的技术参数，投标人响应的参数仅等于XX的为无偏离，＞XX为正偏离（优于）；≤XX的技术参数，投标人响应的参数仅等于XX的为无偏离，＜XX为正偏离（优于）；</w:t>
            </w:r>
          </w:p>
          <w:p w14:paraId="3363FF44">
            <w:pPr>
              <w:keepNext w:val="0"/>
              <w:keepLines w:val="0"/>
              <w:pageBreakBefore w:val="0"/>
              <w:kinsoku/>
              <w:wordWrap/>
              <w:overflowPunct/>
              <w:topLinePunct w:val="0"/>
              <w:autoSpaceDE/>
              <w:autoSpaceDN/>
              <w:bidi w:val="0"/>
              <w:adjustRightInd/>
              <w:snapToGrid/>
              <w:spacing w:line="400" w:lineRule="exact"/>
              <w:ind w:firstLine="422" w:firstLineChars="200"/>
              <w:jc w:val="left"/>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lang w:val="en-US" w:eastAsia="zh-CN"/>
              </w:rPr>
              <w:t>3.标记“◆”带“</w:t>
            </w:r>
            <w:r>
              <w:rPr>
                <w:rFonts w:hint="eastAsia" w:ascii="仿宋_GB2312" w:hAnsi="仿宋_GB2312" w:eastAsia="仿宋_GB2312" w:cs="仿宋_GB2312"/>
                <w:color w:val="auto"/>
                <w:highlight w:val="none"/>
                <w:u w:val="wave"/>
                <w:lang w:val="en-US" w:eastAsia="zh-CN"/>
              </w:rPr>
              <w:t xml:space="preserve">    </w:t>
            </w:r>
            <w:r>
              <w:rPr>
                <w:rFonts w:hint="eastAsia" w:ascii="仿宋_GB2312" w:hAnsi="仿宋_GB2312" w:eastAsia="仿宋_GB2312" w:cs="仿宋_GB2312"/>
                <w:b/>
                <w:bCs/>
                <w:color w:val="auto"/>
                <w:highlight w:val="none"/>
                <w:lang w:val="en-US" w:eastAsia="zh-CN"/>
              </w:rPr>
              <w:t>”参数中内容优于采购需求的，投标人提供证明材料，证明材料可以是检测（检验）报告、彩页、官网或功能截图等任意一种，并加盖投标人CA电子签章，所提供的证明材料应体现标记“◆”带“</w:t>
            </w:r>
            <w:r>
              <w:rPr>
                <w:rFonts w:hint="eastAsia" w:ascii="仿宋_GB2312" w:hAnsi="仿宋_GB2312" w:eastAsia="仿宋_GB2312" w:cs="仿宋_GB2312"/>
                <w:color w:val="auto"/>
                <w:highlight w:val="none"/>
                <w:u w:val="wave"/>
                <w:lang w:val="en-US" w:eastAsia="zh-CN"/>
              </w:rPr>
              <w:t xml:space="preserve">    </w:t>
            </w:r>
            <w:r>
              <w:rPr>
                <w:rFonts w:hint="eastAsia" w:ascii="仿宋_GB2312" w:hAnsi="仿宋_GB2312" w:eastAsia="仿宋_GB2312" w:cs="仿宋_GB2312"/>
                <w:b/>
                <w:bCs/>
                <w:color w:val="auto"/>
                <w:highlight w:val="none"/>
                <w:lang w:val="en-US" w:eastAsia="zh-CN"/>
              </w:rPr>
              <w:t>”技术参数中优于部分的内容，如未提供证明材料，或提供的证明材料内容无优于的,对应项不予计分。</w:t>
            </w:r>
            <w:r>
              <w:rPr>
                <w:rFonts w:ascii="仿宋_GB2312" w:hAnsi="仿宋_GB2312" w:eastAsia="仿宋_GB2312" w:cs="仿宋_GB2312"/>
                <w:color w:val="auto"/>
                <w:szCs w:val="21"/>
                <w:highlight w:val="none"/>
              </w:rPr>
              <w:t xml:space="preserve">             </w:t>
            </w:r>
            <w:r>
              <w:rPr>
                <w:rFonts w:ascii="仿宋_GB2312" w:hAnsi="仿宋_GB2312" w:eastAsia="仿宋_GB2312" w:cs="仿宋_GB2312"/>
                <w:color w:val="auto"/>
                <w:highlight w:val="none"/>
              </w:rPr>
              <w:t xml:space="preserve">      </w:t>
            </w:r>
            <w:r>
              <w:rPr>
                <w:rFonts w:hint="eastAsia"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t xml:space="preserve">                                               </w:t>
            </w:r>
          </w:p>
        </w:tc>
        <w:tc>
          <w:tcPr>
            <w:tcW w:w="838" w:type="dxa"/>
            <w:vAlign w:val="center"/>
          </w:tcPr>
          <w:p w14:paraId="1CBA31C2">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strike/>
                <w:color w:val="auto"/>
                <w:highlight w:val="none"/>
                <w:lang w:val="en-US" w:eastAsia="zh-CN"/>
              </w:rPr>
            </w:pPr>
            <w:r>
              <w:rPr>
                <w:rFonts w:hint="eastAsia" w:ascii="仿宋_GB2312" w:hAnsi="仿宋_GB2312" w:eastAsia="仿宋_GB2312" w:cs="仿宋_GB2312"/>
                <w:b/>
                <w:bCs/>
                <w:color w:val="auto"/>
                <w:highlight w:val="none"/>
                <w:lang w:val="en-US" w:eastAsia="zh-CN"/>
              </w:rPr>
              <w:t>15</w:t>
            </w:r>
          </w:p>
        </w:tc>
        <w:tc>
          <w:tcPr>
            <w:tcW w:w="1402" w:type="dxa"/>
            <w:vAlign w:val="center"/>
          </w:tcPr>
          <w:p w14:paraId="36F15258">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技术响应表及相关证明材料</w:t>
            </w:r>
          </w:p>
        </w:tc>
      </w:tr>
      <w:tr w14:paraId="6E3E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070" w:type="dxa"/>
            <w:gridSpan w:val="3"/>
            <w:vAlign w:val="center"/>
          </w:tcPr>
          <w:p w14:paraId="314D2627">
            <w:pPr>
              <w:pStyle w:val="317"/>
              <w:keepNext w:val="0"/>
              <w:keepLines w:val="0"/>
              <w:pageBreakBefore w:val="0"/>
              <w:tabs>
                <w:tab w:val="left" w:pos="312"/>
              </w:tabs>
              <w:kinsoku/>
              <w:wordWrap/>
              <w:overflowPunct/>
              <w:topLinePunct w:val="0"/>
              <w:autoSpaceDE/>
              <w:autoSpaceDN/>
              <w:bidi w:val="0"/>
              <w:adjustRightInd/>
              <w:snapToGrid/>
              <w:spacing w:line="400" w:lineRule="exact"/>
              <w:ind w:firstLine="422" w:firstLineChars="200"/>
              <w:jc w:val="center"/>
              <w:textAlignment w:val="auto"/>
              <w:rPr>
                <w:rFonts w:ascii="仿宋_GB2312" w:hAnsi="仿宋_GB2312" w:eastAsia="仿宋_GB2312" w:cs="仿宋_GB2312"/>
                <w:color w:val="auto"/>
                <w:szCs w:val="24"/>
                <w:highlight w:val="none"/>
              </w:rPr>
            </w:pPr>
            <w:r>
              <w:rPr>
                <w:rFonts w:hint="eastAsia" w:ascii="仿宋_GB2312" w:hAnsi="宋体" w:eastAsia="仿宋_GB2312"/>
                <w:b/>
                <w:bCs/>
                <w:color w:val="auto"/>
                <w:highlight w:val="none"/>
              </w:rPr>
              <w:t>客观分总分</w:t>
            </w:r>
          </w:p>
        </w:tc>
        <w:tc>
          <w:tcPr>
            <w:tcW w:w="838" w:type="dxa"/>
            <w:vAlign w:val="center"/>
          </w:tcPr>
          <w:p w14:paraId="2D7AB8AB">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strike/>
                <w:color w:val="auto"/>
                <w:highlight w:val="none"/>
                <w:lang w:val="en-US" w:eastAsia="zh-CN"/>
              </w:rPr>
            </w:pPr>
            <w:r>
              <w:rPr>
                <w:rFonts w:hint="eastAsia" w:ascii="仿宋_GB2312" w:hAnsi="仿宋_GB2312" w:eastAsia="仿宋_GB2312" w:cs="仿宋_GB2312"/>
                <w:b/>
                <w:bCs/>
                <w:color w:val="auto"/>
                <w:highlight w:val="none"/>
                <w:lang w:val="en-US" w:eastAsia="zh-CN"/>
              </w:rPr>
              <w:t>49</w:t>
            </w:r>
          </w:p>
        </w:tc>
        <w:tc>
          <w:tcPr>
            <w:tcW w:w="1402" w:type="dxa"/>
            <w:vAlign w:val="center"/>
          </w:tcPr>
          <w:p w14:paraId="050DABB3">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color w:val="auto"/>
                <w:highlight w:val="none"/>
              </w:rPr>
            </w:pPr>
          </w:p>
        </w:tc>
      </w:tr>
    </w:tbl>
    <w:p w14:paraId="31AC93B9">
      <w:pPr>
        <w:pStyle w:val="314"/>
        <w:rPr>
          <w:color w:val="auto"/>
          <w:highlight w:val="none"/>
        </w:rPr>
      </w:pPr>
    </w:p>
    <w:tbl>
      <w:tblPr>
        <w:tblStyle w:val="319"/>
        <w:tblpPr w:leftFromText="180" w:rightFromText="180" w:vertAnchor="text" w:horzAnchor="page" w:tblpX="661"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090"/>
        <w:gridCol w:w="6196"/>
        <w:gridCol w:w="737"/>
        <w:gridCol w:w="1443"/>
      </w:tblGrid>
      <w:tr w14:paraId="4045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315" w:type="dxa"/>
            <w:gridSpan w:val="5"/>
            <w:shd w:val="clear" w:color="auto" w:fill="D7D7D7"/>
            <w:noWrap w:val="0"/>
            <w:vAlign w:val="center"/>
          </w:tcPr>
          <w:p w14:paraId="4E3C1106">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auto"/>
                <w:highlight w:val="none"/>
                <w:lang w:val="en-US" w:eastAsia="zh-CN"/>
              </w:rPr>
            </w:pPr>
            <w:r>
              <w:rPr>
                <w:rFonts w:hint="eastAsia" w:ascii="仿宋_GB2312" w:eastAsia="仿宋_GB2312"/>
                <w:b/>
                <w:color w:val="auto"/>
                <w:sz w:val="32"/>
                <w:highlight w:val="none"/>
              </w:rPr>
              <w:t>主观分</w:t>
            </w:r>
          </w:p>
        </w:tc>
      </w:tr>
      <w:tr w14:paraId="2D882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49" w:type="dxa"/>
            <w:noWrap w:val="0"/>
            <w:vAlign w:val="center"/>
          </w:tcPr>
          <w:p w14:paraId="66710B91">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1090" w:type="dxa"/>
            <w:noWrap w:val="0"/>
            <w:vAlign w:val="center"/>
          </w:tcPr>
          <w:p w14:paraId="5CF2C6F4">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6196" w:type="dxa"/>
            <w:noWrap w:val="0"/>
            <w:vAlign w:val="center"/>
          </w:tcPr>
          <w:p w14:paraId="6A257801">
            <w:pPr>
              <w:keepNext w:val="0"/>
              <w:keepLines w:val="0"/>
              <w:pageBreakBefore w:val="0"/>
              <w:kinsoku/>
              <w:wordWrap/>
              <w:overflowPunct/>
              <w:topLinePunct w:val="0"/>
              <w:autoSpaceDE/>
              <w:autoSpaceDN/>
              <w:bidi w:val="0"/>
              <w:adjustRightInd/>
              <w:snapToGrid/>
              <w:spacing w:line="340" w:lineRule="exact"/>
              <w:ind w:firstLine="0" w:firstLineChars="0"/>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737" w:type="dxa"/>
            <w:noWrap w:val="0"/>
            <w:vAlign w:val="center"/>
          </w:tcPr>
          <w:p w14:paraId="16AA031A">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443" w:type="dxa"/>
            <w:noWrap w:val="0"/>
            <w:vAlign w:val="center"/>
          </w:tcPr>
          <w:p w14:paraId="16179BA4">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对应的投标文件格式</w:t>
            </w:r>
          </w:p>
        </w:tc>
      </w:tr>
      <w:tr w14:paraId="4182C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noWrap w:val="0"/>
            <w:vAlign w:val="center"/>
          </w:tcPr>
          <w:p w14:paraId="7677C294">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项目实施方案分</w:t>
            </w:r>
          </w:p>
        </w:tc>
        <w:tc>
          <w:tcPr>
            <w:tcW w:w="1090" w:type="dxa"/>
            <w:noWrap w:val="0"/>
            <w:vAlign w:val="center"/>
          </w:tcPr>
          <w:p w14:paraId="08FEC02F">
            <w:pPr>
              <w:spacing w:line="360" w:lineRule="exact"/>
              <w:jc w:val="center"/>
              <w:rPr>
                <w:rFonts w:hint="eastAsia" w:ascii="仿宋_GB2312" w:hAnsi="仿宋_GB2312" w:eastAsia="仿宋_GB2312" w:cs="仿宋_GB2312"/>
                <w:color w:val="auto"/>
                <w:kern w:val="2"/>
                <w:sz w:val="21"/>
                <w:szCs w:val="24"/>
                <w:highlight w:val="none"/>
                <w:lang w:val="en-US" w:eastAsia="zh-CN" w:bidi="ar-SA"/>
              </w:rPr>
            </w:pPr>
            <w:r>
              <w:rPr>
                <w:rFonts w:hint="eastAsia" w:ascii="仿宋_GB2312" w:hAnsi="仿宋_GB2312" w:eastAsia="仿宋_GB2312" w:cs="仿宋_GB2312"/>
                <w:b/>
                <w:bCs/>
                <w:color w:val="auto"/>
                <w:szCs w:val="24"/>
                <w:highlight w:val="none"/>
                <w:lang w:eastAsia="zh-CN"/>
              </w:rPr>
              <w:t>项目实施组织</w:t>
            </w:r>
            <w:r>
              <w:rPr>
                <w:rFonts w:hint="eastAsia" w:ascii="仿宋_GB2312" w:hAnsi="仿宋_GB2312" w:eastAsia="仿宋_GB2312" w:cs="仿宋_GB2312"/>
                <w:b/>
                <w:bCs/>
                <w:color w:val="auto"/>
                <w:szCs w:val="24"/>
                <w:highlight w:val="none"/>
                <w:lang w:val="en-US" w:eastAsia="zh-CN"/>
              </w:rPr>
              <w:t>结</w:t>
            </w:r>
            <w:r>
              <w:rPr>
                <w:rFonts w:hint="eastAsia" w:ascii="仿宋_GB2312" w:hAnsi="仿宋_GB2312" w:eastAsia="仿宋_GB2312" w:cs="仿宋_GB2312"/>
                <w:b/>
                <w:bCs/>
                <w:color w:val="auto"/>
                <w:szCs w:val="24"/>
                <w:highlight w:val="none"/>
                <w:lang w:eastAsia="zh-CN"/>
              </w:rPr>
              <w:t>构</w:t>
            </w:r>
          </w:p>
        </w:tc>
        <w:tc>
          <w:tcPr>
            <w:tcW w:w="6196" w:type="dxa"/>
            <w:noWrap w:val="0"/>
            <w:vAlign w:val="center"/>
          </w:tcPr>
          <w:p w14:paraId="32D6B71B">
            <w:pPr>
              <w:widowControl/>
              <w:spacing w:line="430" w:lineRule="exact"/>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val="en-US" w:eastAsia="zh-CN"/>
              </w:rPr>
              <w:t>15</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Cs/>
                <w:color w:val="auto"/>
                <w:highlight w:val="none"/>
              </w:rPr>
              <w:t>方案完全贴合本项目采购需求，内容详实、逻辑严谨、落地性极强。完整细化项目全套实施流程，各环节衔接紧密、考虑周全；配置项目</w:t>
            </w:r>
            <w:r>
              <w:rPr>
                <w:rFonts w:hint="eastAsia" w:ascii="仿宋_GB2312" w:hAnsi="仿宋_GB2312" w:eastAsia="仿宋_GB2312" w:cs="仿宋_GB2312"/>
                <w:b/>
                <w:bCs w:val="0"/>
                <w:color w:val="auto"/>
                <w:highlight w:val="none"/>
              </w:rPr>
              <w:t>管理人员≥3人</w:t>
            </w:r>
            <w:r>
              <w:rPr>
                <w:rFonts w:hint="eastAsia" w:ascii="仿宋_GB2312" w:hAnsi="仿宋_GB2312" w:eastAsia="仿宋_GB2312" w:cs="仿宋_GB2312"/>
                <w:bCs/>
                <w:color w:val="auto"/>
                <w:highlight w:val="none"/>
              </w:rPr>
              <w:t>，组织机构架构清晰、岗位职责全覆盖、分工精准到人；可精准预判设备安装、系统试运行、正式运行全流程各类风险，针对各类风险分别制定专属应对预案、问题处置方案，预案可落地、可执行；项目管控体系完善，进度、质量、安全、资料管控措施齐全；同时结合项目实际提出</w:t>
            </w:r>
            <w:r>
              <w:rPr>
                <w:rFonts w:hint="eastAsia" w:ascii="仿宋_GB2312" w:hAnsi="仿宋_GB2312" w:eastAsia="仿宋_GB2312" w:cs="仿宋_GB2312"/>
                <w:b/>
                <w:bCs w:val="0"/>
                <w:color w:val="auto"/>
                <w:highlight w:val="none"/>
              </w:rPr>
              <w:t>1项及以上</w:t>
            </w:r>
            <w:r>
              <w:rPr>
                <w:rFonts w:hint="eastAsia" w:ascii="仿宋_GB2312" w:hAnsi="仿宋_GB2312" w:eastAsia="仿宋_GB2312" w:cs="仿宋_GB2312"/>
                <w:bCs/>
                <w:color w:val="auto"/>
                <w:highlight w:val="none"/>
              </w:rPr>
              <w:t>针对性强、可落地的建设性优化方案，能有效提升项目落地质量与运行效果。</w:t>
            </w:r>
          </w:p>
          <w:p w14:paraId="11F07F27">
            <w:pPr>
              <w:widowControl/>
              <w:spacing w:line="430" w:lineRule="exact"/>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二</w:t>
            </w:r>
            <w:r>
              <w:rPr>
                <w:rFonts w:hint="eastAsia" w:ascii="仿宋_GB2312" w:hAnsi="仿宋_GB2312" w:eastAsia="仿宋_GB2312" w:cs="仿宋_GB2312"/>
                <w:b/>
                <w:bCs/>
                <w:color w:val="auto"/>
                <w:highlight w:val="none"/>
                <w:lang w:eastAsia="zh-CN"/>
              </w:rPr>
              <w:t>档</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val="en-US" w:eastAsia="zh-CN"/>
              </w:rPr>
              <w:t>9</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kern w:val="2"/>
                <w:sz w:val="21"/>
                <w:szCs w:val="24"/>
                <w:highlight w:val="none"/>
                <w:lang w:val="en-US" w:eastAsia="zh-CN" w:bidi="ar"/>
              </w:rPr>
              <w:t>方案内容完整，充分理解项目采购核心需求，设备安装调试、系统运行保障、项目服务等核心技术措施完善，具备较强实操性。</w:t>
            </w:r>
            <w:r>
              <w:rPr>
                <w:rFonts w:hint="eastAsia" w:ascii="仿宋_GB2312" w:hAnsi="仿宋_GB2312" w:eastAsia="仿宋_GB2312" w:cs="仿宋_GB2312"/>
                <w:bCs/>
                <w:color w:val="auto"/>
                <w:highlight w:val="none"/>
              </w:rPr>
              <w:t>配置项目</w:t>
            </w:r>
            <w:r>
              <w:rPr>
                <w:rFonts w:hint="eastAsia" w:ascii="仿宋_GB2312" w:hAnsi="仿宋_GB2312" w:eastAsia="仿宋_GB2312" w:cs="仿宋_GB2312"/>
                <w:b/>
                <w:bCs w:val="0"/>
                <w:color w:val="auto"/>
                <w:highlight w:val="none"/>
              </w:rPr>
              <w:t>管理人员≥</w:t>
            </w:r>
            <w:r>
              <w:rPr>
                <w:rFonts w:hint="eastAsia" w:ascii="仿宋_GB2312" w:hAnsi="仿宋_GB2312" w:eastAsia="仿宋_GB2312" w:cs="仿宋_GB2312"/>
                <w:b/>
                <w:bCs w:val="0"/>
                <w:color w:val="auto"/>
                <w:highlight w:val="none"/>
                <w:lang w:val="en-US" w:eastAsia="zh-CN"/>
              </w:rPr>
              <w:t>2</w:t>
            </w:r>
            <w:r>
              <w:rPr>
                <w:rFonts w:hint="eastAsia" w:ascii="仿宋_GB2312" w:hAnsi="仿宋_GB2312" w:eastAsia="仿宋_GB2312" w:cs="仿宋_GB2312"/>
                <w:b/>
                <w:bCs w:val="0"/>
                <w:color w:val="auto"/>
                <w:highlight w:val="none"/>
              </w:rPr>
              <w:t>人</w:t>
            </w:r>
            <w:r>
              <w:rPr>
                <w:rFonts w:hint="eastAsia" w:ascii="仿宋_GB2312" w:hAnsi="仿宋_GB2312" w:eastAsia="仿宋_GB2312" w:cs="仿宋_GB2312"/>
                <w:b/>
                <w:bCs w:val="0"/>
                <w:color w:val="auto"/>
                <w:highlight w:val="none"/>
                <w:lang w:eastAsia="zh-CN"/>
              </w:rPr>
              <w:t>，</w:t>
            </w:r>
            <w:r>
              <w:rPr>
                <w:rFonts w:hint="eastAsia" w:ascii="仿宋_GB2312" w:hAnsi="仿宋_GB2312" w:eastAsia="仿宋_GB2312" w:cs="仿宋_GB2312"/>
                <w:color w:val="auto"/>
                <w:kern w:val="2"/>
                <w:sz w:val="21"/>
                <w:szCs w:val="24"/>
                <w:highlight w:val="none"/>
                <w:lang w:val="en-US" w:eastAsia="zh-CN" w:bidi="ar"/>
              </w:rPr>
              <w:t>组织机构及岗位职责规划合理、覆盖主要工作环节，无岗位缺失；具备基础的风险识别与应对、项目管控措施，实施流程规范合理，能够全面满足项目实施各项基本需求，无明显短板，但无专项优化建议或优化建议可行性一般。</w:t>
            </w:r>
          </w:p>
          <w:p w14:paraId="6D8825D5">
            <w:pPr>
              <w:widowControl/>
              <w:spacing w:line="430" w:lineRule="exact"/>
              <w:ind w:firstLine="422" w:firstLineChars="200"/>
              <w:rPr>
                <w:rFonts w:hint="eastAsia" w:ascii="仿宋_GB2312" w:hAnsi="仿宋_GB2312" w:eastAsia="仿宋_GB2312" w:cs="仿宋_GB2312"/>
                <w:color w:val="auto"/>
                <w:kern w:val="2"/>
                <w:sz w:val="21"/>
                <w:szCs w:val="24"/>
                <w:highlight w:val="none"/>
                <w:lang w:val="en-US" w:eastAsia="zh-CN" w:bidi="ar"/>
              </w:rPr>
            </w:pPr>
            <w:r>
              <w:rPr>
                <w:rFonts w:hint="eastAsia" w:ascii="仿宋_GB2312" w:hAnsi="仿宋_GB2312" w:eastAsia="仿宋_GB2312" w:cs="仿宋_GB2312"/>
                <w:b/>
                <w:bCs/>
                <w:color w:val="auto"/>
                <w:highlight w:val="none"/>
              </w:rPr>
              <w:t>三</w:t>
            </w:r>
            <w:r>
              <w:rPr>
                <w:rFonts w:hint="eastAsia" w:ascii="仿宋_GB2312" w:hAnsi="仿宋_GB2312" w:eastAsia="仿宋_GB2312" w:cs="仿宋_GB2312"/>
                <w:b/>
                <w:bCs/>
                <w:color w:val="auto"/>
                <w:highlight w:val="none"/>
                <w:lang w:eastAsia="zh-CN"/>
              </w:rPr>
              <w:t>档</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kern w:val="2"/>
                <w:sz w:val="21"/>
                <w:szCs w:val="24"/>
                <w:highlight w:val="none"/>
                <w:lang w:val="en-US" w:eastAsia="zh-CN" w:bidi="ar"/>
              </w:rPr>
              <w:t>方案内容简单笼统，仅覆盖基础采购需求。</w:t>
            </w:r>
            <w:r>
              <w:rPr>
                <w:rFonts w:hint="eastAsia" w:ascii="仿宋_GB2312" w:hAnsi="仿宋_GB2312" w:eastAsia="仿宋_GB2312" w:cs="仿宋_GB2312"/>
                <w:bCs/>
                <w:color w:val="auto"/>
                <w:highlight w:val="none"/>
              </w:rPr>
              <w:t>配置项目</w:t>
            </w:r>
            <w:r>
              <w:rPr>
                <w:rFonts w:hint="eastAsia" w:ascii="仿宋_GB2312" w:hAnsi="仿宋_GB2312" w:eastAsia="仿宋_GB2312" w:cs="仿宋_GB2312"/>
                <w:b/>
                <w:bCs w:val="0"/>
                <w:color w:val="auto"/>
                <w:highlight w:val="none"/>
              </w:rPr>
              <w:t>管理人员≥</w:t>
            </w:r>
            <w:r>
              <w:rPr>
                <w:rFonts w:hint="eastAsia" w:ascii="仿宋_GB2312" w:hAnsi="仿宋_GB2312" w:eastAsia="仿宋_GB2312" w:cs="仿宋_GB2312"/>
                <w:b/>
                <w:bCs w:val="0"/>
                <w:color w:val="auto"/>
                <w:highlight w:val="none"/>
                <w:lang w:val="en-US" w:eastAsia="zh-CN"/>
              </w:rPr>
              <w:t>1</w:t>
            </w:r>
            <w:r>
              <w:rPr>
                <w:rFonts w:hint="eastAsia" w:ascii="仿宋_GB2312" w:hAnsi="仿宋_GB2312" w:eastAsia="仿宋_GB2312" w:cs="仿宋_GB2312"/>
                <w:b/>
                <w:bCs w:val="0"/>
                <w:color w:val="auto"/>
                <w:highlight w:val="none"/>
              </w:rPr>
              <w:t>人</w:t>
            </w:r>
            <w:r>
              <w:rPr>
                <w:rFonts w:hint="eastAsia" w:ascii="仿宋_GB2312" w:hAnsi="仿宋_GB2312" w:eastAsia="仿宋_GB2312" w:cs="仿宋_GB2312"/>
                <w:b/>
                <w:bCs w:val="0"/>
                <w:color w:val="auto"/>
                <w:highlight w:val="none"/>
                <w:lang w:eastAsia="zh-CN"/>
              </w:rPr>
              <w:t>，</w:t>
            </w:r>
            <w:r>
              <w:rPr>
                <w:rFonts w:hint="eastAsia" w:ascii="仿宋_GB2312" w:hAnsi="仿宋_GB2312" w:eastAsia="仿宋_GB2312" w:cs="仿宋_GB2312"/>
                <w:color w:val="auto"/>
                <w:kern w:val="2"/>
                <w:sz w:val="21"/>
                <w:szCs w:val="24"/>
                <w:highlight w:val="none"/>
                <w:lang w:val="en-US" w:eastAsia="zh-CN" w:bidi="ar"/>
              </w:rPr>
              <w:t>组织机构、岗位职责描述简略，人员配置无明确规划；设备安装调试、系统运行实施流程简化、关键环节缺失；风险识别、应对措施、项目管理内容单薄，仅能满足项目最基础实施要求。</w:t>
            </w:r>
          </w:p>
          <w:p w14:paraId="535D97AF">
            <w:pPr>
              <w:widowControl/>
              <w:spacing w:line="430" w:lineRule="exact"/>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四档（</w:t>
            </w:r>
            <w:r>
              <w:rPr>
                <w:rFonts w:hint="eastAsia" w:ascii="仿宋_GB2312" w:hAnsi="仿宋_GB2312" w:eastAsia="仿宋_GB2312" w:cs="仿宋_GB2312"/>
                <w:b/>
                <w:bCs/>
                <w:color w:val="auto"/>
                <w:highlight w:val="none"/>
                <w:lang w:val="en-US" w:eastAsia="zh-CN"/>
              </w:rPr>
              <w:t>1</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Cs/>
                <w:color w:val="auto"/>
                <w:highlight w:val="none"/>
              </w:rPr>
              <w:t>项目实施方案简单，能保障项目实施。</w:t>
            </w:r>
          </w:p>
          <w:p w14:paraId="1C6D9801">
            <w:pPr>
              <w:kinsoku w:val="0"/>
              <w:autoSpaceDE w:val="0"/>
              <w:autoSpaceDN w:val="0"/>
              <w:spacing w:beforeLines="0" w:afterLines="0" w:line="440" w:lineRule="exact"/>
              <w:ind w:firstLine="422" w:firstLineChars="200"/>
              <w:rPr>
                <w:rFonts w:hint="eastAsia" w:ascii="仿宋_GB2312" w:hAnsi="仿宋_GB2312" w:eastAsia="仿宋_GB2312" w:cs="仿宋_GB2312"/>
                <w:b/>
                <w:color w:val="auto"/>
                <w:sz w:val="21"/>
                <w:szCs w:val="24"/>
                <w:highlight w:val="none"/>
              </w:rPr>
            </w:pPr>
            <w:r>
              <w:rPr>
                <w:rFonts w:hint="eastAsia" w:ascii="仿宋_GB2312" w:hAnsi="仿宋_GB2312" w:eastAsia="仿宋_GB2312" w:cs="仿宋_GB2312"/>
                <w:b/>
                <w:bCs/>
                <w:color w:val="auto"/>
                <w:highlight w:val="none"/>
              </w:rPr>
              <w:t>注：1.该方案内容可以包括：（1）人员配置；（2）组织机构架构</w:t>
            </w:r>
            <w:r>
              <w:rPr>
                <w:rFonts w:hint="eastAsia" w:ascii="仿宋_GB2312" w:hAnsi="仿宋_GB2312" w:eastAsia="仿宋_GB2312" w:cs="仿宋_GB2312"/>
                <w:b/>
                <w:bCs/>
                <w:color w:val="auto"/>
                <w:highlight w:val="none"/>
                <w:lang w:val="en-US" w:eastAsia="zh-CN"/>
              </w:rPr>
              <w:t>职责分工</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rPr>
              <w:t>）项目管控体系</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rPr>
              <w:t>建设性优化</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5</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sz w:val="21"/>
                <w:szCs w:val="24"/>
                <w:highlight w:val="none"/>
              </w:rPr>
              <w:t>设</w:t>
            </w:r>
            <w:r>
              <w:rPr>
                <w:rFonts w:hint="eastAsia" w:ascii="仿宋_GB2312" w:hAnsi="仿宋_GB2312" w:eastAsia="仿宋_GB2312" w:cs="仿宋_GB2312"/>
                <w:b/>
                <w:color w:val="auto"/>
                <w:sz w:val="21"/>
                <w:szCs w:val="24"/>
                <w:highlight w:val="none"/>
              </w:rPr>
              <w:t>备的安装和系统运行质量保证措施；（</w:t>
            </w:r>
            <w:r>
              <w:rPr>
                <w:rFonts w:hint="eastAsia" w:ascii="仿宋_GB2312" w:hAnsi="仿宋_GB2312" w:eastAsia="仿宋_GB2312" w:cs="仿宋_GB2312"/>
                <w:b/>
                <w:color w:val="auto"/>
                <w:sz w:val="21"/>
                <w:szCs w:val="24"/>
                <w:highlight w:val="none"/>
                <w:lang w:val="en-US" w:eastAsia="zh-CN"/>
              </w:rPr>
              <w:t>6</w:t>
            </w:r>
            <w:r>
              <w:rPr>
                <w:rFonts w:hint="eastAsia" w:ascii="仿宋_GB2312" w:hAnsi="仿宋_GB2312" w:eastAsia="仿宋_GB2312" w:cs="仿宋_GB2312"/>
                <w:b/>
                <w:color w:val="auto"/>
                <w:sz w:val="21"/>
                <w:szCs w:val="24"/>
                <w:highlight w:val="none"/>
              </w:rPr>
              <w:t>）风险应对措施。</w:t>
            </w:r>
          </w:p>
          <w:p w14:paraId="1265ECC3">
            <w:pPr>
              <w:pStyle w:val="924"/>
              <w:numPr>
                <w:ilvl w:val="0"/>
                <w:numId w:val="0"/>
              </w:numPr>
              <w:spacing w:line="430" w:lineRule="exact"/>
              <w:ind w:left="0" w:leftChars="0" w:firstLine="422" w:firstLineChars="200"/>
              <w:rPr>
                <w:rFonts w:hint="eastAsia" w:ascii="仿宋_GB2312" w:hAnsi="仿宋_GB2312" w:eastAsia="仿宋_GB2312" w:cs="仿宋_GB2312"/>
                <w:bCs w:val="0"/>
                <w:color w:val="auto"/>
                <w:spacing w:val="0"/>
                <w:kern w:val="2"/>
                <w:sz w:val="21"/>
                <w:szCs w:val="24"/>
                <w:highlight w:val="none"/>
                <w:lang w:val="en-US" w:eastAsia="zh-CN" w:bidi="ar-SA"/>
              </w:rPr>
            </w:pPr>
            <w:r>
              <w:rPr>
                <w:rFonts w:hint="eastAsia" w:ascii="仿宋_GB2312" w:hAnsi="仿宋_GB2312" w:eastAsia="仿宋_GB2312" w:cs="仿宋_GB2312"/>
                <w:b/>
                <w:bCs/>
                <w:color w:val="auto"/>
                <w:spacing w:val="0"/>
                <w:kern w:val="2"/>
                <w:sz w:val="21"/>
                <w:highlight w:val="none"/>
              </w:rPr>
              <w:t>2.未提供方案或提供的内容与本项目无关的得0分。</w:t>
            </w:r>
          </w:p>
        </w:tc>
        <w:tc>
          <w:tcPr>
            <w:tcW w:w="737" w:type="dxa"/>
            <w:noWrap w:val="0"/>
            <w:vAlign w:val="center"/>
          </w:tcPr>
          <w:p w14:paraId="55125CB9">
            <w:pPr>
              <w:spacing w:line="360" w:lineRule="exact"/>
              <w:jc w:val="center"/>
              <w:rPr>
                <w:rFonts w:hint="default"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color w:val="auto"/>
                <w:szCs w:val="24"/>
                <w:highlight w:val="none"/>
                <w:lang w:val="en-US" w:eastAsia="zh-CN"/>
              </w:rPr>
              <w:t>15</w:t>
            </w:r>
          </w:p>
        </w:tc>
        <w:tc>
          <w:tcPr>
            <w:tcW w:w="1443" w:type="dxa"/>
            <w:noWrap w:val="0"/>
            <w:vAlign w:val="center"/>
          </w:tcPr>
          <w:p w14:paraId="6F847EF5">
            <w:pPr>
              <w:spacing w:line="360" w:lineRule="exact"/>
              <w:jc w:val="center"/>
              <w:rPr>
                <w:rFonts w:hint="eastAsia"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val="0"/>
                <w:bCs w:val="0"/>
                <w:color w:val="auto"/>
                <w:szCs w:val="24"/>
                <w:highlight w:val="none"/>
                <w:lang w:eastAsia="zh-CN"/>
              </w:rPr>
              <w:t>项目实施组织结构</w:t>
            </w:r>
          </w:p>
        </w:tc>
      </w:tr>
      <w:tr w14:paraId="51A6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noWrap w:val="0"/>
            <w:vAlign w:val="center"/>
          </w:tcPr>
          <w:p w14:paraId="6B14A686">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项目实施方案分</w:t>
            </w:r>
          </w:p>
        </w:tc>
        <w:tc>
          <w:tcPr>
            <w:tcW w:w="1090" w:type="dxa"/>
            <w:noWrap w:val="0"/>
            <w:vAlign w:val="center"/>
          </w:tcPr>
          <w:p w14:paraId="5153D2E7">
            <w:pPr>
              <w:widowControl/>
              <w:spacing w:line="360" w:lineRule="exact"/>
              <w:jc w:val="center"/>
              <w:rPr>
                <w:rFonts w:hint="eastAsia" w:ascii="仿宋_GB2312" w:hAnsi="仿宋_GB2312" w:eastAsia="仿宋_GB2312" w:cs="仿宋_GB2312"/>
                <w:color w:val="auto"/>
                <w:kern w:val="2"/>
                <w:sz w:val="21"/>
                <w:szCs w:val="24"/>
                <w:highlight w:val="none"/>
                <w:lang w:val="en-US" w:eastAsia="zh-CN" w:bidi="ar-SA"/>
              </w:rPr>
            </w:pPr>
            <w:r>
              <w:rPr>
                <w:rFonts w:hint="eastAsia" w:ascii="仿宋_GB2312" w:hAnsi="仿宋_GB2312" w:eastAsia="仿宋_GB2312" w:cs="仿宋_GB2312"/>
                <w:b/>
                <w:bCs/>
                <w:color w:val="auto"/>
                <w:szCs w:val="24"/>
                <w:highlight w:val="none"/>
                <w:lang w:val="en-US" w:eastAsia="zh-CN"/>
              </w:rPr>
              <w:t>安装进度计划和工期保证</w:t>
            </w:r>
          </w:p>
        </w:tc>
        <w:tc>
          <w:tcPr>
            <w:tcW w:w="6196" w:type="dxa"/>
            <w:noWrap w:val="0"/>
            <w:vAlign w:val="center"/>
          </w:tcPr>
          <w:p w14:paraId="27A86409">
            <w:pPr>
              <w:widowControl/>
              <w:spacing w:line="44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val="en-US" w:eastAsia="zh-CN"/>
              </w:rPr>
              <w:t>11</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实施进度规划科学紧凑、贴合项目现场实际，</w:t>
            </w:r>
            <w:r>
              <w:rPr>
                <w:rFonts w:hint="eastAsia" w:ascii="仿宋_GB2312" w:hAnsi="仿宋_GB2312" w:eastAsia="仿宋_GB2312" w:cs="仿宋_GB2312"/>
                <w:b/>
                <w:bCs/>
                <w:color w:val="auto"/>
                <w:highlight w:val="none"/>
              </w:rPr>
              <w:t>细化划分≥4个关键实施节点</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不限于</w:t>
            </w:r>
            <w:r>
              <w:rPr>
                <w:rFonts w:hint="eastAsia" w:ascii="仿宋_GB2312" w:hAnsi="仿宋_GB2312" w:eastAsia="仿宋_GB2312" w:cs="仿宋_GB2312"/>
                <w:b/>
                <w:bCs/>
                <w:color w:val="auto"/>
                <w:highlight w:val="none"/>
              </w:rPr>
              <w:t>甘特图、关键路径法(CPM)图、里程碑图、PERT图和时间线图</w:t>
            </w:r>
            <w:r>
              <w:rPr>
                <w:rFonts w:hint="eastAsia" w:ascii="仿宋_GB2312" w:hAnsi="仿宋_GB2312" w:eastAsia="仿宋_GB2312" w:cs="仿宋_GB2312"/>
                <w:b/>
                <w:bCs/>
                <w:color w:val="auto"/>
                <w:highlight w:val="none"/>
                <w:lang w:val="en-US" w:eastAsia="zh-CN"/>
              </w:rPr>
              <w:t>等其中一种</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color w:val="auto"/>
                <w:highlight w:val="none"/>
              </w:rPr>
              <w:t>，各节点工期分配合理、衔接连贯、无空档期，整体工期优于采购要求。关键工作实施步骤、操作要点、管控细节描述全面详实，实施方案先进合理、落地性极强；配套3项及以上专项工期保障措施（人员、设备、物料、应急、管控等维度），措施针对性、可行性极高，可有效保障项目按期甚至提前完工，对采购人项目落地、投入使用具备实质性助力。</w:t>
            </w:r>
          </w:p>
          <w:p w14:paraId="095934D3">
            <w:pPr>
              <w:widowControl/>
              <w:spacing w:line="440" w:lineRule="exact"/>
              <w:ind w:firstLine="422" w:firstLineChars="20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val="en-US" w:eastAsia="zh-CN"/>
              </w:rPr>
              <w:t>7</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实施进度计划贴合项目需求，关键节点划分清晰，工期规划符合采购要求。实施步骤、工作要点描述较为详细，方案整体合理；具备针对性的工期保障措施，覆盖主要工期风险点，能够有效规避常规工期延误问题，保障项目如期完工</w:t>
            </w:r>
            <w:r>
              <w:rPr>
                <w:rFonts w:hint="eastAsia" w:ascii="仿宋_GB2312" w:hAnsi="仿宋_GB2312" w:eastAsia="仿宋_GB2312" w:cs="仿宋_GB2312"/>
                <w:color w:val="auto"/>
                <w:highlight w:val="none"/>
                <w:lang w:eastAsia="zh-CN"/>
              </w:rPr>
              <w:t>。</w:t>
            </w:r>
          </w:p>
          <w:p w14:paraId="66497646">
            <w:pPr>
              <w:spacing w:line="44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仅提供基础进度规划，满足最低采购工期要求，节点划分简略、无细化管控；工期保证措施单一、内容笼统，仅具备基础可行性，无专项管控手段。</w:t>
            </w:r>
          </w:p>
          <w:p w14:paraId="42E32E44">
            <w:pPr>
              <w:widowControl/>
              <w:spacing w:line="440" w:lineRule="exact"/>
              <w:ind w:firstLine="422" w:firstLineChars="200"/>
              <w:rPr>
                <w:rFonts w:ascii="仿宋_GB2312" w:hAnsi="仿宋_GB2312" w:eastAsia="仿宋_GB2312" w:cs="仿宋_GB2312"/>
                <w:b/>
                <w:bCs/>
                <w:color w:val="auto"/>
                <w:highlight w:val="none"/>
              </w:rPr>
            </w:pPr>
            <w:r>
              <w:rPr>
                <w:rFonts w:ascii="仿宋_GB2312" w:hAnsi="仿宋_GB2312" w:eastAsia="仿宋_GB2312" w:cs="仿宋_GB2312"/>
                <w:b/>
                <w:bCs/>
                <w:color w:val="auto"/>
                <w:highlight w:val="none"/>
              </w:rPr>
              <w:t>注：1.该方案</w:t>
            </w:r>
            <w:r>
              <w:rPr>
                <w:rFonts w:hint="eastAsia" w:ascii="仿宋_GB2312" w:hAnsi="仿宋_GB2312" w:eastAsia="仿宋_GB2312" w:cs="仿宋_GB2312"/>
                <w:b/>
                <w:bCs/>
                <w:color w:val="auto"/>
                <w:highlight w:val="none"/>
              </w:rPr>
              <w:t>内容</w:t>
            </w:r>
            <w:r>
              <w:rPr>
                <w:rFonts w:hint="eastAsia" w:ascii="仿宋_GB2312" w:hAnsi="仿宋_GB2312" w:eastAsia="仿宋_GB2312" w:cs="仿宋_GB2312"/>
                <w:b/>
                <w:bCs/>
                <w:color w:val="auto"/>
                <w:highlight w:val="none"/>
                <w:lang w:eastAsia="zh-CN"/>
              </w:rPr>
              <w:t>可以</w:t>
            </w:r>
            <w:r>
              <w:rPr>
                <w:rFonts w:ascii="仿宋_GB2312" w:hAnsi="仿宋_GB2312" w:eastAsia="仿宋_GB2312" w:cs="仿宋_GB2312"/>
                <w:b/>
                <w:bCs/>
                <w:color w:val="auto"/>
                <w:highlight w:val="none"/>
              </w:rPr>
              <w:t>包括：（1）安装</w:t>
            </w:r>
            <w:r>
              <w:rPr>
                <w:rFonts w:hint="eastAsia" w:ascii="仿宋_GB2312" w:hAnsi="仿宋_GB2312" w:eastAsia="仿宋_GB2312" w:cs="仿宋_GB2312"/>
                <w:b/>
                <w:bCs/>
                <w:color w:val="auto"/>
                <w:highlight w:val="none"/>
                <w:lang w:val="en-US" w:eastAsia="zh-CN"/>
              </w:rPr>
              <w:t>调试</w:t>
            </w:r>
            <w:r>
              <w:rPr>
                <w:rFonts w:ascii="仿宋_GB2312" w:hAnsi="仿宋_GB2312" w:eastAsia="仿宋_GB2312" w:cs="仿宋_GB2312"/>
                <w:b/>
                <w:bCs/>
                <w:color w:val="auto"/>
                <w:highlight w:val="none"/>
              </w:rPr>
              <w:t>进度计划；（2）工期保证措施</w:t>
            </w:r>
            <w:r>
              <w:rPr>
                <w:rFonts w:hint="eastAsia" w:ascii="仿宋_GB2312" w:hAnsi="仿宋_GB2312" w:eastAsia="仿宋_GB2312" w:cs="仿宋_GB2312"/>
                <w:b/>
                <w:bCs/>
                <w:color w:val="auto"/>
                <w:highlight w:val="none"/>
              </w:rPr>
              <w:t>。</w:t>
            </w:r>
          </w:p>
          <w:p w14:paraId="13384C1A">
            <w:pPr>
              <w:pStyle w:val="324"/>
              <w:numPr>
                <w:ilvl w:val="0"/>
                <w:numId w:val="0"/>
              </w:numPr>
              <w:spacing w:line="430" w:lineRule="exact"/>
              <w:ind w:left="0" w:leftChars="0" w:firstLine="422" w:firstLineChars="200"/>
              <w:rPr>
                <w:rFonts w:hint="default" w:ascii="仿宋_GB2312" w:hAnsi="仿宋_GB2312" w:eastAsia="仿宋_GB2312" w:cs="仿宋_GB2312"/>
                <w:bCs w:val="0"/>
                <w:color w:val="auto"/>
                <w:spacing w:val="0"/>
                <w:kern w:val="2"/>
                <w:sz w:val="21"/>
                <w:szCs w:val="24"/>
                <w:highlight w:val="none"/>
                <w:lang w:val="en-US" w:eastAsia="zh-CN" w:bidi="ar-SA"/>
              </w:rPr>
            </w:pPr>
            <w:r>
              <w:rPr>
                <w:rFonts w:ascii="仿宋_GB2312" w:hAnsi="仿宋_GB2312" w:eastAsia="仿宋_GB2312" w:cs="仿宋_GB2312"/>
                <w:b/>
                <w:color w:val="auto"/>
                <w:highlight w:val="none"/>
              </w:rPr>
              <w:t>2.未提供方案或提供的内容与本项目无关的得0分。</w:t>
            </w:r>
          </w:p>
        </w:tc>
        <w:tc>
          <w:tcPr>
            <w:tcW w:w="737" w:type="dxa"/>
            <w:noWrap w:val="0"/>
            <w:vAlign w:val="center"/>
          </w:tcPr>
          <w:p w14:paraId="760B26DB">
            <w:pPr>
              <w:spacing w:line="360" w:lineRule="exact"/>
              <w:jc w:val="center"/>
              <w:rPr>
                <w:rFonts w:hint="default"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color w:val="auto"/>
                <w:kern w:val="2"/>
                <w:sz w:val="21"/>
                <w:szCs w:val="24"/>
                <w:highlight w:val="none"/>
                <w:lang w:val="en-US" w:eastAsia="zh-CN" w:bidi="ar-SA"/>
              </w:rPr>
              <w:t>11</w:t>
            </w:r>
          </w:p>
        </w:tc>
        <w:tc>
          <w:tcPr>
            <w:tcW w:w="1443" w:type="dxa"/>
            <w:noWrap w:val="0"/>
            <w:vAlign w:val="center"/>
          </w:tcPr>
          <w:p w14:paraId="5F4580CF">
            <w:pPr>
              <w:spacing w:line="360" w:lineRule="exact"/>
              <w:jc w:val="center"/>
              <w:rPr>
                <w:rFonts w:hint="eastAsia"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val="0"/>
                <w:bCs w:val="0"/>
                <w:color w:val="auto"/>
                <w:szCs w:val="24"/>
                <w:highlight w:val="none"/>
                <w:lang w:val="en-US" w:eastAsia="zh-CN"/>
              </w:rPr>
              <w:t>安装进度计划和工期保证</w:t>
            </w:r>
          </w:p>
        </w:tc>
      </w:tr>
      <w:tr w14:paraId="5424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noWrap w:val="0"/>
            <w:vAlign w:val="center"/>
          </w:tcPr>
          <w:p w14:paraId="7F426238">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szCs w:val="24"/>
                <w:highlight w:val="none"/>
                <w:lang w:val="en-US" w:eastAsia="zh-CN"/>
              </w:rPr>
              <w:t>技术培训方案分</w:t>
            </w:r>
          </w:p>
        </w:tc>
        <w:tc>
          <w:tcPr>
            <w:tcW w:w="1090" w:type="dxa"/>
            <w:noWrap w:val="0"/>
            <w:vAlign w:val="center"/>
          </w:tcPr>
          <w:p w14:paraId="7A0E259C">
            <w:pPr>
              <w:widowControl/>
              <w:spacing w:line="360" w:lineRule="exact"/>
              <w:jc w:val="center"/>
              <w:rPr>
                <w:rFonts w:hint="eastAsia" w:ascii="Times New Roman" w:hAnsi="Times New Roman" w:eastAsia="宋体" w:cs="Times New Roman"/>
                <w:color w:val="auto"/>
                <w:kern w:val="2"/>
                <w:sz w:val="21"/>
                <w:szCs w:val="24"/>
                <w:highlight w:val="none"/>
                <w:lang w:val="en-US" w:eastAsia="zh-CN" w:bidi="ar-SA"/>
              </w:rPr>
            </w:pPr>
            <w:r>
              <w:rPr>
                <w:rFonts w:hint="eastAsia" w:ascii="仿宋_GB2312" w:hAnsi="仿宋_GB2312" w:eastAsia="仿宋_GB2312" w:cs="仿宋_GB2312"/>
                <w:b/>
                <w:bCs/>
                <w:color w:val="auto"/>
                <w:szCs w:val="24"/>
                <w:highlight w:val="none"/>
                <w:lang w:val="en-US" w:eastAsia="zh-CN"/>
              </w:rPr>
              <w:t>技术培训方案</w:t>
            </w:r>
          </w:p>
        </w:tc>
        <w:tc>
          <w:tcPr>
            <w:tcW w:w="6196" w:type="dxa"/>
            <w:noWrap w:val="0"/>
            <w:vAlign w:val="center"/>
          </w:tcPr>
          <w:p w14:paraId="2532F31F">
            <w:pPr>
              <w:keepNext w:val="0"/>
              <w:keepLines w:val="0"/>
              <w:pageBreakBefore w:val="0"/>
              <w:widowControl/>
              <w:kinsoku/>
              <w:wordWrap/>
              <w:overflowPunct/>
              <w:topLinePunct w:val="0"/>
              <w:autoSpaceDE/>
              <w:autoSpaceDN/>
              <w:bidi w:val="0"/>
              <w:adjustRightInd/>
              <w:snapToGrid/>
              <w:spacing w:line="43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z w:val="21"/>
                <w:szCs w:val="24"/>
                <w:highlight w:val="none"/>
              </w:rPr>
              <w:t>一档（</w:t>
            </w:r>
            <w:r>
              <w:rPr>
                <w:rFonts w:hint="eastAsia" w:ascii="仿宋_GB2312" w:hAnsi="仿宋_GB2312" w:eastAsia="仿宋_GB2312" w:cs="仿宋_GB2312"/>
                <w:b/>
                <w:bCs/>
                <w:color w:val="auto"/>
                <w:sz w:val="21"/>
                <w:szCs w:val="24"/>
                <w:highlight w:val="none"/>
                <w:lang w:val="en-US" w:eastAsia="zh-CN"/>
              </w:rPr>
              <w:t>11</w:t>
            </w:r>
            <w:r>
              <w:rPr>
                <w:rFonts w:hint="eastAsia" w:ascii="仿宋_GB2312" w:hAnsi="仿宋_GB2312" w:eastAsia="仿宋_GB2312" w:cs="仿宋_GB2312"/>
                <w:b/>
                <w:bCs/>
                <w:color w:val="auto"/>
                <w:sz w:val="21"/>
                <w:szCs w:val="24"/>
                <w:highlight w:val="none"/>
              </w:rPr>
              <w:t>分）：</w:t>
            </w:r>
            <w:r>
              <w:rPr>
                <w:rFonts w:hint="eastAsia" w:ascii="仿宋_GB2312" w:hAnsi="仿宋_GB2312" w:eastAsia="仿宋_GB2312" w:cs="仿宋_GB2312"/>
                <w:color w:val="auto"/>
                <w:highlight w:val="none"/>
              </w:rPr>
              <w:t>技术培训方案完善详尽、针对性极强，完全匹配采购人岗位操作、运维管理需求。承诺采用现场实操+理论授课双模式培训，配备具备</w:t>
            </w:r>
            <w:r>
              <w:rPr>
                <w:rFonts w:hint="eastAsia" w:ascii="仿宋_GB2312" w:hAnsi="仿宋_GB2312" w:eastAsia="仿宋_GB2312" w:cs="仿宋_GB2312"/>
                <w:b/>
                <w:bCs/>
                <w:color w:val="auto"/>
                <w:highlight w:val="none"/>
                <w:lang w:eastAsia="zh-CN"/>
              </w:rPr>
              <w:t>2</w:t>
            </w:r>
            <w:r>
              <w:rPr>
                <w:rFonts w:hint="eastAsia" w:ascii="仿宋_GB2312" w:hAnsi="仿宋_GB2312" w:eastAsia="仿宋_GB2312" w:cs="仿宋_GB2312"/>
                <w:b/>
                <w:bCs/>
                <w:color w:val="auto"/>
                <w:highlight w:val="none"/>
              </w:rPr>
              <w:t>年</w:t>
            </w:r>
            <w:r>
              <w:rPr>
                <w:rFonts w:hint="eastAsia" w:ascii="仿宋_GB2312" w:hAnsi="仿宋_GB2312" w:eastAsia="仿宋_GB2312" w:cs="仿宋_GB2312"/>
                <w:color w:val="auto"/>
                <w:highlight w:val="none"/>
              </w:rPr>
              <w:t>及以上培训经验的讲师</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eastAsia="zh-CN"/>
              </w:rPr>
              <w:t>1</w:t>
            </w:r>
            <w:r>
              <w:rPr>
                <w:rFonts w:hint="eastAsia" w:ascii="仿宋_GB2312" w:hAnsi="仿宋_GB2312" w:eastAsia="仿宋_GB2312" w:cs="仿宋_GB2312"/>
                <w:b/>
                <w:bCs/>
                <w:color w:val="auto"/>
                <w:highlight w:val="none"/>
              </w:rPr>
              <w:t>名</w:t>
            </w:r>
            <w:r>
              <w:rPr>
                <w:rFonts w:hint="eastAsia" w:ascii="仿宋_GB2312" w:hAnsi="仿宋_GB2312" w:eastAsia="仿宋_GB2312" w:cs="仿宋_GB2312"/>
                <w:color w:val="auto"/>
                <w:highlight w:val="none"/>
              </w:rPr>
              <w:t>，师资专业性、实操能力过硬；课程体系完整，覆盖设备操作、系统运维、故障排查、日常管理等核心内容，课程安排科学循序渐进；</w:t>
            </w:r>
            <w:r>
              <w:rPr>
                <w:rFonts w:hint="eastAsia" w:ascii="仿宋_GB2312" w:hAnsi="仿宋_GB2312" w:eastAsia="仿宋_GB2312" w:cs="仿宋_GB2312"/>
                <w:color w:val="auto"/>
                <w:highlight w:val="none"/>
                <w:lang w:val="en-US" w:eastAsia="zh-CN"/>
              </w:rPr>
              <w:t>不限于</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计算机网络教室</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互动平板一体机</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等内容</w:t>
            </w:r>
            <w:r>
              <w:rPr>
                <w:rFonts w:hint="eastAsia" w:ascii="仿宋_GB2312" w:hAnsi="仿宋_GB2312" w:eastAsia="仿宋_GB2312" w:cs="仿宋_GB2312"/>
                <w:b/>
                <w:bCs/>
                <w:color w:val="auto"/>
                <w:highlight w:val="none"/>
              </w:rPr>
              <w:t>总培训课时≥</w:t>
            </w:r>
            <w:r>
              <w:rPr>
                <w:rFonts w:hint="eastAsia" w:ascii="仿宋_GB2312" w:hAnsi="仿宋_GB2312" w:eastAsia="仿宋_GB2312" w:cs="仿宋_GB2312"/>
                <w:b/>
                <w:bCs/>
                <w:color w:val="auto"/>
                <w:highlight w:val="none"/>
                <w:lang w:val="en-US" w:eastAsia="zh-CN"/>
              </w:rPr>
              <w:t>2</w:t>
            </w:r>
            <w:r>
              <w:rPr>
                <w:rFonts w:hint="eastAsia" w:ascii="仿宋_GB2312" w:hAnsi="仿宋_GB2312" w:eastAsia="仿宋_GB2312" w:cs="仿宋_GB2312"/>
                <w:b/>
                <w:bCs/>
                <w:color w:val="auto"/>
                <w:highlight w:val="none"/>
              </w:rPr>
              <w:t>课时</w:t>
            </w:r>
            <w:r>
              <w:rPr>
                <w:rFonts w:hint="eastAsia" w:ascii="仿宋_GB2312" w:hAnsi="仿宋_GB2312" w:eastAsia="仿宋_GB2312" w:cs="仿宋_GB2312"/>
                <w:color w:val="auto"/>
                <w:highlight w:val="none"/>
              </w:rPr>
              <w:t>，课时充足、培训节奏合理，同时配套课后答疑、实操考核、</w:t>
            </w:r>
            <w:r>
              <w:rPr>
                <w:rFonts w:hint="eastAsia" w:ascii="仿宋_GB2312" w:hAnsi="仿宋_GB2312" w:eastAsia="仿宋_GB2312" w:cs="仿宋_GB2312"/>
                <w:color w:val="auto"/>
                <w:highlight w:val="none"/>
                <w:lang w:val="en-US" w:eastAsia="zh-CN"/>
              </w:rPr>
              <w:t>培训</w:t>
            </w:r>
            <w:r>
              <w:rPr>
                <w:rFonts w:hint="eastAsia" w:ascii="仿宋_GB2312" w:hAnsi="仿宋_GB2312" w:eastAsia="仿宋_GB2312" w:cs="仿宋_GB2312"/>
                <w:color w:val="auto"/>
                <w:highlight w:val="none"/>
              </w:rPr>
              <w:t>资料交付等闭环培训机制，可全面保障培训效果。</w:t>
            </w:r>
          </w:p>
          <w:p w14:paraId="69B7F898">
            <w:pPr>
              <w:keepNext w:val="0"/>
              <w:keepLines w:val="0"/>
              <w:pageBreakBefore w:val="0"/>
              <w:widowControl/>
              <w:kinsoku/>
              <w:wordWrap/>
              <w:overflowPunct/>
              <w:topLinePunct w:val="0"/>
              <w:autoSpaceDE/>
              <w:autoSpaceDN/>
              <w:bidi w:val="0"/>
              <w:adjustRightInd/>
              <w:snapToGrid/>
              <w:spacing w:line="430" w:lineRule="exact"/>
              <w:ind w:firstLine="422" w:firstLineChars="200"/>
              <w:textAlignment w:val="auto"/>
              <w:rPr>
                <w:rFonts w:hint="eastAsia" w:ascii="仿宋_GB2312" w:hAnsi="仿宋_GB2312" w:eastAsia="仿宋_GB2312" w:cs="仿宋_GB2312"/>
                <w:color w:val="auto"/>
                <w:kern w:val="2"/>
                <w:sz w:val="21"/>
                <w:szCs w:val="24"/>
                <w:highlight w:val="none"/>
                <w:lang w:val="en-US" w:eastAsia="zh-CN" w:bidi="ar-SA"/>
              </w:rPr>
            </w:pPr>
            <w:r>
              <w:rPr>
                <w:rFonts w:hint="eastAsia" w:ascii="仿宋_GB2312" w:hAnsi="仿宋_GB2312" w:eastAsia="仿宋_GB2312" w:cs="仿宋_GB2312"/>
                <w:b/>
                <w:bCs/>
                <w:color w:val="auto"/>
                <w:sz w:val="21"/>
                <w:szCs w:val="24"/>
                <w:highlight w:val="none"/>
              </w:rPr>
              <w:t>二档（</w:t>
            </w:r>
            <w:r>
              <w:rPr>
                <w:rFonts w:hint="eastAsia" w:ascii="仿宋_GB2312" w:hAnsi="仿宋_GB2312" w:eastAsia="仿宋_GB2312" w:cs="仿宋_GB2312"/>
                <w:b/>
                <w:bCs/>
                <w:color w:val="auto"/>
                <w:sz w:val="21"/>
                <w:szCs w:val="24"/>
                <w:highlight w:val="none"/>
                <w:lang w:val="en-US" w:eastAsia="zh-CN"/>
              </w:rPr>
              <w:t>6</w:t>
            </w:r>
            <w:r>
              <w:rPr>
                <w:rFonts w:hint="eastAsia" w:ascii="仿宋_GB2312" w:hAnsi="仿宋_GB2312" w:eastAsia="仿宋_GB2312" w:cs="仿宋_GB2312"/>
                <w:b/>
                <w:bCs/>
                <w:color w:val="auto"/>
                <w:sz w:val="21"/>
                <w:szCs w:val="24"/>
                <w:highlight w:val="none"/>
              </w:rPr>
              <w:t>分）：</w:t>
            </w:r>
            <w:r>
              <w:rPr>
                <w:rFonts w:hint="eastAsia" w:ascii="仿宋_GB2312" w:hAnsi="仿宋_GB2312" w:eastAsia="仿宋_GB2312" w:cs="仿宋_GB2312"/>
                <w:color w:val="auto"/>
                <w:kern w:val="2"/>
                <w:sz w:val="21"/>
                <w:szCs w:val="24"/>
                <w:highlight w:val="none"/>
                <w:lang w:val="en-US" w:eastAsia="zh-CN" w:bidi="ar-SA"/>
              </w:rPr>
              <w:t>培训方案内容具体、架构完整，明确包含课程安排、师资配置、培训对象、培训核心内容等模块，培训方式贴合项目需求，能够较好满足采购人人员操作、运维学习需求，培训流程规范，具备完整的培训闭环。</w:t>
            </w:r>
          </w:p>
          <w:p w14:paraId="0F5E0440">
            <w:pPr>
              <w:keepNext w:val="0"/>
              <w:keepLines w:val="0"/>
              <w:pageBreakBefore w:val="0"/>
              <w:widowControl/>
              <w:kinsoku/>
              <w:wordWrap/>
              <w:overflowPunct/>
              <w:topLinePunct w:val="0"/>
              <w:autoSpaceDE/>
              <w:autoSpaceDN/>
              <w:bidi w:val="0"/>
              <w:adjustRightInd/>
              <w:snapToGrid/>
              <w:spacing w:line="430" w:lineRule="exact"/>
              <w:ind w:firstLine="422" w:firstLineChars="200"/>
              <w:textAlignment w:val="auto"/>
              <w:rPr>
                <w:rFonts w:hint="eastAsia" w:ascii="仿宋_GB2312" w:hAnsi="仿宋_GB2312" w:eastAsia="仿宋_GB2312" w:cs="仿宋_GB2312"/>
                <w:color w:val="auto"/>
                <w:sz w:val="21"/>
                <w:szCs w:val="24"/>
                <w:highlight w:val="none"/>
              </w:rPr>
            </w:pPr>
            <w:r>
              <w:rPr>
                <w:rFonts w:hint="eastAsia" w:ascii="仿宋_GB2312" w:hAnsi="仿宋_GB2312" w:eastAsia="仿宋_GB2312" w:cs="仿宋_GB2312"/>
                <w:b/>
                <w:bCs/>
                <w:color w:val="auto"/>
                <w:sz w:val="21"/>
                <w:szCs w:val="24"/>
                <w:highlight w:val="none"/>
              </w:rPr>
              <w:t>三档（</w:t>
            </w:r>
            <w:r>
              <w:rPr>
                <w:rFonts w:hint="eastAsia" w:ascii="仿宋_GB2312" w:hAnsi="仿宋_GB2312" w:eastAsia="仿宋_GB2312" w:cs="仿宋_GB2312"/>
                <w:b/>
                <w:bCs/>
                <w:color w:val="auto"/>
                <w:sz w:val="21"/>
                <w:szCs w:val="24"/>
                <w:highlight w:val="none"/>
                <w:lang w:val="en-US" w:eastAsia="zh-CN"/>
              </w:rPr>
              <w:t>1</w:t>
            </w:r>
            <w:r>
              <w:rPr>
                <w:rFonts w:hint="eastAsia" w:ascii="仿宋_GB2312" w:hAnsi="仿宋_GB2312" w:eastAsia="仿宋_GB2312" w:cs="仿宋_GB2312"/>
                <w:b/>
                <w:bCs/>
                <w:color w:val="auto"/>
                <w:sz w:val="21"/>
                <w:szCs w:val="24"/>
                <w:highlight w:val="none"/>
              </w:rPr>
              <w:t>分）：</w:t>
            </w:r>
            <w:r>
              <w:rPr>
                <w:rFonts w:hint="eastAsia" w:ascii="仿宋_GB2312" w:hAnsi="仿宋_GB2312" w:eastAsia="仿宋_GB2312" w:cs="仿宋_GB2312"/>
                <w:color w:val="auto"/>
                <w:highlight w:val="none"/>
              </w:rPr>
              <w:t>仅提供基础培训框架，内容简单笼统，无明确课时、课程细则、师资规划，仅能满足最基础的入门培训需求</w:t>
            </w:r>
            <w:r>
              <w:rPr>
                <w:rFonts w:hint="eastAsia" w:ascii="仿宋_GB2312" w:hAnsi="仿宋_GB2312" w:eastAsia="仿宋_GB2312" w:cs="仿宋_GB2312"/>
                <w:color w:val="auto"/>
                <w:sz w:val="21"/>
                <w:szCs w:val="24"/>
                <w:highlight w:val="none"/>
              </w:rPr>
              <w:t>。</w:t>
            </w:r>
          </w:p>
          <w:p w14:paraId="27BFF46D">
            <w:pPr>
              <w:kinsoku w:val="0"/>
              <w:autoSpaceDE w:val="0"/>
              <w:autoSpaceDN w:val="0"/>
              <w:spacing w:line="440" w:lineRule="exact"/>
              <w:ind w:firstLine="420"/>
              <w:rPr>
                <w:rFonts w:hint="eastAsia" w:ascii="仿宋_GB2312" w:hAnsi="仿宋_GB2312" w:eastAsia="仿宋_GB2312" w:cs="仿宋_GB2312"/>
                <w:b/>
                <w:bCs/>
                <w:color w:val="auto"/>
                <w:spacing w:val="0"/>
                <w:kern w:val="2"/>
                <w:sz w:val="21"/>
                <w:szCs w:val="24"/>
                <w:highlight w:val="none"/>
              </w:rPr>
            </w:pPr>
            <w:r>
              <w:rPr>
                <w:rFonts w:hint="eastAsia" w:ascii="仿宋_GB2312" w:hAnsi="仿宋_GB2312" w:eastAsia="仿宋_GB2312" w:cs="仿宋_GB2312"/>
                <w:b/>
                <w:color w:val="auto"/>
                <w:sz w:val="21"/>
                <w:szCs w:val="24"/>
                <w:highlight w:val="none"/>
              </w:rPr>
              <w:t>注：</w:t>
            </w:r>
            <w:r>
              <w:rPr>
                <w:rFonts w:hint="eastAsia" w:ascii="仿宋_GB2312" w:hAnsi="仿宋_GB2312" w:eastAsia="仿宋_GB2312" w:cs="仿宋_GB2312"/>
                <w:b/>
                <w:bCs/>
                <w:color w:val="auto"/>
                <w:spacing w:val="0"/>
                <w:kern w:val="2"/>
                <w:sz w:val="21"/>
                <w:szCs w:val="24"/>
                <w:highlight w:val="none"/>
              </w:rPr>
              <w:t>1.该方案内容可以包括：（1）</w:t>
            </w:r>
            <w:r>
              <w:rPr>
                <w:rFonts w:hint="eastAsia" w:ascii="仿宋_GB2312" w:hAnsi="仿宋_GB2312" w:eastAsia="仿宋_GB2312" w:cs="仿宋_GB2312"/>
                <w:b/>
                <w:bCs/>
                <w:color w:val="auto"/>
                <w:kern w:val="2"/>
                <w:sz w:val="21"/>
                <w:szCs w:val="24"/>
                <w:highlight w:val="none"/>
                <w:lang w:val="en-US" w:eastAsia="zh-CN" w:bidi="ar-SA"/>
              </w:rPr>
              <w:t>课程安排</w:t>
            </w:r>
            <w:r>
              <w:rPr>
                <w:rFonts w:hint="eastAsia" w:ascii="仿宋_GB2312" w:hAnsi="仿宋_GB2312" w:eastAsia="仿宋_GB2312" w:cs="仿宋_GB2312"/>
                <w:b/>
                <w:bCs/>
                <w:color w:val="auto"/>
                <w:spacing w:val="0"/>
                <w:kern w:val="2"/>
                <w:sz w:val="21"/>
                <w:szCs w:val="24"/>
                <w:highlight w:val="none"/>
              </w:rPr>
              <w:t>；（2）</w:t>
            </w:r>
            <w:r>
              <w:rPr>
                <w:rStyle w:val="50"/>
                <w:rFonts w:hint="eastAsia" w:ascii="仿宋_GB2312" w:hAnsi="仿宋_GB2312" w:eastAsia="仿宋_GB2312" w:cs="仿宋_GB2312"/>
                <w:b/>
                <w:bCs/>
                <w:color w:val="auto"/>
                <w:kern w:val="2"/>
                <w:sz w:val="21"/>
                <w:szCs w:val="21"/>
                <w:highlight w:val="none"/>
                <w:lang w:val="en-US" w:eastAsia="zh-CN" w:bidi="ar-SA"/>
              </w:rPr>
              <w:t>授课模式；（3）</w:t>
            </w:r>
            <w:r>
              <w:rPr>
                <w:rFonts w:hint="eastAsia" w:ascii="仿宋_GB2312" w:hAnsi="仿宋_GB2312" w:eastAsia="仿宋_GB2312" w:cs="仿宋_GB2312"/>
                <w:b/>
                <w:bCs/>
                <w:color w:val="auto"/>
                <w:kern w:val="2"/>
                <w:sz w:val="21"/>
                <w:szCs w:val="24"/>
                <w:highlight w:val="none"/>
                <w:lang w:val="en-US" w:eastAsia="zh-CN" w:bidi="ar-SA"/>
              </w:rPr>
              <w:t>师资配置等内容。</w:t>
            </w:r>
          </w:p>
          <w:p w14:paraId="536A7C88">
            <w:pPr>
              <w:widowControl/>
              <w:spacing w:line="430" w:lineRule="exact"/>
              <w:ind w:firstLine="422" w:firstLineChars="200"/>
              <w:rPr>
                <w:rFonts w:hint="default" w:ascii="仿宋_GB2312" w:hAnsi="仿宋_GB2312" w:eastAsia="仿宋_GB2312" w:cs="仿宋_GB2312"/>
                <w:color w:val="auto"/>
                <w:kern w:val="2"/>
                <w:sz w:val="21"/>
                <w:szCs w:val="24"/>
                <w:highlight w:val="none"/>
                <w:lang w:val="en-US" w:eastAsia="zh-CN" w:bidi="ar-SA"/>
              </w:rPr>
            </w:pPr>
            <w:r>
              <w:rPr>
                <w:rFonts w:hint="eastAsia" w:ascii="仿宋_GB2312" w:hAnsi="仿宋_GB2312" w:eastAsia="仿宋_GB2312" w:cs="仿宋_GB2312"/>
                <w:b/>
                <w:color w:val="auto"/>
                <w:sz w:val="21"/>
                <w:szCs w:val="24"/>
                <w:highlight w:val="none"/>
                <w:lang w:val="en-US" w:eastAsia="zh-CN"/>
              </w:rPr>
              <w:t>2.</w:t>
            </w:r>
            <w:r>
              <w:rPr>
                <w:rFonts w:hint="eastAsia" w:ascii="仿宋_GB2312" w:hAnsi="仿宋_GB2312" w:eastAsia="仿宋_GB2312" w:cs="仿宋_GB2312"/>
                <w:b/>
                <w:color w:val="auto"/>
                <w:sz w:val="21"/>
                <w:szCs w:val="24"/>
                <w:highlight w:val="none"/>
              </w:rPr>
              <w:t>未提供方案或提供的内容与本项目无关的得0分。</w:t>
            </w:r>
          </w:p>
        </w:tc>
        <w:tc>
          <w:tcPr>
            <w:tcW w:w="737" w:type="dxa"/>
            <w:noWrap w:val="0"/>
            <w:vAlign w:val="center"/>
          </w:tcPr>
          <w:p w14:paraId="5842E11B">
            <w:pPr>
              <w:spacing w:line="360" w:lineRule="exact"/>
              <w:jc w:val="center"/>
              <w:rPr>
                <w:rFonts w:hint="default"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color w:val="auto"/>
                <w:szCs w:val="24"/>
                <w:highlight w:val="none"/>
                <w:lang w:val="en-US" w:eastAsia="zh-CN"/>
              </w:rPr>
              <w:t>11</w:t>
            </w:r>
          </w:p>
        </w:tc>
        <w:tc>
          <w:tcPr>
            <w:tcW w:w="1443" w:type="dxa"/>
            <w:noWrap w:val="0"/>
            <w:vAlign w:val="center"/>
          </w:tcPr>
          <w:p w14:paraId="4FD4D074">
            <w:pPr>
              <w:spacing w:line="360" w:lineRule="exact"/>
              <w:jc w:val="center"/>
              <w:rPr>
                <w:rFonts w:hint="eastAsia" w:ascii="仿宋_GB2312" w:hAnsi="仿宋_GB2312" w:eastAsia="仿宋_GB2312" w:cs="仿宋_GB2312"/>
                <w:b w:val="0"/>
                <w:bCs w:val="0"/>
                <w:color w:val="auto"/>
                <w:kern w:val="2"/>
                <w:sz w:val="21"/>
                <w:szCs w:val="24"/>
                <w:highlight w:val="none"/>
                <w:lang w:val="en-US" w:eastAsia="zh-CN" w:bidi="ar-SA"/>
              </w:rPr>
            </w:pPr>
            <w:r>
              <w:rPr>
                <w:rFonts w:hint="eastAsia" w:ascii="仿宋_GB2312" w:hAnsi="仿宋_GB2312" w:eastAsia="仿宋_GB2312" w:cs="仿宋_GB2312"/>
                <w:b w:val="0"/>
                <w:bCs w:val="0"/>
                <w:color w:val="auto"/>
                <w:szCs w:val="24"/>
                <w:highlight w:val="none"/>
                <w:lang w:val="en-US" w:eastAsia="zh-CN"/>
              </w:rPr>
              <w:t>技术培训方案</w:t>
            </w:r>
          </w:p>
        </w:tc>
      </w:tr>
      <w:tr w14:paraId="177AE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noWrap w:val="0"/>
            <w:vAlign w:val="center"/>
          </w:tcPr>
          <w:p w14:paraId="2B40C19A">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售后服务方案分</w:t>
            </w:r>
          </w:p>
        </w:tc>
        <w:tc>
          <w:tcPr>
            <w:tcW w:w="1090" w:type="dxa"/>
            <w:noWrap w:val="0"/>
            <w:vAlign w:val="center"/>
          </w:tcPr>
          <w:p w14:paraId="21469F1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售后服务方案</w:t>
            </w:r>
          </w:p>
        </w:tc>
        <w:tc>
          <w:tcPr>
            <w:tcW w:w="6196" w:type="dxa"/>
            <w:noWrap w:val="0"/>
            <w:vAlign w:val="center"/>
          </w:tcPr>
          <w:p w14:paraId="1E341182">
            <w:pPr>
              <w:widowControl/>
              <w:spacing w:line="430" w:lineRule="exact"/>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val="en-US" w:eastAsia="zh-CN"/>
              </w:rPr>
              <w:t>14</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kern w:val="2"/>
                <w:sz w:val="21"/>
                <w:szCs w:val="24"/>
                <w:highlight w:val="none"/>
                <w:lang w:val="en-US" w:eastAsia="zh-CN" w:bidi="ar-SA"/>
              </w:rPr>
              <w:t>售后服务方案及服务承诺全面详实、逻辑清晰、闭环完整，可操作性极强。建立全周期售后保障体系，</w:t>
            </w:r>
            <w:r>
              <w:rPr>
                <w:rStyle w:val="51"/>
                <w:rFonts w:hint="eastAsia" w:ascii="仿宋_GB2312" w:hAnsi="仿宋_GB2312" w:eastAsia="仿宋_GB2312" w:cs="仿宋_GB2312"/>
                <w:color w:val="auto"/>
                <w:kern w:val="0"/>
                <w:sz w:val="21"/>
                <w:szCs w:val="24"/>
                <w:highlight w:val="none"/>
                <w:lang w:val="en-US" w:eastAsia="zh-CN" w:bidi="ar-SA"/>
              </w:rPr>
              <w:t>技术人员≥</w:t>
            </w:r>
            <w:r>
              <w:rPr>
                <w:rFonts w:hint="eastAsia" w:ascii="仿宋_GB2312" w:hAnsi="仿宋_GB2312" w:eastAsia="仿宋_GB2312" w:cs="仿宋_GB2312"/>
                <w:color w:val="auto"/>
                <w:kern w:val="2"/>
                <w:sz w:val="21"/>
                <w:szCs w:val="24"/>
                <w:highlight w:val="none"/>
                <w:lang w:val="en-US" w:eastAsia="zh-CN" w:bidi="ar-SA"/>
              </w:rPr>
              <w:t>2</w:t>
            </w:r>
            <w:r>
              <w:rPr>
                <w:rStyle w:val="51"/>
                <w:rFonts w:hint="eastAsia" w:ascii="仿宋_GB2312" w:hAnsi="仿宋_GB2312" w:eastAsia="仿宋_GB2312" w:cs="仿宋_GB2312"/>
                <w:color w:val="auto"/>
                <w:kern w:val="0"/>
                <w:sz w:val="21"/>
                <w:szCs w:val="24"/>
                <w:highlight w:val="none"/>
                <w:lang w:val="en-US" w:eastAsia="zh-CN" w:bidi="ar-SA"/>
              </w:rPr>
              <w:t>名</w:t>
            </w:r>
            <w:r>
              <w:rPr>
                <w:rFonts w:hint="eastAsia" w:ascii="仿宋_GB2312" w:hAnsi="仿宋_GB2312" w:eastAsia="仿宋_GB2312" w:cs="仿宋_GB2312"/>
                <w:color w:val="auto"/>
                <w:kern w:val="2"/>
                <w:sz w:val="21"/>
                <w:szCs w:val="24"/>
                <w:highlight w:val="none"/>
                <w:lang w:val="en-US" w:eastAsia="zh-CN" w:bidi="ar-SA"/>
              </w:rPr>
              <w:t>，售后团队配置充足；故障处置流程、报修响应、现场排查、修复交付全流程标准化，</w:t>
            </w:r>
            <w:r>
              <w:rPr>
                <w:rStyle w:val="51"/>
                <w:rFonts w:hint="eastAsia" w:ascii="仿宋_GB2312" w:hAnsi="仿宋_GB2312" w:eastAsia="仿宋_GB2312" w:cs="仿宋_GB2312"/>
                <w:color w:val="auto"/>
                <w:kern w:val="0"/>
                <w:sz w:val="21"/>
                <w:szCs w:val="24"/>
                <w:highlight w:val="none"/>
                <w:lang w:val="en-US" w:eastAsia="zh-CN" w:bidi="ar-SA"/>
              </w:rPr>
              <w:t>紧急故障响应≤30分钟、现场处置≤2小时</w:t>
            </w:r>
            <w:r>
              <w:rPr>
                <w:rFonts w:hint="eastAsia" w:ascii="仿宋_GB2312" w:hAnsi="仿宋_GB2312" w:eastAsia="仿宋_GB2312" w:cs="仿宋_GB2312"/>
                <w:color w:val="auto"/>
                <w:kern w:val="2"/>
                <w:sz w:val="21"/>
                <w:szCs w:val="24"/>
                <w:highlight w:val="none"/>
                <w:lang w:val="en-US" w:eastAsia="zh-CN" w:bidi="ar-SA"/>
              </w:rPr>
              <w:t>；完善保修期内免费维保、故障抢修、定期巡检服务，</w:t>
            </w:r>
            <w:r>
              <w:rPr>
                <w:rStyle w:val="50"/>
                <w:rFonts w:hint="eastAsia" w:ascii="仿宋_GB2312" w:hAnsi="仿宋_GB2312" w:eastAsia="仿宋_GB2312" w:cs="仿宋_GB2312"/>
                <w:color w:val="auto"/>
                <w:kern w:val="2"/>
                <w:sz w:val="21"/>
                <w:szCs w:val="24"/>
                <w:highlight w:val="none"/>
                <w:lang w:val="en-US" w:eastAsia="zh-CN" w:bidi="ar-SA"/>
              </w:rPr>
              <w:t>每季度不少于1次上门回访运维</w:t>
            </w:r>
            <w:r>
              <w:rPr>
                <w:rFonts w:hint="eastAsia" w:ascii="仿宋_GB2312" w:hAnsi="仿宋_GB2312" w:eastAsia="仿宋_GB2312" w:cs="仿宋_GB2312"/>
                <w:color w:val="auto"/>
                <w:kern w:val="2"/>
                <w:sz w:val="21"/>
                <w:szCs w:val="24"/>
                <w:highlight w:val="none"/>
                <w:lang w:val="en-US" w:eastAsia="zh-CN" w:bidi="ar-SA"/>
              </w:rPr>
              <w:t>；具备完善的零配件储备体系，常用备件库存充足、供货时效有保障；保修期外维修服务标准、收费标准、服务流程公开透明；配套完善的售后故障应急预案、突发问题处置机制，且投标人或产品厂商具备规范的售后管理制度、完善的售后资源体系，服务保障能力优于采购需求。</w:t>
            </w:r>
          </w:p>
          <w:p w14:paraId="5C80B81B">
            <w:pPr>
              <w:widowControl/>
              <w:spacing w:line="430" w:lineRule="exact"/>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二</w:t>
            </w:r>
            <w:r>
              <w:rPr>
                <w:rFonts w:hint="eastAsia" w:ascii="仿宋_GB2312" w:hAnsi="仿宋_GB2312" w:eastAsia="仿宋_GB2312" w:cs="仿宋_GB2312"/>
                <w:b/>
                <w:bCs/>
                <w:color w:val="auto"/>
                <w:highlight w:val="none"/>
                <w:lang w:eastAsia="zh-CN"/>
              </w:rPr>
              <w:t>档</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val="en-US" w:eastAsia="zh-CN"/>
              </w:rPr>
              <w:t>9</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售后服务方案完整规范，全面满足采购售后要求，核心售后指标（响应时效、维保服务等）优于采购基础需求。具备专项售后技术支持、基础故障应急方案、备件保障及回访机制，方案针对性、可行性较强，可有效保障项目后期稳定运行。</w:t>
            </w:r>
          </w:p>
          <w:p w14:paraId="452A88D5">
            <w:pPr>
              <w:keepNext w:val="0"/>
              <w:keepLines w:val="0"/>
              <w:widowControl w:val="0"/>
              <w:suppressLineNumbers w:val="0"/>
              <w:kinsoku w:val="0"/>
              <w:autoSpaceDE w:val="0"/>
              <w:autoSpaceDN w:val="0"/>
              <w:spacing w:beforeLines="0" w:afterLines="0" w:line="440" w:lineRule="exact"/>
              <w:ind w:firstLine="422" w:firstLineChars="200"/>
              <w:jc w:val="left"/>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lang w:eastAsia="zh-CN"/>
              </w:rPr>
              <w:t>三</w:t>
            </w:r>
            <w:r>
              <w:rPr>
                <w:rFonts w:hint="eastAsia" w:ascii="仿宋_GB2312" w:hAnsi="仿宋_GB2312" w:eastAsia="仿宋_GB2312" w:cs="仿宋_GB2312"/>
                <w:b/>
                <w:bCs/>
                <w:color w:val="auto"/>
                <w:highlight w:val="none"/>
              </w:rPr>
              <w:t>档（</w:t>
            </w: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kern w:val="2"/>
                <w:sz w:val="21"/>
                <w:szCs w:val="24"/>
                <w:highlight w:val="none"/>
                <w:lang w:val="en-US" w:eastAsia="zh-CN" w:bidi="ar-SA"/>
              </w:rPr>
              <w:t>售后服务方案内容简略，仅覆盖基础采购售后需求，响应机制、维保措施、回访计划、备件保障等内容笼统，针对性、落地可行性一般，无细化量化服务标准。</w:t>
            </w:r>
          </w:p>
          <w:p w14:paraId="57A54C7F">
            <w:pPr>
              <w:spacing w:beforeLines="0" w:afterLines="0" w:line="430" w:lineRule="exact"/>
              <w:ind w:firstLine="422" w:firstLineChars="200"/>
              <w:rPr>
                <w:rFonts w:hint="eastAsia" w:ascii="仿宋_GB2312" w:hAnsi="仿宋_GB2312" w:eastAsia="仿宋_GB2312" w:cs="仿宋_GB2312"/>
                <w:b/>
                <w:color w:val="auto"/>
                <w:sz w:val="21"/>
                <w:szCs w:val="24"/>
                <w:highlight w:val="none"/>
              </w:rPr>
            </w:pPr>
            <w:r>
              <w:rPr>
                <w:rFonts w:hint="eastAsia" w:ascii="仿宋_GB2312" w:hAnsi="仿宋_GB2312" w:eastAsia="仿宋_GB2312" w:cs="仿宋_GB2312"/>
                <w:b/>
                <w:color w:val="auto"/>
                <w:sz w:val="21"/>
                <w:szCs w:val="24"/>
                <w:highlight w:val="none"/>
              </w:rPr>
              <w:t>注：1.该方案内容可以包括：（1）定期回访维护方案；（2）售后服务技术支持（包括售后服务机构、技术人员等）；（3）维修应急预案；（4）零配件储备供应；（5）保修期外维修方案。</w:t>
            </w:r>
          </w:p>
          <w:p w14:paraId="17B38D95">
            <w:pPr>
              <w:pStyle w:val="926"/>
              <w:numPr>
                <w:ilvl w:val="0"/>
                <w:numId w:val="0"/>
              </w:numPr>
              <w:spacing w:line="360" w:lineRule="exact"/>
              <w:ind w:left="0" w:leftChars="0" w:firstLine="422" w:firstLineChars="200"/>
              <w:rPr>
                <w:rFonts w:ascii="仿宋_GB2312" w:hAnsi="仿宋_GB2312" w:eastAsia="仿宋_GB2312" w:cs="仿宋_GB2312"/>
                <w:color w:val="auto"/>
                <w:szCs w:val="24"/>
                <w:highlight w:val="none"/>
              </w:rPr>
            </w:pPr>
            <w:r>
              <w:rPr>
                <w:rFonts w:hint="eastAsia" w:ascii="仿宋_GB2312" w:hAnsi="仿宋_GB2312" w:eastAsia="仿宋_GB2312" w:cs="仿宋_GB2312"/>
                <w:b/>
                <w:color w:val="auto"/>
                <w:sz w:val="21"/>
                <w:szCs w:val="24"/>
                <w:highlight w:val="none"/>
              </w:rPr>
              <w:t>2.未提供方案或提供的内容与本项目无关的得0分。</w:t>
            </w:r>
          </w:p>
        </w:tc>
        <w:tc>
          <w:tcPr>
            <w:tcW w:w="737" w:type="dxa"/>
            <w:noWrap w:val="0"/>
            <w:vAlign w:val="center"/>
          </w:tcPr>
          <w:p w14:paraId="556AC0A7">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b/>
                <w:bCs/>
                <w:strike/>
                <w:color w:val="auto"/>
                <w:highlight w:val="none"/>
                <w:lang w:val="en-US" w:eastAsia="zh-CN"/>
              </w:rPr>
            </w:pPr>
            <w:r>
              <w:rPr>
                <w:rFonts w:hint="eastAsia" w:ascii="仿宋_GB2312" w:hAnsi="仿宋_GB2312" w:eastAsia="仿宋_GB2312" w:cs="仿宋_GB2312"/>
                <w:b/>
                <w:bCs/>
                <w:color w:val="auto"/>
                <w:highlight w:val="none"/>
                <w:lang w:val="en-US" w:eastAsia="zh-CN"/>
              </w:rPr>
              <w:t>14</w:t>
            </w:r>
          </w:p>
        </w:tc>
        <w:tc>
          <w:tcPr>
            <w:tcW w:w="1443" w:type="dxa"/>
            <w:noWrap w:val="0"/>
            <w:vAlign w:val="center"/>
          </w:tcPr>
          <w:p w14:paraId="0DFDE78B">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售后服务方案</w:t>
            </w:r>
          </w:p>
        </w:tc>
      </w:tr>
      <w:tr w14:paraId="28CD5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35" w:type="dxa"/>
            <w:gridSpan w:val="3"/>
            <w:noWrap w:val="0"/>
            <w:vAlign w:val="center"/>
          </w:tcPr>
          <w:p w14:paraId="3546A794">
            <w:pPr>
              <w:pStyle w:val="329"/>
              <w:keepNext w:val="0"/>
              <w:keepLines w:val="0"/>
              <w:pageBreakBefore w:val="0"/>
              <w:kinsoku/>
              <w:wordWrap/>
              <w:overflowPunct/>
              <w:topLinePunct w:val="0"/>
              <w:autoSpaceDE/>
              <w:autoSpaceDN/>
              <w:bidi w:val="0"/>
              <w:adjustRightInd/>
              <w:snapToGrid/>
              <w:spacing w:line="400" w:lineRule="exact"/>
              <w:ind w:firstLine="0" w:firstLineChars="0"/>
              <w:jc w:val="center"/>
              <w:textAlignment w:val="auto"/>
              <w:rPr>
                <w:rFonts w:ascii="仿宋_GB2312" w:hAnsi="仿宋_GB2312" w:eastAsia="仿宋_GB2312" w:cs="仿宋_GB2312"/>
                <w:b/>
                <w:bCs/>
                <w:color w:val="auto"/>
                <w:szCs w:val="24"/>
                <w:highlight w:val="none"/>
              </w:rPr>
            </w:pPr>
            <w:r>
              <w:rPr>
                <w:rFonts w:hint="eastAsia" w:ascii="仿宋_GB2312" w:hAnsi="仿宋_GB2312" w:eastAsia="仿宋_GB2312" w:cs="仿宋_GB2312"/>
                <w:b/>
                <w:bCs/>
                <w:color w:val="auto"/>
                <w:szCs w:val="24"/>
                <w:highlight w:val="none"/>
              </w:rPr>
              <w:t>主观分总分</w:t>
            </w:r>
          </w:p>
        </w:tc>
        <w:tc>
          <w:tcPr>
            <w:tcW w:w="737" w:type="dxa"/>
            <w:noWrap w:val="0"/>
            <w:vAlign w:val="center"/>
          </w:tcPr>
          <w:p w14:paraId="42334EFC">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51</w:t>
            </w:r>
          </w:p>
        </w:tc>
        <w:tc>
          <w:tcPr>
            <w:tcW w:w="1443" w:type="dxa"/>
            <w:noWrap w:val="0"/>
            <w:vAlign w:val="center"/>
          </w:tcPr>
          <w:p w14:paraId="3EFEBA18">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color w:val="auto"/>
                <w:highlight w:val="none"/>
              </w:rPr>
            </w:pPr>
          </w:p>
        </w:tc>
      </w:tr>
    </w:tbl>
    <w:p w14:paraId="4A8E9604">
      <w:pPr>
        <w:rPr>
          <w:color w:val="auto"/>
          <w:highlight w:val="none"/>
        </w:rPr>
      </w:pPr>
    </w:p>
    <w:p w14:paraId="1C0028AB">
      <w:pPr>
        <w:spacing w:line="390" w:lineRule="exact"/>
        <w:ind w:right="-168" w:rightChars="-80" w:firstLine="236" w:firstLineChars="98"/>
        <w:rPr>
          <w:rFonts w:ascii="仿宋_GB2312" w:eastAsia="仿宋_GB2312"/>
          <w:b/>
          <w:color w:val="auto"/>
          <w:sz w:val="24"/>
          <w:highlight w:val="none"/>
        </w:rPr>
      </w:pPr>
      <w:r>
        <w:rPr>
          <w:rFonts w:hint="eastAsia" w:ascii="仿宋_GB2312" w:eastAsia="仿宋_GB2312"/>
          <w:b/>
          <w:color w:val="auto"/>
          <w:sz w:val="24"/>
          <w:highlight w:val="none"/>
        </w:rPr>
        <w:t>（三）总得分=客观分+主观分</w:t>
      </w:r>
    </w:p>
    <w:p w14:paraId="1F5289CE">
      <w:pPr>
        <w:adjustRightInd w:val="0"/>
        <w:spacing w:line="400" w:lineRule="exact"/>
        <w:ind w:firstLine="482" w:firstLineChars="200"/>
        <w:jc w:val="left"/>
        <w:textAlignment w:val="baseline"/>
        <w:rPr>
          <w:rFonts w:ascii="仿宋_GB2312" w:hAnsi="宋体" w:eastAsia="仿宋_GB2312"/>
          <w:b/>
          <w:color w:val="auto"/>
          <w:kern w:val="0"/>
          <w:sz w:val="24"/>
          <w:highlight w:val="none"/>
        </w:rPr>
      </w:pPr>
      <w:bookmarkStart w:id="74" w:name="gxebd_pack_1_EvalFactorScoreEnd"/>
      <w:bookmarkEnd w:id="74"/>
      <w:r>
        <w:rPr>
          <w:rFonts w:hint="eastAsia" w:ascii="仿宋_GB2312" w:hAnsi="宋体" w:eastAsia="仿宋_GB2312"/>
          <w:b/>
          <w:color w:val="auto"/>
          <w:kern w:val="0"/>
          <w:sz w:val="24"/>
          <w:highlight w:val="none"/>
        </w:rPr>
        <w:t>三、中标标准及中标候选人推荐原则</w:t>
      </w:r>
    </w:p>
    <w:p w14:paraId="5A91C772">
      <w:pPr>
        <w:adjustRightInd w:val="0"/>
        <w:spacing w:line="400" w:lineRule="exact"/>
        <w:ind w:firstLine="482" w:firstLineChars="200"/>
        <w:jc w:val="left"/>
        <w:textAlignment w:val="baseline"/>
        <w:rPr>
          <w:rFonts w:ascii="仿宋_GB2312" w:hAnsi="宋体" w:eastAsia="仿宋_GB2312"/>
          <w:b/>
          <w:color w:val="auto"/>
          <w:kern w:val="0"/>
          <w:sz w:val="24"/>
          <w:highlight w:val="none"/>
        </w:rPr>
      </w:pPr>
      <w:r>
        <w:rPr>
          <w:rFonts w:hint="eastAsia" w:ascii="仿宋_GB2312" w:hAnsi="宋体" w:eastAsia="仿宋_GB2312"/>
          <w:b/>
          <w:color w:val="auto"/>
          <w:kern w:val="0"/>
          <w:sz w:val="24"/>
          <w:highlight w:val="none"/>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75" w:name="_Hlk93676949"/>
      <w:r>
        <w:rPr>
          <w:rFonts w:hint="eastAsia" w:ascii="仿宋_GB2312" w:hAnsi="宋体" w:eastAsia="仿宋_GB2312"/>
          <w:b/>
          <w:color w:val="auto"/>
          <w:kern w:val="0"/>
          <w:sz w:val="24"/>
          <w:highlight w:val="none"/>
        </w:rPr>
        <w:t>排名第一的中标候选人放弃中标、因不可抗力提出不能履行合同，</w:t>
      </w:r>
      <w:bookmarkEnd w:id="75"/>
      <w:r>
        <w:rPr>
          <w:rFonts w:hint="eastAsia" w:ascii="仿宋_GB2312" w:hAnsi="宋体" w:eastAsia="仿宋_GB2312"/>
          <w:b/>
          <w:color w:val="auto"/>
          <w:kern w:val="0"/>
          <w:sz w:val="24"/>
          <w:highlight w:val="none"/>
        </w:rPr>
        <w:t>采购人或采购代理机构应将该情况报政府采购监督管理部门，从合格的中标候选人中另行确定中标人或重新开展政府采购活动。</w:t>
      </w:r>
    </w:p>
    <w:p w14:paraId="08D0CB02">
      <w:pPr>
        <w:adjustRightInd w:val="0"/>
        <w:spacing w:line="400" w:lineRule="exact"/>
        <w:ind w:firstLine="482" w:firstLineChars="200"/>
        <w:jc w:val="left"/>
        <w:textAlignment w:val="baseline"/>
        <w:rPr>
          <w:rFonts w:ascii="仿宋_GB2312" w:hAnsi="宋体" w:eastAsia="仿宋_GB2312"/>
          <w:b/>
          <w:bCs/>
          <w:color w:val="auto"/>
          <w:sz w:val="24"/>
          <w:highlight w:val="none"/>
        </w:rPr>
      </w:pPr>
      <w:r>
        <w:rPr>
          <w:rFonts w:hint="eastAsia" w:ascii="仿宋_GB2312" w:hAnsi="宋体" w:eastAsia="仿宋_GB2312"/>
          <w:b/>
          <w:color w:val="auto"/>
          <w:kern w:val="0"/>
          <w:sz w:val="24"/>
          <w:highlight w:val="none"/>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color w:val="auto"/>
          <w:sz w:val="24"/>
          <w:highlight w:val="none"/>
        </w:rPr>
        <w:t>。</w:t>
      </w:r>
    </w:p>
    <w:p w14:paraId="481864D4">
      <w:pPr>
        <w:tabs>
          <w:tab w:val="left" w:pos="3055"/>
        </w:tabs>
        <w:jc w:val="left"/>
        <w:rPr>
          <w:rFonts w:hint="eastAsia" w:hAnsi="宋体"/>
          <w:b/>
          <w:bCs/>
          <w:color w:val="auto"/>
          <w:highlight w:val="none"/>
        </w:rPr>
      </w:pPr>
    </w:p>
    <w:p w14:paraId="1B72F4C4">
      <w:pPr>
        <w:spacing w:before="342" w:line="400" w:lineRule="exact"/>
        <w:rPr>
          <w:rFonts w:hint="eastAsia" w:ascii="仿宋_GB2312" w:hAnsi="仿宋_GB2312" w:eastAsia="仿宋_GB2312" w:cs="仿宋_GB2312"/>
          <w:color w:val="auto"/>
          <w:spacing w:val="-2"/>
          <w:sz w:val="28"/>
          <w:szCs w:val="28"/>
          <w:highlight w:val="none"/>
        </w:rPr>
      </w:pPr>
    </w:p>
    <w:p w14:paraId="5A886ABC">
      <w:pPr>
        <w:spacing w:before="342" w:line="400" w:lineRule="exact"/>
        <w:rPr>
          <w:rFonts w:hint="eastAsia" w:ascii="仿宋_GB2312" w:hAnsi="仿宋_GB2312" w:eastAsia="仿宋_GB2312" w:cs="仿宋_GB2312"/>
          <w:color w:val="auto"/>
          <w:spacing w:val="-2"/>
          <w:sz w:val="28"/>
          <w:szCs w:val="28"/>
          <w:highlight w:val="none"/>
        </w:rPr>
      </w:pPr>
    </w:p>
    <w:p w14:paraId="3418AF2B">
      <w:pPr>
        <w:spacing w:before="0" w:line="240" w:lineRule="auto"/>
        <w:rPr>
          <w:rFonts w:hint="eastAsia" w:ascii="仿宋_GB2312" w:hAnsi="仿宋_GB2312" w:eastAsia="仿宋_GB2312" w:cs="仿宋_GB2312"/>
          <w:color w:val="auto"/>
          <w:spacing w:val="-2"/>
          <w:sz w:val="28"/>
          <w:szCs w:val="28"/>
          <w:highlight w:val="none"/>
        </w:rPr>
      </w:pPr>
      <w:r>
        <w:rPr>
          <w:rFonts w:hint="eastAsia" w:ascii="仿宋_GB2312" w:hAnsi="仿宋_GB2312" w:eastAsia="仿宋_GB2312" w:cs="仿宋_GB2312"/>
          <w:color w:val="auto"/>
          <w:spacing w:val="-2"/>
          <w:sz w:val="28"/>
          <w:szCs w:val="28"/>
          <w:highlight w:val="none"/>
        </w:rPr>
        <w:br w:type="page"/>
      </w:r>
    </w:p>
    <w:p w14:paraId="7A646CE3">
      <w:pPr>
        <w:spacing w:before="342" w:line="400" w:lineRule="exact"/>
        <w:rPr>
          <w:rFonts w:hint="eastAsia" w:ascii="仿宋_GB2312" w:hAnsi="仿宋_GB2312" w:eastAsia="仿宋_GB2312" w:cs="仿宋_GB2312"/>
          <w:color w:val="auto"/>
          <w:spacing w:val="-2"/>
          <w:sz w:val="28"/>
          <w:szCs w:val="28"/>
          <w:highlight w:val="none"/>
        </w:rPr>
      </w:pPr>
      <w:r>
        <w:rPr>
          <w:rFonts w:hint="eastAsia" w:ascii="仿宋_GB2312" w:hAnsi="仿宋_GB2312" w:eastAsia="仿宋_GB2312" w:cs="仿宋_GB2312"/>
          <w:color w:val="auto"/>
          <w:spacing w:val="-2"/>
          <w:sz w:val="28"/>
          <w:szCs w:val="28"/>
          <w:highlight w:val="none"/>
        </w:rPr>
        <w:t>附件一：</w:t>
      </w:r>
    </w:p>
    <w:p w14:paraId="79B24649">
      <w:pPr>
        <w:spacing w:before="342" w:line="175" w:lineRule="auto"/>
        <w:jc w:val="center"/>
        <w:rPr>
          <w:rFonts w:hint="eastAsia" w:ascii="微软雅黑" w:hAnsi="微软雅黑" w:eastAsia="微软雅黑" w:cs="微软雅黑"/>
          <w:color w:val="auto"/>
          <w:sz w:val="40"/>
          <w:szCs w:val="40"/>
          <w:highlight w:val="none"/>
        </w:rPr>
      </w:pPr>
      <w:r>
        <w:rPr>
          <w:rFonts w:ascii="微软雅黑" w:hAnsi="微软雅黑" w:eastAsia="微软雅黑" w:cs="微软雅黑"/>
          <w:color w:val="auto"/>
          <w:spacing w:val="-2"/>
          <w:sz w:val="40"/>
          <w:szCs w:val="40"/>
          <w:highlight w:val="none"/>
        </w:rPr>
        <w:t>节能产品政府采购品目清单</w:t>
      </w:r>
    </w:p>
    <w:p w14:paraId="473F483E">
      <w:pPr>
        <w:spacing w:line="151" w:lineRule="exact"/>
        <w:rPr>
          <w:color w:val="auto"/>
          <w:highlight w:val="none"/>
        </w:rPr>
      </w:pPr>
    </w:p>
    <w:tbl>
      <w:tblPr>
        <w:tblStyle w:val="936"/>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149D0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578" w:type="dxa"/>
          </w:tcPr>
          <w:p w14:paraId="61C357C0">
            <w:pPr>
              <w:pStyle w:val="935"/>
              <w:spacing w:before="129" w:line="249" w:lineRule="auto"/>
              <w:ind w:left="72" w:right="66" w:firstLine="18"/>
              <w:rPr>
                <w:rFonts w:hint="eastAsia"/>
                <w:color w:val="auto"/>
                <w:sz w:val="22"/>
                <w:szCs w:val="22"/>
                <w:highlight w:val="none"/>
              </w:rPr>
            </w:pPr>
            <w:r>
              <w:rPr>
                <w:b/>
                <w:bCs/>
                <w:color w:val="auto"/>
                <w:spacing w:val="-15"/>
                <w:sz w:val="22"/>
                <w:szCs w:val="22"/>
                <w:highlight w:val="none"/>
              </w:rPr>
              <w:t>品目</w:t>
            </w:r>
            <w:r>
              <w:rPr>
                <w:color w:val="auto"/>
                <w:sz w:val="22"/>
                <w:szCs w:val="22"/>
                <w:highlight w:val="none"/>
              </w:rPr>
              <w:t xml:space="preserve"> </w:t>
            </w:r>
            <w:r>
              <w:rPr>
                <w:b/>
                <w:bCs/>
                <w:color w:val="auto"/>
                <w:spacing w:val="-6"/>
                <w:sz w:val="22"/>
                <w:szCs w:val="22"/>
                <w:highlight w:val="none"/>
              </w:rPr>
              <w:t>序号</w:t>
            </w:r>
          </w:p>
        </w:tc>
        <w:tc>
          <w:tcPr>
            <w:tcW w:w="4879" w:type="dxa"/>
            <w:gridSpan w:val="3"/>
          </w:tcPr>
          <w:p w14:paraId="1E0A49CD">
            <w:pPr>
              <w:pStyle w:val="935"/>
              <w:spacing w:before="285" w:line="223" w:lineRule="auto"/>
              <w:ind w:left="2226"/>
              <w:rPr>
                <w:rFonts w:hint="eastAsia"/>
                <w:color w:val="auto"/>
                <w:sz w:val="22"/>
                <w:szCs w:val="22"/>
                <w:highlight w:val="none"/>
              </w:rPr>
            </w:pPr>
            <w:r>
              <w:rPr>
                <w:b/>
                <w:bCs/>
                <w:color w:val="auto"/>
                <w:spacing w:val="-5"/>
                <w:sz w:val="22"/>
                <w:szCs w:val="22"/>
                <w:highlight w:val="none"/>
              </w:rPr>
              <w:t>名称</w:t>
            </w:r>
          </w:p>
        </w:tc>
        <w:tc>
          <w:tcPr>
            <w:tcW w:w="2969" w:type="dxa"/>
          </w:tcPr>
          <w:p w14:paraId="0BBE0A47">
            <w:pPr>
              <w:pStyle w:val="935"/>
              <w:spacing w:before="285" w:line="220" w:lineRule="auto"/>
              <w:ind w:left="939"/>
              <w:rPr>
                <w:rFonts w:hint="eastAsia"/>
                <w:color w:val="auto"/>
                <w:sz w:val="22"/>
                <w:szCs w:val="22"/>
                <w:highlight w:val="none"/>
              </w:rPr>
            </w:pPr>
            <w:r>
              <w:rPr>
                <w:b/>
                <w:bCs/>
                <w:color w:val="auto"/>
                <w:spacing w:val="-4"/>
                <w:sz w:val="22"/>
                <w:szCs w:val="22"/>
                <w:highlight w:val="none"/>
              </w:rPr>
              <w:t>依据的标准</w:t>
            </w:r>
          </w:p>
        </w:tc>
      </w:tr>
      <w:tr w14:paraId="4D7EBB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jc w:val="center"/>
        </w:trPr>
        <w:tc>
          <w:tcPr>
            <w:tcW w:w="578" w:type="dxa"/>
            <w:vMerge w:val="restart"/>
            <w:tcBorders>
              <w:bottom w:val="nil"/>
            </w:tcBorders>
          </w:tcPr>
          <w:p w14:paraId="661EF1B5">
            <w:pPr>
              <w:spacing w:line="254" w:lineRule="auto"/>
              <w:rPr>
                <w:rFonts w:ascii="Arial"/>
                <w:color w:val="auto"/>
                <w:highlight w:val="none"/>
              </w:rPr>
            </w:pPr>
          </w:p>
          <w:p w14:paraId="4C2BACE2">
            <w:pPr>
              <w:spacing w:line="254" w:lineRule="auto"/>
              <w:rPr>
                <w:rFonts w:ascii="Arial"/>
                <w:color w:val="auto"/>
                <w:highlight w:val="none"/>
              </w:rPr>
            </w:pPr>
          </w:p>
          <w:p w14:paraId="429424CE">
            <w:pPr>
              <w:spacing w:line="254" w:lineRule="auto"/>
              <w:rPr>
                <w:rFonts w:ascii="Arial"/>
                <w:color w:val="auto"/>
                <w:highlight w:val="none"/>
              </w:rPr>
            </w:pPr>
          </w:p>
          <w:p w14:paraId="4854D059">
            <w:pPr>
              <w:spacing w:line="255" w:lineRule="auto"/>
              <w:rPr>
                <w:rFonts w:ascii="Arial"/>
                <w:color w:val="auto"/>
                <w:highlight w:val="none"/>
              </w:rPr>
            </w:pPr>
          </w:p>
          <w:p w14:paraId="78C9B42E">
            <w:pPr>
              <w:pStyle w:val="935"/>
              <w:spacing w:before="62" w:line="190" w:lineRule="auto"/>
              <w:ind w:left="257"/>
              <w:rPr>
                <w:rFonts w:hint="eastAsia"/>
                <w:color w:val="auto"/>
                <w:highlight w:val="none"/>
              </w:rPr>
            </w:pPr>
            <w:r>
              <w:rPr>
                <w:color w:val="auto"/>
                <w:highlight w:val="none"/>
              </w:rPr>
              <w:t>1</w:t>
            </w:r>
          </w:p>
        </w:tc>
        <w:tc>
          <w:tcPr>
            <w:tcW w:w="1166" w:type="dxa"/>
            <w:vMerge w:val="restart"/>
            <w:tcBorders>
              <w:bottom w:val="nil"/>
            </w:tcBorders>
          </w:tcPr>
          <w:p w14:paraId="6D123E59">
            <w:pPr>
              <w:spacing w:line="277" w:lineRule="auto"/>
              <w:rPr>
                <w:rFonts w:ascii="Arial"/>
                <w:color w:val="auto"/>
                <w:highlight w:val="none"/>
              </w:rPr>
            </w:pPr>
          </w:p>
          <w:p w14:paraId="6FEEBD10">
            <w:pPr>
              <w:spacing w:line="277" w:lineRule="auto"/>
              <w:rPr>
                <w:rFonts w:ascii="Arial"/>
                <w:color w:val="auto"/>
                <w:highlight w:val="none"/>
              </w:rPr>
            </w:pPr>
          </w:p>
          <w:p w14:paraId="34D7FBD6">
            <w:pPr>
              <w:spacing w:line="278" w:lineRule="auto"/>
              <w:rPr>
                <w:rFonts w:ascii="Arial"/>
                <w:color w:val="auto"/>
                <w:highlight w:val="none"/>
              </w:rPr>
            </w:pPr>
          </w:p>
          <w:p w14:paraId="5CE4FF4E">
            <w:pPr>
              <w:pStyle w:val="935"/>
              <w:spacing w:before="61" w:line="288" w:lineRule="auto"/>
              <w:ind w:left="14" w:right="8" w:hanging="5"/>
              <w:rPr>
                <w:rFonts w:hint="eastAsia"/>
                <w:color w:val="auto"/>
                <w:highlight w:val="none"/>
              </w:rPr>
            </w:pPr>
            <w:r>
              <w:rPr>
                <w:color w:val="auto"/>
                <w:spacing w:val="5"/>
                <w:highlight w:val="none"/>
              </w:rPr>
              <w:t>A020101</w:t>
            </w:r>
            <w:r>
              <w:rPr>
                <w:color w:val="auto"/>
                <w:spacing w:val="-43"/>
                <w:highlight w:val="none"/>
              </w:rPr>
              <w:t xml:space="preserve"> </w:t>
            </w:r>
            <w:r>
              <w:rPr>
                <w:color w:val="auto"/>
                <w:spacing w:val="5"/>
                <w:highlight w:val="none"/>
              </w:rPr>
              <w:t>计算</w:t>
            </w:r>
            <w:r>
              <w:rPr>
                <w:color w:val="auto"/>
                <w:highlight w:val="none"/>
              </w:rPr>
              <w:t xml:space="preserve"> </w:t>
            </w:r>
            <w:r>
              <w:rPr>
                <w:color w:val="auto"/>
                <w:spacing w:val="6"/>
                <w:highlight w:val="none"/>
              </w:rPr>
              <w:t>机设备</w:t>
            </w:r>
          </w:p>
        </w:tc>
        <w:tc>
          <w:tcPr>
            <w:tcW w:w="1799" w:type="dxa"/>
          </w:tcPr>
          <w:p w14:paraId="582346E0">
            <w:pPr>
              <w:pStyle w:val="935"/>
              <w:spacing w:before="155" w:line="288" w:lineRule="auto"/>
              <w:ind w:left="17" w:right="10" w:firstLine="1"/>
              <w:rPr>
                <w:rFonts w:hint="eastAsia"/>
                <w:color w:val="auto"/>
                <w:highlight w:val="none"/>
              </w:rPr>
            </w:pPr>
            <w:r>
              <w:rPr>
                <w:color w:val="auto"/>
                <w:spacing w:val="3"/>
                <w:highlight w:val="none"/>
              </w:rPr>
              <w:t>★A02010104 台式计</w:t>
            </w:r>
            <w:r>
              <w:rPr>
                <w:color w:val="auto"/>
                <w:spacing w:val="12"/>
                <w:highlight w:val="none"/>
              </w:rPr>
              <w:t xml:space="preserve"> </w:t>
            </w:r>
            <w:r>
              <w:rPr>
                <w:color w:val="auto"/>
                <w:spacing w:val="4"/>
                <w:highlight w:val="none"/>
              </w:rPr>
              <w:t>算机</w:t>
            </w:r>
          </w:p>
        </w:tc>
        <w:tc>
          <w:tcPr>
            <w:tcW w:w="1914" w:type="dxa"/>
          </w:tcPr>
          <w:p w14:paraId="5C62DCA9">
            <w:pPr>
              <w:rPr>
                <w:rFonts w:ascii="Arial"/>
                <w:color w:val="auto"/>
                <w:highlight w:val="none"/>
              </w:rPr>
            </w:pPr>
          </w:p>
        </w:tc>
        <w:tc>
          <w:tcPr>
            <w:tcW w:w="2969" w:type="dxa"/>
          </w:tcPr>
          <w:p w14:paraId="57B81EB4">
            <w:pPr>
              <w:pStyle w:val="935"/>
              <w:spacing w:before="155" w:line="288" w:lineRule="auto"/>
              <w:ind w:left="19" w:right="11" w:firstLine="3"/>
              <w:rPr>
                <w:rFonts w:hint="eastAsia"/>
                <w:color w:val="auto"/>
                <w:highlight w:val="none"/>
                <w:lang w:eastAsia="zh-CN"/>
              </w:rPr>
            </w:pPr>
            <w:r>
              <w:rPr>
                <w:color w:val="auto"/>
                <w:spacing w:val="19"/>
                <w:highlight w:val="none"/>
                <w:lang w:eastAsia="zh-CN"/>
              </w:rPr>
              <w:t>《微型计算机能效限定值及能效</w:t>
            </w:r>
            <w:r>
              <w:rPr>
                <w:color w:val="auto"/>
                <w:spacing w:val="2"/>
                <w:highlight w:val="none"/>
                <w:lang w:eastAsia="zh-CN"/>
              </w:rPr>
              <w:t xml:space="preserve"> </w:t>
            </w:r>
            <w:r>
              <w:rPr>
                <w:color w:val="auto"/>
                <w:spacing w:val="6"/>
                <w:highlight w:val="none"/>
                <w:lang w:eastAsia="zh-CN"/>
              </w:rPr>
              <w:t>等级》（</w:t>
            </w:r>
            <w:r>
              <w:rPr>
                <w:color w:val="auto"/>
                <w:highlight w:val="none"/>
                <w:lang w:eastAsia="zh-CN"/>
              </w:rPr>
              <w:t>GB</w:t>
            </w:r>
            <w:r>
              <w:rPr>
                <w:color w:val="auto"/>
                <w:spacing w:val="6"/>
                <w:highlight w:val="none"/>
                <w:lang w:eastAsia="zh-CN"/>
              </w:rPr>
              <w:t xml:space="preserve"> 28380）</w:t>
            </w:r>
          </w:p>
        </w:tc>
      </w:tr>
      <w:tr w14:paraId="7D4C1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jc w:val="center"/>
        </w:trPr>
        <w:tc>
          <w:tcPr>
            <w:tcW w:w="578" w:type="dxa"/>
            <w:vMerge w:val="continue"/>
            <w:tcBorders>
              <w:top w:val="nil"/>
              <w:bottom w:val="nil"/>
            </w:tcBorders>
          </w:tcPr>
          <w:p w14:paraId="11D9DB01">
            <w:pPr>
              <w:rPr>
                <w:rFonts w:ascii="Arial"/>
                <w:color w:val="auto"/>
                <w:highlight w:val="none"/>
              </w:rPr>
            </w:pPr>
          </w:p>
        </w:tc>
        <w:tc>
          <w:tcPr>
            <w:tcW w:w="1166" w:type="dxa"/>
            <w:vMerge w:val="continue"/>
            <w:tcBorders>
              <w:top w:val="nil"/>
              <w:bottom w:val="nil"/>
            </w:tcBorders>
          </w:tcPr>
          <w:p w14:paraId="6DB37892">
            <w:pPr>
              <w:rPr>
                <w:rFonts w:ascii="Arial"/>
                <w:color w:val="auto"/>
                <w:highlight w:val="none"/>
              </w:rPr>
            </w:pPr>
          </w:p>
        </w:tc>
        <w:tc>
          <w:tcPr>
            <w:tcW w:w="1799" w:type="dxa"/>
          </w:tcPr>
          <w:p w14:paraId="1925769F">
            <w:pPr>
              <w:pStyle w:val="935"/>
              <w:spacing w:before="110" w:line="288" w:lineRule="auto"/>
              <w:ind w:left="15" w:right="10" w:firstLine="3"/>
              <w:rPr>
                <w:rFonts w:hint="eastAsia"/>
                <w:color w:val="auto"/>
                <w:highlight w:val="none"/>
              </w:rPr>
            </w:pPr>
            <w:r>
              <w:rPr>
                <w:color w:val="auto"/>
                <w:spacing w:val="3"/>
                <w:highlight w:val="none"/>
              </w:rPr>
              <w:t>★A02010105 便携式</w:t>
            </w:r>
            <w:r>
              <w:rPr>
                <w:color w:val="auto"/>
                <w:spacing w:val="12"/>
                <w:highlight w:val="none"/>
              </w:rPr>
              <w:t xml:space="preserve"> </w:t>
            </w:r>
            <w:r>
              <w:rPr>
                <w:color w:val="auto"/>
                <w:spacing w:val="6"/>
                <w:highlight w:val="none"/>
              </w:rPr>
              <w:t>计算机</w:t>
            </w:r>
          </w:p>
        </w:tc>
        <w:tc>
          <w:tcPr>
            <w:tcW w:w="1914" w:type="dxa"/>
          </w:tcPr>
          <w:p w14:paraId="4D4475B9">
            <w:pPr>
              <w:rPr>
                <w:rFonts w:ascii="Arial"/>
                <w:color w:val="auto"/>
                <w:highlight w:val="none"/>
              </w:rPr>
            </w:pPr>
          </w:p>
        </w:tc>
        <w:tc>
          <w:tcPr>
            <w:tcW w:w="2969" w:type="dxa"/>
          </w:tcPr>
          <w:p w14:paraId="56650A61">
            <w:pPr>
              <w:pStyle w:val="935"/>
              <w:spacing w:before="111" w:line="288" w:lineRule="auto"/>
              <w:ind w:left="19" w:right="11" w:firstLine="3"/>
              <w:rPr>
                <w:rFonts w:hint="eastAsia"/>
                <w:color w:val="auto"/>
                <w:highlight w:val="none"/>
                <w:lang w:eastAsia="zh-CN"/>
              </w:rPr>
            </w:pPr>
            <w:r>
              <w:rPr>
                <w:color w:val="auto"/>
                <w:spacing w:val="19"/>
                <w:highlight w:val="none"/>
                <w:lang w:eastAsia="zh-CN"/>
              </w:rPr>
              <w:t>《微型计算机能效限定值及能效</w:t>
            </w:r>
            <w:r>
              <w:rPr>
                <w:color w:val="auto"/>
                <w:spacing w:val="2"/>
                <w:highlight w:val="none"/>
                <w:lang w:eastAsia="zh-CN"/>
              </w:rPr>
              <w:t xml:space="preserve"> </w:t>
            </w:r>
            <w:r>
              <w:rPr>
                <w:color w:val="auto"/>
                <w:spacing w:val="6"/>
                <w:highlight w:val="none"/>
                <w:lang w:eastAsia="zh-CN"/>
              </w:rPr>
              <w:t>等级》（</w:t>
            </w:r>
            <w:r>
              <w:rPr>
                <w:color w:val="auto"/>
                <w:highlight w:val="none"/>
                <w:lang w:eastAsia="zh-CN"/>
              </w:rPr>
              <w:t>GB</w:t>
            </w:r>
            <w:r>
              <w:rPr>
                <w:color w:val="auto"/>
                <w:spacing w:val="6"/>
                <w:highlight w:val="none"/>
                <w:lang w:eastAsia="zh-CN"/>
              </w:rPr>
              <w:t xml:space="preserve"> 28380）</w:t>
            </w:r>
          </w:p>
        </w:tc>
      </w:tr>
      <w:tr w14:paraId="408463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578" w:type="dxa"/>
            <w:vMerge w:val="continue"/>
            <w:tcBorders>
              <w:top w:val="nil"/>
            </w:tcBorders>
          </w:tcPr>
          <w:p w14:paraId="6A76CA66">
            <w:pPr>
              <w:rPr>
                <w:rFonts w:ascii="Arial"/>
                <w:color w:val="auto"/>
                <w:highlight w:val="none"/>
              </w:rPr>
            </w:pPr>
          </w:p>
        </w:tc>
        <w:tc>
          <w:tcPr>
            <w:tcW w:w="1166" w:type="dxa"/>
            <w:vMerge w:val="continue"/>
            <w:tcBorders>
              <w:top w:val="nil"/>
            </w:tcBorders>
          </w:tcPr>
          <w:p w14:paraId="6A3F95AD">
            <w:pPr>
              <w:rPr>
                <w:rFonts w:ascii="Arial"/>
                <w:color w:val="auto"/>
                <w:highlight w:val="none"/>
              </w:rPr>
            </w:pPr>
          </w:p>
        </w:tc>
        <w:tc>
          <w:tcPr>
            <w:tcW w:w="1799" w:type="dxa"/>
          </w:tcPr>
          <w:p w14:paraId="245DF9E5">
            <w:pPr>
              <w:pStyle w:val="935"/>
              <w:spacing w:before="130" w:line="288" w:lineRule="auto"/>
              <w:ind w:left="15" w:right="10" w:firstLine="3"/>
              <w:rPr>
                <w:rFonts w:hint="eastAsia"/>
                <w:color w:val="auto"/>
                <w:highlight w:val="none"/>
                <w:lang w:eastAsia="zh-CN"/>
              </w:rPr>
            </w:pPr>
            <w:r>
              <w:rPr>
                <w:color w:val="auto"/>
                <w:spacing w:val="3"/>
                <w:highlight w:val="none"/>
                <w:lang w:eastAsia="zh-CN"/>
              </w:rPr>
              <w:t>★A02010107 平板式</w:t>
            </w:r>
            <w:r>
              <w:rPr>
                <w:color w:val="auto"/>
                <w:spacing w:val="12"/>
                <w:highlight w:val="none"/>
                <w:lang w:eastAsia="zh-CN"/>
              </w:rPr>
              <w:t xml:space="preserve"> </w:t>
            </w:r>
            <w:r>
              <w:rPr>
                <w:color w:val="auto"/>
                <w:spacing w:val="8"/>
                <w:highlight w:val="none"/>
                <w:lang w:eastAsia="zh-CN"/>
              </w:rPr>
              <w:t>微型计算机</w:t>
            </w:r>
          </w:p>
        </w:tc>
        <w:tc>
          <w:tcPr>
            <w:tcW w:w="1914" w:type="dxa"/>
          </w:tcPr>
          <w:p w14:paraId="44489D2F">
            <w:pPr>
              <w:rPr>
                <w:rFonts w:ascii="Arial"/>
                <w:color w:val="auto"/>
                <w:highlight w:val="none"/>
              </w:rPr>
            </w:pPr>
          </w:p>
        </w:tc>
        <w:tc>
          <w:tcPr>
            <w:tcW w:w="2969" w:type="dxa"/>
          </w:tcPr>
          <w:p w14:paraId="30C2E97E">
            <w:pPr>
              <w:pStyle w:val="935"/>
              <w:spacing w:before="130" w:line="288" w:lineRule="auto"/>
              <w:ind w:left="19" w:right="11" w:firstLine="3"/>
              <w:rPr>
                <w:rFonts w:hint="eastAsia"/>
                <w:color w:val="auto"/>
                <w:highlight w:val="none"/>
                <w:lang w:eastAsia="zh-CN"/>
              </w:rPr>
            </w:pPr>
            <w:r>
              <w:rPr>
                <w:color w:val="auto"/>
                <w:spacing w:val="19"/>
                <w:highlight w:val="none"/>
                <w:lang w:eastAsia="zh-CN"/>
              </w:rPr>
              <w:t>《微型计算机能效限定值及能效</w:t>
            </w:r>
            <w:r>
              <w:rPr>
                <w:color w:val="auto"/>
                <w:spacing w:val="2"/>
                <w:highlight w:val="none"/>
                <w:lang w:eastAsia="zh-CN"/>
              </w:rPr>
              <w:t xml:space="preserve"> </w:t>
            </w:r>
            <w:r>
              <w:rPr>
                <w:color w:val="auto"/>
                <w:spacing w:val="6"/>
                <w:highlight w:val="none"/>
                <w:lang w:eastAsia="zh-CN"/>
              </w:rPr>
              <w:t>等级》（</w:t>
            </w:r>
            <w:r>
              <w:rPr>
                <w:color w:val="auto"/>
                <w:highlight w:val="none"/>
                <w:lang w:eastAsia="zh-CN"/>
              </w:rPr>
              <w:t>GB</w:t>
            </w:r>
            <w:r>
              <w:rPr>
                <w:color w:val="auto"/>
                <w:spacing w:val="6"/>
                <w:highlight w:val="none"/>
                <w:lang w:eastAsia="zh-CN"/>
              </w:rPr>
              <w:t xml:space="preserve"> 28380）</w:t>
            </w:r>
          </w:p>
        </w:tc>
      </w:tr>
      <w:tr w14:paraId="6E708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vMerge w:val="restart"/>
            <w:tcBorders>
              <w:bottom w:val="nil"/>
            </w:tcBorders>
          </w:tcPr>
          <w:p w14:paraId="31E2B40D">
            <w:pPr>
              <w:spacing w:line="255" w:lineRule="auto"/>
              <w:rPr>
                <w:rFonts w:ascii="Arial"/>
                <w:color w:val="auto"/>
                <w:highlight w:val="none"/>
              </w:rPr>
            </w:pPr>
          </w:p>
          <w:p w14:paraId="61223535">
            <w:pPr>
              <w:spacing w:line="255" w:lineRule="auto"/>
              <w:rPr>
                <w:rFonts w:ascii="Arial"/>
                <w:color w:val="auto"/>
                <w:highlight w:val="none"/>
              </w:rPr>
            </w:pPr>
          </w:p>
          <w:p w14:paraId="78600DF7">
            <w:pPr>
              <w:spacing w:line="255" w:lineRule="auto"/>
              <w:rPr>
                <w:rFonts w:ascii="Arial"/>
                <w:color w:val="auto"/>
                <w:highlight w:val="none"/>
              </w:rPr>
            </w:pPr>
          </w:p>
          <w:p w14:paraId="1804A329">
            <w:pPr>
              <w:spacing w:line="255" w:lineRule="auto"/>
              <w:rPr>
                <w:rFonts w:ascii="Arial"/>
                <w:color w:val="auto"/>
                <w:highlight w:val="none"/>
              </w:rPr>
            </w:pPr>
          </w:p>
          <w:p w14:paraId="04F41B10">
            <w:pPr>
              <w:spacing w:line="255" w:lineRule="auto"/>
              <w:rPr>
                <w:rFonts w:ascii="Arial"/>
                <w:color w:val="auto"/>
                <w:highlight w:val="none"/>
              </w:rPr>
            </w:pPr>
          </w:p>
          <w:p w14:paraId="23BEED03">
            <w:pPr>
              <w:spacing w:line="255" w:lineRule="auto"/>
              <w:rPr>
                <w:rFonts w:ascii="Arial"/>
                <w:color w:val="auto"/>
                <w:highlight w:val="none"/>
              </w:rPr>
            </w:pPr>
          </w:p>
          <w:p w14:paraId="6E974868">
            <w:pPr>
              <w:spacing w:line="256" w:lineRule="auto"/>
              <w:rPr>
                <w:rFonts w:ascii="Arial"/>
                <w:color w:val="auto"/>
                <w:highlight w:val="none"/>
              </w:rPr>
            </w:pPr>
          </w:p>
          <w:p w14:paraId="3CC1A016">
            <w:pPr>
              <w:spacing w:line="256" w:lineRule="auto"/>
              <w:rPr>
                <w:rFonts w:ascii="Arial"/>
                <w:color w:val="auto"/>
                <w:highlight w:val="none"/>
              </w:rPr>
            </w:pPr>
          </w:p>
          <w:p w14:paraId="6B2751D1">
            <w:pPr>
              <w:pStyle w:val="935"/>
              <w:spacing w:before="62" w:line="189" w:lineRule="auto"/>
              <w:ind w:left="245"/>
              <w:rPr>
                <w:rFonts w:hint="eastAsia"/>
                <w:color w:val="auto"/>
                <w:highlight w:val="none"/>
              </w:rPr>
            </w:pPr>
            <w:r>
              <w:rPr>
                <w:color w:val="auto"/>
                <w:highlight w:val="none"/>
              </w:rPr>
              <w:t>2</w:t>
            </w:r>
          </w:p>
        </w:tc>
        <w:tc>
          <w:tcPr>
            <w:tcW w:w="1166" w:type="dxa"/>
            <w:vMerge w:val="restart"/>
            <w:tcBorders>
              <w:bottom w:val="nil"/>
            </w:tcBorders>
          </w:tcPr>
          <w:p w14:paraId="5E7AB95B">
            <w:pPr>
              <w:spacing w:line="265" w:lineRule="auto"/>
              <w:rPr>
                <w:rFonts w:ascii="Arial"/>
                <w:color w:val="auto"/>
                <w:highlight w:val="none"/>
              </w:rPr>
            </w:pPr>
          </w:p>
          <w:p w14:paraId="2525D0C5">
            <w:pPr>
              <w:spacing w:line="265" w:lineRule="auto"/>
              <w:rPr>
                <w:rFonts w:ascii="Arial"/>
                <w:color w:val="auto"/>
                <w:highlight w:val="none"/>
              </w:rPr>
            </w:pPr>
          </w:p>
          <w:p w14:paraId="36C6E0F2">
            <w:pPr>
              <w:spacing w:line="265" w:lineRule="auto"/>
              <w:rPr>
                <w:rFonts w:ascii="Arial"/>
                <w:color w:val="auto"/>
                <w:highlight w:val="none"/>
              </w:rPr>
            </w:pPr>
          </w:p>
          <w:p w14:paraId="06B0736B">
            <w:pPr>
              <w:spacing w:line="265" w:lineRule="auto"/>
              <w:rPr>
                <w:rFonts w:ascii="Arial"/>
                <w:color w:val="auto"/>
                <w:highlight w:val="none"/>
              </w:rPr>
            </w:pPr>
          </w:p>
          <w:p w14:paraId="3A4878A2">
            <w:pPr>
              <w:spacing w:line="265" w:lineRule="auto"/>
              <w:rPr>
                <w:rFonts w:ascii="Arial"/>
                <w:color w:val="auto"/>
                <w:highlight w:val="none"/>
              </w:rPr>
            </w:pPr>
          </w:p>
          <w:p w14:paraId="0948B180">
            <w:pPr>
              <w:spacing w:line="265" w:lineRule="auto"/>
              <w:rPr>
                <w:rFonts w:ascii="Arial"/>
                <w:color w:val="auto"/>
                <w:highlight w:val="none"/>
              </w:rPr>
            </w:pPr>
          </w:p>
          <w:p w14:paraId="44CE3C63">
            <w:pPr>
              <w:spacing w:line="266" w:lineRule="auto"/>
              <w:rPr>
                <w:rFonts w:ascii="Arial"/>
                <w:color w:val="auto"/>
                <w:highlight w:val="none"/>
              </w:rPr>
            </w:pPr>
          </w:p>
          <w:p w14:paraId="36EF8758">
            <w:pPr>
              <w:pStyle w:val="935"/>
              <w:spacing w:before="62" w:line="288" w:lineRule="auto"/>
              <w:ind w:left="14" w:right="8" w:hanging="5"/>
              <w:rPr>
                <w:rFonts w:hint="eastAsia"/>
                <w:color w:val="auto"/>
                <w:highlight w:val="none"/>
              </w:rPr>
            </w:pPr>
            <w:r>
              <w:rPr>
                <w:color w:val="auto"/>
                <w:spacing w:val="5"/>
                <w:highlight w:val="none"/>
              </w:rPr>
              <w:t>A020106</w:t>
            </w:r>
            <w:r>
              <w:rPr>
                <w:color w:val="auto"/>
                <w:spacing w:val="-43"/>
                <w:highlight w:val="none"/>
              </w:rPr>
              <w:t xml:space="preserve"> </w:t>
            </w:r>
            <w:r>
              <w:rPr>
                <w:color w:val="auto"/>
                <w:spacing w:val="5"/>
                <w:highlight w:val="none"/>
              </w:rPr>
              <w:t>输入</w:t>
            </w:r>
            <w:r>
              <w:rPr>
                <w:color w:val="auto"/>
                <w:highlight w:val="none"/>
              </w:rPr>
              <w:t xml:space="preserve"> </w:t>
            </w:r>
            <w:r>
              <w:rPr>
                <w:color w:val="auto"/>
                <w:spacing w:val="7"/>
                <w:highlight w:val="none"/>
              </w:rPr>
              <w:t>输出设备</w:t>
            </w:r>
          </w:p>
        </w:tc>
        <w:tc>
          <w:tcPr>
            <w:tcW w:w="1799" w:type="dxa"/>
            <w:vMerge w:val="restart"/>
            <w:tcBorders>
              <w:bottom w:val="nil"/>
            </w:tcBorders>
          </w:tcPr>
          <w:p w14:paraId="1E280B98">
            <w:pPr>
              <w:spacing w:line="316" w:lineRule="auto"/>
              <w:rPr>
                <w:rFonts w:ascii="Arial"/>
                <w:color w:val="auto"/>
                <w:highlight w:val="none"/>
              </w:rPr>
            </w:pPr>
          </w:p>
          <w:p w14:paraId="01518AC8">
            <w:pPr>
              <w:spacing w:line="316" w:lineRule="auto"/>
              <w:rPr>
                <w:rFonts w:ascii="Arial"/>
                <w:color w:val="auto"/>
                <w:highlight w:val="none"/>
              </w:rPr>
            </w:pPr>
          </w:p>
          <w:p w14:paraId="3045D5DA">
            <w:pPr>
              <w:spacing w:line="317" w:lineRule="auto"/>
              <w:rPr>
                <w:rFonts w:ascii="Arial"/>
                <w:color w:val="auto"/>
                <w:highlight w:val="none"/>
              </w:rPr>
            </w:pPr>
          </w:p>
          <w:p w14:paraId="0229D2B5">
            <w:pPr>
              <w:pStyle w:val="935"/>
              <w:spacing w:before="62" w:line="229" w:lineRule="auto"/>
              <w:ind w:left="9"/>
              <w:rPr>
                <w:rFonts w:hint="eastAsia"/>
                <w:color w:val="auto"/>
                <w:highlight w:val="none"/>
              </w:rPr>
            </w:pPr>
            <w:r>
              <w:rPr>
                <w:color w:val="auto"/>
                <w:spacing w:val="5"/>
                <w:highlight w:val="none"/>
              </w:rPr>
              <w:t>A02010601</w:t>
            </w:r>
            <w:r>
              <w:rPr>
                <w:color w:val="auto"/>
                <w:spacing w:val="-28"/>
                <w:highlight w:val="none"/>
              </w:rPr>
              <w:t xml:space="preserve"> </w:t>
            </w:r>
            <w:r>
              <w:rPr>
                <w:color w:val="auto"/>
                <w:spacing w:val="5"/>
                <w:highlight w:val="none"/>
              </w:rPr>
              <w:t>打印设备</w:t>
            </w:r>
          </w:p>
        </w:tc>
        <w:tc>
          <w:tcPr>
            <w:tcW w:w="1914" w:type="dxa"/>
          </w:tcPr>
          <w:p w14:paraId="198525D0">
            <w:pPr>
              <w:pStyle w:val="935"/>
              <w:spacing w:before="119" w:line="288" w:lineRule="auto"/>
              <w:ind w:left="31" w:right="8" w:hanging="21"/>
              <w:rPr>
                <w:rFonts w:hint="eastAsia"/>
                <w:color w:val="auto"/>
                <w:highlight w:val="none"/>
              </w:rPr>
            </w:pPr>
            <w:r>
              <w:rPr>
                <w:color w:val="auto"/>
                <w:spacing w:val="3"/>
                <w:highlight w:val="none"/>
              </w:rPr>
              <w:t>A0201060101</w:t>
            </w:r>
            <w:r>
              <w:rPr>
                <w:color w:val="auto"/>
                <w:spacing w:val="50"/>
                <w:highlight w:val="none"/>
              </w:rPr>
              <w:t xml:space="preserve"> </w:t>
            </w:r>
            <w:r>
              <w:rPr>
                <w:color w:val="auto"/>
                <w:spacing w:val="3"/>
                <w:highlight w:val="none"/>
              </w:rPr>
              <w:t>喷</w:t>
            </w:r>
            <w:r>
              <w:rPr>
                <w:color w:val="auto"/>
                <w:spacing w:val="-51"/>
                <w:highlight w:val="none"/>
              </w:rPr>
              <w:t xml:space="preserve"> </w:t>
            </w:r>
            <w:r>
              <w:rPr>
                <w:color w:val="auto"/>
                <w:spacing w:val="3"/>
                <w:highlight w:val="none"/>
              </w:rPr>
              <w:t>墨</w:t>
            </w:r>
            <w:r>
              <w:rPr>
                <w:color w:val="auto"/>
                <w:spacing w:val="-53"/>
                <w:highlight w:val="none"/>
              </w:rPr>
              <w:t xml:space="preserve"> </w:t>
            </w:r>
            <w:r>
              <w:rPr>
                <w:color w:val="auto"/>
                <w:spacing w:val="3"/>
                <w:highlight w:val="none"/>
              </w:rPr>
              <w:t>打</w:t>
            </w:r>
            <w:r>
              <w:rPr>
                <w:color w:val="auto"/>
                <w:highlight w:val="none"/>
              </w:rPr>
              <w:t xml:space="preserve"> </w:t>
            </w:r>
            <w:r>
              <w:rPr>
                <w:color w:val="auto"/>
                <w:spacing w:val="-2"/>
                <w:highlight w:val="none"/>
              </w:rPr>
              <w:t>印机</w:t>
            </w:r>
          </w:p>
        </w:tc>
        <w:tc>
          <w:tcPr>
            <w:tcW w:w="2969" w:type="dxa"/>
          </w:tcPr>
          <w:p w14:paraId="2408534D">
            <w:pPr>
              <w:pStyle w:val="935"/>
              <w:spacing w:before="120" w:line="288" w:lineRule="auto"/>
              <w:ind w:left="22" w:right="13"/>
              <w:rPr>
                <w:rFonts w:hint="eastAsia"/>
                <w:color w:val="auto"/>
                <w:highlight w:val="none"/>
                <w:lang w:eastAsia="zh-CN"/>
              </w:rPr>
            </w:pPr>
            <w:r>
              <w:rPr>
                <w:color w:val="auto"/>
                <w:spacing w:val="5"/>
                <w:highlight w:val="none"/>
                <w:lang w:eastAsia="zh-CN"/>
              </w:rPr>
              <w:t>《复印机、打印机和传真机能效限</w:t>
            </w:r>
            <w:r>
              <w:rPr>
                <w:color w:val="auto"/>
                <w:highlight w:val="none"/>
                <w:lang w:eastAsia="zh-CN"/>
              </w:rPr>
              <w:t xml:space="preserve"> </w:t>
            </w:r>
            <w:r>
              <w:rPr>
                <w:color w:val="auto"/>
                <w:spacing w:val="7"/>
                <w:highlight w:val="none"/>
                <w:lang w:eastAsia="zh-CN"/>
              </w:rPr>
              <w:t>定值及能效等级》（</w:t>
            </w:r>
            <w:r>
              <w:rPr>
                <w:color w:val="auto"/>
                <w:highlight w:val="none"/>
                <w:lang w:eastAsia="zh-CN"/>
              </w:rPr>
              <w:t>GB</w:t>
            </w:r>
            <w:r>
              <w:rPr>
                <w:color w:val="auto"/>
                <w:spacing w:val="7"/>
                <w:highlight w:val="none"/>
                <w:lang w:eastAsia="zh-CN"/>
              </w:rPr>
              <w:t xml:space="preserve"> 21521）</w:t>
            </w:r>
          </w:p>
        </w:tc>
      </w:tr>
      <w:tr w14:paraId="1FFAE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578" w:type="dxa"/>
            <w:vMerge w:val="continue"/>
            <w:tcBorders>
              <w:top w:val="nil"/>
              <w:bottom w:val="nil"/>
            </w:tcBorders>
          </w:tcPr>
          <w:p w14:paraId="6D523D44">
            <w:pPr>
              <w:rPr>
                <w:rFonts w:ascii="Arial"/>
                <w:color w:val="auto"/>
                <w:highlight w:val="none"/>
              </w:rPr>
            </w:pPr>
          </w:p>
        </w:tc>
        <w:tc>
          <w:tcPr>
            <w:tcW w:w="1166" w:type="dxa"/>
            <w:vMerge w:val="continue"/>
            <w:tcBorders>
              <w:top w:val="nil"/>
              <w:bottom w:val="nil"/>
            </w:tcBorders>
          </w:tcPr>
          <w:p w14:paraId="07053917">
            <w:pPr>
              <w:rPr>
                <w:rFonts w:ascii="Arial"/>
                <w:color w:val="auto"/>
                <w:highlight w:val="none"/>
              </w:rPr>
            </w:pPr>
          </w:p>
        </w:tc>
        <w:tc>
          <w:tcPr>
            <w:tcW w:w="1799" w:type="dxa"/>
            <w:vMerge w:val="continue"/>
            <w:tcBorders>
              <w:top w:val="nil"/>
              <w:bottom w:val="nil"/>
            </w:tcBorders>
          </w:tcPr>
          <w:p w14:paraId="6E6BE3AC">
            <w:pPr>
              <w:rPr>
                <w:rFonts w:ascii="Arial"/>
                <w:color w:val="auto"/>
                <w:highlight w:val="none"/>
              </w:rPr>
            </w:pPr>
          </w:p>
        </w:tc>
        <w:tc>
          <w:tcPr>
            <w:tcW w:w="1914" w:type="dxa"/>
          </w:tcPr>
          <w:p w14:paraId="3C0A1FCA">
            <w:pPr>
              <w:pStyle w:val="935"/>
              <w:spacing w:before="119" w:line="288" w:lineRule="auto"/>
              <w:ind w:left="19" w:right="8"/>
              <w:rPr>
                <w:rFonts w:hint="eastAsia"/>
                <w:color w:val="auto"/>
                <w:highlight w:val="none"/>
              </w:rPr>
            </w:pPr>
            <w:r>
              <w:rPr>
                <w:color w:val="auto"/>
                <w:spacing w:val="3"/>
                <w:highlight w:val="none"/>
              </w:rPr>
              <w:t>★</w:t>
            </w:r>
            <w:r>
              <w:rPr>
                <w:color w:val="auto"/>
                <w:spacing w:val="-50"/>
                <w:highlight w:val="none"/>
              </w:rPr>
              <w:t xml:space="preserve"> </w:t>
            </w:r>
            <w:r>
              <w:rPr>
                <w:color w:val="auto"/>
                <w:spacing w:val="3"/>
                <w:highlight w:val="none"/>
              </w:rPr>
              <w:t>A0201060102</w:t>
            </w:r>
            <w:r>
              <w:rPr>
                <w:color w:val="auto"/>
                <w:spacing w:val="41"/>
                <w:highlight w:val="none"/>
              </w:rPr>
              <w:t xml:space="preserve"> </w:t>
            </w:r>
            <w:r>
              <w:rPr>
                <w:color w:val="auto"/>
                <w:spacing w:val="3"/>
                <w:highlight w:val="none"/>
              </w:rPr>
              <w:t>激</w:t>
            </w:r>
            <w:r>
              <w:rPr>
                <w:color w:val="auto"/>
                <w:spacing w:val="-54"/>
                <w:highlight w:val="none"/>
              </w:rPr>
              <w:t xml:space="preserve"> </w:t>
            </w:r>
            <w:r>
              <w:rPr>
                <w:color w:val="auto"/>
                <w:spacing w:val="3"/>
                <w:highlight w:val="none"/>
              </w:rPr>
              <w:t>光</w:t>
            </w:r>
            <w:r>
              <w:rPr>
                <w:color w:val="auto"/>
                <w:highlight w:val="none"/>
              </w:rPr>
              <w:t xml:space="preserve"> </w:t>
            </w:r>
            <w:r>
              <w:rPr>
                <w:color w:val="auto"/>
                <w:spacing w:val="5"/>
                <w:highlight w:val="none"/>
              </w:rPr>
              <w:t>打印机</w:t>
            </w:r>
          </w:p>
        </w:tc>
        <w:tc>
          <w:tcPr>
            <w:tcW w:w="2969" w:type="dxa"/>
          </w:tcPr>
          <w:p w14:paraId="6B726E35">
            <w:pPr>
              <w:pStyle w:val="935"/>
              <w:spacing w:before="120" w:line="288" w:lineRule="auto"/>
              <w:ind w:left="22" w:right="13"/>
              <w:rPr>
                <w:rFonts w:hint="eastAsia"/>
                <w:color w:val="auto"/>
                <w:highlight w:val="none"/>
                <w:lang w:eastAsia="zh-CN"/>
              </w:rPr>
            </w:pPr>
            <w:r>
              <w:rPr>
                <w:color w:val="auto"/>
                <w:spacing w:val="5"/>
                <w:highlight w:val="none"/>
                <w:lang w:eastAsia="zh-CN"/>
              </w:rPr>
              <w:t>《复印机、打印机和传真机能效限</w:t>
            </w:r>
            <w:r>
              <w:rPr>
                <w:color w:val="auto"/>
                <w:highlight w:val="none"/>
                <w:lang w:eastAsia="zh-CN"/>
              </w:rPr>
              <w:t xml:space="preserve"> </w:t>
            </w:r>
            <w:r>
              <w:rPr>
                <w:color w:val="auto"/>
                <w:spacing w:val="7"/>
                <w:highlight w:val="none"/>
                <w:lang w:eastAsia="zh-CN"/>
              </w:rPr>
              <w:t>定值及能效等级》（</w:t>
            </w:r>
            <w:r>
              <w:rPr>
                <w:color w:val="auto"/>
                <w:highlight w:val="none"/>
                <w:lang w:eastAsia="zh-CN"/>
              </w:rPr>
              <w:t>GB</w:t>
            </w:r>
            <w:r>
              <w:rPr>
                <w:color w:val="auto"/>
                <w:spacing w:val="7"/>
                <w:highlight w:val="none"/>
                <w:lang w:eastAsia="zh-CN"/>
              </w:rPr>
              <w:t xml:space="preserve"> 21521）</w:t>
            </w:r>
          </w:p>
        </w:tc>
      </w:tr>
      <w:tr w14:paraId="23997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578" w:type="dxa"/>
            <w:vMerge w:val="continue"/>
            <w:tcBorders>
              <w:top w:val="nil"/>
              <w:bottom w:val="nil"/>
            </w:tcBorders>
          </w:tcPr>
          <w:p w14:paraId="76B0EF48">
            <w:pPr>
              <w:rPr>
                <w:rFonts w:ascii="Arial"/>
                <w:color w:val="auto"/>
                <w:highlight w:val="none"/>
              </w:rPr>
            </w:pPr>
          </w:p>
        </w:tc>
        <w:tc>
          <w:tcPr>
            <w:tcW w:w="1166" w:type="dxa"/>
            <w:vMerge w:val="continue"/>
            <w:tcBorders>
              <w:top w:val="nil"/>
              <w:bottom w:val="nil"/>
            </w:tcBorders>
          </w:tcPr>
          <w:p w14:paraId="7CD88EE5">
            <w:pPr>
              <w:rPr>
                <w:rFonts w:ascii="Arial"/>
                <w:color w:val="auto"/>
                <w:highlight w:val="none"/>
              </w:rPr>
            </w:pPr>
          </w:p>
        </w:tc>
        <w:tc>
          <w:tcPr>
            <w:tcW w:w="1799" w:type="dxa"/>
            <w:vMerge w:val="continue"/>
            <w:tcBorders>
              <w:top w:val="nil"/>
            </w:tcBorders>
          </w:tcPr>
          <w:p w14:paraId="1AEEDD35">
            <w:pPr>
              <w:rPr>
                <w:rFonts w:ascii="Arial"/>
                <w:color w:val="auto"/>
                <w:highlight w:val="none"/>
              </w:rPr>
            </w:pPr>
          </w:p>
        </w:tc>
        <w:tc>
          <w:tcPr>
            <w:tcW w:w="1914" w:type="dxa"/>
          </w:tcPr>
          <w:p w14:paraId="58A8F106">
            <w:pPr>
              <w:pStyle w:val="935"/>
              <w:spacing w:before="119" w:line="288" w:lineRule="auto"/>
              <w:ind w:left="19" w:right="8"/>
              <w:rPr>
                <w:rFonts w:hint="eastAsia"/>
                <w:color w:val="auto"/>
                <w:highlight w:val="none"/>
              </w:rPr>
            </w:pPr>
            <w:r>
              <w:rPr>
                <w:color w:val="auto"/>
                <w:spacing w:val="3"/>
                <w:highlight w:val="none"/>
              </w:rPr>
              <w:t>★</w:t>
            </w:r>
            <w:r>
              <w:rPr>
                <w:color w:val="auto"/>
                <w:spacing w:val="-54"/>
                <w:highlight w:val="none"/>
              </w:rPr>
              <w:t xml:space="preserve"> </w:t>
            </w:r>
            <w:r>
              <w:rPr>
                <w:color w:val="auto"/>
                <w:spacing w:val="3"/>
                <w:highlight w:val="none"/>
              </w:rPr>
              <w:t>A0201060104</w:t>
            </w:r>
            <w:r>
              <w:rPr>
                <w:color w:val="auto"/>
                <w:spacing w:val="43"/>
                <w:highlight w:val="none"/>
              </w:rPr>
              <w:t xml:space="preserve"> </w:t>
            </w:r>
            <w:r>
              <w:rPr>
                <w:color w:val="auto"/>
                <w:spacing w:val="3"/>
                <w:highlight w:val="none"/>
              </w:rPr>
              <w:t>针</w:t>
            </w:r>
            <w:r>
              <w:rPr>
                <w:color w:val="auto"/>
                <w:spacing w:val="-52"/>
                <w:highlight w:val="none"/>
              </w:rPr>
              <w:t xml:space="preserve"> </w:t>
            </w:r>
            <w:r>
              <w:rPr>
                <w:color w:val="auto"/>
                <w:spacing w:val="3"/>
                <w:highlight w:val="none"/>
              </w:rPr>
              <w:t>式</w:t>
            </w:r>
            <w:r>
              <w:rPr>
                <w:color w:val="auto"/>
                <w:highlight w:val="none"/>
              </w:rPr>
              <w:t xml:space="preserve"> </w:t>
            </w:r>
            <w:r>
              <w:rPr>
                <w:color w:val="auto"/>
                <w:spacing w:val="5"/>
                <w:highlight w:val="none"/>
              </w:rPr>
              <w:t>打印机</w:t>
            </w:r>
          </w:p>
        </w:tc>
        <w:tc>
          <w:tcPr>
            <w:tcW w:w="2969" w:type="dxa"/>
          </w:tcPr>
          <w:p w14:paraId="64336AEA">
            <w:pPr>
              <w:pStyle w:val="935"/>
              <w:spacing w:before="120" w:line="288" w:lineRule="auto"/>
              <w:ind w:left="22" w:right="13"/>
              <w:rPr>
                <w:rFonts w:hint="eastAsia"/>
                <w:color w:val="auto"/>
                <w:highlight w:val="none"/>
                <w:lang w:eastAsia="zh-CN"/>
              </w:rPr>
            </w:pPr>
            <w:r>
              <w:rPr>
                <w:color w:val="auto"/>
                <w:spacing w:val="5"/>
                <w:highlight w:val="none"/>
                <w:lang w:eastAsia="zh-CN"/>
              </w:rPr>
              <w:t>《复印机、打印机和传真机能效限</w:t>
            </w:r>
            <w:r>
              <w:rPr>
                <w:color w:val="auto"/>
                <w:highlight w:val="none"/>
                <w:lang w:eastAsia="zh-CN"/>
              </w:rPr>
              <w:t xml:space="preserve"> </w:t>
            </w:r>
            <w:r>
              <w:rPr>
                <w:color w:val="auto"/>
                <w:spacing w:val="7"/>
                <w:highlight w:val="none"/>
                <w:lang w:eastAsia="zh-CN"/>
              </w:rPr>
              <w:t>定值及能效等级》（</w:t>
            </w:r>
            <w:r>
              <w:rPr>
                <w:color w:val="auto"/>
                <w:highlight w:val="none"/>
                <w:lang w:eastAsia="zh-CN"/>
              </w:rPr>
              <w:t>GB</w:t>
            </w:r>
            <w:r>
              <w:rPr>
                <w:color w:val="auto"/>
                <w:spacing w:val="7"/>
                <w:highlight w:val="none"/>
                <w:lang w:eastAsia="zh-CN"/>
              </w:rPr>
              <w:t xml:space="preserve"> 21521）</w:t>
            </w:r>
          </w:p>
        </w:tc>
      </w:tr>
      <w:tr w14:paraId="33D8A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jc w:val="center"/>
        </w:trPr>
        <w:tc>
          <w:tcPr>
            <w:tcW w:w="578" w:type="dxa"/>
            <w:vMerge w:val="continue"/>
            <w:tcBorders>
              <w:top w:val="nil"/>
              <w:bottom w:val="nil"/>
            </w:tcBorders>
          </w:tcPr>
          <w:p w14:paraId="5172C12C">
            <w:pPr>
              <w:rPr>
                <w:rFonts w:ascii="Arial"/>
                <w:color w:val="auto"/>
                <w:highlight w:val="none"/>
              </w:rPr>
            </w:pPr>
          </w:p>
        </w:tc>
        <w:tc>
          <w:tcPr>
            <w:tcW w:w="1166" w:type="dxa"/>
            <w:vMerge w:val="continue"/>
            <w:tcBorders>
              <w:top w:val="nil"/>
              <w:bottom w:val="nil"/>
            </w:tcBorders>
          </w:tcPr>
          <w:p w14:paraId="3A69A59A">
            <w:pPr>
              <w:rPr>
                <w:rFonts w:ascii="Arial"/>
                <w:color w:val="auto"/>
                <w:highlight w:val="none"/>
              </w:rPr>
            </w:pPr>
          </w:p>
        </w:tc>
        <w:tc>
          <w:tcPr>
            <w:tcW w:w="1799" w:type="dxa"/>
          </w:tcPr>
          <w:p w14:paraId="0202DF03">
            <w:pPr>
              <w:pStyle w:val="935"/>
              <w:spacing w:before="292" w:line="230" w:lineRule="auto"/>
              <w:ind w:left="9"/>
              <w:rPr>
                <w:rFonts w:hint="eastAsia"/>
                <w:color w:val="auto"/>
                <w:highlight w:val="none"/>
              </w:rPr>
            </w:pPr>
            <w:r>
              <w:rPr>
                <w:color w:val="auto"/>
                <w:spacing w:val="5"/>
                <w:highlight w:val="none"/>
              </w:rPr>
              <w:t>A02010604</w:t>
            </w:r>
            <w:r>
              <w:rPr>
                <w:color w:val="auto"/>
                <w:spacing w:val="-28"/>
                <w:highlight w:val="none"/>
              </w:rPr>
              <w:t xml:space="preserve"> </w:t>
            </w:r>
            <w:r>
              <w:rPr>
                <w:color w:val="auto"/>
                <w:spacing w:val="5"/>
                <w:highlight w:val="none"/>
              </w:rPr>
              <w:t>显示设备</w:t>
            </w:r>
          </w:p>
        </w:tc>
        <w:tc>
          <w:tcPr>
            <w:tcW w:w="1914" w:type="dxa"/>
          </w:tcPr>
          <w:p w14:paraId="4332364E">
            <w:pPr>
              <w:pStyle w:val="935"/>
              <w:spacing w:before="136" w:line="289" w:lineRule="auto"/>
              <w:ind w:left="20" w:right="8" w:hanging="1"/>
              <w:rPr>
                <w:rFonts w:hint="eastAsia"/>
                <w:color w:val="auto"/>
                <w:highlight w:val="none"/>
              </w:rPr>
            </w:pPr>
            <w:r>
              <w:rPr>
                <w:color w:val="auto"/>
                <w:spacing w:val="2"/>
                <w:highlight w:val="none"/>
              </w:rPr>
              <w:t>★</w:t>
            </w:r>
            <w:r>
              <w:rPr>
                <w:color w:val="auto"/>
                <w:spacing w:val="-54"/>
                <w:highlight w:val="none"/>
              </w:rPr>
              <w:t xml:space="preserve"> </w:t>
            </w:r>
            <w:r>
              <w:rPr>
                <w:color w:val="auto"/>
                <w:spacing w:val="2"/>
                <w:highlight w:val="none"/>
              </w:rPr>
              <w:t>A0201060401</w:t>
            </w:r>
            <w:r>
              <w:rPr>
                <w:color w:val="auto"/>
                <w:spacing w:val="44"/>
                <w:highlight w:val="none"/>
              </w:rPr>
              <w:t xml:space="preserve"> </w:t>
            </w:r>
            <w:r>
              <w:rPr>
                <w:color w:val="auto"/>
                <w:spacing w:val="2"/>
                <w:highlight w:val="none"/>
              </w:rPr>
              <w:t>液</w:t>
            </w:r>
            <w:r>
              <w:rPr>
                <w:color w:val="auto"/>
                <w:spacing w:val="-39"/>
                <w:highlight w:val="none"/>
              </w:rPr>
              <w:t xml:space="preserve"> </w:t>
            </w:r>
            <w:r>
              <w:rPr>
                <w:color w:val="auto"/>
                <w:spacing w:val="2"/>
                <w:highlight w:val="none"/>
              </w:rPr>
              <w:t>晶</w:t>
            </w:r>
            <w:r>
              <w:rPr>
                <w:color w:val="auto"/>
                <w:highlight w:val="none"/>
              </w:rPr>
              <w:t xml:space="preserve"> </w:t>
            </w:r>
            <w:r>
              <w:rPr>
                <w:color w:val="auto"/>
                <w:spacing w:val="5"/>
                <w:highlight w:val="none"/>
              </w:rPr>
              <w:t>显示器</w:t>
            </w:r>
          </w:p>
        </w:tc>
        <w:tc>
          <w:tcPr>
            <w:tcW w:w="2969" w:type="dxa"/>
          </w:tcPr>
          <w:p w14:paraId="785A1B5D">
            <w:pPr>
              <w:pStyle w:val="935"/>
              <w:spacing w:before="136" w:line="288" w:lineRule="auto"/>
              <w:ind w:left="22" w:right="11"/>
              <w:rPr>
                <w:rFonts w:hint="eastAsia"/>
                <w:color w:val="auto"/>
                <w:highlight w:val="none"/>
                <w:lang w:eastAsia="zh-CN"/>
              </w:rPr>
            </w:pPr>
            <w:r>
              <w:rPr>
                <w:color w:val="auto"/>
                <w:spacing w:val="19"/>
                <w:highlight w:val="none"/>
                <w:lang w:eastAsia="zh-CN"/>
              </w:rPr>
              <w:t>《计算机显示器能效限定值及能</w:t>
            </w:r>
            <w:r>
              <w:rPr>
                <w:color w:val="auto"/>
                <w:spacing w:val="2"/>
                <w:highlight w:val="none"/>
                <w:lang w:eastAsia="zh-CN"/>
              </w:rPr>
              <w:t xml:space="preserve"> </w:t>
            </w:r>
            <w:r>
              <w:rPr>
                <w:color w:val="auto"/>
                <w:spacing w:val="6"/>
                <w:highlight w:val="none"/>
                <w:lang w:eastAsia="zh-CN"/>
              </w:rPr>
              <w:t>效等级》（</w:t>
            </w:r>
            <w:r>
              <w:rPr>
                <w:color w:val="auto"/>
                <w:highlight w:val="none"/>
                <w:lang w:eastAsia="zh-CN"/>
              </w:rPr>
              <w:t>GB</w:t>
            </w:r>
            <w:r>
              <w:rPr>
                <w:color w:val="auto"/>
                <w:spacing w:val="6"/>
                <w:highlight w:val="none"/>
                <w:lang w:eastAsia="zh-CN"/>
              </w:rPr>
              <w:t xml:space="preserve"> 21520）</w:t>
            </w:r>
          </w:p>
        </w:tc>
      </w:tr>
      <w:tr w14:paraId="557C0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jc w:val="center"/>
        </w:trPr>
        <w:tc>
          <w:tcPr>
            <w:tcW w:w="578" w:type="dxa"/>
            <w:vMerge w:val="continue"/>
            <w:tcBorders>
              <w:top w:val="nil"/>
            </w:tcBorders>
          </w:tcPr>
          <w:p w14:paraId="19440E5A">
            <w:pPr>
              <w:rPr>
                <w:rFonts w:ascii="Arial"/>
                <w:color w:val="auto"/>
                <w:highlight w:val="none"/>
              </w:rPr>
            </w:pPr>
          </w:p>
        </w:tc>
        <w:tc>
          <w:tcPr>
            <w:tcW w:w="1166" w:type="dxa"/>
            <w:vMerge w:val="continue"/>
            <w:tcBorders>
              <w:top w:val="nil"/>
            </w:tcBorders>
          </w:tcPr>
          <w:p w14:paraId="62E755FB">
            <w:pPr>
              <w:rPr>
                <w:rFonts w:ascii="Arial"/>
                <w:color w:val="auto"/>
                <w:highlight w:val="none"/>
              </w:rPr>
            </w:pPr>
          </w:p>
        </w:tc>
        <w:tc>
          <w:tcPr>
            <w:tcW w:w="1799" w:type="dxa"/>
          </w:tcPr>
          <w:p w14:paraId="5FDA5C5E">
            <w:pPr>
              <w:spacing w:line="365" w:lineRule="auto"/>
              <w:rPr>
                <w:rFonts w:ascii="Arial"/>
                <w:color w:val="auto"/>
                <w:highlight w:val="none"/>
              </w:rPr>
            </w:pPr>
          </w:p>
          <w:p w14:paraId="57166859">
            <w:pPr>
              <w:pStyle w:val="935"/>
              <w:spacing w:before="62" w:line="288" w:lineRule="auto"/>
              <w:ind w:left="14" w:right="10" w:hanging="5"/>
              <w:rPr>
                <w:rFonts w:hint="eastAsia"/>
                <w:color w:val="auto"/>
                <w:highlight w:val="none"/>
              </w:rPr>
            </w:pPr>
            <w:r>
              <w:rPr>
                <w:color w:val="auto"/>
                <w:spacing w:val="4"/>
                <w:highlight w:val="none"/>
              </w:rPr>
              <w:t>A02010609 图形图像</w:t>
            </w:r>
            <w:r>
              <w:rPr>
                <w:color w:val="auto"/>
                <w:spacing w:val="7"/>
                <w:highlight w:val="none"/>
              </w:rPr>
              <w:t xml:space="preserve"> 输入设备</w:t>
            </w:r>
          </w:p>
        </w:tc>
        <w:tc>
          <w:tcPr>
            <w:tcW w:w="1914" w:type="dxa"/>
          </w:tcPr>
          <w:p w14:paraId="11AE153F">
            <w:pPr>
              <w:spacing w:line="260" w:lineRule="auto"/>
              <w:rPr>
                <w:rFonts w:ascii="Arial"/>
                <w:color w:val="auto"/>
                <w:highlight w:val="none"/>
              </w:rPr>
            </w:pPr>
          </w:p>
          <w:p w14:paraId="5E71CF7A">
            <w:pPr>
              <w:spacing w:line="260" w:lineRule="auto"/>
              <w:rPr>
                <w:rFonts w:ascii="Arial"/>
                <w:color w:val="auto"/>
                <w:highlight w:val="none"/>
              </w:rPr>
            </w:pPr>
          </w:p>
          <w:p w14:paraId="4F3160FF">
            <w:pPr>
              <w:pStyle w:val="935"/>
              <w:spacing w:before="61" w:line="229" w:lineRule="auto"/>
              <w:ind w:left="10"/>
              <w:rPr>
                <w:rFonts w:hint="eastAsia"/>
                <w:color w:val="auto"/>
                <w:highlight w:val="none"/>
              </w:rPr>
            </w:pPr>
            <w:r>
              <w:rPr>
                <w:color w:val="auto"/>
                <w:spacing w:val="5"/>
                <w:highlight w:val="none"/>
              </w:rPr>
              <w:t>A0201060901</w:t>
            </w:r>
            <w:r>
              <w:rPr>
                <w:color w:val="auto"/>
                <w:spacing w:val="-34"/>
                <w:highlight w:val="none"/>
              </w:rPr>
              <w:t xml:space="preserve"> </w:t>
            </w:r>
            <w:r>
              <w:rPr>
                <w:color w:val="auto"/>
                <w:spacing w:val="5"/>
                <w:highlight w:val="none"/>
              </w:rPr>
              <w:t>扫描仪</w:t>
            </w:r>
          </w:p>
        </w:tc>
        <w:tc>
          <w:tcPr>
            <w:tcW w:w="2969" w:type="dxa"/>
          </w:tcPr>
          <w:p w14:paraId="34630322">
            <w:pPr>
              <w:pStyle w:val="935"/>
              <w:spacing w:before="114" w:line="296" w:lineRule="auto"/>
              <w:ind w:left="22" w:hanging="3"/>
              <w:rPr>
                <w:rFonts w:hint="eastAsia"/>
                <w:color w:val="auto"/>
                <w:highlight w:val="none"/>
                <w:lang w:eastAsia="zh-CN"/>
              </w:rPr>
            </w:pPr>
            <w:r>
              <w:rPr>
                <w:color w:val="auto"/>
                <w:highlight w:val="none"/>
                <w:lang w:eastAsia="zh-CN"/>
              </w:rPr>
              <w:t>参照《复印机、打印机和传真机能</w:t>
            </w:r>
            <w:r>
              <w:rPr>
                <w:color w:val="auto"/>
                <w:spacing w:val="3"/>
                <w:highlight w:val="none"/>
                <w:lang w:eastAsia="zh-CN"/>
              </w:rPr>
              <w:t xml:space="preserve">  </w:t>
            </w:r>
            <w:r>
              <w:rPr>
                <w:color w:val="auto"/>
                <w:spacing w:val="-4"/>
                <w:highlight w:val="none"/>
                <w:lang w:eastAsia="zh-CN"/>
              </w:rPr>
              <w:t>效限定值及能效等级》（GB</w:t>
            </w:r>
            <w:r>
              <w:rPr>
                <w:color w:val="auto"/>
                <w:spacing w:val="-24"/>
                <w:highlight w:val="none"/>
                <w:lang w:eastAsia="zh-CN"/>
              </w:rPr>
              <w:t xml:space="preserve"> </w:t>
            </w:r>
            <w:r>
              <w:rPr>
                <w:color w:val="auto"/>
                <w:spacing w:val="-4"/>
                <w:highlight w:val="none"/>
                <w:lang w:eastAsia="zh-CN"/>
              </w:rPr>
              <w:t>21521）</w:t>
            </w:r>
            <w:r>
              <w:rPr>
                <w:color w:val="auto"/>
                <w:highlight w:val="none"/>
                <w:lang w:eastAsia="zh-CN"/>
              </w:rPr>
              <w:t xml:space="preserve"> </w:t>
            </w:r>
            <w:r>
              <w:rPr>
                <w:color w:val="auto"/>
                <w:spacing w:val="4"/>
                <w:highlight w:val="none"/>
                <w:lang w:eastAsia="zh-CN"/>
              </w:rPr>
              <w:t>中打印速度为</w:t>
            </w:r>
            <w:r>
              <w:rPr>
                <w:color w:val="auto"/>
                <w:spacing w:val="38"/>
                <w:highlight w:val="none"/>
                <w:lang w:eastAsia="zh-CN"/>
              </w:rPr>
              <w:t xml:space="preserve"> </w:t>
            </w:r>
            <w:r>
              <w:rPr>
                <w:color w:val="auto"/>
                <w:spacing w:val="4"/>
                <w:highlight w:val="none"/>
                <w:lang w:eastAsia="zh-CN"/>
              </w:rPr>
              <w:t>15 页/分的针式打</w:t>
            </w:r>
            <w:r>
              <w:rPr>
                <w:color w:val="auto"/>
                <w:highlight w:val="none"/>
                <w:lang w:eastAsia="zh-CN"/>
              </w:rPr>
              <w:t xml:space="preserve">  </w:t>
            </w:r>
            <w:r>
              <w:rPr>
                <w:color w:val="auto"/>
                <w:spacing w:val="2"/>
                <w:highlight w:val="none"/>
                <w:lang w:eastAsia="zh-CN"/>
              </w:rPr>
              <w:t>印机相关要求</w:t>
            </w:r>
          </w:p>
        </w:tc>
      </w:tr>
      <w:tr w14:paraId="7782BF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jc w:val="center"/>
        </w:trPr>
        <w:tc>
          <w:tcPr>
            <w:tcW w:w="578" w:type="dxa"/>
          </w:tcPr>
          <w:p w14:paraId="12906D71">
            <w:pPr>
              <w:pStyle w:val="935"/>
              <w:spacing w:before="277" w:line="189" w:lineRule="auto"/>
              <w:ind w:left="246"/>
              <w:rPr>
                <w:rFonts w:hint="eastAsia"/>
                <w:color w:val="auto"/>
                <w:highlight w:val="none"/>
              </w:rPr>
            </w:pPr>
            <w:r>
              <w:rPr>
                <w:color w:val="auto"/>
                <w:highlight w:val="none"/>
              </w:rPr>
              <w:t>3</w:t>
            </w:r>
          </w:p>
        </w:tc>
        <w:tc>
          <w:tcPr>
            <w:tcW w:w="1166" w:type="dxa"/>
          </w:tcPr>
          <w:p w14:paraId="49C34079">
            <w:pPr>
              <w:pStyle w:val="935"/>
              <w:spacing w:before="90" w:line="281" w:lineRule="auto"/>
              <w:ind w:left="15" w:right="8" w:hanging="6"/>
              <w:rPr>
                <w:rFonts w:hint="eastAsia"/>
                <w:color w:val="auto"/>
                <w:highlight w:val="none"/>
              </w:rPr>
            </w:pPr>
            <w:r>
              <w:rPr>
                <w:color w:val="auto"/>
                <w:spacing w:val="4"/>
                <w:highlight w:val="none"/>
              </w:rPr>
              <w:t>A020202</w:t>
            </w:r>
            <w:r>
              <w:rPr>
                <w:color w:val="auto"/>
                <w:spacing w:val="-34"/>
                <w:highlight w:val="none"/>
              </w:rPr>
              <w:t xml:space="preserve"> </w:t>
            </w:r>
            <w:r>
              <w:rPr>
                <w:color w:val="auto"/>
                <w:spacing w:val="4"/>
                <w:highlight w:val="none"/>
              </w:rPr>
              <w:t>投影</w:t>
            </w:r>
            <w:r>
              <w:rPr>
                <w:color w:val="auto"/>
                <w:highlight w:val="none"/>
              </w:rPr>
              <w:t xml:space="preserve"> 仪</w:t>
            </w:r>
          </w:p>
        </w:tc>
        <w:tc>
          <w:tcPr>
            <w:tcW w:w="1799" w:type="dxa"/>
          </w:tcPr>
          <w:p w14:paraId="628D332D">
            <w:pPr>
              <w:rPr>
                <w:rFonts w:ascii="Arial"/>
                <w:color w:val="auto"/>
                <w:highlight w:val="none"/>
              </w:rPr>
            </w:pPr>
          </w:p>
        </w:tc>
        <w:tc>
          <w:tcPr>
            <w:tcW w:w="1914" w:type="dxa"/>
          </w:tcPr>
          <w:p w14:paraId="5DF141A7">
            <w:pPr>
              <w:rPr>
                <w:rFonts w:ascii="Arial"/>
                <w:color w:val="auto"/>
                <w:highlight w:val="none"/>
              </w:rPr>
            </w:pPr>
          </w:p>
        </w:tc>
        <w:tc>
          <w:tcPr>
            <w:tcW w:w="2969" w:type="dxa"/>
          </w:tcPr>
          <w:p w14:paraId="0B708A9F">
            <w:pPr>
              <w:pStyle w:val="935"/>
              <w:spacing w:before="90" w:line="281" w:lineRule="auto"/>
              <w:ind w:left="27" w:hanging="4"/>
              <w:rPr>
                <w:rFonts w:hint="eastAsia"/>
                <w:color w:val="auto"/>
                <w:highlight w:val="none"/>
                <w:lang w:eastAsia="zh-CN"/>
              </w:rPr>
            </w:pPr>
            <w:r>
              <w:rPr>
                <w:color w:val="auto"/>
                <w:spacing w:val="6"/>
                <w:highlight w:val="none"/>
                <w:lang w:eastAsia="zh-CN"/>
              </w:rPr>
              <w:t>《投影机能效限定值及能效等级》</w:t>
            </w:r>
            <w:r>
              <w:rPr>
                <w:color w:val="auto"/>
                <w:highlight w:val="none"/>
                <w:lang w:eastAsia="zh-CN"/>
              </w:rPr>
              <w:t xml:space="preserve"> （GB</w:t>
            </w:r>
            <w:r>
              <w:rPr>
                <w:color w:val="auto"/>
                <w:spacing w:val="22"/>
                <w:highlight w:val="none"/>
                <w:lang w:eastAsia="zh-CN"/>
              </w:rPr>
              <w:t xml:space="preserve"> </w:t>
            </w:r>
            <w:r>
              <w:rPr>
                <w:color w:val="auto"/>
                <w:highlight w:val="none"/>
                <w:lang w:eastAsia="zh-CN"/>
              </w:rPr>
              <w:t>32028）</w:t>
            </w:r>
          </w:p>
        </w:tc>
      </w:tr>
      <w:tr w14:paraId="18035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jc w:val="center"/>
        </w:trPr>
        <w:tc>
          <w:tcPr>
            <w:tcW w:w="578" w:type="dxa"/>
          </w:tcPr>
          <w:p w14:paraId="6DF074CF">
            <w:pPr>
              <w:spacing w:line="257" w:lineRule="auto"/>
              <w:rPr>
                <w:rFonts w:ascii="Arial"/>
                <w:color w:val="auto"/>
                <w:highlight w:val="none"/>
              </w:rPr>
            </w:pPr>
          </w:p>
          <w:p w14:paraId="3CBE12A0">
            <w:pPr>
              <w:pStyle w:val="935"/>
              <w:spacing w:before="62" w:line="189" w:lineRule="auto"/>
              <w:ind w:left="242"/>
              <w:rPr>
                <w:rFonts w:hint="eastAsia"/>
                <w:color w:val="auto"/>
                <w:highlight w:val="none"/>
              </w:rPr>
            </w:pPr>
            <w:r>
              <w:rPr>
                <w:color w:val="auto"/>
                <w:highlight w:val="none"/>
              </w:rPr>
              <w:t>4</w:t>
            </w:r>
          </w:p>
        </w:tc>
        <w:tc>
          <w:tcPr>
            <w:tcW w:w="1166" w:type="dxa"/>
          </w:tcPr>
          <w:p w14:paraId="62DD4D7A">
            <w:pPr>
              <w:pStyle w:val="935"/>
              <w:spacing w:before="133" w:line="288" w:lineRule="auto"/>
              <w:ind w:left="22" w:right="8" w:hanging="13"/>
              <w:rPr>
                <w:rFonts w:hint="eastAsia"/>
                <w:color w:val="auto"/>
                <w:highlight w:val="none"/>
              </w:rPr>
            </w:pPr>
            <w:r>
              <w:rPr>
                <w:color w:val="auto"/>
                <w:spacing w:val="4"/>
                <w:highlight w:val="none"/>
              </w:rPr>
              <w:t>A020204</w:t>
            </w:r>
            <w:r>
              <w:rPr>
                <w:color w:val="auto"/>
                <w:spacing w:val="-34"/>
                <w:highlight w:val="none"/>
              </w:rPr>
              <w:t xml:space="preserve"> </w:t>
            </w:r>
            <w:r>
              <w:rPr>
                <w:color w:val="auto"/>
                <w:spacing w:val="4"/>
                <w:highlight w:val="none"/>
              </w:rPr>
              <w:t>多功</w:t>
            </w:r>
            <w:r>
              <w:rPr>
                <w:color w:val="auto"/>
                <w:highlight w:val="none"/>
              </w:rPr>
              <w:t xml:space="preserve"> </w:t>
            </w:r>
            <w:r>
              <w:rPr>
                <w:color w:val="auto"/>
                <w:spacing w:val="5"/>
                <w:highlight w:val="none"/>
              </w:rPr>
              <w:t>能一体机</w:t>
            </w:r>
          </w:p>
        </w:tc>
        <w:tc>
          <w:tcPr>
            <w:tcW w:w="1799" w:type="dxa"/>
          </w:tcPr>
          <w:p w14:paraId="5EF23ADA">
            <w:pPr>
              <w:rPr>
                <w:rFonts w:ascii="Arial"/>
                <w:color w:val="auto"/>
                <w:highlight w:val="none"/>
              </w:rPr>
            </w:pPr>
          </w:p>
        </w:tc>
        <w:tc>
          <w:tcPr>
            <w:tcW w:w="1914" w:type="dxa"/>
          </w:tcPr>
          <w:p w14:paraId="0DC8AEDD">
            <w:pPr>
              <w:rPr>
                <w:rFonts w:ascii="Arial"/>
                <w:color w:val="auto"/>
                <w:highlight w:val="none"/>
              </w:rPr>
            </w:pPr>
          </w:p>
        </w:tc>
        <w:tc>
          <w:tcPr>
            <w:tcW w:w="2969" w:type="dxa"/>
          </w:tcPr>
          <w:p w14:paraId="66E91CD0">
            <w:pPr>
              <w:pStyle w:val="935"/>
              <w:spacing w:before="133" w:line="288" w:lineRule="auto"/>
              <w:ind w:left="22" w:right="13"/>
              <w:rPr>
                <w:rFonts w:hint="eastAsia"/>
                <w:color w:val="auto"/>
                <w:highlight w:val="none"/>
                <w:lang w:eastAsia="zh-CN"/>
              </w:rPr>
            </w:pPr>
            <w:r>
              <w:rPr>
                <w:color w:val="auto"/>
                <w:spacing w:val="5"/>
                <w:highlight w:val="none"/>
                <w:lang w:eastAsia="zh-CN"/>
              </w:rPr>
              <w:t>《复印机、打印机和传真机能效限</w:t>
            </w:r>
            <w:r>
              <w:rPr>
                <w:color w:val="auto"/>
                <w:highlight w:val="none"/>
                <w:lang w:eastAsia="zh-CN"/>
              </w:rPr>
              <w:t xml:space="preserve"> </w:t>
            </w:r>
            <w:r>
              <w:rPr>
                <w:color w:val="auto"/>
                <w:spacing w:val="7"/>
                <w:highlight w:val="none"/>
                <w:lang w:eastAsia="zh-CN"/>
              </w:rPr>
              <w:t>定值及能效等级》（</w:t>
            </w:r>
            <w:r>
              <w:rPr>
                <w:color w:val="auto"/>
                <w:highlight w:val="none"/>
                <w:lang w:eastAsia="zh-CN"/>
              </w:rPr>
              <w:t>GB</w:t>
            </w:r>
            <w:r>
              <w:rPr>
                <w:color w:val="auto"/>
                <w:spacing w:val="7"/>
                <w:highlight w:val="none"/>
                <w:lang w:eastAsia="zh-CN"/>
              </w:rPr>
              <w:t xml:space="preserve"> 21521）</w:t>
            </w:r>
          </w:p>
        </w:tc>
      </w:tr>
      <w:tr w14:paraId="3527C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jc w:val="center"/>
        </w:trPr>
        <w:tc>
          <w:tcPr>
            <w:tcW w:w="578" w:type="dxa"/>
          </w:tcPr>
          <w:p w14:paraId="524DD741">
            <w:pPr>
              <w:pStyle w:val="935"/>
              <w:spacing w:before="260" w:line="188" w:lineRule="auto"/>
              <w:ind w:left="246"/>
              <w:rPr>
                <w:rFonts w:hint="eastAsia"/>
                <w:color w:val="auto"/>
                <w:highlight w:val="none"/>
              </w:rPr>
            </w:pPr>
            <w:r>
              <w:rPr>
                <w:color w:val="auto"/>
                <w:highlight w:val="none"/>
              </w:rPr>
              <w:t>5</w:t>
            </w:r>
          </w:p>
        </w:tc>
        <w:tc>
          <w:tcPr>
            <w:tcW w:w="1166" w:type="dxa"/>
          </w:tcPr>
          <w:p w14:paraId="0F47C364">
            <w:pPr>
              <w:pStyle w:val="935"/>
              <w:spacing w:before="227" w:line="229" w:lineRule="auto"/>
              <w:ind w:left="9"/>
              <w:rPr>
                <w:rFonts w:hint="eastAsia"/>
                <w:color w:val="auto"/>
                <w:highlight w:val="none"/>
              </w:rPr>
            </w:pPr>
            <w:r>
              <w:rPr>
                <w:color w:val="auto"/>
                <w:spacing w:val="4"/>
                <w:highlight w:val="none"/>
              </w:rPr>
              <w:t>A020519</w:t>
            </w:r>
            <w:r>
              <w:rPr>
                <w:color w:val="auto"/>
                <w:spacing w:val="-32"/>
                <w:highlight w:val="none"/>
              </w:rPr>
              <w:t xml:space="preserve"> </w:t>
            </w:r>
            <w:r>
              <w:rPr>
                <w:color w:val="auto"/>
                <w:spacing w:val="4"/>
                <w:highlight w:val="none"/>
              </w:rPr>
              <w:t>泵</w:t>
            </w:r>
          </w:p>
        </w:tc>
        <w:tc>
          <w:tcPr>
            <w:tcW w:w="1799" w:type="dxa"/>
          </w:tcPr>
          <w:p w14:paraId="4F1F8096">
            <w:pPr>
              <w:pStyle w:val="935"/>
              <w:spacing w:before="227" w:line="229" w:lineRule="auto"/>
              <w:ind w:left="9"/>
              <w:rPr>
                <w:rFonts w:hint="eastAsia"/>
                <w:color w:val="auto"/>
                <w:highlight w:val="none"/>
              </w:rPr>
            </w:pPr>
            <w:r>
              <w:rPr>
                <w:color w:val="auto"/>
                <w:spacing w:val="5"/>
                <w:highlight w:val="none"/>
              </w:rPr>
              <w:t>A02051901</w:t>
            </w:r>
            <w:r>
              <w:rPr>
                <w:color w:val="auto"/>
                <w:spacing w:val="-33"/>
                <w:highlight w:val="none"/>
              </w:rPr>
              <w:t xml:space="preserve"> </w:t>
            </w:r>
            <w:r>
              <w:rPr>
                <w:color w:val="auto"/>
                <w:spacing w:val="5"/>
                <w:highlight w:val="none"/>
              </w:rPr>
              <w:t>离心泵</w:t>
            </w:r>
          </w:p>
        </w:tc>
        <w:tc>
          <w:tcPr>
            <w:tcW w:w="1914" w:type="dxa"/>
          </w:tcPr>
          <w:p w14:paraId="0694C93F">
            <w:pPr>
              <w:rPr>
                <w:rFonts w:ascii="Arial"/>
                <w:color w:val="auto"/>
                <w:highlight w:val="none"/>
              </w:rPr>
            </w:pPr>
          </w:p>
        </w:tc>
        <w:tc>
          <w:tcPr>
            <w:tcW w:w="2969" w:type="dxa"/>
          </w:tcPr>
          <w:p w14:paraId="14F925B2">
            <w:pPr>
              <w:pStyle w:val="935"/>
              <w:spacing w:before="71" w:line="272" w:lineRule="auto"/>
              <w:ind w:left="17" w:right="11" w:firstLine="6"/>
              <w:rPr>
                <w:rFonts w:hint="eastAsia"/>
                <w:color w:val="auto"/>
                <w:highlight w:val="none"/>
                <w:lang w:eastAsia="zh-CN"/>
              </w:rPr>
            </w:pPr>
            <w:r>
              <w:rPr>
                <w:color w:val="auto"/>
                <w:spacing w:val="19"/>
                <w:highlight w:val="none"/>
                <w:lang w:eastAsia="zh-CN"/>
              </w:rPr>
              <w:t>《清水离心泵能效限定值及节能</w:t>
            </w:r>
            <w:r>
              <w:rPr>
                <w:color w:val="auto"/>
                <w:spacing w:val="2"/>
                <w:highlight w:val="none"/>
                <w:lang w:eastAsia="zh-CN"/>
              </w:rPr>
              <w:t xml:space="preserve"> </w:t>
            </w:r>
            <w:r>
              <w:rPr>
                <w:color w:val="auto"/>
                <w:spacing w:val="4"/>
                <w:highlight w:val="none"/>
                <w:lang w:eastAsia="zh-CN"/>
              </w:rPr>
              <w:t>评价值》（</w:t>
            </w:r>
            <w:r>
              <w:rPr>
                <w:color w:val="auto"/>
                <w:highlight w:val="none"/>
                <w:lang w:eastAsia="zh-CN"/>
              </w:rPr>
              <w:t>GB</w:t>
            </w:r>
            <w:r>
              <w:rPr>
                <w:color w:val="auto"/>
                <w:spacing w:val="39"/>
                <w:highlight w:val="none"/>
                <w:lang w:eastAsia="zh-CN"/>
              </w:rPr>
              <w:t xml:space="preserve"> </w:t>
            </w:r>
            <w:r>
              <w:rPr>
                <w:color w:val="auto"/>
                <w:spacing w:val="4"/>
                <w:highlight w:val="none"/>
                <w:lang w:eastAsia="zh-CN"/>
              </w:rPr>
              <w:t>19762）</w:t>
            </w:r>
          </w:p>
        </w:tc>
      </w:tr>
      <w:tr w14:paraId="02E76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jc w:val="center"/>
        </w:trPr>
        <w:tc>
          <w:tcPr>
            <w:tcW w:w="578" w:type="dxa"/>
            <w:vMerge w:val="restart"/>
            <w:tcBorders>
              <w:bottom w:val="nil"/>
            </w:tcBorders>
          </w:tcPr>
          <w:p w14:paraId="52E86B40">
            <w:pPr>
              <w:spacing w:line="300" w:lineRule="auto"/>
              <w:rPr>
                <w:rFonts w:ascii="Arial"/>
                <w:color w:val="auto"/>
                <w:highlight w:val="none"/>
              </w:rPr>
            </w:pPr>
          </w:p>
          <w:p w14:paraId="3967587B">
            <w:pPr>
              <w:spacing w:line="300" w:lineRule="auto"/>
              <w:rPr>
                <w:rFonts w:ascii="Arial"/>
                <w:color w:val="auto"/>
                <w:highlight w:val="none"/>
              </w:rPr>
            </w:pPr>
          </w:p>
          <w:p w14:paraId="4CBA458B">
            <w:pPr>
              <w:spacing w:line="301" w:lineRule="auto"/>
              <w:rPr>
                <w:rFonts w:ascii="Arial"/>
                <w:color w:val="auto"/>
                <w:highlight w:val="none"/>
              </w:rPr>
            </w:pPr>
          </w:p>
          <w:p w14:paraId="210ABDB0">
            <w:pPr>
              <w:pStyle w:val="935"/>
              <w:spacing w:before="62" w:line="189" w:lineRule="auto"/>
              <w:ind w:left="244"/>
              <w:rPr>
                <w:rFonts w:hint="eastAsia"/>
                <w:color w:val="auto"/>
                <w:highlight w:val="none"/>
              </w:rPr>
            </w:pPr>
            <w:r>
              <w:rPr>
                <w:color w:val="auto"/>
                <w:highlight w:val="none"/>
              </w:rPr>
              <w:t>6</w:t>
            </w:r>
          </w:p>
        </w:tc>
        <w:tc>
          <w:tcPr>
            <w:tcW w:w="1166" w:type="dxa"/>
            <w:vMerge w:val="restart"/>
            <w:tcBorders>
              <w:bottom w:val="nil"/>
            </w:tcBorders>
          </w:tcPr>
          <w:p w14:paraId="341BDAC3">
            <w:pPr>
              <w:spacing w:line="357" w:lineRule="auto"/>
              <w:rPr>
                <w:rFonts w:ascii="Arial"/>
                <w:color w:val="auto"/>
                <w:highlight w:val="none"/>
              </w:rPr>
            </w:pPr>
          </w:p>
          <w:p w14:paraId="2BA42BCE">
            <w:pPr>
              <w:spacing w:line="358" w:lineRule="auto"/>
              <w:rPr>
                <w:rFonts w:ascii="Arial"/>
                <w:color w:val="auto"/>
                <w:highlight w:val="none"/>
              </w:rPr>
            </w:pPr>
          </w:p>
          <w:p w14:paraId="543143D1">
            <w:pPr>
              <w:pStyle w:val="935"/>
              <w:spacing w:before="61" w:line="289" w:lineRule="auto"/>
              <w:ind w:left="21" w:right="8" w:hanging="12"/>
              <w:rPr>
                <w:rFonts w:hint="eastAsia"/>
                <w:color w:val="auto"/>
                <w:highlight w:val="none"/>
              </w:rPr>
            </w:pPr>
            <w:r>
              <w:rPr>
                <w:color w:val="auto"/>
                <w:spacing w:val="5"/>
                <w:highlight w:val="none"/>
              </w:rPr>
              <w:t>A020523</w:t>
            </w:r>
            <w:r>
              <w:rPr>
                <w:color w:val="auto"/>
                <w:spacing w:val="-43"/>
                <w:highlight w:val="none"/>
              </w:rPr>
              <w:t xml:space="preserve"> </w:t>
            </w:r>
            <w:r>
              <w:rPr>
                <w:color w:val="auto"/>
                <w:spacing w:val="5"/>
                <w:highlight w:val="none"/>
              </w:rPr>
              <w:t>制冷</w:t>
            </w:r>
            <w:r>
              <w:rPr>
                <w:color w:val="auto"/>
                <w:highlight w:val="none"/>
              </w:rPr>
              <w:t xml:space="preserve"> </w:t>
            </w:r>
            <w:r>
              <w:rPr>
                <w:color w:val="auto"/>
                <w:spacing w:val="5"/>
                <w:highlight w:val="none"/>
              </w:rPr>
              <w:t>空调设备</w:t>
            </w:r>
          </w:p>
        </w:tc>
        <w:tc>
          <w:tcPr>
            <w:tcW w:w="1799" w:type="dxa"/>
            <w:vMerge w:val="restart"/>
            <w:tcBorders>
              <w:bottom w:val="nil"/>
            </w:tcBorders>
          </w:tcPr>
          <w:p w14:paraId="01039BCC">
            <w:pPr>
              <w:spacing w:line="357" w:lineRule="auto"/>
              <w:rPr>
                <w:rFonts w:ascii="Arial"/>
                <w:color w:val="auto"/>
                <w:highlight w:val="none"/>
              </w:rPr>
            </w:pPr>
          </w:p>
          <w:p w14:paraId="027C7FAF">
            <w:pPr>
              <w:spacing w:line="357" w:lineRule="auto"/>
              <w:rPr>
                <w:rFonts w:ascii="Arial"/>
                <w:color w:val="auto"/>
                <w:highlight w:val="none"/>
              </w:rPr>
            </w:pPr>
          </w:p>
          <w:p w14:paraId="7D3B143E">
            <w:pPr>
              <w:pStyle w:val="935"/>
              <w:spacing w:before="62" w:line="288" w:lineRule="auto"/>
              <w:ind w:left="15" w:right="10" w:firstLine="3"/>
              <w:rPr>
                <w:rFonts w:hint="eastAsia"/>
                <w:color w:val="auto"/>
                <w:highlight w:val="none"/>
              </w:rPr>
            </w:pPr>
            <w:r>
              <w:rPr>
                <w:color w:val="auto"/>
                <w:spacing w:val="3"/>
                <w:highlight w:val="none"/>
              </w:rPr>
              <w:t>★A02052301 制冷压</w:t>
            </w:r>
            <w:r>
              <w:rPr>
                <w:color w:val="auto"/>
                <w:spacing w:val="12"/>
                <w:highlight w:val="none"/>
              </w:rPr>
              <w:t xml:space="preserve"> </w:t>
            </w:r>
            <w:r>
              <w:rPr>
                <w:color w:val="auto"/>
                <w:spacing w:val="5"/>
                <w:highlight w:val="none"/>
              </w:rPr>
              <w:t>缩机</w:t>
            </w:r>
          </w:p>
        </w:tc>
        <w:tc>
          <w:tcPr>
            <w:tcW w:w="1914" w:type="dxa"/>
          </w:tcPr>
          <w:p w14:paraId="5E8498A6">
            <w:pPr>
              <w:spacing w:line="250" w:lineRule="auto"/>
              <w:rPr>
                <w:rFonts w:ascii="Arial"/>
                <w:color w:val="auto"/>
                <w:highlight w:val="none"/>
              </w:rPr>
            </w:pPr>
          </w:p>
          <w:p w14:paraId="1FE10F38">
            <w:pPr>
              <w:spacing w:line="251" w:lineRule="auto"/>
              <w:rPr>
                <w:rFonts w:ascii="Arial"/>
                <w:color w:val="auto"/>
                <w:highlight w:val="none"/>
              </w:rPr>
            </w:pPr>
          </w:p>
          <w:p w14:paraId="181194F0">
            <w:pPr>
              <w:pStyle w:val="935"/>
              <w:spacing w:before="61" w:line="228" w:lineRule="auto"/>
              <w:ind w:left="18"/>
              <w:rPr>
                <w:rFonts w:hint="eastAsia"/>
                <w:color w:val="auto"/>
                <w:highlight w:val="none"/>
              </w:rPr>
            </w:pPr>
            <w:r>
              <w:rPr>
                <w:color w:val="auto"/>
                <w:spacing w:val="6"/>
                <w:highlight w:val="none"/>
              </w:rPr>
              <w:t>冷水机组</w:t>
            </w:r>
          </w:p>
        </w:tc>
        <w:tc>
          <w:tcPr>
            <w:tcW w:w="2969" w:type="dxa"/>
          </w:tcPr>
          <w:p w14:paraId="758B7A80">
            <w:pPr>
              <w:pStyle w:val="935"/>
              <w:spacing w:before="96" w:line="294" w:lineRule="auto"/>
              <w:ind w:left="17" w:right="11" w:firstLine="5"/>
              <w:rPr>
                <w:rFonts w:hint="eastAsia"/>
                <w:color w:val="auto"/>
                <w:highlight w:val="none"/>
                <w:lang w:eastAsia="zh-CN"/>
              </w:rPr>
            </w:pPr>
            <w:r>
              <w:rPr>
                <w:color w:val="auto"/>
                <w:spacing w:val="19"/>
                <w:highlight w:val="none"/>
                <w:lang w:eastAsia="zh-CN"/>
              </w:rPr>
              <w:t>《冷水机组能效限定值及能效等</w:t>
            </w:r>
            <w:r>
              <w:rPr>
                <w:color w:val="auto"/>
                <w:spacing w:val="2"/>
                <w:highlight w:val="none"/>
                <w:lang w:eastAsia="zh-CN"/>
              </w:rPr>
              <w:t xml:space="preserve"> </w:t>
            </w:r>
            <w:r>
              <w:rPr>
                <w:color w:val="auto"/>
                <w:spacing w:val="6"/>
                <w:highlight w:val="none"/>
                <w:lang w:eastAsia="zh-CN"/>
              </w:rPr>
              <w:t>级》（</w:t>
            </w:r>
            <w:r>
              <w:rPr>
                <w:color w:val="auto"/>
                <w:highlight w:val="none"/>
                <w:lang w:eastAsia="zh-CN"/>
              </w:rPr>
              <w:t>GB</w:t>
            </w:r>
            <w:r>
              <w:rPr>
                <w:color w:val="auto"/>
                <w:spacing w:val="-21"/>
                <w:highlight w:val="none"/>
                <w:lang w:eastAsia="zh-CN"/>
              </w:rPr>
              <w:t xml:space="preserve"> </w:t>
            </w:r>
            <w:r>
              <w:rPr>
                <w:color w:val="auto"/>
                <w:spacing w:val="6"/>
                <w:highlight w:val="none"/>
                <w:lang w:eastAsia="zh-CN"/>
              </w:rPr>
              <w:t>19577</w:t>
            </w:r>
            <w:r>
              <w:rPr>
                <w:color w:val="auto"/>
                <w:spacing w:val="9"/>
                <w:highlight w:val="none"/>
                <w:lang w:eastAsia="zh-CN"/>
              </w:rPr>
              <w:t>），</w:t>
            </w:r>
            <w:r>
              <w:rPr>
                <w:color w:val="auto"/>
                <w:spacing w:val="6"/>
                <w:highlight w:val="none"/>
                <w:lang w:eastAsia="zh-CN"/>
              </w:rPr>
              <w:t>《低环境温度</w:t>
            </w:r>
            <w:r>
              <w:rPr>
                <w:color w:val="auto"/>
                <w:highlight w:val="none"/>
                <w:lang w:eastAsia="zh-CN"/>
              </w:rPr>
              <w:t xml:space="preserve"> </w:t>
            </w:r>
            <w:r>
              <w:rPr>
                <w:color w:val="auto"/>
                <w:spacing w:val="5"/>
                <w:highlight w:val="none"/>
                <w:lang w:eastAsia="zh-CN"/>
              </w:rPr>
              <w:t>空气源热泵（冷水）机组能效限定</w:t>
            </w:r>
            <w:r>
              <w:rPr>
                <w:color w:val="auto"/>
                <w:spacing w:val="6"/>
                <w:highlight w:val="none"/>
                <w:lang w:eastAsia="zh-CN"/>
              </w:rPr>
              <w:t xml:space="preserve"> </w:t>
            </w:r>
            <w:r>
              <w:rPr>
                <w:color w:val="auto"/>
                <w:spacing w:val="7"/>
                <w:highlight w:val="none"/>
                <w:lang w:eastAsia="zh-CN"/>
              </w:rPr>
              <w:t>值及能效等级》（</w:t>
            </w:r>
            <w:r>
              <w:rPr>
                <w:color w:val="auto"/>
                <w:highlight w:val="none"/>
                <w:lang w:eastAsia="zh-CN"/>
              </w:rPr>
              <w:t>GB</w:t>
            </w:r>
            <w:r>
              <w:rPr>
                <w:color w:val="auto"/>
                <w:spacing w:val="7"/>
                <w:highlight w:val="none"/>
                <w:lang w:eastAsia="zh-CN"/>
              </w:rPr>
              <w:t xml:space="preserve"> 37480）</w:t>
            </w:r>
          </w:p>
        </w:tc>
      </w:tr>
      <w:tr w14:paraId="5FD5A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jc w:val="center"/>
        </w:trPr>
        <w:tc>
          <w:tcPr>
            <w:tcW w:w="578" w:type="dxa"/>
            <w:vMerge w:val="continue"/>
            <w:tcBorders>
              <w:top w:val="nil"/>
            </w:tcBorders>
          </w:tcPr>
          <w:p w14:paraId="034D4D14">
            <w:pPr>
              <w:rPr>
                <w:rFonts w:ascii="Arial"/>
                <w:color w:val="auto"/>
                <w:highlight w:val="none"/>
              </w:rPr>
            </w:pPr>
          </w:p>
        </w:tc>
        <w:tc>
          <w:tcPr>
            <w:tcW w:w="1166" w:type="dxa"/>
            <w:vMerge w:val="continue"/>
            <w:tcBorders>
              <w:top w:val="nil"/>
            </w:tcBorders>
          </w:tcPr>
          <w:p w14:paraId="4792B4F6">
            <w:pPr>
              <w:rPr>
                <w:rFonts w:ascii="Arial"/>
                <w:color w:val="auto"/>
                <w:highlight w:val="none"/>
              </w:rPr>
            </w:pPr>
          </w:p>
        </w:tc>
        <w:tc>
          <w:tcPr>
            <w:tcW w:w="1799" w:type="dxa"/>
            <w:vMerge w:val="continue"/>
            <w:tcBorders>
              <w:top w:val="nil"/>
            </w:tcBorders>
          </w:tcPr>
          <w:p w14:paraId="623510C9">
            <w:pPr>
              <w:rPr>
                <w:rFonts w:ascii="Arial"/>
                <w:color w:val="auto"/>
                <w:highlight w:val="none"/>
              </w:rPr>
            </w:pPr>
          </w:p>
        </w:tc>
        <w:tc>
          <w:tcPr>
            <w:tcW w:w="1914" w:type="dxa"/>
          </w:tcPr>
          <w:p w14:paraId="28D1D5E6">
            <w:pPr>
              <w:pStyle w:val="935"/>
              <w:spacing w:before="275" w:line="228" w:lineRule="auto"/>
              <w:ind w:left="19"/>
              <w:rPr>
                <w:rFonts w:hint="eastAsia"/>
                <w:color w:val="auto"/>
                <w:highlight w:val="none"/>
              </w:rPr>
            </w:pPr>
            <w:r>
              <w:rPr>
                <w:color w:val="auto"/>
                <w:spacing w:val="7"/>
                <w:highlight w:val="none"/>
              </w:rPr>
              <w:t>水源热泵机组</w:t>
            </w:r>
          </w:p>
        </w:tc>
        <w:tc>
          <w:tcPr>
            <w:tcW w:w="2969" w:type="dxa"/>
          </w:tcPr>
          <w:p w14:paraId="15079B18">
            <w:pPr>
              <w:pStyle w:val="935"/>
              <w:spacing w:before="120" w:line="288" w:lineRule="auto"/>
              <w:ind w:left="17" w:right="13" w:firstLine="6"/>
              <w:rPr>
                <w:rFonts w:hint="eastAsia"/>
                <w:color w:val="auto"/>
                <w:highlight w:val="none"/>
                <w:lang w:eastAsia="zh-CN"/>
              </w:rPr>
            </w:pPr>
            <w:r>
              <w:rPr>
                <w:color w:val="auto"/>
                <w:spacing w:val="5"/>
                <w:highlight w:val="none"/>
                <w:lang w:eastAsia="zh-CN"/>
              </w:rPr>
              <w:t>《水（地）源热泵机组能效限定值</w:t>
            </w:r>
            <w:r>
              <w:rPr>
                <w:color w:val="auto"/>
                <w:highlight w:val="none"/>
                <w:lang w:eastAsia="zh-CN"/>
              </w:rPr>
              <w:t xml:space="preserve"> </w:t>
            </w:r>
            <w:r>
              <w:rPr>
                <w:color w:val="auto"/>
                <w:spacing w:val="7"/>
                <w:highlight w:val="none"/>
                <w:lang w:eastAsia="zh-CN"/>
              </w:rPr>
              <w:t>及能效等级》（</w:t>
            </w:r>
            <w:r>
              <w:rPr>
                <w:color w:val="auto"/>
                <w:highlight w:val="none"/>
                <w:lang w:eastAsia="zh-CN"/>
              </w:rPr>
              <w:t>GB</w:t>
            </w:r>
            <w:r>
              <w:rPr>
                <w:color w:val="auto"/>
                <w:spacing w:val="7"/>
                <w:highlight w:val="none"/>
                <w:lang w:eastAsia="zh-CN"/>
              </w:rPr>
              <w:t xml:space="preserve"> 30721）</w:t>
            </w:r>
          </w:p>
        </w:tc>
      </w:tr>
    </w:tbl>
    <w:p w14:paraId="22648B2E">
      <w:pPr>
        <w:rPr>
          <w:rFonts w:ascii="Arial"/>
          <w:color w:val="auto"/>
          <w:highlight w:val="none"/>
        </w:rPr>
      </w:pPr>
    </w:p>
    <w:p w14:paraId="046959B4">
      <w:pPr>
        <w:rPr>
          <w:rFonts w:ascii="Arial" w:hAnsi="Arial" w:eastAsia="Arial" w:cs="Arial"/>
          <w:color w:val="auto"/>
          <w:szCs w:val="21"/>
          <w:highlight w:val="none"/>
        </w:rPr>
        <w:sectPr>
          <w:pgSz w:w="11906" w:h="16838"/>
          <w:pgMar w:top="1431" w:right="1691" w:bottom="0" w:left="1783" w:header="850" w:footer="0" w:gutter="0"/>
          <w:cols w:space="720" w:num="1"/>
        </w:sectPr>
      </w:pPr>
    </w:p>
    <w:p w14:paraId="4E1DF266">
      <w:pPr>
        <w:spacing w:line="91" w:lineRule="auto"/>
        <w:rPr>
          <w:rFonts w:ascii="Arial"/>
          <w:color w:val="auto"/>
          <w:sz w:val="2"/>
          <w:highlight w:val="none"/>
        </w:rPr>
      </w:pPr>
    </w:p>
    <w:tbl>
      <w:tblPr>
        <w:tblStyle w:val="936"/>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5150D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jc w:val="center"/>
        </w:trPr>
        <w:tc>
          <w:tcPr>
            <w:tcW w:w="578" w:type="dxa"/>
            <w:vMerge w:val="restart"/>
            <w:tcBorders>
              <w:bottom w:val="nil"/>
            </w:tcBorders>
          </w:tcPr>
          <w:p w14:paraId="6DE9009A">
            <w:pPr>
              <w:rPr>
                <w:rFonts w:ascii="Arial"/>
                <w:color w:val="auto"/>
                <w:highlight w:val="none"/>
              </w:rPr>
            </w:pPr>
          </w:p>
        </w:tc>
        <w:tc>
          <w:tcPr>
            <w:tcW w:w="1166" w:type="dxa"/>
            <w:vMerge w:val="restart"/>
            <w:tcBorders>
              <w:bottom w:val="nil"/>
            </w:tcBorders>
          </w:tcPr>
          <w:p w14:paraId="1EC91413">
            <w:pPr>
              <w:rPr>
                <w:rFonts w:ascii="Arial"/>
                <w:color w:val="auto"/>
                <w:highlight w:val="none"/>
              </w:rPr>
            </w:pPr>
          </w:p>
        </w:tc>
        <w:tc>
          <w:tcPr>
            <w:tcW w:w="1799" w:type="dxa"/>
          </w:tcPr>
          <w:p w14:paraId="2313E7C2">
            <w:pPr>
              <w:rPr>
                <w:rFonts w:ascii="Arial"/>
                <w:color w:val="auto"/>
                <w:highlight w:val="none"/>
              </w:rPr>
            </w:pPr>
          </w:p>
        </w:tc>
        <w:tc>
          <w:tcPr>
            <w:tcW w:w="1914" w:type="dxa"/>
          </w:tcPr>
          <w:p w14:paraId="4DAEC28F">
            <w:pPr>
              <w:pStyle w:val="935"/>
              <w:spacing w:before="159" w:line="294" w:lineRule="auto"/>
              <w:ind w:left="19" w:right="11" w:firstLine="1"/>
              <w:rPr>
                <w:rFonts w:hint="eastAsia"/>
                <w:color w:val="auto"/>
                <w:highlight w:val="none"/>
                <w:lang w:eastAsia="zh-CN"/>
              </w:rPr>
            </w:pPr>
            <w:r>
              <w:rPr>
                <w:color w:val="auto"/>
                <w:spacing w:val="18"/>
                <w:highlight w:val="none"/>
                <w:lang w:eastAsia="zh-CN"/>
              </w:rPr>
              <w:t>溴化锂吸收式冷水机</w:t>
            </w:r>
            <w:r>
              <w:rPr>
                <w:color w:val="auto"/>
                <w:spacing w:val="4"/>
                <w:highlight w:val="none"/>
                <w:lang w:eastAsia="zh-CN"/>
              </w:rPr>
              <w:t xml:space="preserve"> </w:t>
            </w:r>
            <w:r>
              <w:rPr>
                <w:color w:val="auto"/>
                <w:highlight w:val="none"/>
                <w:lang w:eastAsia="zh-CN"/>
              </w:rPr>
              <w:t>组</w:t>
            </w:r>
          </w:p>
        </w:tc>
        <w:tc>
          <w:tcPr>
            <w:tcW w:w="2969" w:type="dxa"/>
          </w:tcPr>
          <w:p w14:paraId="446AD3EC">
            <w:pPr>
              <w:pStyle w:val="935"/>
              <w:spacing w:before="160" w:line="288" w:lineRule="auto"/>
              <w:ind w:left="22" w:right="11"/>
              <w:rPr>
                <w:rFonts w:hint="eastAsia"/>
                <w:color w:val="auto"/>
                <w:highlight w:val="none"/>
                <w:lang w:eastAsia="zh-CN"/>
              </w:rPr>
            </w:pPr>
            <w:r>
              <w:rPr>
                <w:color w:val="auto"/>
                <w:spacing w:val="19"/>
                <w:highlight w:val="none"/>
                <w:lang w:eastAsia="zh-CN"/>
              </w:rPr>
              <w:t>《溴化锂吸收式冷水机组能效限</w:t>
            </w:r>
            <w:r>
              <w:rPr>
                <w:color w:val="auto"/>
                <w:spacing w:val="2"/>
                <w:highlight w:val="none"/>
                <w:lang w:eastAsia="zh-CN"/>
              </w:rPr>
              <w:t xml:space="preserve"> </w:t>
            </w:r>
            <w:r>
              <w:rPr>
                <w:color w:val="auto"/>
                <w:spacing w:val="7"/>
                <w:highlight w:val="none"/>
                <w:lang w:eastAsia="zh-CN"/>
              </w:rPr>
              <w:t>定值及能效等级》（</w:t>
            </w:r>
            <w:r>
              <w:rPr>
                <w:color w:val="auto"/>
                <w:highlight w:val="none"/>
                <w:lang w:eastAsia="zh-CN"/>
              </w:rPr>
              <w:t>GB</w:t>
            </w:r>
            <w:r>
              <w:rPr>
                <w:color w:val="auto"/>
                <w:spacing w:val="7"/>
                <w:highlight w:val="none"/>
                <w:lang w:eastAsia="zh-CN"/>
              </w:rPr>
              <w:t xml:space="preserve"> 29540）</w:t>
            </w:r>
          </w:p>
        </w:tc>
      </w:tr>
      <w:tr w14:paraId="46D9A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14:paraId="24FEF005">
            <w:pPr>
              <w:rPr>
                <w:rFonts w:ascii="Arial"/>
                <w:color w:val="auto"/>
                <w:highlight w:val="none"/>
              </w:rPr>
            </w:pPr>
          </w:p>
        </w:tc>
        <w:tc>
          <w:tcPr>
            <w:tcW w:w="1166" w:type="dxa"/>
            <w:vMerge w:val="continue"/>
            <w:tcBorders>
              <w:top w:val="nil"/>
              <w:bottom w:val="nil"/>
            </w:tcBorders>
          </w:tcPr>
          <w:p w14:paraId="634AA59D">
            <w:pPr>
              <w:rPr>
                <w:rFonts w:ascii="Arial"/>
                <w:color w:val="auto"/>
                <w:highlight w:val="none"/>
              </w:rPr>
            </w:pPr>
          </w:p>
        </w:tc>
        <w:tc>
          <w:tcPr>
            <w:tcW w:w="1799" w:type="dxa"/>
            <w:vMerge w:val="restart"/>
            <w:tcBorders>
              <w:bottom w:val="nil"/>
            </w:tcBorders>
          </w:tcPr>
          <w:p w14:paraId="41C061E9">
            <w:pPr>
              <w:spacing w:line="265" w:lineRule="auto"/>
              <w:rPr>
                <w:rFonts w:ascii="Arial"/>
                <w:color w:val="auto"/>
                <w:highlight w:val="none"/>
              </w:rPr>
            </w:pPr>
          </w:p>
          <w:p w14:paraId="0C78F460">
            <w:pPr>
              <w:spacing w:line="265" w:lineRule="auto"/>
              <w:rPr>
                <w:rFonts w:ascii="Arial"/>
                <w:color w:val="auto"/>
                <w:highlight w:val="none"/>
              </w:rPr>
            </w:pPr>
          </w:p>
          <w:p w14:paraId="1743BA5B">
            <w:pPr>
              <w:spacing w:line="265" w:lineRule="auto"/>
              <w:rPr>
                <w:rFonts w:ascii="Arial"/>
                <w:color w:val="auto"/>
                <w:highlight w:val="none"/>
              </w:rPr>
            </w:pPr>
          </w:p>
          <w:p w14:paraId="1C50E05F">
            <w:pPr>
              <w:pStyle w:val="935"/>
              <w:spacing w:before="62" w:line="294" w:lineRule="auto"/>
              <w:ind w:left="17" w:right="10"/>
              <w:rPr>
                <w:rFonts w:hint="eastAsia"/>
                <w:color w:val="auto"/>
                <w:highlight w:val="none"/>
              </w:rPr>
            </w:pPr>
            <w:r>
              <w:rPr>
                <w:color w:val="auto"/>
                <w:spacing w:val="3"/>
                <w:highlight w:val="none"/>
              </w:rPr>
              <w:t>★A02052305 空调机</w:t>
            </w:r>
            <w:r>
              <w:rPr>
                <w:color w:val="auto"/>
                <w:spacing w:val="12"/>
                <w:highlight w:val="none"/>
              </w:rPr>
              <w:t xml:space="preserve"> </w:t>
            </w:r>
            <w:r>
              <w:rPr>
                <w:color w:val="auto"/>
                <w:highlight w:val="none"/>
              </w:rPr>
              <w:t>组</w:t>
            </w:r>
          </w:p>
        </w:tc>
        <w:tc>
          <w:tcPr>
            <w:tcW w:w="1914" w:type="dxa"/>
          </w:tcPr>
          <w:p w14:paraId="65BC4F89">
            <w:pPr>
              <w:pStyle w:val="935"/>
              <w:spacing w:before="65" w:line="284" w:lineRule="auto"/>
              <w:ind w:left="15" w:right="11" w:firstLine="10"/>
              <w:rPr>
                <w:rFonts w:hint="eastAsia"/>
                <w:color w:val="auto"/>
                <w:highlight w:val="none"/>
                <w:lang w:eastAsia="zh-CN"/>
              </w:rPr>
            </w:pPr>
            <w:r>
              <w:rPr>
                <w:color w:val="auto"/>
                <w:spacing w:val="15"/>
                <w:highlight w:val="none"/>
                <w:lang w:eastAsia="zh-CN"/>
              </w:rPr>
              <w:t>多联式空调（热泵）</w:t>
            </w:r>
            <w:r>
              <w:rPr>
                <w:color w:val="auto"/>
                <w:spacing w:val="7"/>
                <w:highlight w:val="none"/>
                <w:lang w:eastAsia="zh-CN"/>
              </w:rPr>
              <w:t xml:space="preserve"> </w:t>
            </w:r>
            <w:r>
              <w:rPr>
                <w:color w:val="auto"/>
                <w:spacing w:val="-8"/>
                <w:highlight w:val="none"/>
                <w:lang w:eastAsia="zh-CN"/>
              </w:rPr>
              <w:t>机</w:t>
            </w:r>
            <w:r>
              <w:rPr>
                <w:color w:val="auto"/>
                <w:spacing w:val="34"/>
                <w:highlight w:val="none"/>
                <w:lang w:eastAsia="zh-CN"/>
              </w:rPr>
              <w:t xml:space="preserve">  </w:t>
            </w:r>
            <w:r>
              <w:rPr>
                <w:color w:val="auto"/>
                <w:spacing w:val="-8"/>
                <w:highlight w:val="none"/>
                <w:lang w:eastAsia="zh-CN"/>
              </w:rPr>
              <w:t>组</w:t>
            </w:r>
            <w:r>
              <w:rPr>
                <w:color w:val="auto"/>
                <w:spacing w:val="2"/>
                <w:highlight w:val="none"/>
                <w:lang w:eastAsia="zh-CN"/>
              </w:rPr>
              <w:t xml:space="preserve">   </w:t>
            </w:r>
            <w:r>
              <w:rPr>
                <w:color w:val="auto"/>
                <w:spacing w:val="-8"/>
                <w:highlight w:val="none"/>
                <w:lang w:eastAsia="zh-CN"/>
              </w:rPr>
              <w:t>(</w:t>
            </w:r>
            <w:r>
              <w:rPr>
                <w:color w:val="auto"/>
                <w:spacing w:val="33"/>
                <w:highlight w:val="none"/>
                <w:lang w:eastAsia="zh-CN"/>
              </w:rPr>
              <w:t xml:space="preserve">  </w:t>
            </w:r>
            <w:r>
              <w:rPr>
                <w:color w:val="auto"/>
                <w:spacing w:val="-8"/>
                <w:highlight w:val="none"/>
                <w:lang w:eastAsia="zh-CN"/>
              </w:rPr>
              <w:t>制</w:t>
            </w:r>
            <w:r>
              <w:rPr>
                <w:color w:val="auto"/>
                <w:spacing w:val="35"/>
                <w:highlight w:val="none"/>
                <w:lang w:eastAsia="zh-CN"/>
              </w:rPr>
              <w:t xml:space="preserve">  </w:t>
            </w:r>
            <w:r>
              <w:rPr>
                <w:color w:val="auto"/>
                <w:spacing w:val="-8"/>
                <w:highlight w:val="none"/>
                <w:lang w:eastAsia="zh-CN"/>
              </w:rPr>
              <w:t>冷</w:t>
            </w:r>
            <w:r>
              <w:rPr>
                <w:color w:val="auto"/>
                <w:highlight w:val="none"/>
                <w:lang w:eastAsia="zh-CN"/>
              </w:rPr>
              <w:t xml:space="preserve"> </w:t>
            </w:r>
            <w:r>
              <w:rPr>
                <w:color w:val="auto"/>
                <w:spacing w:val="5"/>
                <w:highlight w:val="none"/>
                <w:lang w:eastAsia="zh-CN"/>
              </w:rPr>
              <w:t>量&gt;14000W)</w:t>
            </w:r>
          </w:p>
        </w:tc>
        <w:tc>
          <w:tcPr>
            <w:tcW w:w="2969" w:type="dxa"/>
          </w:tcPr>
          <w:p w14:paraId="04442F5D">
            <w:pPr>
              <w:pStyle w:val="935"/>
              <w:spacing w:before="223" w:line="288" w:lineRule="auto"/>
              <w:ind w:left="22"/>
              <w:rPr>
                <w:rFonts w:hint="eastAsia"/>
                <w:color w:val="auto"/>
                <w:highlight w:val="none"/>
                <w:lang w:eastAsia="zh-CN"/>
              </w:rPr>
            </w:pPr>
            <w:r>
              <w:rPr>
                <w:color w:val="auto"/>
                <w:highlight w:val="none"/>
                <w:lang w:eastAsia="zh-CN"/>
              </w:rPr>
              <w:t>《多联式空调（热泵）机组能效限</w:t>
            </w:r>
            <w:r>
              <w:rPr>
                <w:color w:val="auto"/>
                <w:spacing w:val="2"/>
                <w:highlight w:val="none"/>
                <w:lang w:eastAsia="zh-CN"/>
              </w:rPr>
              <w:t xml:space="preserve">  </w:t>
            </w:r>
            <w:r>
              <w:rPr>
                <w:color w:val="auto"/>
                <w:spacing w:val="-4"/>
                <w:highlight w:val="none"/>
                <w:lang w:eastAsia="zh-CN"/>
              </w:rPr>
              <w:t>定值及能源效率等级》（GB</w:t>
            </w:r>
            <w:r>
              <w:rPr>
                <w:color w:val="auto"/>
                <w:spacing w:val="-24"/>
                <w:highlight w:val="none"/>
                <w:lang w:eastAsia="zh-CN"/>
              </w:rPr>
              <w:t xml:space="preserve"> </w:t>
            </w:r>
            <w:r>
              <w:rPr>
                <w:color w:val="auto"/>
                <w:spacing w:val="-4"/>
                <w:highlight w:val="none"/>
                <w:lang w:eastAsia="zh-CN"/>
              </w:rPr>
              <w:t>21454）</w:t>
            </w:r>
          </w:p>
        </w:tc>
      </w:tr>
      <w:tr w14:paraId="7E1D1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578" w:type="dxa"/>
            <w:vMerge w:val="continue"/>
            <w:tcBorders>
              <w:top w:val="nil"/>
              <w:bottom w:val="nil"/>
            </w:tcBorders>
          </w:tcPr>
          <w:p w14:paraId="27159254">
            <w:pPr>
              <w:rPr>
                <w:rFonts w:ascii="Arial"/>
                <w:color w:val="auto"/>
                <w:highlight w:val="none"/>
              </w:rPr>
            </w:pPr>
          </w:p>
        </w:tc>
        <w:tc>
          <w:tcPr>
            <w:tcW w:w="1166" w:type="dxa"/>
            <w:vMerge w:val="continue"/>
            <w:tcBorders>
              <w:top w:val="nil"/>
              <w:bottom w:val="nil"/>
            </w:tcBorders>
          </w:tcPr>
          <w:p w14:paraId="019B5B0A">
            <w:pPr>
              <w:rPr>
                <w:rFonts w:ascii="Arial"/>
                <w:color w:val="auto"/>
                <w:highlight w:val="none"/>
              </w:rPr>
            </w:pPr>
          </w:p>
        </w:tc>
        <w:tc>
          <w:tcPr>
            <w:tcW w:w="1799" w:type="dxa"/>
            <w:vMerge w:val="continue"/>
            <w:tcBorders>
              <w:top w:val="nil"/>
            </w:tcBorders>
          </w:tcPr>
          <w:p w14:paraId="40003CCA">
            <w:pPr>
              <w:rPr>
                <w:rFonts w:ascii="Arial"/>
                <w:color w:val="auto"/>
                <w:highlight w:val="none"/>
              </w:rPr>
            </w:pPr>
          </w:p>
        </w:tc>
        <w:tc>
          <w:tcPr>
            <w:tcW w:w="1914" w:type="dxa"/>
          </w:tcPr>
          <w:p w14:paraId="6428E706">
            <w:pPr>
              <w:spacing w:line="319" w:lineRule="auto"/>
              <w:rPr>
                <w:rFonts w:ascii="Arial"/>
                <w:color w:val="auto"/>
                <w:highlight w:val="none"/>
              </w:rPr>
            </w:pPr>
          </w:p>
          <w:p w14:paraId="1033CE17">
            <w:pPr>
              <w:pStyle w:val="935"/>
              <w:spacing w:before="61" w:line="289" w:lineRule="auto"/>
              <w:ind w:left="51" w:right="11" w:hanging="33"/>
              <w:rPr>
                <w:rFonts w:hint="eastAsia"/>
                <w:color w:val="auto"/>
                <w:highlight w:val="none"/>
                <w:lang w:eastAsia="zh-CN"/>
              </w:rPr>
            </w:pPr>
            <w:r>
              <w:rPr>
                <w:color w:val="auto"/>
                <w:spacing w:val="44"/>
                <w:highlight w:val="none"/>
                <w:lang w:eastAsia="zh-CN"/>
              </w:rPr>
              <w:t>单元式空气调节机</w:t>
            </w:r>
            <w:r>
              <w:rPr>
                <w:color w:val="auto"/>
                <w:spacing w:val="6"/>
                <w:highlight w:val="none"/>
                <w:lang w:eastAsia="zh-CN"/>
              </w:rPr>
              <w:t xml:space="preserve"> </w:t>
            </w:r>
            <w:r>
              <w:rPr>
                <w:color w:val="auto"/>
                <w:spacing w:val="2"/>
                <w:highlight w:val="none"/>
                <w:lang w:eastAsia="zh-CN"/>
              </w:rPr>
              <w:t>(制冷量&gt;14000W)</w:t>
            </w:r>
          </w:p>
        </w:tc>
        <w:tc>
          <w:tcPr>
            <w:tcW w:w="2969" w:type="dxa"/>
          </w:tcPr>
          <w:p w14:paraId="2E75F3F7">
            <w:pPr>
              <w:pStyle w:val="935"/>
              <w:spacing w:before="72" w:line="290" w:lineRule="auto"/>
              <w:ind w:left="16" w:right="11" w:firstLine="6"/>
              <w:rPr>
                <w:rFonts w:hint="eastAsia"/>
                <w:color w:val="auto"/>
                <w:highlight w:val="none"/>
                <w:lang w:eastAsia="zh-CN"/>
              </w:rPr>
            </w:pPr>
            <w:r>
              <w:rPr>
                <w:color w:val="auto"/>
                <w:spacing w:val="19"/>
                <w:highlight w:val="none"/>
                <w:lang w:eastAsia="zh-CN"/>
              </w:rPr>
              <w:t>《单元式空气调节机能效限定值</w:t>
            </w:r>
            <w:r>
              <w:rPr>
                <w:color w:val="auto"/>
                <w:spacing w:val="2"/>
                <w:highlight w:val="none"/>
                <w:lang w:eastAsia="zh-CN"/>
              </w:rPr>
              <w:t xml:space="preserve"> </w:t>
            </w:r>
            <w:r>
              <w:rPr>
                <w:color w:val="auto"/>
                <w:spacing w:val="6"/>
                <w:highlight w:val="none"/>
                <w:lang w:eastAsia="zh-CN"/>
              </w:rPr>
              <w:t>及能效等级》（</w:t>
            </w:r>
            <w:r>
              <w:rPr>
                <w:color w:val="auto"/>
                <w:highlight w:val="none"/>
                <w:lang w:eastAsia="zh-CN"/>
              </w:rPr>
              <w:t>GB</w:t>
            </w:r>
            <w:r>
              <w:rPr>
                <w:color w:val="auto"/>
                <w:spacing w:val="-13"/>
                <w:highlight w:val="none"/>
                <w:lang w:eastAsia="zh-CN"/>
              </w:rPr>
              <w:t xml:space="preserve"> </w:t>
            </w:r>
            <w:r>
              <w:rPr>
                <w:color w:val="auto"/>
                <w:spacing w:val="6"/>
                <w:highlight w:val="none"/>
                <w:lang w:eastAsia="zh-CN"/>
              </w:rPr>
              <w:t>19576）《风管</w:t>
            </w:r>
            <w:r>
              <w:rPr>
                <w:color w:val="auto"/>
                <w:highlight w:val="none"/>
                <w:lang w:eastAsia="zh-CN"/>
              </w:rPr>
              <w:t xml:space="preserve"> </w:t>
            </w:r>
            <w:r>
              <w:rPr>
                <w:color w:val="auto"/>
                <w:spacing w:val="19"/>
                <w:highlight w:val="none"/>
                <w:lang w:eastAsia="zh-CN"/>
              </w:rPr>
              <w:t>送风式空调机组能效限定值及能</w:t>
            </w:r>
            <w:r>
              <w:rPr>
                <w:color w:val="auto"/>
                <w:spacing w:val="9"/>
                <w:highlight w:val="none"/>
                <w:lang w:eastAsia="zh-CN"/>
              </w:rPr>
              <w:t xml:space="preserve"> </w:t>
            </w:r>
            <w:r>
              <w:rPr>
                <w:color w:val="auto"/>
                <w:spacing w:val="7"/>
                <w:highlight w:val="none"/>
                <w:lang w:eastAsia="zh-CN"/>
              </w:rPr>
              <w:t>效等级》（</w:t>
            </w:r>
            <w:r>
              <w:rPr>
                <w:color w:val="auto"/>
                <w:highlight w:val="none"/>
                <w:lang w:eastAsia="zh-CN"/>
              </w:rPr>
              <w:t>GB</w:t>
            </w:r>
            <w:r>
              <w:rPr>
                <w:color w:val="auto"/>
                <w:spacing w:val="7"/>
                <w:highlight w:val="none"/>
                <w:lang w:eastAsia="zh-CN"/>
              </w:rPr>
              <w:t xml:space="preserve"> 37479）</w:t>
            </w:r>
          </w:p>
        </w:tc>
      </w:tr>
      <w:tr w14:paraId="5066A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578" w:type="dxa"/>
            <w:vMerge w:val="continue"/>
            <w:tcBorders>
              <w:top w:val="nil"/>
              <w:bottom w:val="nil"/>
            </w:tcBorders>
          </w:tcPr>
          <w:p w14:paraId="3D6D1998">
            <w:pPr>
              <w:rPr>
                <w:rFonts w:ascii="Arial"/>
                <w:color w:val="auto"/>
                <w:highlight w:val="none"/>
              </w:rPr>
            </w:pPr>
          </w:p>
        </w:tc>
        <w:tc>
          <w:tcPr>
            <w:tcW w:w="1166" w:type="dxa"/>
            <w:vMerge w:val="continue"/>
            <w:tcBorders>
              <w:top w:val="nil"/>
              <w:bottom w:val="nil"/>
            </w:tcBorders>
          </w:tcPr>
          <w:p w14:paraId="1D7BA979">
            <w:pPr>
              <w:rPr>
                <w:rFonts w:ascii="Arial"/>
                <w:color w:val="auto"/>
                <w:highlight w:val="none"/>
              </w:rPr>
            </w:pPr>
          </w:p>
        </w:tc>
        <w:tc>
          <w:tcPr>
            <w:tcW w:w="1799" w:type="dxa"/>
          </w:tcPr>
          <w:p w14:paraId="2C2144D9">
            <w:pPr>
              <w:pStyle w:val="935"/>
              <w:spacing w:before="145" w:line="287" w:lineRule="auto"/>
              <w:ind w:left="17" w:right="10" w:firstLine="1"/>
              <w:rPr>
                <w:rFonts w:hint="eastAsia"/>
                <w:color w:val="auto"/>
                <w:highlight w:val="none"/>
                <w:lang w:eastAsia="zh-CN"/>
              </w:rPr>
            </w:pPr>
            <w:r>
              <w:rPr>
                <w:color w:val="auto"/>
                <w:spacing w:val="3"/>
                <w:highlight w:val="none"/>
                <w:lang w:eastAsia="zh-CN"/>
              </w:rPr>
              <w:t>★A02052309 专用制</w:t>
            </w:r>
            <w:r>
              <w:rPr>
                <w:color w:val="auto"/>
                <w:spacing w:val="12"/>
                <w:highlight w:val="none"/>
                <w:lang w:eastAsia="zh-CN"/>
              </w:rPr>
              <w:t xml:space="preserve"> </w:t>
            </w:r>
            <w:r>
              <w:rPr>
                <w:color w:val="auto"/>
                <w:spacing w:val="8"/>
                <w:highlight w:val="none"/>
                <w:lang w:eastAsia="zh-CN"/>
              </w:rPr>
              <w:t>冷、空调设备</w:t>
            </w:r>
          </w:p>
        </w:tc>
        <w:tc>
          <w:tcPr>
            <w:tcW w:w="1914" w:type="dxa"/>
          </w:tcPr>
          <w:p w14:paraId="135B1406">
            <w:pPr>
              <w:pStyle w:val="935"/>
              <w:spacing w:before="300" w:line="228" w:lineRule="auto"/>
              <w:ind w:left="15"/>
              <w:rPr>
                <w:rFonts w:hint="eastAsia"/>
                <w:color w:val="auto"/>
                <w:highlight w:val="none"/>
              </w:rPr>
            </w:pPr>
            <w:r>
              <w:rPr>
                <w:color w:val="auto"/>
                <w:spacing w:val="7"/>
                <w:highlight w:val="none"/>
              </w:rPr>
              <w:t>机房空调</w:t>
            </w:r>
          </w:p>
        </w:tc>
        <w:tc>
          <w:tcPr>
            <w:tcW w:w="2969" w:type="dxa"/>
          </w:tcPr>
          <w:p w14:paraId="281BDFD5">
            <w:pPr>
              <w:pStyle w:val="935"/>
              <w:spacing w:before="146" w:line="286" w:lineRule="auto"/>
              <w:ind w:left="17" w:right="11" w:firstLine="6"/>
              <w:rPr>
                <w:rFonts w:hint="eastAsia"/>
                <w:color w:val="auto"/>
                <w:highlight w:val="none"/>
                <w:lang w:eastAsia="zh-CN"/>
              </w:rPr>
            </w:pPr>
            <w:r>
              <w:rPr>
                <w:color w:val="auto"/>
                <w:spacing w:val="19"/>
                <w:highlight w:val="none"/>
                <w:lang w:eastAsia="zh-CN"/>
              </w:rPr>
              <w:t>《单元式空气调节机能效限定值</w:t>
            </w:r>
            <w:r>
              <w:rPr>
                <w:color w:val="auto"/>
                <w:spacing w:val="2"/>
                <w:highlight w:val="none"/>
                <w:lang w:eastAsia="zh-CN"/>
              </w:rPr>
              <w:t xml:space="preserve"> </w:t>
            </w:r>
            <w:r>
              <w:rPr>
                <w:color w:val="auto"/>
                <w:spacing w:val="5"/>
                <w:highlight w:val="none"/>
                <w:lang w:eastAsia="zh-CN"/>
              </w:rPr>
              <w:t>及能效等级》（</w:t>
            </w:r>
            <w:r>
              <w:rPr>
                <w:color w:val="auto"/>
                <w:highlight w:val="none"/>
                <w:lang w:eastAsia="zh-CN"/>
              </w:rPr>
              <w:t>GB</w:t>
            </w:r>
            <w:r>
              <w:rPr>
                <w:color w:val="auto"/>
                <w:spacing w:val="39"/>
                <w:highlight w:val="none"/>
                <w:lang w:eastAsia="zh-CN"/>
              </w:rPr>
              <w:t xml:space="preserve"> </w:t>
            </w:r>
            <w:r>
              <w:rPr>
                <w:color w:val="auto"/>
                <w:spacing w:val="5"/>
                <w:highlight w:val="none"/>
                <w:lang w:eastAsia="zh-CN"/>
              </w:rPr>
              <w:t>19576）</w:t>
            </w:r>
          </w:p>
        </w:tc>
      </w:tr>
      <w:tr w14:paraId="1CD2C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jc w:val="center"/>
        </w:trPr>
        <w:tc>
          <w:tcPr>
            <w:tcW w:w="578" w:type="dxa"/>
            <w:vMerge w:val="continue"/>
            <w:tcBorders>
              <w:top w:val="nil"/>
            </w:tcBorders>
          </w:tcPr>
          <w:p w14:paraId="0CAC9C9D">
            <w:pPr>
              <w:rPr>
                <w:rFonts w:ascii="Arial"/>
                <w:color w:val="auto"/>
                <w:highlight w:val="none"/>
              </w:rPr>
            </w:pPr>
          </w:p>
        </w:tc>
        <w:tc>
          <w:tcPr>
            <w:tcW w:w="1166" w:type="dxa"/>
            <w:vMerge w:val="continue"/>
            <w:tcBorders>
              <w:top w:val="nil"/>
            </w:tcBorders>
          </w:tcPr>
          <w:p w14:paraId="5500E5C3">
            <w:pPr>
              <w:rPr>
                <w:rFonts w:ascii="Arial"/>
                <w:color w:val="auto"/>
                <w:highlight w:val="none"/>
              </w:rPr>
            </w:pPr>
          </w:p>
        </w:tc>
        <w:tc>
          <w:tcPr>
            <w:tcW w:w="1799" w:type="dxa"/>
          </w:tcPr>
          <w:p w14:paraId="1E7B428F">
            <w:pPr>
              <w:spacing w:line="265" w:lineRule="auto"/>
              <w:rPr>
                <w:rFonts w:ascii="Arial"/>
                <w:color w:val="auto"/>
                <w:highlight w:val="none"/>
              </w:rPr>
            </w:pPr>
          </w:p>
          <w:p w14:paraId="79B51DD2">
            <w:pPr>
              <w:spacing w:line="265" w:lineRule="auto"/>
              <w:rPr>
                <w:rFonts w:ascii="Arial"/>
                <w:color w:val="auto"/>
                <w:highlight w:val="none"/>
              </w:rPr>
            </w:pPr>
          </w:p>
          <w:p w14:paraId="3445F222">
            <w:pPr>
              <w:pStyle w:val="935"/>
              <w:spacing w:before="62" w:line="289" w:lineRule="auto"/>
              <w:ind w:left="21" w:right="10" w:hanging="12"/>
              <w:rPr>
                <w:rFonts w:hint="eastAsia"/>
                <w:color w:val="auto"/>
                <w:highlight w:val="none"/>
              </w:rPr>
            </w:pPr>
            <w:r>
              <w:rPr>
                <w:color w:val="auto"/>
                <w:spacing w:val="4"/>
                <w:highlight w:val="none"/>
              </w:rPr>
              <w:t>A02052399 其他制冷</w:t>
            </w:r>
            <w:r>
              <w:rPr>
                <w:color w:val="auto"/>
                <w:spacing w:val="7"/>
                <w:highlight w:val="none"/>
              </w:rPr>
              <w:t xml:space="preserve"> </w:t>
            </w:r>
            <w:r>
              <w:rPr>
                <w:color w:val="auto"/>
                <w:spacing w:val="5"/>
                <w:highlight w:val="none"/>
              </w:rPr>
              <w:t>空调设备</w:t>
            </w:r>
          </w:p>
        </w:tc>
        <w:tc>
          <w:tcPr>
            <w:tcW w:w="1914" w:type="dxa"/>
          </w:tcPr>
          <w:p w14:paraId="7A66CB1B">
            <w:pPr>
              <w:spacing w:line="343" w:lineRule="auto"/>
              <w:rPr>
                <w:rFonts w:ascii="Arial"/>
                <w:color w:val="auto"/>
                <w:highlight w:val="none"/>
              </w:rPr>
            </w:pPr>
          </w:p>
          <w:p w14:paraId="548AB2F5">
            <w:pPr>
              <w:spacing w:line="343" w:lineRule="auto"/>
              <w:rPr>
                <w:rFonts w:ascii="Arial"/>
                <w:color w:val="auto"/>
                <w:highlight w:val="none"/>
              </w:rPr>
            </w:pPr>
          </w:p>
          <w:p w14:paraId="68004D6C">
            <w:pPr>
              <w:pStyle w:val="935"/>
              <w:spacing w:before="62" w:line="231" w:lineRule="auto"/>
              <w:ind w:left="18"/>
              <w:rPr>
                <w:rFonts w:hint="eastAsia"/>
                <w:color w:val="auto"/>
                <w:highlight w:val="none"/>
              </w:rPr>
            </w:pPr>
            <w:r>
              <w:rPr>
                <w:color w:val="auto"/>
                <w:spacing w:val="6"/>
                <w:highlight w:val="none"/>
              </w:rPr>
              <w:t>冷却塔</w:t>
            </w:r>
          </w:p>
        </w:tc>
        <w:tc>
          <w:tcPr>
            <w:tcW w:w="2969" w:type="dxa"/>
          </w:tcPr>
          <w:p w14:paraId="6EA72211">
            <w:pPr>
              <w:pStyle w:val="935"/>
              <w:spacing w:before="284" w:line="296" w:lineRule="auto"/>
              <w:ind w:left="23"/>
              <w:rPr>
                <w:rFonts w:hint="eastAsia"/>
                <w:color w:val="auto"/>
                <w:highlight w:val="none"/>
                <w:lang w:eastAsia="zh-CN"/>
              </w:rPr>
            </w:pPr>
            <w:r>
              <w:rPr>
                <w:color w:val="auto"/>
                <w:spacing w:val="2"/>
                <w:highlight w:val="none"/>
                <w:lang w:eastAsia="zh-CN"/>
              </w:rPr>
              <w:t>《机械通风冷却塔 第 1 部分：中</w:t>
            </w:r>
            <w:r>
              <w:rPr>
                <w:color w:val="auto"/>
                <w:spacing w:val="3"/>
                <w:highlight w:val="none"/>
                <w:lang w:eastAsia="zh-CN"/>
              </w:rPr>
              <w:t xml:space="preserve"> </w:t>
            </w:r>
            <w:r>
              <w:rPr>
                <w:color w:val="auto"/>
                <w:spacing w:val="-6"/>
                <w:highlight w:val="none"/>
                <w:lang w:eastAsia="zh-CN"/>
              </w:rPr>
              <w:t>小型开式冷却塔》（GB</w:t>
            </w:r>
            <w:r>
              <w:rPr>
                <w:color w:val="auto"/>
                <w:spacing w:val="-36"/>
                <w:highlight w:val="none"/>
                <w:lang w:eastAsia="zh-CN"/>
              </w:rPr>
              <w:t xml:space="preserve"> </w:t>
            </w:r>
            <w:r>
              <w:rPr>
                <w:color w:val="auto"/>
                <w:spacing w:val="-6"/>
                <w:highlight w:val="none"/>
                <w:lang w:eastAsia="zh-CN"/>
              </w:rPr>
              <w:t>/T</w:t>
            </w:r>
            <w:r>
              <w:rPr>
                <w:color w:val="auto"/>
                <w:spacing w:val="-31"/>
                <w:highlight w:val="none"/>
                <w:lang w:eastAsia="zh-CN"/>
              </w:rPr>
              <w:t xml:space="preserve"> </w:t>
            </w:r>
            <w:r>
              <w:rPr>
                <w:color w:val="auto"/>
                <w:spacing w:val="-6"/>
                <w:highlight w:val="none"/>
                <w:lang w:eastAsia="zh-CN"/>
              </w:rPr>
              <w:t>7190.1</w:t>
            </w:r>
            <w:r>
              <w:rPr>
                <w:color w:val="auto"/>
                <w:spacing w:val="-49"/>
                <w:w w:val="97"/>
                <w:highlight w:val="none"/>
                <w:lang w:eastAsia="zh-CN"/>
              </w:rPr>
              <w:t>）；</w:t>
            </w:r>
            <w:r>
              <w:rPr>
                <w:color w:val="auto"/>
                <w:highlight w:val="none"/>
                <w:lang w:eastAsia="zh-CN"/>
              </w:rPr>
              <w:t xml:space="preserve"> </w:t>
            </w:r>
            <w:r>
              <w:rPr>
                <w:color w:val="auto"/>
                <w:spacing w:val="2"/>
                <w:highlight w:val="none"/>
                <w:lang w:eastAsia="zh-CN"/>
              </w:rPr>
              <w:t>《机械通风冷却塔 第 2 部分：大</w:t>
            </w:r>
            <w:r>
              <w:rPr>
                <w:color w:val="auto"/>
                <w:spacing w:val="3"/>
                <w:highlight w:val="none"/>
                <w:lang w:eastAsia="zh-CN"/>
              </w:rPr>
              <w:t xml:space="preserve"> </w:t>
            </w:r>
            <w:r>
              <w:rPr>
                <w:color w:val="auto"/>
                <w:spacing w:val="4"/>
                <w:highlight w:val="none"/>
                <w:lang w:eastAsia="zh-CN"/>
              </w:rPr>
              <w:t>型开式冷却塔》（</w:t>
            </w:r>
            <w:r>
              <w:rPr>
                <w:color w:val="auto"/>
                <w:highlight w:val="none"/>
                <w:lang w:eastAsia="zh-CN"/>
              </w:rPr>
              <w:t>GB</w:t>
            </w:r>
            <w:r>
              <w:rPr>
                <w:color w:val="auto"/>
                <w:spacing w:val="4"/>
                <w:highlight w:val="none"/>
                <w:lang w:eastAsia="zh-CN"/>
              </w:rPr>
              <w:t xml:space="preserve"> /T 7190.2）</w:t>
            </w:r>
          </w:p>
        </w:tc>
      </w:tr>
      <w:tr w14:paraId="127906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tcPr>
          <w:p w14:paraId="5E1CD42E">
            <w:pPr>
              <w:spacing w:line="242" w:lineRule="auto"/>
              <w:rPr>
                <w:rFonts w:ascii="Arial"/>
                <w:color w:val="auto"/>
                <w:highlight w:val="none"/>
              </w:rPr>
            </w:pPr>
          </w:p>
          <w:p w14:paraId="1304C46D">
            <w:pPr>
              <w:pStyle w:val="935"/>
              <w:spacing w:before="62" w:line="188" w:lineRule="auto"/>
              <w:ind w:left="247"/>
              <w:rPr>
                <w:rFonts w:hint="eastAsia"/>
                <w:color w:val="auto"/>
                <w:highlight w:val="none"/>
              </w:rPr>
            </w:pPr>
            <w:r>
              <w:rPr>
                <w:color w:val="auto"/>
                <w:highlight w:val="none"/>
              </w:rPr>
              <w:t>7</w:t>
            </w:r>
          </w:p>
        </w:tc>
        <w:tc>
          <w:tcPr>
            <w:tcW w:w="1166" w:type="dxa"/>
          </w:tcPr>
          <w:p w14:paraId="38F049A9">
            <w:pPr>
              <w:pStyle w:val="935"/>
              <w:spacing w:before="273" w:line="228" w:lineRule="auto"/>
              <w:ind w:left="9"/>
              <w:rPr>
                <w:rFonts w:hint="eastAsia"/>
                <w:color w:val="auto"/>
                <w:highlight w:val="none"/>
              </w:rPr>
            </w:pPr>
            <w:r>
              <w:rPr>
                <w:color w:val="auto"/>
                <w:spacing w:val="3"/>
                <w:highlight w:val="none"/>
              </w:rPr>
              <w:t>A020601</w:t>
            </w:r>
            <w:r>
              <w:rPr>
                <w:color w:val="auto"/>
                <w:spacing w:val="-19"/>
                <w:highlight w:val="none"/>
              </w:rPr>
              <w:t xml:space="preserve"> </w:t>
            </w:r>
            <w:r>
              <w:rPr>
                <w:color w:val="auto"/>
                <w:spacing w:val="3"/>
                <w:highlight w:val="none"/>
              </w:rPr>
              <w:t>电机</w:t>
            </w:r>
          </w:p>
        </w:tc>
        <w:tc>
          <w:tcPr>
            <w:tcW w:w="1799" w:type="dxa"/>
          </w:tcPr>
          <w:p w14:paraId="7546BDD8">
            <w:pPr>
              <w:rPr>
                <w:rFonts w:ascii="Arial"/>
                <w:color w:val="auto"/>
                <w:highlight w:val="none"/>
              </w:rPr>
            </w:pPr>
          </w:p>
        </w:tc>
        <w:tc>
          <w:tcPr>
            <w:tcW w:w="1914" w:type="dxa"/>
          </w:tcPr>
          <w:p w14:paraId="35EE056D">
            <w:pPr>
              <w:rPr>
                <w:rFonts w:ascii="Arial"/>
                <w:color w:val="auto"/>
                <w:highlight w:val="none"/>
              </w:rPr>
            </w:pPr>
          </w:p>
        </w:tc>
        <w:tc>
          <w:tcPr>
            <w:tcW w:w="2969" w:type="dxa"/>
          </w:tcPr>
          <w:p w14:paraId="0752E71D">
            <w:pPr>
              <w:pStyle w:val="935"/>
              <w:spacing w:before="117" w:line="288" w:lineRule="auto"/>
              <w:ind w:left="22" w:right="11"/>
              <w:rPr>
                <w:rFonts w:hint="eastAsia"/>
                <w:color w:val="auto"/>
                <w:highlight w:val="none"/>
                <w:lang w:eastAsia="zh-CN"/>
              </w:rPr>
            </w:pPr>
            <w:r>
              <w:rPr>
                <w:color w:val="auto"/>
                <w:spacing w:val="19"/>
                <w:highlight w:val="none"/>
                <w:lang w:eastAsia="zh-CN"/>
              </w:rPr>
              <w:t>《中小型三相异步电动机能效限</w:t>
            </w:r>
            <w:r>
              <w:rPr>
                <w:color w:val="auto"/>
                <w:spacing w:val="2"/>
                <w:highlight w:val="none"/>
                <w:lang w:eastAsia="zh-CN"/>
              </w:rPr>
              <w:t xml:space="preserve"> </w:t>
            </w:r>
            <w:r>
              <w:rPr>
                <w:color w:val="auto"/>
                <w:spacing w:val="5"/>
                <w:highlight w:val="none"/>
                <w:lang w:eastAsia="zh-CN"/>
              </w:rPr>
              <w:t>定值及能效等级》（</w:t>
            </w:r>
            <w:r>
              <w:rPr>
                <w:color w:val="auto"/>
                <w:highlight w:val="none"/>
                <w:lang w:eastAsia="zh-CN"/>
              </w:rPr>
              <w:t>GB</w:t>
            </w:r>
            <w:r>
              <w:rPr>
                <w:color w:val="auto"/>
                <w:spacing w:val="42"/>
                <w:highlight w:val="none"/>
                <w:lang w:eastAsia="zh-CN"/>
              </w:rPr>
              <w:t xml:space="preserve"> </w:t>
            </w:r>
            <w:r>
              <w:rPr>
                <w:color w:val="auto"/>
                <w:spacing w:val="5"/>
                <w:highlight w:val="none"/>
                <w:lang w:eastAsia="zh-CN"/>
              </w:rPr>
              <w:t>18613）</w:t>
            </w:r>
          </w:p>
        </w:tc>
      </w:tr>
      <w:tr w14:paraId="1E2F7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578" w:type="dxa"/>
          </w:tcPr>
          <w:p w14:paraId="47EAC5C4">
            <w:pPr>
              <w:pStyle w:val="935"/>
              <w:spacing w:before="283" w:line="189" w:lineRule="auto"/>
              <w:ind w:left="243"/>
              <w:rPr>
                <w:rFonts w:hint="eastAsia"/>
                <w:color w:val="auto"/>
                <w:highlight w:val="none"/>
              </w:rPr>
            </w:pPr>
            <w:r>
              <w:rPr>
                <w:color w:val="auto"/>
                <w:highlight w:val="none"/>
              </w:rPr>
              <w:t>8</w:t>
            </w:r>
          </w:p>
        </w:tc>
        <w:tc>
          <w:tcPr>
            <w:tcW w:w="1166" w:type="dxa"/>
          </w:tcPr>
          <w:p w14:paraId="14B1D941">
            <w:pPr>
              <w:pStyle w:val="935"/>
              <w:spacing w:before="96" w:line="285" w:lineRule="auto"/>
              <w:ind w:left="15" w:right="8" w:hanging="6"/>
              <w:rPr>
                <w:rFonts w:hint="eastAsia"/>
                <w:color w:val="auto"/>
                <w:highlight w:val="none"/>
              </w:rPr>
            </w:pPr>
            <w:r>
              <w:rPr>
                <w:color w:val="auto"/>
                <w:spacing w:val="5"/>
                <w:highlight w:val="none"/>
              </w:rPr>
              <w:t>A020602</w:t>
            </w:r>
            <w:r>
              <w:rPr>
                <w:color w:val="auto"/>
                <w:spacing w:val="-43"/>
                <w:highlight w:val="none"/>
              </w:rPr>
              <w:t xml:space="preserve"> </w:t>
            </w:r>
            <w:r>
              <w:rPr>
                <w:color w:val="auto"/>
                <w:spacing w:val="5"/>
                <w:highlight w:val="none"/>
              </w:rPr>
              <w:t>变压</w:t>
            </w:r>
            <w:r>
              <w:rPr>
                <w:color w:val="auto"/>
                <w:highlight w:val="none"/>
              </w:rPr>
              <w:t xml:space="preserve"> </w:t>
            </w:r>
            <w:r>
              <w:rPr>
                <w:color w:val="auto"/>
                <w:spacing w:val="1"/>
                <w:highlight w:val="none"/>
              </w:rPr>
              <w:t>器</w:t>
            </w:r>
          </w:p>
        </w:tc>
        <w:tc>
          <w:tcPr>
            <w:tcW w:w="1799" w:type="dxa"/>
          </w:tcPr>
          <w:p w14:paraId="05E85F6B">
            <w:pPr>
              <w:pStyle w:val="935"/>
              <w:spacing w:before="252" w:line="230" w:lineRule="auto"/>
              <w:ind w:left="15"/>
              <w:rPr>
                <w:rFonts w:hint="eastAsia"/>
                <w:color w:val="auto"/>
                <w:highlight w:val="none"/>
              </w:rPr>
            </w:pPr>
            <w:r>
              <w:rPr>
                <w:color w:val="auto"/>
                <w:spacing w:val="8"/>
                <w:highlight w:val="none"/>
              </w:rPr>
              <w:t>配电变压器</w:t>
            </w:r>
          </w:p>
        </w:tc>
        <w:tc>
          <w:tcPr>
            <w:tcW w:w="1914" w:type="dxa"/>
          </w:tcPr>
          <w:p w14:paraId="3EA14651">
            <w:pPr>
              <w:rPr>
                <w:rFonts w:ascii="Arial"/>
                <w:color w:val="auto"/>
                <w:highlight w:val="none"/>
              </w:rPr>
            </w:pPr>
          </w:p>
        </w:tc>
        <w:tc>
          <w:tcPr>
            <w:tcW w:w="2969" w:type="dxa"/>
          </w:tcPr>
          <w:p w14:paraId="4C135EFA">
            <w:pPr>
              <w:pStyle w:val="935"/>
              <w:spacing w:before="96" w:line="285" w:lineRule="auto"/>
              <w:ind w:left="25" w:right="11" w:hanging="2"/>
              <w:rPr>
                <w:rFonts w:hint="eastAsia"/>
                <w:color w:val="auto"/>
                <w:highlight w:val="none"/>
                <w:lang w:eastAsia="zh-CN"/>
              </w:rPr>
            </w:pPr>
            <w:r>
              <w:rPr>
                <w:color w:val="auto"/>
                <w:spacing w:val="19"/>
                <w:highlight w:val="none"/>
                <w:lang w:eastAsia="zh-CN"/>
              </w:rPr>
              <w:t>《三相配电变压器能效限定值及</w:t>
            </w:r>
            <w:r>
              <w:rPr>
                <w:color w:val="auto"/>
                <w:spacing w:val="2"/>
                <w:highlight w:val="none"/>
                <w:lang w:eastAsia="zh-CN"/>
              </w:rPr>
              <w:t xml:space="preserve"> </w:t>
            </w:r>
            <w:r>
              <w:rPr>
                <w:color w:val="auto"/>
                <w:spacing w:val="6"/>
                <w:highlight w:val="none"/>
                <w:lang w:eastAsia="zh-CN"/>
              </w:rPr>
              <w:t>能效等级》（</w:t>
            </w:r>
            <w:r>
              <w:rPr>
                <w:color w:val="auto"/>
                <w:highlight w:val="none"/>
                <w:lang w:eastAsia="zh-CN"/>
              </w:rPr>
              <w:t>GB</w:t>
            </w:r>
            <w:r>
              <w:rPr>
                <w:color w:val="auto"/>
                <w:spacing w:val="6"/>
                <w:highlight w:val="none"/>
                <w:lang w:eastAsia="zh-CN"/>
              </w:rPr>
              <w:t xml:space="preserve"> 20052）</w:t>
            </w:r>
          </w:p>
        </w:tc>
      </w:tr>
      <w:tr w14:paraId="1C0ACE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578" w:type="dxa"/>
          </w:tcPr>
          <w:p w14:paraId="1DE52333">
            <w:pPr>
              <w:spacing w:line="316" w:lineRule="auto"/>
              <w:rPr>
                <w:rFonts w:ascii="Arial"/>
                <w:color w:val="auto"/>
                <w:highlight w:val="none"/>
              </w:rPr>
            </w:pPr>
          </w:p>
          <w:p w14:paraId="7A8412AC">
            <w:pPr>
              <w:pStyle w:val="935"/>
              <w:spacing w:before="61" w:line="189" w:lineRule="auto"/>
              <w:ind w:left="243"/>
              <w:rPr>
                <w:rFonts w:hint="eastAsia"/>
                <w:color w:val="auto"/>
                <w:highlight w:val="none"/>
              </w:rPr>
            </w:pPr>
            <w:r>
              <w:rPr>
                <w:color w:val="auto"/>
                <w:highlight w:val="none"/>
              </w:rPr>
              <w:t>9</w:t>
            </w:r>
          </w:p>
        </w:tc>
        <w:tc>
          <w:tcPr>
            <w:tcW w:w="1166" w:type="dxa"/>
          </w:tcPr>
          <w:p w14:paraId="37CD44B3">
            <w:pPr>
              <w:pStyle w:val="935"/>
              <w:spacing w:before="192" w:line="290" w:lineRule="auto"/>
              <w:ind w:left="16" w:right="8" w:firstLine="2"/>
              <w:rPr>
                <w:rFonts w:hint="eastAsia"/>
                <w:color w:val="auto"/>
                <w:highlight w:val="none"/>
              </w:rPr>
            </w:pPr>
            <w:r>
              <w:rPr>
                <w:color w:val="auto"/>
                <w:spacing w:val="4"/>
                <w:highlight w:val="none"/>
              </w:rPr>
              <w:t>★A020609</w:t>
            </w:r>
            <w:r>
              <w:rPr>
                <w:color w:val="auto"/>
                <w:spacing w:val="-43"/>
                <w:highlight w:val="none"/>
              </w:rPr>
              <w:t xml:space="preserve"> </w:t>
            </w:r>
            <w:r>
              <w:rPr>
                <w:color w:val="auto"/>
                <w:spacing w:val="4"/>
                <w:highlight w:val="none"/>
              </w:rPr>
              <w:t>镇</w:t>
            </w:r>
            <w:r>
              <w:rPr>
                <w:color w:val="auto"/>
                <w:highlight w:val="none"/>
              </w:rPr>
              <w:t xml:space="preserve"> </w:t>
            </w:r>
            <w:r>
              <w:rPr>
                <w:color w:val="auto"/>
                <w:spacing w:val="4"/>
                <w:highlight w:val="none"/>
              </w:rPr>
              <w:t>流器</w:t>
            </w:r>
          </w:p>
        </w:tc>
        <w:tc>
          <w:tcPr>
            <w:tcW w:w="1799" w:type="dxa"/>
          </w:tcPr>
          <w:p w14:paraId="58D15660">
            <w:pPr>
              <w:spacing w:line="284" w:lineRule="auto"/>
              <w:rPr>
                <w:rFonts w:ascii="Arial"/>
                <w:color w:val="auto"/>
                <w:highlight w:val="none"/>
              </w:rPr>
            </w:pPr>
          </w:p>
          <w:p w14:paraId="71EB886C">
            <w:pPr>
              <w:pStyle w:val="935"/>
              <w:spacing w:before="62" w:line="229" w:lineRule="auto"/>
              <w:ind w:left="19"/>
              <w:rPr>
                <w:rFonts w:hint="eastAsia"/>
                <w:color w:val="auto"/>
                <w:highlight w:val="none"/>
              </w:rPr>
            </w:pPr>
            <w:r>
              <w:rPr>
                <w:color w:val="auto"/>
                <w:spacing w:val="8"/>
                <w:highlight w:val="none"/>
              </w:rPr>
              <w:t>管型荧光灯镇流器</w:t>
            </w:r>
          </w:p>
        </w:tc>
        <w:tc>
          <w:tcPr>
            <w:tcW w:w="1914" w:type="dxa"/>
          </w:tcPr>
          <w:p w14:paraId="73DD987C">
            <w:pPr>
              <w:rPr>
                <w:rFonts w:ascii="Arial"/>
                <w:color w:val="auto"/>
                <w:highlight w:val="none"/>
              </w:rPr>
            </w:pPr>
          </w:p>
        </w:tc>
        <w:tc>
          <w:tcPr>
            <w:tcW w:w="2969" w:type="dxa"/>
          </w:tcPr>
          <w:p w14:paraId="172FB3A0">
            <w:pPr>
              <w:pStyle w:val="935"/>
              <w:spacing w:before="192" w:line="288" w:lineRule="auto"/>
              <w:ind w:left="17" w:right="11" w:firstLine="6"/>
              <w:rPr>
                <w:rFonts w:hint="eastAsia"/>
                <w:color w:val="auto"/>
                <w:highlight w:val="none"/>
                <w:lang w:eastAsia="zh-CN"/>
              </w:rPr>
            </w:pPr>
            <w:r>
              <w:rPr>
                <w:color w:val="auto"/>
                <w:spacing w:val="19"/>
                <w:highlight w:val="none"/>
                <w:lang w:eastAsia="zh-CN"/>
              </w:rPr>
              <w:t>《管形荧光灯镇流器能效限定值</w:t>
            </w:r>
            <w:r>
              <w:rPr>
                <w:color w:val="auto"/>
                <w:spacing w:val="2"/>
                <w:highlight w:val="none"/>
                <w:lang w:eastAsia="zh-CN"/>
              </w:rPr>
              <w:t xml:space="preserve"> </w:t>
            </w:r>
            <w:r>
              <w:rPr>
                <w:color w:val="auto"/>
                <w:spacing w:val="5"/>
                <w:highlight w:val="none"/>
                <w:lang w:eastAsia="zh-CN"/>
              </w:rPr>
              <w:t>及能效等级》（</w:t>
            </w:r>
            <w:r>
              <w:rPr>
                <w:color w:val="auto"/>
                <w:highlight w:val="none"/>
                <w:lang w:eastAsia="zh-CN"/>
              </w:rPr>
              <w:t>GB</w:t>
            </w:r>
            <w:r>
              <w:rPr>
                <w:color w:val="auto"/>
                <w:spacing w:val="39"/>
                <w:highlight w:val="none"/>
                <w:lang w:eastAsia="zh-CN"/>
              </w:rPr>
              <w:t xml:space="preserve"> </w:t>
            </w:r>
            <w:r>
              <w:rPr>
                <w:color w:val="auto"/>
                <w:spacing w:val="5"/>
                <w:highlight w:val="none"/>
                <w:lang w:eastAsia="zh-CN"/>
              </w:rPr>
              <w:t>17896）</w:t>
            </w:r>
          </w:p>
        </w:tc>
      </w:tr>
      <w:tr w14:paraId="7FE939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jc w:val="center"/>
        </w:trPr>
        <w:tc>
          <w:tcPr>
            <w:tcW w:w="578" w:type="dxa"/>
            <w:vMerge w:val="restart"/>
            <w:tcBorders>
              <w:bottom w:val="nil"/>
            </w:tcBorders>
          </w:tcPr>
          <w:p w14:paraId="65965D63">
            <w:pPr>
              <w:spacing w:line="261" w:lineRule="auto"/>
              <w:rPr>
                <w:rFonts w:ascii="Arial"/>
                <w:color w:val="auto"/>
                <w:highlight w:val="none"/>
              </w:rPr>
            </w:pPr>
          </w:p>
          <w:p w14:paraId="54898265">
            <w:pPr>
              <w:spacing w:line="261" w:lineRule="auto"/>
              <w:rPr>
                <w:rFonts w:ascii="Arial"/>
                <w:color w:val="auto"/>
                <w:highlight w:val="none"/>
              </w:rPr>
            </w:pPr>
          </w:p>
          <w:p w14:paraId="3A5C37F4">
            <w:pPr>
              <w:spacing w:line="261" w:lineRule="auto"/>
              <w:rPr>
                <w:rFonts w:ascii="Arial"/>
                <w:color w:val="auto"/>
                <w:highlight w:val="none"/>
              </w:rPr>
            </w:pPr>
          </w:p>
          <w:p w14:paraId="7EDB6E9E">
            <w:pPr>
              <w:spacing w:line="261" w:lineRule="auto"/>
              <w:rPr>
                <w:rFonts w:ascii="Arial"/>
                <w:color w:val="auto"/>
                <w:highlight w:val="none"/>
              </w:rPr>
            </w:pPr>
          </w:p>
          <w:p w14:paraId="432FA194">
            <w:pPr>
              <w:spacing w:line="261" w:lineRule="auto"/>
              <w:rPr>
                <w:rFonts w:ascii="Arial"/>
                <w:color w:val="auto"/>
                <w:highlight w:val="none"/>
              </w:rPr>
            </w:pPr>
          </w:p>
          <w:p w14:paraId="1556801D">
            <w:pPr>
              <w:spacing w:line="261" w:lineRule="auto"/>
              <w:rPr>
                <w:rFonts w:ascii="Arial"/>
                <w:color w:val="auto"/>
                <w:highlight w:val="none"/>
              </w:rPr>
            </w:pPr>
          </w:p>
          <w:p w14:paraId="327D87BE">
            <w:pPr>
              <w:spacing w:line="262" w:lineRule="auto"/>
              <w:rPr>
                <w:rFonts w:ascii="Arial"/>
                <w:color w:val="auto"/>
                <w:highlight w:val="none"/>
              </w:rPr>
            </w:pPr>
          </w:p>
          <w:p w14:paraId="14CD4823">
            <w:pPr>
              <w:spacing w:line="262" w:lineRule="auto"/>
              <w:rPr>
                <w:rFonts w:ascii="Arial"/>
                <w:color w:val="auto"/>
                <w:highlight w:val="none"/>
              </w:rPr>
            </w:pPr>
          </w:p>
          <w:p w14:paraId="22551E77">
            <w:pPr>
              <w:spacing w:line="262" w:lineRule="auto"/>
              <w:rPr>
                <w:rFonts w:ascii="Arial"/>
                <w:color w:val="auto"/>
                <w:highlight w:val="none"/>
              </w:rPr>
            </w:pPr>
          </w:p>
          <w:p w14:paraId="367E741A">
            <w:pPr>
              <w:spacing w:line="262" w:lineRule="auto"/>
              <w:rPr>
                <w:rFonts w:ascii="Arial"/>
                <w:color w:val="auto"/>
                <w:highlight w:val="none"/>
              </w:rPr>
            </w:pPr>
          </w:p>
          <w:p w14:paraId="2C38DE1E">
            <w:pPr>
              <w:pStyle w:val="935"/>
              <w:spacing w:before="62" w:line="190" w:lineRule="auto"/>
              <w:ind w:left="209"/>
              <w:rPr>
                <w:rFonts w:hint="eastAsia"/>
                <w:color w:val="auto"/>
                <w:highlight w:val="none"/>
              </w:rPr>
            </w:pPr>
            <w:r>
              <w:rPr>
                <w:color w:val="auto"/>
                <w:spacing w:val="-7"/>
                <w:highlight w:val="none"/>
              </w:rPr>
              <w:t>10</w:t>
            </w:r>
          </w:p>
        </w:tc>
        <w:tc>
          <w:tcPr>
            <w:tcW w:w="1166" w:type="dxa"/>
            <w:vMerge w:val="restart"/>
            <w:tcBorders>
              <w:bottom w:val="nil"/>
            </w:tcBorders>
          </w:tcPr>
          <w:p w14:paraId="1CADE21E">
            <w:pPr>
              <w:spacing w:line="242" w:lineRule="auto"/>
              <w:rPr>
                <w:rFonts w:ascii="Arial"/>
                <w:color w:val="auto"/>
                <w:highlight w:val="none"/>
              </w:rPr>
            </w:pPr>
          </w:p>
          <w:p w14:paraId="55C85BBC">
            <w:pPr>
              <w:spacing w:line="243" w:lineRule="auto"/>
              <w:rPr>
                <w:rFonts w:ascii="Arial"/>
                <w:color w:val="auto"/>
                <w:highlight w:val="none"/>
              </w:rPr>
            </w:pPr>
          </w:p>
          <w:p w14:paraId="0274160A">
            <w:pPr>
              <w:spacing w:line="243" w:lineRule="auto"/>
              <w:rPr>
                <w:rFonts w:ascii="Arial"/>
                <w:color w:val="auto"/>
                <w:highlight w:val="none"/>
              </w:rPr>
            </w:pPr>
          </w:p>
          <w:p w14:paraId="3A7E2FD6">
            <w:pPr>
              <w:spacing w:line="243" w:lineRule="auto"/>
              <w:rPr>
                <w:rFonts w:ascii="Arial"/>
                <w:color w:val="auto"/>
                <w:highlight w:val="none"/>
              </w:rPr>
            </w:pPr>
          </w:p>
          <w:p w14:paraId="15FDF30C">
            <w:pPr>
              <w:spacing w:line="243" w:lineRule="auto"/>
              <w:rPr>
                <w:rFonts w:ascii="Arial"/>
                <w:color w:val="auto"/>
                <w:highlight w:val="none"/>
              </w:rPr>
            </w:pPr>
          </w:p>
          <w:p w14:paraId="4A61D6B8">
            <w:pPr>
              <w:spacing w:line="243" w:lineRule="auto"/>
              <w:rPr>
                <w:rFonts w:ascii="Arial"/>
                <w:color w:val="auto"/>
                <w:highlight w:val="none"/>
              </w:rPr>
            </w:pPr>
          </w:p>
          <w:p w14:paraId="26773600">
            <w:pPr>
              <w:spacing w:line="243" w:lineRule="auto"/>
              <w:rPr>
                <w:rFonts w:ascii="Arial"/>
                <w:color w:val="auto"/>
                <w:highlight w:val="none"/>
              </w:rPr>
            </w:pPr>
          </w:p>
          <w:p w14:paraId="465F59B8">
            <w:pPr>
              <w:spacing w:line="243" w:lineRule="auto"/>
              <w:rPr>
                <w:rFonts w:ascii="Arial"/>
                <w:color w:val="auto"/>
                <w:highlight w:val="none"/>
              </w:rPr>
            </w:pPr>
          </w:p>
          <w:p w14:paraId="5301B8C4">
            <w:pPr>
              <w:spacing w:line="243" w:lineRule="auto"/>
              <w:rPr>
                <w:rFonts w:ascii="Arial"/>
                <w:color w:val="auto"/>
                <w:highlight w:val="none"/>
              </w:rPr>
            </w:pPr>
          </w:p>
          <w:p w14:paraId="041A17A4">
            <w:pPr>
              <w:spacing w:line="243" w:lineRule="auto"/>
              <w:rPr>
                <w:rFonts w:ascii="Arial"/>
                <w:color w:val="auto"/>
                <w:highlight w:val="none"/>
              </w:rPr>
            </w:pPr>
          </w:p>
          <w:p w14:paraId="78099949">
            <w:pPr>
              <w:pStyle w:val="935"/>
              <w:spacing w:before="62" w:line="289" w:lineRule="auto"/>
              <w:ind w:left="16" w:right="8" w:hanging="7"/>
              <w:rPr>
                <w:rFonts w:hint="eastAsia"/>
                <w:color w:val="auto"/>
                <w:highlight w:val="none"/>
              </w:rPr>
            </w:pPr>
            <w:r>
              <w:rPr>
                <w:color w:val="auto"/>
                <w:spacing w:val="4"/>
                <w:highlight w:val="none"/>
              </w:rPr>
              <w:t>A020618</w:t>
            </w:r>
            <w:r>
              <w:rPr>
                <w:color w:val="auto"/>
                <w:spacing w:val="-34"/>
                <w:highlight w:val="none"/>
              </w:rPr>
              <w:t xml:space="preserve"> </w:t>
            </w:r>
            <w:r>
              <w:rPr>
                <w:color w:val="auto"/>
                <w:spacing w:val="4"/>
                <w:highlight w:val="none"/>
              </w:rPr>
              <w:t>生活</w:t>
            </w:r>
            <w:r>
              <w:rPr>
                <w:color w:val="auto"/>
                <w:highlight w:val="none"/>
              </w:rPr>
              <w:t xml:space="preserve"> </w:t>
            </w:r>
            <w:r>
              <w:rPr>
                <w:color w:val="auto"/>
                <w:spacing w:val="6"/>
                <w:highlight w:val="none"/>
              </w:rPr>
              <w:t>用电器</w:t>
            </w:r>
          </w:p>
        </w:tc>
        <w:tc>
          <w:tcPr>
            <w:tcW w:w="1799" w:type="dxa"/>
          </w:tcPr>
          <w:p w14:paraId="234A73E4">
            <w:pPr>
              <w:pStyle w:val="935"/>
              <w:spacing w:before="276" w:line="230" w:lineRule="auto"/>
              <w:ind w:left="9"/>
              <w:rPr>
                <w:rFonts w:hint="eastAsia"/>
                <w:color w:val="auto"/>
                <w:highlight w:val="none"/>
              </w:rPr>
            </w:pPr>
            <w:r>
              <w:rPr>
                <w:color w:val="auto"/>
                <w:spacing w:val="3"/>
                <w:highlight w:val="none"/>
              </w:rPr>
              <w:t>A0206180101</w:t>
            </w:r>
            <w:r>
              <w:rPr>
                <w:color w:val="auto"/>
                <w:spacing w:val="-4"/>
                <w:highlight w:val="none"/>
              </w:rPr>
              <w:t xml:space="preserve"> </w:t>
            </w:r>
            <w:r>
              <w:rPr>
                <w:color w:val="auto"/>
                <w:spacing w:val="3"/>
                <w:highlight w:val="none"/>
              </w:rPr>
              <w:t>电冰箱</w:t>
            </w:r>
          </w:p>
        </w:tc>
        <w:tc>
          <w:tcPr>
            <w:tcW w:w="1914" w:type="dxa"/>
          </w:tcPr>
          <w:p w14:paraId="7A4CBABB">
            <w:pPr>
              <w:rPr>
                <w:rFonts w:ascii="Arial"/>
                <w:color w:val="auto"/>
                <w:highlight w:val="none"/>
              </w:rPr>
            </w:pPr>
          </w:p>
        </w:tc>
        <w:tc>
          <w:tcPr>
            <w:tcW w:w="2969" w:type="dxa"/>
          </w:tcPr>
          <w:p w14:paraId="6CA48E05">
            <w:pPr>
              <w:pStyle w:val="935"/>
              <w:spacing w:before="121" w:line="288" w:lineRule="auto"/>
              <w:ind w:left="22" w:right="11"/>
              <w:rPr>
                <w:rFonts w:hint="eastAsia"/>
                <w:color w:val="auto"/>
                <w:highlight w:val="none"/>
                <w:lang w:eastAsia="zh-CN"/>
              </w:rPr>
            </w:pPr>
            <w:r>
              <w:rPr>
                <w:color w:val="auto"/>
                <w:spacing w:val="19"/>
                <w:highlight w:val="none"/>
                <w:lang w:eastAsia="zh-CN"/>
              </w:rPr>
              <w:t>《家用电冰箱耗电量限定值及能</w:t>
            </w:r>
            <w:r>
              <w:rPr>
                <w:color w:val="auto"/>
                <w:spacing w:val="2"/>
                <w:highlight w:val="none"/>
                <w:lang w:eastAsia="zh-CN"/>
              </w:rPr>
              <w:t xml:space="preserve"> </w:t>
            </w:r>
            <w:r>
              <w:rPr>
                <w:color w:val="auto"/>
                <w:spacing w:val="4"/>
                <w:highlight w:val="none"/>
                <w:lang w:eastAsia="zh-CN"/>
              </w:rPr>
              <w:t>效等级》（</w:t>
            </w:r>
            <w:r>
              <w:rPr>
                <w:color w:val="auto"/>
                <w:highlight w:val="none"/>
                <w:lang w:eastAsia="zh-CN"/>
              </w:rPr>
              <w:t>GB</w:t>
            </w:r>
            <w:r>
              <w:rPr>
                <w:color w:val="auto"/>
                <w:spacing w:val="20"/>
                <w:highlight w:val="none"/>
                <w:lang w:eastAsia="zh-CN"/>
              </w:rPr>
              <w:t xml:space="preserve">  </w:t>
            </w:r>
            <w:r>
              <w:rPr>
                <w:color w:val="auto"/>
                <w:spacing w:val="4"/>
                <w:highlight w:val="none"/>
                <w:lang w:eastAsia="zh-CN"/>
              </w:rPr>
              <w:t>12021.2）</w:t>
            </w:r>
          </w:p>
        </w:tc>
      </w:tr>
      <w:tr w14:paraId="50100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jc w:val="center"/>
        </w:trPr>
        <w:tc>
          <w:tcPr>
            <w:tcW w:w="578" w:type="dxa"/>
            <w:vMerge w:val="continue"/>
            <w:tcBorders>
              <w:top w:val="nil"/>
              <w:bottom w:val="nil"/>
            </w:tcBorders>
          </w:tcPr>
          <w:p w14:paraId="315D0031">
            <w:pPr>
              <w:rPr>
                <w:rFonts w:ascii="Arial"/>
                <w:color w:val="auto"/>
                <w:highlight w:val="none"/>
              </w:rPr>
            </w:pPr>
          </w:p>
        </w:tc>
        <w:tc>
          <w:tcPr>
            <w:tcW w:w="1166" w:type="dxa"/>
            <w:vMerge w:val="continue"/>
            <w:tcBorders>
              <w:top w:val="nil"/>
              <w:bottom w:val="nil"/>
            </w:tcBorders>
          </w:tcPr>
          <w:p w14:paraId="57DD20DB">
            <w:pPr>
              <w:rPr>
                <w:rFonts w:ascii="Arial"/>
                <w:color w:val="auto"/>
                <w:highlight w:val="none"/>
              </w:rPr>
            </w:pPr>
          </w:p>
        </w:tc>
        <w:tc>
          <w:tcPr>
            <w:tcW w:w="1799" w:type="dxa"/>
            <w:vMerge w:val="restart"/>
            <w:tcBorders>
              <w:bottom w:val="nil"/>
            </w:tcBorders>
          </w:tcPr>
          <w:p w14:paraId="59424F38">
            <w:pPr>
              <w:spacing w:line="247" w:lineRule="auto"/>
              <w:rPr>
                <w:rFonts w:ascii="Arial"/>
                <w:color w:val="auto"/>
                <w:highlight w:val="none"/>
              </w:rPr>
            </w:pPr>
          </w:p>
          <w:p w14:paraId="5FE5F321">
            <w:pPr>
              <w:spacing w:line="247" w:lineRule="auto"/>
              <w:rPr>
                <w:rFonts w:ascii="Arial"/>
                <w:color w:val="auto"/>
                <w:highlight w:val="none"/>
              </w:rPr>
            </w:pPr>
          </w:p>
          <w:p w14:paraId="13AD2663">
            <w:pPr>
              <w:spacing w:line="248" w:lineRule="auto"/>
              <w:rPr>
                <w:rFonts w:ascii="Arial"/>
                <w:color w:val="auto"/>
                <w:highlight w:val="none"/>
              </w:rPr>
            </w:pPr>
          </w:p>
          <w:p w14:paraId="74A65EEE">
            <w:pPr>
              <w:spacing w:line="248" w:lineRule="auto"/>
              <w:rPr>
                <w:rFonts w:ascii="Arial"/>
                <w:color w:val="auto"/>
                <w:highlight w:val="none"/>
              </w:rPr>
            </w:pPr>
          </w:p>
          <w:p w14:paraId="2D94CECB">
            <w:pPr>
              <w:spacing w:line="248" w:lineRule="auto"/>
              <w:rPr>
                <w:rFonts w:ascii="Arial"/>
                <w:color w:val="auto"/>
                <w:highlight w:val="none"/>
              </w:rPr>
            </w:pPr>
          </w:p>
          <w:p w14:paraId="40CDFED0">
            <w:pPr>
              <w:spacing w:line="248" w:lineRule="auto"/>
              <w:rPr>
                <w:rFonts w:ascii="Arial"/>
                <w:color w:val="auto"/>
                <w:highlight w:val="none"/>
              </w:rPr>
            </w:pPr>
          </w:p>
          <w:p w14:paraId="39B54CD3">
            <w:pPr>
              <w:spacing w:line="248" w:lineRule="auto"/>
              <w:rPr>
                <w:rFonts w:ascii="Arial"/>
                <w:color w:val="auto"/>
                <w:highlight w:val="none"/>
              </w:rPr>
            </w:pPr>
          </w:p>
          <w:p w14:paraId="7B511DA1">
            <w:pPr>
              <w:pStyle w:val="935"/>
              <w:spacing w:before="62" w:line="288" w:lineRule="auto"/>
              <w:ind w:left="14" w:right="10" w:firstLine="3"/>
              <w:rPr>
                <w:rFonts w:hint="eastAsia"/>
                <w:color w:val="auto"/>
                <w:highlight w:val="none"/>
              </w:rPr>
            </w:pPr>
            <w:r>
              <w:rPr>
                <w:color w:val="auto"/>
                <w:spacing w:val="3"/>
                <w:highlight w:val="none"/>
              </w:rPr>
              <w:t>★A0206180203 空调</w:t>
            </w:r>
            <w:r>
              <w:rPr>
                <w:color w:val="auto"/>
                <w:spacing w:val="9"/>
                <w:highlight w:val="none"/>
              </w:rPr>
              <w:t xml:space="preserve"> </w:t>
            </w:r>
            <w:r>
              <w:rPr>
                <w:color w:val="auto"/>
                <w:spacing w:val="2"/>
                <w:highlight w:val="none"/>
              </w:rPr>
              <w:t>机</w:t>
            </w:r>
          </w:p>
        </w:tc>
        <w:tc>
          <w:tcPr>
            <w:tcW w:w="1914" w:type="dxa"/>
          </w:tcPr>
          <w:p w14:paraId="71EAA7AA">
            <w:pPr>
              <w:spacing w:line="261" w:lineRule="auto"/>
              <w:rPr>
                <w:rFonts w:ascii="Arial"/>
                <w:color w:val="auto"/>
                <w:highlight w:val="none"/>
              </w:rPr>
            </w:pPr>
          </w:p>
          <w:p w14:paraId="522F2077">
            <w:pPr>
              <w:spacing w:line="261" w:lineRule="auto"/>
              <w:rPr>
                <w:rFonts w:ascii="Arial"/>
                <w:color w:val="auto"/>
                <w:highlight w:val="none"/>
              </w:rPr>
            </w:pPr>
          </w:p>
          <w:p w14:paraId="74FD4ADF">
            <w:pPr>
              <w:spacing w:line="261" w:lineRule="auto"/>
              <w:rPr>
                <w:rFonts w:ascii="Arial"/>
                <w:color w:val="auto"/>
                <w:highlight w:val="none"/>
              </w:rPr>
            </w:pPr>
          </w:p>
          <w:p w14:paraId="342E3E74">
            <w:pPr>
              <w:pStyle w:val="935"/>
              <w:spacing w:before="62" w:line="230" w:lineRule="auto"/>
              <w:ind w:left="17"/>
              <w:rPr>
                <w:rFonts w:hint="eastAsia"/>
                <w:color w:val="auto"/>
                <w:highlight w:val="none"/>
              </w:rPr>
            </w:pPr>
            <w:r>
              <w:rPr>
                <w:color w:val="auto"/>
                <w:spacing w:val="8"/>
                <w:highlight w:val="none"/>
              </w:rPr>
              <w:t>房间空气调节器</w:t>
            </w:r>
          </w:p>
        </w:tc>
        <w:tc>
          <w:tcPr>
            <w:tcW w:w="2969" w:type="dxa"/>
          </w:tcPr>
          <w:p w14:paraId="6D1EC247">
            <w:pPr>
              <w:pStyle w:val="935"/>
              <w:spacing w:before="68" w:line="293" w:lineRule="auto"/>
              <w:ind w:left="17" w:firstLine="5"/>
              <w:rPr>
                <w:rFonts w:hint="eastAsia"/>
                <w:color w:val="auto"/>
                <w:highlight w:val="none"/>
                <w:lang w:eastAsia="zh-CN"/>
              </w:rPr>
            </w:pPr>
            <w:r>
              <w:rPr>
                <w:color w:val="auto"/>
                <w:spacing w:val="14"/>
                <w:highlight w:val="none"/>
                <w:lang w:eastAsia="zh-CN"/>
              </w:rPr>
              <w:t>《转速可控型房间空气调节器能</w:t>
            </w:r>
            <w:r>
              <w:rPr>
                <w:color w:val="auto"/>
                <w:highlight w:val="none"/>
                <w:lang w:eastAsia="zh-CN"/>
              </w:rPr>
              <w:t xml:space="preserve">  </w:t>
            </w:r>
            <w:r>
              <w:rPr>
                <w:color w:val="auto"/>
                <w:spacing w:val="-9"/>
                <w:highlight w:val="none"/>
                <w:lang w:eastAsia="zh-CN"/>
              </w:rPr>
              <w:t>效</w:t>
            </w:r>
            <w:r>
              <w:rPr>
                <w:color w:val="auto"/>
                <w:spacing w:val="-19"/>
                <w:highlight w:val="none"/>
                <w:lang w:eastAsia="zh-CN"/>
              </w:rPr>
              <w:t xml:space="preserve"> </w:t>
            </w:r>
            <w:r>
              <w:rPr>
                <w:color w:val="auto"/>
                <w:spacing w:val="-9"/>
                <w:highlight w:val="none"/>
                <w:lang w:eastAsia="zh-CN"/>
              </w:rPr>
              <w:t>限</w:t>
            </w:r>
            <w:r>
              <w:rPr>
                <w:color w:val="auto"/>
                <w:spacing w:val="-33"/>
                <w:highlight w:val="none"/>
                <w:lang w:eastAsia="zh-CN"/>
              </w:rPr>
              <w:t xml:space="preserve"> </w:t>
            </w:r>
            <w:r>
              <w:rPr>
                <w:color w:val="auto"/>
                <w:spacing w:val="-9"/>
                <w:highlight w:val="none"/>
                <w:lang w:eastAsia="zh-CN"/>
              </w:rPr>
              <w:t>定</w:t>
            </w:r>
            <w:r>
              <w:rPr>
                <w:color w:val="auto"/>
                <w:spacing w:val="-38"/>
                <w:highlight w:val="none"/>
                <w:lang w:eastAsia="zh-CN"/>
              </w:rPr>
              <w:t xml:space="preserve"> </w:t>
            </w:r>
            <w:r>
              <w:rPr>
                <w:color w:val="auto"/>
                <w:spacing w:val="-9"/>
                <w:highlight w:val="none"/>
                <w:lang w:eastAsia="zh-CN"/>
              </w:rPr>
              <w:t>值</w:t>
            </w:r>
            <w:r>
              <w:rPr>
                <w:color w:val="auto"/>
                <w:spacing w:val="-39"/>
                <w:highlight w:val="none"/>
                <w:lang w:eastAsia="zh-CN"/>
              </w:rPr>
              <w:t xml:space="preserve"> </w:t>
            </w:r>
            <w:r>
              <w:rPr>
                <w:color w:val="auto"/>
                <w:spacing w:val="-9"/>
                <w:highlight w:val="none"/>
                <w:lang w:eastAsia="zh-CN"/>
              </w:rPr>
              <w:t>及</w:t>
            </w:r>
            <w:r>
              <w:rPr>
                <w:color w:val="auto"/>
                <w:spacing w:val="-31"/>
                <w:highlight w:val="none"/>
                <w:lang w:eastAsia="zh-CN"/>
              </w:rPr>
              <w:t xml:space="preserve"> </w:t>
            </w:r>
            <w:r>
              <w:rPr>
                <w:color w:val="auto"/>
                <w:spacing w:val="-9"/>
                <w:highlight w:val="none"/>
                <w:lang w:eastAsia="zh-CN"/>
              </w:rPr>
              <w:t>能</w:t>
            </w:r>
            <w:r>
              <w:rPr>
                <w:color w:val="auto"/>
                <w:spacing w:val="-34"/>
                <w:highlight w:val="none"/>
                <w:lang w:eastAsia="zh-CN"/>
              </w:rPr>
              <w:t xml:space="preserve"> </w:t>
            </w:r>
            <w:r>
              <w:rPr>
                <w:color w:val="auto"/>
                <w:spacing w:val="-9"/>
                <w:highlight w:val="none"/>
                <w:lang w:eastAsia="zh-CN"/>
              </w:rPr>
              <w:t>效</w:t>
            </w:r>
            <w:r>
              <w:rPr>
                <w:color w:val="auto"/>
                <w:spacing w:val="-36"/>
                <w:highlight w:val="none"/>
                <w:lang w:eastAsia="zh-CN"/>
              </w:rPr>
              <w:t xml:space="preserve"> </w:t>
            </w:r>
            <w:r>
              <w:rPr>
                <w:color w:val="auto"/>
                <w:spacing w:val="-9"/>
                <w:highlight w:val="none"/>
                <w:lang w:eastAsia="zh-CN"/>
              </w:rPr>
              <w:t>等</w:t>
            </w:r>
            <w:r>
              <w:rPr>
                <w:color w:val="auto"/>
                <w:spacing w:val="-36"/>
                <w:highlight w:val="none"/>
                <w:lang w:eastAsia="zh-CN"/>
              </w:rPr>
              <w:t xml:space="preserve"> </w:t>
            </w:r>
            <w:r>
              <w:rPr>
                <w:color w:val="auto"/>
                <w:spacing w:val="-9"/>
                <w:highlight w:val="none"/>
                <w:lang w:eastAsia="zh-CN"/>
              </w:rPr>
              <w:t>级</w:t>
            </w:r>
            <w:r>
              <w:rPr>
                <w:color w:val="auto"/>
                <w:spacing w:val="-29"/>
                <w:highlight w:val="none"/>
                <w:lang w:eastAsia="zh-CN"/>
              </w:rPr>
              <w:t xml:space="preserve"> </w:t>
            </w:r>
            <w:r>
              <w:rPr>
                <w:color w:val="auto"/>
                <w:spacing w:val="-9"/>
                <w:highlight w:val="none"/>
                <w:lang w:eastAsia="zh-CN"/>
              </w:rPr>
              <w:t>》</w:t>
            </w:r>
            <w:r>
              <w:rPr>
                <w:color w:val="auto"/>
                <w:spacing w:val="-41"/>
                <w:highlight w:val="none"/>
                <w:lang w:eastAsia="zh-CN"/>
              </w:rPr>
              <w:t xml:space="preserve"> </w:t>
            </w:r>
            <w:r>
              <w:rPr>
                <w:color w:val="auto"/>
                <w:spacing w:val="-9"/>
                <w:highlight w:val="none"/>
                <w:lang w:eastAsia="zh-CN"/>
              </w:rPr>
              <w:t>（ GB</w:t>
            </w:r>
            <w:r>
              <w:rPr>
                <w:color w:val="auto"/>
                <w:highlight w:val="none"/>
                <w:lang w:eastAsia="zh-CN"/>
              </w:rPr>
              <w:t xml:space="preserve">  21455-2013</w:t>
            </w:r>
            <w:r>
              <w:rPr>
                <w:color w:val="auto"/>
                <w:spacing w:val="12"/>
                <w:highlight w:val="none"/>
                <w:lang w:eastAsia="zh-CN"/>
              </w:rPr>
              <w:t>），</w:t>
            </w:r>
            <w:r>
              <w:rPr>
                <w:color w:val="auto"/>
                <w:highlight w:val="none"/>
                <w:lang w:eastAsia="zh-CN"/>
              </w:rPr>
              <w:t>待 2019</w:t>
            </w:r>
            <w:r>
              <w:rPr>
                <w:color w:val="auto"/>
                <w:spacing w:val="-15"/>
                <w:highlight w:val="none"/>
                <w:lang w:eastAsia="zh-CN"/>
              </w:rPr>
              <w:t xml:space="preserve"> </w:t>
            </w:r>
            <w:r>
              <w:rPr>
                <w:color w:val="auto"/>
                <w:highlight w:val="none"/>
                <w:lang w:eastAsia="zh-CN"/>
              </w:rPr>
              <w:t>年修订发  布后，按《房间空气调节器能效限</w:t>
            </w:r>
            <w:r>
              <w:rPr>
                <w:color w:val="auto"/>
                <w:spacing w:val="4"/>
                <w:highlight w:val="none"/>
                <w:lang w:eastAsia="zh-CN"/>
              </w:rPr>
              <w:t xml:space="preserve">  </w:t>
            </w:r>
            <w:r>
              <w:rPr>
                <w:color w:val="auto"/>
                <w:spacing w:val="-5"/>
                <w:highlight w:val="none"/>
                <w:lang w:eastAsia="zh-CN"/>
              </w:rPr>
              <w:t>定值及能效等级》（GB21455-2019）</w:t>
            </w:r>
            <w:r>
              <w:rPr>
                <w:color w:val="auto"/>
                <w:spacing w:val="15"/>
                <w:highlight w:val="none"/>
                <w:lang w:eastAsia="zh-CN"/>
              </w:rPr>
              <w:t xml:space="preserve"> </w:t>
            </w:r>
            <w:r>
              <w:rPr>
                <w:color w:val="auto"/>
                <w:highlight w:val="none"/>
                <w:lang w:eastAsia="zh-CN"/>
              </w:rPr>
              <w:t>实施。</w:t>
            </w:r>
          </w:p>
        </w:tc>
      </w:tr>
      <w:tr w14:paraId="38DDC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14:paraId="128FD1AA">
            <w:pPr>
              <w:rPr>
                <w:rFonts w:ascii="Arial"/>
                <w:color w:val="auto"/>
                <w:highlight w:val="none"/>
              </w:rPr>
            </w:pPr>
          </w:p>
        </w:tc>
        <w:tc>
          <w:tcPr>
            <w:tcW w:w="1166" w:type="dxa"/>
            <w:vMerge w:val="continue"/>
            <w:tcBorders>
              <w:top w:val="nil"/>
              <w:bottom w:val="nil"/>
            </w:tcBorders>
          </w:tcPr>
          <w:p w14:paraId="326B1E0E">
            <w:pPr>
              <w:rPr>
                <w:rFonts w:ascii="Arial"/>
                <w:color w:val="auto"/>
                <w:highlight w:val="none"/>
              </w:rPr>
            </w:pPr>
          </w:p>
        </w:tc>
        <w:tc>
          <w:tcPr>
            <w:tcW w:w="1799" w:type="dxa"/>
            <w:vMerge w:val="continue"/>
            <w:tcBorders>
              <w:top w:val="nil"/>
              <w:bottom w:val="nil"/>
            </w:tcBorders>
          </w:tcPr>
          <w:p w14:paraId="526CDADF">
            <w:pPr>
              <w:rPr>
                <w:rFonts w:ascii="Arial"/>
                <w:color w:val="auto"/>
                <w:highlight w:val="none"/>
              </w:rPr>
            </w:pPr>
          </w:p>
        </w:tc>
        <w:tc>
          <w:tcPr>
            <w:tcW w:w="1914" w:type="dxa"/>
          </w:tcPr>
          <w:p w14:paraId="35158A68">
            <w:pPr>
              <w:pStyle w:val="935"/>
              <w:spacing w:before="71" w:line="282" w:lineRule="auto"/>
              <w:ind w:left="15" w:right="11" w:firstLine="10"/>
              <w:rPr>
                <w:rFonts w:hint="eastAsia"/>
                <w:color w:val="auto"/>
                <w:highlight w:val="none"/>
                <w:lang w:eastAsia="zh-CN"/>
              </w:rPr>
            </w:pPr>
            <w:r>
              <w:rPr>
                <w:color w:val="auto"/>
                <w:spacing w:val="15"/>
                <w:highlight w:val="none"/>
                <w:lang w:eastAsia="zh-CN"/>
              </w:rPr>
              <w:t>多联式空调（热泵）</w:t>
            </w:r>
            <w:r>
              <w:rPr>
                <w:color w:val="auto"/>
                <w:spacing w:val="7"/>
                <w:highlight w:val="none"/>
                <w:lang w:eastAsia="zh-CN"/>
              </w:rPr>
              <w:t xml:space="preserve"> </w:t>
            </w:r>
            <w:r>
              <w:rPr>
                <w:color w:val="auto"/>
                <w:spacing w:val="-4"/>
                <w:highlight w:val="none"/>
                <w:lang w:eastAsia="zh-CN"/>
              </w:rPr>
              <w:t>机 组 （</w:t>
            </w:r>
            <w:r>
              <w:rPr>
                <w:color w:val="auto"/>
                <w:spacing w:val="28"/>
                <w:highlight w:val="none"/>
                <w:lang w:eastAsia="zh-CN"/>
              </w:rPr>
              <w:t xml:space="preserve"> </w:t>
            </w:r>
            <w:r>
              <w:rPr>
                <w:color w:val="auto"/>
                <w:spacing w:val="-4"/>
                <w:highlight w:val="none"/>
                <w:lang w:eastAsia="zh-CN"/>
              </w:rPr>
              <w:t>制 冷 量 ≤</w:t>
            </w:r>
            <w:r>
              <w:rPr>
                <w:color w:val="auto"/>
                <w:highlight w:val="none"/>
                <w:lang w:eastAsia="zh-CN"/>
              </w:rPr>
              <w:t xml:space="preserve"> </w:t>
            </w:r>
            <w:r>
              <w:rPr>
                <w:color w:val="auto"/>
                <w:spacing w:val="3"/>
                <w:highlight w:val="none"/>
                <w:lang w:eastAsia="zh-CN"/>
              </w:rPr>
              <w:t>14000W）</w:t>
            </w:r>
          </w:p>
        </w:tc>
        <w:tc>
          <w:tcPr>
            <w:tcW w:w="2969" w:type="dxa"/>
          </w:tcPr>
          <w:p w14:paraId="166B991E">
            <w:pPr>
              <w:pStyle w:val="935"/>
              <w:spacing w:before="227" w:line="288" w:lineRule="auto"/>
              <w:ind w:left="22"/>
              <w:rPr>
                <w:rFonts w:hint="eastAsia"/>
                <w:color w:val="auto"/>
                <w:highlight w:val="none"/>
                <w:lang w:eastAsia="zh-CN"/>
              </w:rPr>
            </w:pPr>
            <w:r>
              <w:rPr>
                <w:color w:val="auto"/>
                <w:highlight w:val="none"/>
                <w:lang w:eastAsia="zh-CN"/>
              </w:rPr>
              <w:t>《多联式空调（热泵）机组能效限</w:t>
            </w:r>
            <w:r>
              <w:rPr>
                <w:color w:val="auto"/>
                <w:spacing w:val="2"/>
                <w:highlight w:val="none"/>
                <w:lang w:eastAsia="zh-CN"/>
              </w:rPr>
              <w:t xml:space="preserve">  </w:t>
            </w:r>
            <w:r>
              <w:rPr>
                <w:color w:val="auto"/>
                <w:spacing w:val="-4"/>
                <w:highlight w:val="none"/>
                <w:lang w:eastAsia="zh-CN"/>
              </w:rPr>
              <w:t>定值及能源效率等级》（GB</w:t>
            </w:r>
            <w:r>
              <w:rPr>
                <w:color w:val="auto"/>
                <w:spacing w:val="-24"/>
                <w:highlight w:val="none"/>
                <w:lang w:eastAsia="zh-CN"/>
              </w:rPr>
              <w:t xml:space="preserve"> </w:t>
            </w:r>
            <w:r>
              <w:rPr>
                <w:color w:val="auto"/>
                <w:spacing w:val="-4"/>
                <w:highlight w:val="none"/>
                <w:lang w:eastAsia="zh-CN"/>
              </w:rPr>
              <w:t>21454）</w:t>
            </w:r>
          </w:p>
        </w:tc>
      </w:tr>
      <w:tr w14:paraId="30204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jc w:val="center"/>
        </w:trPr>
        <w:tc>
          <w:tcPr>
            <w:tcW w:w="578" w:type="dxa"/>
            <w:vMerge w:val="continue"/>
            <w:tcBorders>
              <w:top w:val="nil"/>
              <w:bottom w:val="nil"/>
            </w:tcBorders>
          </w:tcPr>
          <w:p w14:paraId="2EEEA2C8">
            <w:pPr>
              <w:rPr>
                <w:rFonts w:ascii="Arial"/>
                <w:color w:val="auto"/>
                <w:highlight w:val="none"/>
              </w:rPr>
            </w:pPr>
          </w:p>
        </w:tc>
        <w:tc>
          <w:tcPr>
            <w:tcW w:w="1166" w:type="dxa"/>
            <w:vMerge w:val="continue"/>
            <w:tcBorders>
              <w:top w:val="nil"/>
              <w:bottom w:val="nil"/>
            </w:tcBorders>
          </w:tcPr>
          <w:p w14:paraId="13E79FFC">
            <w:pPr>
              <w:rPr>
                <w:rFonts w:ascii="Arial"/>
                <w:color w:val="auto"/>
                <w:highlight w:val="none"/>
              </w:rPr>
            </w:pPr>
          </w:p>
        </w:tc>
        <w:tc>
          <w:tcPr>
            <w:tcW w:w="1799" w:type="dxa"/>
            <w:vMerge w:val="continue"/>
            <w:tcBorders>
              <w:top w:val="nil"/>
            </w:tcBorders>
          </w:tcPr>
          <w:p w14:paraId="37F14B68">
            <w:pPr>
              <w:rPr>
                <w:rFonts w:ascii="Arial"/>
                <w:color w:val="auto"/>
                <w:highlight w:val="none"/>
              </w:rPr>
            </w:pPr>
          </w:p>
        </w:tc>
        <w:tc>
          <w:tcPr>
            <w:tcW w:w="1914" w:type="dxa"/>
          </w:tcPr>
          <w:p w14:paraId="3EE6ABD9">
            <w:pPr>
              <w:spacing w:line="318" w:lineRule="auto"/>
              <w:rPr>
                <w:rFonts w:ascii="Arial"/>
                <w:color w:val="auto"/>
                <w:highlight w:val="none"/>
              </w:rPr>
            </w:pPr>
          </w:p>
          <w:p w14:paraId="325B8038">
            <w:pPr>
              <w:pStyle w:val="935"/>
              <w:spacing w:before="62" w:line="289" w:lineRule="auto"/>
              <w:ind w:left="51" w:right="11" w:hanging="33"/>
              <w:rPr>
                <w:rFonts w:hint="eastAsia"/>
                <w:color w:val="auto"/>
                <w:highlight w:val="none"/>
                <w:lang w:eastAsia="zh-CN"/>
              </w:rPr>
            </w:pPr>
            <w:r>
              <w:rPr>
                <w:color w:val="auto"/>
                <w:spacing w:val="44"/>
                <w:highlight w:val="none"/>
                <w:lang w:eastAsia="zh-CN"/>
              </w:rPr>
              <w:t>单元式空气调节机</w:t>
            </w:r>
            <w:r>
              <w:rPr>
                <w:color w:val="auto"/>
                <w:spacing w:val="6"/>
                <w:highlight w:val="none"/>
                <w:lang w:eastAsia="zh-CN"/>
              </w:rPr>
              <w:t xml:space="preserve"> </w:t>
            </w:r>
            <w:r>
              <w:rPr>
                <w:color w:val="auto"/>
                <w:spacing w:val="3"/>
                <w:highlight w:val="none"/>
                <w:lang w:eastAsia="zh-CN"/>
              </w:rPr>
              <w:t>(制冷量≤14000W)</w:t>
            </w:r>
          </w:p>
        </w:tc>
        <w:tc>
          <w:tcPr>
            <w:tcW w:w="2969" w:type="dxa"/>
          </w:tcPr>
          <w:p w14:paraId="7B52BCC1">
            <w:pPr>
              <w:pStyle w:val="935"/>
              <w:spacing w:before="72" w:line="287" w:lineRule="auto"/>
              <w:ind w:left="17" w:right="11" w:firstLine="6"/>
              <w:rPr>
                <w:rFonts w:hint="eastAsia"/>
                <w:color w:val="auto"/>
                <w:highlight w:val="none"/>
                <w:lang w:eastAsia="zh-CN"/>
              </w:rPr>
            </w:pPr>
            <w:r>
              <w:rPr>
                <w:color w:val="auto"/>
                <w:spacing w:val="19"/>
                <w:highlight w:val="none"/>
                <w:lang w:eastAsia="zh-CN"/>
              </w:rPr>
              <w:t>《单元式空气调节机能效限定值</w:t>
            </w:r>
            <w:r>
              <w:rPr>
                <w:color w:val="auto"/>
                <w:spacing w:val="2"/>
                <w:highlight w:val="none"/>
                <w:lang w:eastAsia="zh-CN"/>
              </w:rPr>
              <w:t xml:space="preserve"> </w:t>
            </w:r>
            <w:r>
              <w:rPr>
                <w:color w:val="auto"/>
                <w:spacing w:val="-5"/>
                <w:highlight w:val="none"/>
                <w:lang w:eastAsia="zh-CN"/>
              </w:rPr>
              <w:t>及能源效率等级》（GB</w:t>
            </w:r>
            <w:r>
              <w:rPr>
                <w:color w:val="auto"/>
                <w:spacing w:val="-13"/>
                <w:highlight w:val="none"/>
                <w:lang w:eastAsia="zh-CN"/>
              </w:rPr>
              <w:t xml:space="preserve"> </w:t>
            </w:r>
            <w:r>
              <w:rPr>
                <w:color w:val="auto"/>
                <w:spacing w:val="-5"/>
                <w:highlight w:val="none"/>
                <w:lang w:eastAsia="zh-CN"/>
              </w:rPr>
              <w:t>19576）《风</w:t>
            </w:r>
            <w:r>
              <w:rPr>
                <w:color w:val="auto"/>
                <w:highlight w:val="none"/>
                <w:lang w:eastAsia="zh-CN"/>
              </w:rPr>
              <w:t xml:space="preserve"> </w:t>
            </w:r>
            <w:r>
              <w:rPr>
                <w:color w:val="auto"/>
                <w:spacing w:val="19"/>
                <w:highlight w:val="none"/>
                <w:lang w:eastAsia="zh-CN"/>
              </w:rPr>
              <w:t>管送风式空调机组能效限定值及</w:t>
            </w:r>
            <w:r>
              <w:rPr>
                <w:color w:val="auto"/>
                <w:spacing w:val="8"/>
                <w:highlight w:val="none"/>
                <w:lang w:eastAsia="zh-CN"/>
              </w:rPr>
              <w:t xml:space="preserve"> </w:t>
            </w:r>
            <w:r>
              <w:rPr>
                <w:color w:val="auto"/>
                <w:spacing w:val="7"/>
                <w:highlight w:val="none"/>
                <w:lang w:eastAsia="zh-CN"/>
              </w:rPr>
              <w:t>能效等级》（</w:t>
            </w:r>
            <w:r>
              <w:rPr>
                <w:color w:val="auto"/>
                <w:highlight w:val="none"/>
                <w:lang w:eastAsia="zh-CN"/>
              </w:rPr>
              <w:t>GB</w:t>
            </w:r>
            <w:r>
              <w:rPr>
                <w:color w:val="auto"/>
                <w:spacing w:val="7"/>
                <w:highlight w:val="none"/>
                <w:lang w:eastAsia="zh-CN"/>
              </w:rPr>
              <w:t xml:space="preserve"> 37479）</w:t>
            </w:r>
          </w:p>
        </w:tc>
      </w:tr>
      <w:tr w14:paraId="5526B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578" w:type="dxa"/>
            <w:vMerge w:val="continue"/>
            <w:tcBorders>
              <w:top w:val="nil"/>
            </w:tcBorders>
          </w:tcPr>
          <w:p w14:paraId="610BB6ED">
            <w:pPr>
              <w:rPr>
                <w:rFonts w:ascii="Arial"/>
                <w:color w:val="auto"/>
                <w:highlight w:val="none"/>
              </w:rPr>
            </w:pPr>
          </w:p>
        </w:tc>
        <w:tc>
          <w:tcPr>
            <w:tcW w:w="1166" w:type="dxa"/>
            <w:vMerge w:val="continue"/>
            <w:tcBorders>
              <w:top w:val="nil"/>
            </w:tcBorders>
          </w:tcPr>
          <w:p w14:paraId="1975968A">
            <w:pPr>
              <w:rPr>
                <w:rFonts w:ascii="Arial"/>
                <w:color w:val="auto"/>
                <w:highlight w:val="none"/>
              </w:rPr>
            </w:pPr>
          </w:p>
        </w:tc>
        <w:tc>
          <w:tcPr>
            <w:tcW w:w="1799" w:type="dxa"/>
          </w:tcPr>
          <w:p w14:paraId="4F1CE9F3">
            <w:pPr>
              <w:pStyle w:val="935"/>
              <w:spacing w:before="230" w:line="228" w:lineRule="auto"/>
              <w:ind w:left="9"/>
              <w:rPr>
                <w:rFonts w:hint="eastAsia"/>
                <w:color w:val="auto"/>
                <w:highlight w:val="none"/>
              </w:rPr>
            </w:pPr>
            <w:r>
              <w:rPr>
                <w:color w:val="auto"/>
                <w:spacing w:val="5"/>
                <w:highlight w:val="none"/>
              </w:rPr>
              <w:t>A0206180301</w:t>
            </w:r>
            <w:r>
              <w:rPr>
                <w:color w:val="auto"/>
                <w:spacing w:val="-33"/>
                <w:highlight w:val="none"/>
              </w:rPr>
              <w:t xml:space="preserve"> </w:t>
            </w:r>
            <w:r>
              <w:rPr>
                <w:color w:val="auto"/>
                <w:spacing w:val="5"/>
                <w:highlight w:val="none"/>
              </w:rPr>
              <w:t>洗衣机</w:t>
            </w:r>
          </w:p>
        </w:tc>
        <w:tc>
          <w:tcPr>
            <w:tcW w:w="1914" w:type="dxa"/>
          </w:tcPr>
          <w:p w14:paraId="2347E380">
            <w:pPr>
              <w:rPr>
                <w:rFonts w:ascii="Arial"/>
                <w:color w:val="auto"/>
                <w:highlight w:val="none"/>
              </w:rPr>
            </w:pPr>
          </w:p>
        </w:tc>
        <w:tc>
          <w:tcPr>
            <w:tcW w:w="2969" w:type="dxa"/>
          </w:tcPr>
          <w:p w14:paraId="17EF5F46">
            <w:pPr>
              <w:pStyle w:val="935"/>
              <w:spacing w:before="74" w:line="276" w:lineRule="auto"/>
              <w:ind w:left="19" w:right="11" w:firstLine="3"/>
              <w:rPr>
                <w:rFonts w:hint="eastAsia"/>
                <w:color w:val="auto"/>
                <w:highlight w:val="none"/>
                <w:lang w:eastAsia="zh-CN"/>
              </w:rPr>
            </w:pPr>
            <w:r>
              <w:rPr>
                <w:color w:val="auto"/>
                <w:spacing w:val="19"/>
                <w:highlight w:val="none"/>
                <w:lang w:eastAsia="zh-CN"/>
              </w:rPr>
              <w:t>《电动洗衣机能效水效限定值及</w:t>
            </w:r>
            <w:r>
              <w:rPr>
                <w:color w:val="auto"/>
                <w:spacing w:val="2"/>
                <w:highlight w:val="none"/>
                <w:lang w:eastAsia="zh-CN"/>
              </w:rPr>
              <w:t xml:space="preserve"> </w:t>
            </w:r>
            <w:r>
              <w:rPr>
                <w:color w:val="auto"/>
                <w:spacing w:val="4"/>
                <w:highlight w:val="none"/>
                <w:lang w:eastAsia="zh-CN"/>
              </w:rPr>
              <w:t>等级》（</w:t>
            </w:r>
            <w:r>
              <w:rPr>
                <w:color w:val="auto"/>
                <w:highlight w:val="none"/>
                <w:lang w:eastAsia="zh-CN"/>
              </w:rPr>
              <w:t>GB</w:t>
            </w:r>
            <w:r>
              <w:rPr>
                <w:color w:val="auto"/>
                <w:spacing w:val="33"/>
                <w:highlight w:val="none"/>
                <w:lang w:eastAsia="zh-CN"/>
              </w:rPr>
              <w:t xml:space="preserve"> </w:t>
            </w:r>
            <w:r>
              <w:rPr>
                <w:color w:val="auto"/>
                <w:spacing w:val="4"/>
                <w:highlight w:val="none"/>
                <w:lang w:eastAsia="zh-CN"/>
              </w:rPr>
              <w:t>12021.4）</w:t>
            </w:r>
          </w:p>
        </w:tc>
      </w:tr>
    </w:tbl>
    <w:p w14:paraId="4912B9FA">
      <w:pPr>
        <w:rPr>
          <w:rFonts w:ascii="Arial"/>
          <w:color w:val="auto"/>
          <w:highlight w:val="none"/>
        </w:rPr>
      </w:pPr>
    </w:p>
    <w:p w14:paraId="3332691F">
      <w:pPr>
        <w:rPr>
          <w:rFonts w:ascii="Arial" w:hAnsi="Arial" w:eastAsia="Arial" w:cs="Arial"/>
          <w:color w:val="auto"/>
          <w:szCs w:val="21"/>
          <w:highlight w:val="none"/>
        </w:rPr>
        <w:sectPr>
          <w:pgSz w:w="11906" w:h="16838"/>
          <w:pgMar w:top="1431" w:right="1691" w:bottom="0" w:left="1783" w:header="850" w:footer="0" w:gutter="0"/>
          <w:cols w:space="720" w:num="1"/>
        </w:sectPr>
      </w:pPr>
    </w:p>
    <w:p w14:paraId="308F33CC">
      <w:pPr>
        <w:spacing w:line="91" w:lineRule="auto"/>
        <w:rPr>
          <w:rFonts w:ascii="Arial"/>
          <w:color w:val="auto"/>
          <w:sz w:val="2"/>
          <w:highlight w:val="none"/>
        </w:rPr>
      </w:pPr>
    </w:p>
    <w:tbl>
      <w:tblPr>
        <w:tblStyle w:val="936"/>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7ED4B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578" w:type="dxa"/>
            <w:vMerge w:val="restart"/>
            <w:tcBorders>
              <w:bottom w:val="nil"/>
            </w:tcBorders>
          </w:tcPr>
          <w:p w14:paraId="00C2E0AC">
            <w:pPr>
              <w:rPr>
                <w:rFonts w:ascii="Arial"/>
                <w:color w:val="auto"/>
                <w:highlight w:val="none"/>
              </w:rPr>
            </w:pPr>
          </w:p>
        </w:tc>
        <w:tc>
          <w:tcPr>
            <w:tcW w:w="1166" w:type="dxa"/>
            <w:vMerge w:val="restart"/>
            <w:tcBorders>
              <w:bottom w:val="nil"/>
            </w:tcBorders>
          </w:tcPr>
          <w:p w14:paraId="4F31C581">
            <w:pPr>
              <w:rPr>
                <w:rFonts w:ascii="Arial"/>
                <w:color w:val="auto"/>
                <w:highlight w:val="none"/>
              </w:rPr>
            </w:pPr>
          </w:p>
        </w:tc>
        <w:tc>
          <w:tcPr>
            <w:tcW w:w="1799" w:type="dxa"/>
            <w:vMerge w:val="restart"/>
            <w:tcBorders>
              <w:bottom w:val="nil"/>
            </w:tcBorders>
          </w:tcPr>
          <w:p w14:paraId="4372C759">
            <w:pPr>
              <w:spacing w:line="244" w:lineRule="auto"/>
              <w:rPr>
                <w:rFonts w:ascii="Arial"/>
                <w:color w:val="auto"/>
                <w:highlight w:val="none"/>
              </w:rPr>
            </w:pPr>
          </w:p>
          <w:p w14:paraId="25566C56">
            <w:pPr>
              <w:spacing w:line="244" w:lineRule="auto"/>
              <w:rPr>
                <w:rFonts w:ascii="Arial"/>
                <w:color w:val="auto"/>
                <w:highlight w:val="none"/>
              </w:rPr>
            </w:pPr>
          </w:p>
          <w:p w14:paraId="7F86F242">
            <w:pPr>
              <w:spacing w:line="244" w:lineRule="auto"/>
              <w:rPr>
                <w:rFonts w:ascii="Arial"/>
                <w:color w:val="auto"/>
                <w:highlight w:val="none"/>
              </w:rPr>
            </w:pPr>
          </w:p>
          <w:p w14:paraId="7708D811">
            <w:pPr>
              <w:spacing w:line="244" w:lineRule="auto"/>
              <w:rPr>
                <w:rFonts w:ascii="Arial"/>
                <w:color w:val="auto"/>
                <w:highlight w:val="none"/>
              </w:rPr>
            </w:pPr>
          </w:p>
          <w:p w14:paraId="2955FB63">
            <w:pPr>
              <w:spacing w:line="245" w:lineRule="auto"/>
              <w:rPr>
                <w:rFonts w:ascii="Arial"/>
                <w:color w:val="auto"/>
                <w:highlight w:val="none"/>
              </w:rPr>
            </w:pPr>
          </w:p>
          <w:p w14:paraId="6299DE81">
            <w:pPr>
              <w:spacing w:line="245" w:lineRule="auto"/>
              <w:rPr>
                <w:rFonts w:ascii="Arial"/>
                <w:color w:val="auto"/>
                <w:highlight w:val="none"/>
              </w:rPr>
            </w:pPr>
          </w:p>
          <w:p w14:paraId="43F9D706">
            <w:pPr>
              <w:pStyle w:val="935"/>
              <w:spacing w:before="62" w:line="229" w:lineRule="auto"/>
              <w:ind w:left="9"/>
              <w:rPr>
                <w:rFonts w:hint="eastAsia"/>
                <w:color w:val="auto"/>
                <w:highlight w:val="none"/>
              </w:rPr>
            </w:pPr>
            <w:r>
              <w:rPr>
                <w:color w:val="auto"/>
                <w:spacing w:val="5"/>
                <w:highlight w:val="none"/>
              </w:rPr>
              <w:t>A02061808</w:t>
            </w:r>
            <w:r>
              <w:rPr>
                <w:color w:val="auto"/>
                <w:spacing w:val="-32"/>
                <w:highlight w:val="none"/>
              </w:rPr>
              <w:t xml:space="preserve"> </w:t>
            </w:r>
            <w:r>
              <w:rPr>
                <w:color w:val="auto"/>
                <w:spacing w:val="5"/>
                <w:highlight w:val="none"/>
              </w:rPr>
              <w:t>热水器</w:t>
            </w:r>
          </w:p>
        </w:tc>
        <w:tc>
          <w:tcPr>
            <w:tcW w:w="1914" w:type="dxa"/>
          </w:tcPr>
          <w:p w14:paraId="62BAEB0D">
            <w:pPr>
              <w:pStyle w:val="935"/>
              <w:spacing w:before="275" w:line="229" w:lineRule="auto"/>
              <w:ind w:left="19"/>
              <w:rPr>
                <w:rFonts w:hint="eastAsia"/>
                <w:color w:val="auto"/>
                <w:highlight w:val="none"/>
              </w:rPr>
            </w:pPr>
            <w:r>
              <w:rPr>
                <w:color w:val="auto"/>
                <w:spacing w:val="7"/>
                <w:highlight w:val="none"/>
              </w:rPr>
              <w:t>★电热水器</w:t>
            </w:r>
          </w:p>
        </w:tc>
        <w:tc>
          <w:tcPr>
            <w:tcW w:w="2969" w:type="dxa"/>
          </w:tcPr>
          <w:p w14:paraId="37D844D0">
            <w:pPr>
              <w:pStyle w:val="935"/>
              <w:spacing w:before="119" w:line="288" w:lineRule="auto"/>
              <w:ind w:left="25" w:right="11" w:hanging="2"/>
              <w:rPr>
                <w:rFonts w:hint="eastAsia"/>
                <w:color w:val="auto"/>
                <w:highlight w:val="none"/>
                <w:lang w:eastAsia="zh-CN"/>
              </w:rPr>
            </w:pPr>
            <w:r>
              <w:rPr>
                <w:color w:val="auto"/>
                <w:spacing w:val="19"/>
                <w:highlight w:val="none"/>
                <w:lang w:eastAsia="zh-CN"/>
              </w:rPr>
              <w:t>《储水式电热水器能效限定值及</w:t>
            </w:r>
            <w:r>
              <w:rPr>
                <w:color w:val="auto"/>
                <w:spacing w:val="2"/>
                <w:highlight w:val="none"/>
                <w:lang w:eastAsia="zh-CN"/>
              </w:rPr>
              <w:t xml:space="preserve"> </w:t>
            </w:r>
            <w:r>
              <w:rPr>
                <w:color w:val="auto"/>
                <w:spacing w:val="6"/>
                <w:highlight w:val="none"/>
                <w:lang w:eastAsia="zh-CN"/>
              </w:rPr>
              <w:t>能效等级》（</w:t>
            </w:r>
            <w:r>
              <w:rPr>
                <w:color w:val="auto"/>
                <w:highlight w:val="none"/>
                <w:lang w:eastAsia="zh-CN"/>
              </w:rPr>
              <w:t>GB</w:t>
            </w:r>
            <w:r>
              <w:rPr>
                <w:color w:val="auto"/>
                <w:spacing w:val="6"/>
                <w:highlight w:val="none"/>
                <w:lang w:eastAsia="zh-CN"/>
              </w:rPr>
              <w:t xml:space="preserve">  21519）</w:t>
            </w:r>
          </w:p>
        </w:tc>
      </w:tr>
      <w:tr w14:paraId="29E6B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14:paraId="41D97617">
            <w:pPr>
              <w:rPr>
                <w:rFonts w:ascii="Arial"/>
                <w:color w:val="auto"/>
                <w:highlight w:val="none"/>
              </w:rPr>
            </w:pPr>
          </w:p>
        </w:tc>
        <w:tc>
          <w:tcPr>
            <w:tcW w:w="1166" w:type="dxa"/>
            <w:vMerge w:val="continue"/>
            <w:tcBorders>
              <w:top w:val="nil"/>
              <w:bottom w:val="nil"/>
            </w:tcBorders>
          </w:tcPr>
          <w:p w14:paraId="4E9429E5">
            <w:pPr>
              <w:rPr>
                <w:rFonts w:ascii="Arial"/>
                <w:color w:val="auto"/>
                <w:highlight w:val="none"/>
              </w:rPr>
            </w:pPr>
          </w:p>
        </w:tc>
        <w:tc>
          <w:tcPr>
            <w:tcW w:w="1799" w:type="dxa"/>
            <w:vMerge w:val="continue"/>
            <w:tcBorders>
              <w:top w:val="nil"/>
              <w:bottom w:val="nil"/>
            </w:tcBorders>
          </w:tcPr>
          <w:p w14:paraId="2518125B">
            <w:pPr>
              <w:rPr>
                <w:rFonts w:ascii="Arial"/>
                <w:color w:val="auto"/>
                <w:highlight w:val="none"/>
              </w:rPr>
            </w:pPr>
          </w:p>
        </w:tc>
        <w:tc>
          <w:tcPr>
            <w:tcW w:w="1914" w:type="dxa"/>
          </w:tcPr>
          <w:p w14:paraId="2784F092">
            <w:pPr>
              <w:spacing w:line="315" w:lineRule="auto"/>
              <w:rPr>
                <w:rFonts w:ascii="Arial"/>
                <w:color w:val="auto"/>
                <w:highlight w:val="none"/>
              </w:rPr>
            </w:pPr>
          </w:p>
          <w:p w14:paraId="320DDDC4">
            <w:pPr>
              <w:pStyle w:val="935"/>
              <w:spacing w:before="61" w:line="229" w:lineRule="auto"/>
              <w:ind w:left="15"/>
              <w:rPr>
                <w:rFonts w:hint="eastAsia"/>
                <w:color w:val="auto"/>
                <w:highlight w:val="none"/>
              </w:rPr>
            </w:pPr>
            <w:r>
              <w:rPr>
                <w:color w:val="auto"/>
                <w:spacing w:val="8"/>
                <w:highlight w:val="none"/>
              </w:rPr>
              <w:t>燃气热水器</w:t>
            </w:r>
          </w:p>
        </w:tc>
        <w:tc>
          <w:tcPr>
            <w:tcW w:w="2969" w:type="dxa"/>
          </w:tcPr>
          <w:p w14:paraId="5901820A">
            <w:pPr>
              <w:pStyle w:val="935"/>
              <w:spacing w:before="68" w:line="283" w:lineRule="auto"/>
              <w:ind w:left="25" w:hanging="2"/>
              <w:rPr>
                <w:rFonts w:hint="eastAsia"/>
                <w:color w:val="auto"/>
                <w:highlight w:val="none"/>
                <w:lang w:eastAsia="zh-CN"/>
              </w:rPr>
            </w:pPr>
            <w:r>
              <w:rPr>
                <w:color w:val="auto"/>
                <w:spacing w:val="17"/>
                <w:highlight w:val="none"/>
                <w:lang w:eastAsia="zh-CN"/>
              </w:rPr>
              <w:t>《家用燃气快速热水器和燃气采</w:t>
            </w:r>
            <w:r>
              <w:rPr>
                <w:color w:val="auto"/>
                <w:highlight w:val="none"/>
                <w:lang w:eastAsia="zh-CN"/>
              </w:rPr>
              <w:t xml:space="preserve"> </w:t>
            </w:r>
            <w:r>
              <w:rPr>
                <w:color w:val="auto"/>
                <w:spacing w:val="5"/>
                <w:highlight w:val="none"/>
                <w:lang w:eastAsia="zh-CN"/>
              </w:rPr>
              <w:t>暖热水炉能效限定值及能效等级》</w:t>
            </w:r>
            <w:r>
              <w:rPr>
                <w:color w:val="auto"/>
                <w:spacing w:val="12"/>
                <w:highlight w:val="none"/>
                <w:lang w:eastAsia="zh-CN"/>
              </w:rPr>
              <w:t xml:space="preserve"> </w:t>
            </w:r>
            <w:r>
              <w:rPr>
                <w:color w:val="auto"/>
                <w:spacing w:val="1"/>
                <w:highlight w:val="none"/>
                <w:lang w:eastAsia="zh-CN"/>
              </w:rPr>
              <w:t>（</w:t>
            </w:r>
            <w:r>
              <w:rPr>
                <w:color w:val="auto"/>
                <w:highlight w:val="none"/>
                <w:lang w:eastAsia="zh-CN"/>
              </w:rPr>
              <w:t>GB</w:t>
            </w:r>
            <w:r>
              <w:rPr>
                <w:color w:val="auto"/>
                <w:spacing w:val="18"/>
                <w:highlight w:val="none"/>
                <w:lang w:eastAsia="zh-CN"/>
              </w:rPr>
              <w:t xml:space="preserve"> </w:t>
            </w:r>
            <w:r>
              <w:rPr>
                <w:color w:val="auto"/>
                <w:spacing w:val="1"/>
                <w:highlight w:val="none"/>
                <w:lang w:eastAsia="zh-CN"/>
              </w:rPr>
              <w:t>20665）</w:t>
            </w:r>
          </w:p>
        </w:tc>
      </w:tr>
      <w:tr w14:paraId="3BD62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jc w:val="center"/>
        </w:trPr>
        <w:tc>
          <w:tcPr>
            <w:tcW w:w="578" w:type="dxa"/>
            <w:vMerge w:val="continue"/>
            <w:tcBorders>
              <w:top w:val="nil"/>
              <w:bottom w:val="nil"/>
            </w:tcBorders>
          </w:tcPr>
          <w:p w14:paraId="123AC683">
            <w:pPr>
              <w:rPr>
                <w:rFonts w:ascii="Arial"/>
                <w:color w:val="auto"/>
                <w:highlight w:val="none"/>
              </w:rPr>
            </w:pPr>
          </w:p>
        </w:tc>
        <w:tc>
          <w:tcPr>
            <w:tcW w:w="1166" w:type="dxa"/>
            <w:vMerge w:val="continue"/>
            <w:tcBorders>
              <w:top w:val="nil"/>
              <w:bottom w:val="nil"/>
            </w:tcBorders>
          </w:tcPr>
          <w:p w14:paraId="73DE5DD0">
            <w:pPr>
              <w:rPr>
                <w:rFonts w:ascii="Arial"/>
                <w:color w:val="auto"/>
                <w:highlight w:val="none"/>
              </w:rPr>
            </w:pPr>
          </w:p>
        </w:tc>
        <w:tc>
          <w:tcPr>
            <w:tcW w:w="1799" w:type="dxa"/>
            <w:vMerge w:val="continue"/>
            <w:tcBorders>
              <w:top w:val="nil"/>
              <w:bottom w:val="nil"/>
            </w:tcBorders>
          </w:tcPr>
          <w:p w14:paraId="34C1E6AE">
            <w:pPr>
              <w:rPr>
                <w:rFonts w:ascii="Arial"/>
                <w:color w:val="auto"/>
                <w:highlight w:val="none"/>
              </w:rPr>
            </w:pPr>
          </w:p>
        </w:tc>
        <w:tc>
          <w:tcPr>
            <w:tcW w:w="1914" w:type="dxa"/>
          </w:tcPr>
          <w:p w14:paraId="0DBB6D44">
            <w:pPr>
              <w:spacing w:line="248" w:lineRule="auto"/>
              <w:rPr>
                <w:rFonts w:ascii="Arial"/>
                <w:color w:val="auto"/>
                <w:highlight w:val="none"/>
              </w:rPr>
            </w:pPr>
          </w:p>
          <w:p w14:paraId="6A5B8B30">
            <w:pPr>
              <w:pStyle w:val="935"/>
              <w:spacing w:before="62" w:line="229" w:lineRule="auto"/>
              <w:ind w:left="20"/>
              <w:rPr>
                <w:rFonts w:hint="eastAsia"/>
                <w:color w:val="auto"/>
                <w:highlight w:val="none"/>
              </w:rPr>
            </w:pPr>
            <w:r>
              <w:rPr>
                <w:color w:val="auto"/>
                <w:spacing w:val="7"/>
                <w:highlight w:val="none"/>
              </w:rPr>
              <w:t>热泵热水器</w:t>
            </w:r>
          </w:p>
        </w:tc>
        <w:tc>
          <w:tcPr>
            <w:tcW w:w="2969" w:type="dxa"/>
          </w:tcPr>
          <w:p w14:paraId="54F7A733">
            <w:pPr>
              <w:pStyle w:val="935"/>
              <w:spacing w:before="156" w:line="288" w:lineRule="auto"/>
              <w:ind w:left="25" w:right="13" w:hanging="2"/>
              <w:rPr>
                <w:rFonts w:hint="eastAsia"/>
                <w:color w:val="auto"/>
                <w:highlight w:val="none"/>
                <w:lang w:eastAsia="zh-CN"/>
              </w:rPr>
            </w:pPr>
            <w:r>
              <w:rPr>
                <w:color w:val="auto"/>
                <w:spacing w:val="5"/>
                <w:highlight w:val="none"/>
                <w:lang w:eastAsia="zh-CN"/>
              </w:rPr>
              <w:t>《热泵热水机（器）能效限定值及</w:t>
            </w:r>
            <w:r>
              <w:rPr>
                <w:color w:val="auto"/>
                <w:spacing w:val="1"/>
                <w:highlight w:val="none"/>
                <w:lang w:eastAsia="zh-CN"/>
              </w:rPr>
              <w:t xml:space="preserve"> </w:t>
            </w:r>
            <w:r>
              <w:rPr>
                <w:color w:val="auto"/>
                <w:spacing w:val="6"/>
                <w:highlight w:val="none"/>
                <w:lang w:eastAsia="zh-CN"/>
              </w:rPr>
              <w:t>能效等级》（</w:t>
            </w:r>
            <w:r>
              <w:rPr>
                <w:color w:val="auto"/>
                <w:highlight w:val="none"/>
                <w:lang w:eastAsia="zh-CN"/>
              </w:rPr>
              <w:t>GB</w:t>
            </w:r>
            <w:r>
              <w:rPr>
                <w:color w:val="auto"/>
                <w:spacing w:val="6"/>
                <w:highlight w:val="none"/>
                <w:lang w:eastAsia="zh-CN"/>
              </w:rPr>
              <w:t xml:space="preserve"> 29541）</w:t>
            </w:r>
          </w:p>
        </w:tc>
      </w:tr>
      <w:tr w14:paraId="660D2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vMerge w:val="continue"/>
            <w:tcBorders>
              <w:top w:val="nil"/>
            </w:tcBorders>
          </w:tcPr>
          <w:p w14:paraId="216B336B">
            <w:pPr>
              <w:rPr>
                <w:rFonts w:ascii="Arial"/>
                <w:color w:val="auto"/>
                <w:highlight w:val="none"/>
              </w:rPr>
            </w:pPr>
          </w:p>
        </w:tc>
        <w:tc>
          <w:tcPr>
            <w:tcW w:w="1166" w:type="dxa"/>
            <w:vMerge w:val="continue"/>
            <w:tcBorders>
              <w:top w:val="nil"/>
            </w:tcBorders>
          </w:tcPr>
          <w:p w14:paraId="28A05542">
            <w:pPr>
              <w:rPr>
                <w:rFonts w:ascii="Arial"/>
                <w:color w:val="auto"/>
                <w:highlight w:val="none"/>
              </w:rPr>
            </w:pPr>
          </w:p>
        </w:tc>
        <w:tc>
          <w:tcPr>
            <w:tcW w:w="1799" w:type="dxa"/>
            <w:vMerge w:val="continue"/>
            <w:tcBorders>
              <w:top w:val="nil"/>
            </w:tcBorders>
          </w:tcPr>
          <w:p w14:paraId="29F38019">
            <w:pPr>
              <w:rPr>
                <w:rFonts w:ascii="Arial"/>
                <w:color w:val="auto"/>
                <w:highlight w:val="none"/>
              </w:rPr>
            </w:pPr>
          </w:p>
        </w:tc>
        <w:tc>
          <w:tcPr>
            <w:tcW w:w="1914" w:type="dxa"/>
          </w:tcPr>
          <w:p w14:paraId="7D85FE9E">
            <w:pPr>
              <w:pStyle w:val="935"/>
              <w:spacing w:before="271" w:line="229" w:lineRule="auto"/>
              <w:ind w:left="16"/>
              <w:rPr>
                <w:rFonts w:hint="eastAsia"/>
                <w:color w:val="auto"/>
                <w:highlight w:val="none"/>
              </w:rPr>
            </w:pPr>
            <w:r>
              <w:rPr>
                <w:color w:val="auto"/>
                <w:spacing w:val="8"/>
                <w:highlight w:val="none"/>
              </w:rPr>
              <w:t>太阳能热水系统</w:t>
            </w:r>
          </w:p>
        </w:tc>
        <w:tc>
          <w:tcPr>
            <w:tcW w:w="2969" w:type="dxa"/>
          </w:tcPr>
          <w:p w14:paraId="1885F4CD">
            <w:pPr>
              <w:pStyle w:val="935"/>
              <w:spacing w:before="116" w:line="288" w:lineRule="auto"/>
              <w:ind w:left="17" w:right="11" w:firstLine="5"/>
              <w:rPr>
                <w:rFonts w:hint="eastAsia"/>
                <w:color w:val="auto"/>
                <w:highlight w:val="none"/>
                <w:lang w:eastAsia="zh-CN"/>
              </w:rPr>
            </w:pPr>
            <w:r>
              <w:rPr>
                <w:color w:val="auto"/>
                <w:spacing w:val="19"/>
                <w:highlight w:val="none"/>
                <w:lang w:eastAsia="zh-CN"/>
              </w:rPr>
              <w:t>《家用太阳能热水系统能效限定</w:t>
            </w:r>
            <w:r>
              <w:rPr>
                <w:color w:val="auto"/>
                <w:spacing w:val="2"/>
                <w:highlight w:val="none"/>
                <w:lang w:eastAsia="zh-CN"/>
              </w:rPr>
              <w:t xml:space="preserve"> </w:t>
            </w:r>
            <w:r>
              <w:rPr>
                <w:color w:val="auto"/>
                <w:spacing w:val="7"/>
                <w:highlight w:val="none"/>
                <w:lang w:eastAsia="zh-CN"/>
              </w:rPr>
              <w:t>值及能效等级》（</w:t>
            </w:r>
            <w:r>
              <w:rPr>
                <w:color w:val="auto"/>
                <w:highlight w:val="none"/>
                <w:lang w:eastAsia="zh-CN"/>
              </w:rPr>
              <w:t>GB</w:t>
            </w:r>
            <w:r>
              <w:rPr>
                <w:color w:val="auto"/>
                <w:spacing w:val="7"/>
                <w:highlight w:val="none"/>
                <w:lang w:eastAsia="zh-CN"/>
              </w:rPr>
              <w:t xml:space="preserve"> 26969）</w:t>
            </w:r>
          </w:p>
        </w:tc>
      </w:tr>
      <w:tr w14:paraId="30B77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jc w:val="center"/>
        </w:trPr>
        <w:tc>
          <w:tcPr>
            <w:tcW w:w="578" w:type="dxa"/>
            <w:vMerge w:val="restart"/>
            <w:tcBorders>
              <w:bottom w:val="nil"/>
            </w:tcBorders>
          </w:tcPr>
          <w:p w14:paraId="222900E9">
            <w:pPr>
              <w:spacing w:line="274" w:lineRule="auto"/>
              <w:rPr>
                <w:rFonts w:ascii="Arial"/>
                <w:color w:val="auto"/>
                <w:highlight w:val="none"/>
              </w:rPr>
            </w:pPr>
          </w:p>
          <w:p w14:paraId="1A14BABF">
            <w:pPr>
              <w:spacing w:line="274" w:lineRule="auto"/>
              <w:rPr>
                <w:rFonts w:ascii="Arial"/>
                <w:color w:val="auto"/>
                <w:highlight w:val="none"/>
              </w:rPr>
            </w:pPr>
          </w:p>
          <w:p w14:paraId="284CEB88">
            <w:pPr>
              <w:spacing w:line="274" w:lineRule="auto"/>
              <w:rPr>
                <w:rFonts w:ascii="Arial"/>
                <w:color w:val="auto"/>
                <w:highlight w:val="none"/>
              </w:rPr>
            </w:pPr>
          </w:p>
          <w:p w14:paraId="29F49873">
            <w:pPr>
              <w:spacing w:line="274" w:lineRule="auto"/>
              <w:rPr>
                <w:rFonts w:ascii="Arial"/>
                <w:color w:val="auto"/>
                <w:highlight w:val="none"/>
              </w:rPr>
            </w:pPr>
          </w:p>
          <w:p w14:paraId="278937AA">
            <w:pPr>
              <w:spacing w:line="274" w:lineRule="auto"/>
              <w:rPr>
                <w:rFonts w:ascii="Arial"/>
                <w:color w:val="auto"/>
                <w:highlight w:val="none"/>
              </w:rPr>
            </w:pPr>
          </w:p>
          <w:p w14:paraId="56293DF6">
            <w:pPr>
              <w:spacing w:line="274" w:lineRule="auto"/>
              <w:rPr>
                <w:rFonts w:ascii="Arial"/>
                <w:color w:val="auto"/>
                <w:highlight w:val="none"/>
              </w:rPr>
            </w:pPr>
          </w:p>
          <w:p w14:paraId="073AF1F8">
            <w:pPr>
              <w:pStyle w:val="935"/>
              <w:spacing w:before="62" w:line="190" w:lineRule="auto"/>
              <w:ind w:left="209"/>
              <w:rPr>
                <w:rFonts w:hint="eastAsia"/>
                <w:color w:val="auto"/>
                <w:highlight w:val="none"/>
              </w:rPr>
            </w:pPr>
            <w:r>
              <w:rPr>
                <w:color w:val="auto"/>
                <w:spacing w:val="-7"/>
                <w:highlight w:val="none"/>
              </w:rPr>
              <w:t>11</w:t>
            </w:r>
          </w:p>
        </w:tc>
        <w:tc>
          <w:tcPr>
            <w:tcW w:w="1166" w:type="dxa"/>
            <w:vMerge w:val="restart"/>
            <w:tcBorders>
              <w:bottom w:val="nil"/>
            </w:tcBorders>
          </w:tcPr>
          <w:p w14:paraId="7B616446">
            <w:pPr>
              <w:spacing w:line="243" w:lineRule="auto"/>
              <w:rPr>
                <w:rFonts w:ascii="Arial"/>
                <w:color w:val="auto"/>
                <w:highlight w:val="none"/>
              </w:rPr>
            </w:pPr>
          </w:p>
          <w:p w14:paraId="6250BF93">
            <w:pPr>
              <w:spacing w:line="243" w:lineRule="auto"/>
              <w:rPr>
                <w:rFonts w:ascii="Arial"/>
                <w:color w:val="auto"/>
                <w:highlight w:val="none"/>
              </w:rPr>
            </w:pPr>
          </w:p>
          <w:p w14:paraId="4ED244D7">
            <w:pPr>
              <w:spacing w:line="243" w:lineRule="auto"/>
              <w:rPr>
                <w:rFonts w:ascii="Arial"/>
                <w:color w:val="auto"/>
                <w:highlight w:val="none"/>
              </w:rPr>
            </w:pPr>
          </w:p>
          <w:p w14:paraId="73A7CF28">
            <w:pPr>
              <w:spacing w:line="243" w:lineRule="auto"/>
              <w:rPr>
                <w:rFonts w:ascii="Arial"/>
                <w:color w:val="auto"/>
                <w:highlight w:val="none"/>
              </w:rPr>
            </w:pPr>
          </w:p>
          <w:p w14:paraId="07C336AF">
            <w:pPr>
              <w:spacing w:line="243" w:lineRule="auto"/>
              <w:rPr>
                <w:rFonts w:ascii="Arial"/>
                <w:color w:val="auto"/>
                <w:highlight w:val="none"/>
              </w:rPr>
            </w:pPr>
          </w:p>
          <w:p w14:paraId="67158282">
            <w:pPr>
              <w:spacing w:line="243" w:lineRule="auto"/>
              <w:rPr>
                <w:rFonts w:ascii="Arial"/>
                <w:color w:val="auto"/>
                <w:highlight w:val="none"/>
              </w:rPr>
            </w:pPr>
          </w:p>
          <w:p w14:paraId="3F3C9223">
            <w:pPr>
              <w:pStyle w:val="935"/>
              <w:spacing w:before="62" w:line="289" w:lineRule="auto"/>
              <w:ind w:left="18" w:right="8" w:hanging="9"/>
              <w:rPr>
                <w:rFonts w:hint="eastAsia"/>
                <w:color w:val="auto"/>
                <w:highlight w:val="none"/>
              </w:rPr>
            </w:pPr>
            <w:r>
              <w:rPr>
                <w:color w:val="auto"/>
                <w:spacing w:val="5"/>
                <w:highlight w:val="none"/>
              </w:rPr>
              <w:t>A020619</w:t>
            </w:r>
            <w:r>
              <w:rPr>
                <w:color w:val="auto"/>
                <w:spacing w:val="-43"/>
                <w:highlight w:val="none"/>
              </w:rPr>
              <w:t xml:space="preserve"> </w:t>
            </w:r>
            <w:r>
              <w:rPr>
                <w:color w:val="auto"/>
                <w:spacing w:val="5"/>
                <w:highlight w:val="none"/>
              </w:rPr>
              <w:t>照明</w:t>
            </w:r>
            <w:r>
              <w:rPr>
                <w:color w:val="auto"/>
                <w:highlight w:val="none"/>
              </w:rPr>
              <w:t xml:space="preserve"> </w:t>
            </w:r>
            <w:r>
              <w:rPr>
                <w:color w:val="auto"/>
                <w:spacing w:val="3"/>
                <w:highlight w:val="none"/>
              </w:rPr>
              <w:t>设备</w:t>
            </w:r>
          </w:p>
        </w:tc>
        <w:tc>
          <w:tcPr>
            <w:tcW w:w="1799" w:type="dxa"/>
          </w:tcPr>
          <w:p w14:paraId="11BF2B8C">
            <w:pPr>
              <w:pStyle w:val="935"/>
              <w:spacing w:before="198" w:line="288" w:lineRule="auto"/>
              <w:ind w:left="20" w:right="12" w:hanging="2"/>
              <w:rPr>
                <w:rFonts w:hint="eastAsia"/>
                <w:color w:val="auto"/>
                <w:highlight w:val="none"/>
                <w:lang w:eastAsia="zh-CN"/>
              </w:rPr>
            </w:pPr>
            <w:r>
              <w:rPr>
                <w:color w:val="auto"/>
                <w:spacing w:val="19"/>
                <w:highlight w:val="none"/>
                <w:lang w:eastAsia="zh-CN"/>
              </w:rPr>
              <w:t>★</w:t>
            </w:r>
            <w:r>
              <w:rPr>
                <w:color w:val="auto"/>
                <w:spacing w:val="-59"/>
                <w:highlight w:val="none"/>
                <w:lang w:eastAsia="zh-CN"/>
              </w:rPr>
              <w:t xml:space="preserve"> </w:t>
            </w:r>
            <w:r>
              <w:rPr>
                <w:color w:val="auto"/>
                <w:spacing w:val="19"/>
                <w:highlight w:val="none"/>
                <w:lang w:eastAsia="zh-CN"/>
              </w:rPr>
              <w:t>普通照</w:t>
            </w:r>
            <w:r>
              <w:rPr>
                <w:color w:val="auto"/>
                <w:spacing w:val="-42"/>
                <w:highlight w:val="none"/>
                <w:lang w:eastAsia="zh-CN"/>
              </w:rPr>
              <w:t xml:space="preserve"> </w:t>
            </w:r>
            <w:r>
              <w:rPr>
                <w:color w:val="auto"/>
                <w:spacing w:val="19"/>
                <w:highlight w:val="none"/>
                <w:lang w:eastAsia="zh-CN"/>
              </w:rPr>
              <w:t>明用双端</w:t>
            </w:r>
            <w:r>
              <w:rPr>
                <w:color w:val="auto"/>
                <w:highlight w:val="none"/>
                <w:lang w:eastAsia="zh-CN"/>
              </w:rPr>
              <w:t xml:space="preserve"> </w:t>
            </w:r>
            <w:r>
              <w:rPr>
                <w:color w:val="auto"/>
                <w:spacing w:val="4"/>
                <w:highlight w:val="none"/>
                <w:lang w:eastAsia="zh-CN"/>
              </w:rPr>
              <w:t>荧光灯</w:t>
            </w:r>
          </w:p>
        </w:tc>
        <w:tc>
          <w:tcPr>
            <w:tcW w:w="1914" w:type="dxa"/>
          </w:tcPr>
          <w:p w14:paraId="6DF663BC">
            <w:pPr>
              <w:rPr>
                <w:rFonts w:ascii="Arial"/>
                <w:color w:val="auto"/>
                <w:highlight w:val="none"/>
              </w:rPr>
            </w:pPr>
          </w:p>
        </w:tc>
        <w:tc>
          <w:tcPr>
            <w:tcW w:w="2969" w:type="dxa"/>
          </w:tcPr>
          <w:p w14:paraId="205D273F">
            <w:pPr>
              <w:pStyle w:val="935"/>
              <w:spacing w:before="198" w:line="288" w:lineRule="auto"/>
              <w:ind w:left="22" w:right="11"/>
              <w:rPr>
                <w:rFonts w:hint="eastAsia"/>
                <w:color w:val="auto"/>
                <w:highlight w:val="none"/>
                <w:lang w:eastAsia="zh-CN"/>
              </w:rPr>
            </w:pPr>
            <w:r>
              <w:rPr>
                <w:color w:val="auto"/>
                <w:spacing w:val="19"/>
                <w:highlight w:val="none"/>
                <w:lang w:eastAsia="zh-CN"/>
              </w:rPr>
              <w:t>《普通照明用双端荧光灯能效限</w:t>
            </w:r>
            <w:r>
              <w:rPr>
                <w:color w:val="auto"/>
                <w:spacing w:val="2"/>
                <w:highlight w:val="none"/>
                <w:lang w:eastAsia="zh-CN"/>
              </w:rPr>
              <w:t xml:space="preserve"> </w:t>
            </w:r>
            <w:r>
              <w:rPr>
                <w:color w:val="auto"/>
                <w:spacing w:val="5"/>
                <w:highlight w:val="none"/>
                <w:lang w:eastAsia="zh-CN"/>
              </w:rPr>
              <w:t>定值及能效等级》（</w:t>
            </w:r>
            <w:r>
              <w:rPr>
                <w:color w:val="auto"/>
                <w:highlight w:val="none"/>
                <w:lang w:eastAsia="zh-CN"/>
              </w:rPr>
              <w:t>GB</w:t>
            </w:r>
            <w:r>
              <w:rPr>
                <w:color w:val="auto"/>
                <w:spacing w:val="42"/>
                <w:highlight w:val="none"/>
                <w:lang w:eastAsia="zh-CN"/>
              </w:rPr>
              <w:t xml:space="preserve"> </w:t>
            </w:r>
            <w:r>
              <w:rPr>
                <w:color w:val="auto"/>
                <w:spacing w:val="5"/>
                <w:highlight w:val="none"/>
                <w:lang w:eastAsia="zh-CN"/>
              </w:rPr>
              <w:t>19043）</w:t>
            </w:r>
          </w:p>
        </w:tc>
      </w:tr>
      <w:tr w14:paraId="23AD1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jc w:val="center"/>
        </w:trPr>
        <w:tc>
          <w:tcPr>
            <w:tcW w:w="578" w:type="dxa"/>
            <w:vMerge w:val="continue"/>
            <w:tcBorders>
              <w:top w:val="nil"/>
              <w:bottom w:val="nil"/>
            </w:tcBorders>
          </w:tcPr>
          <w:p w14:paraId="086E7AC8">
            <w:pPr>
              <w:rPr>
                <w:rFonts w:ascii="Arial"/>
                <w:color w:val="auto"/>
                <w:highlight w:val="none"/>
              </w:rPr>
            </w:pPr>
          </w:p>
        </w:tc>
        <w:tc>
          <w:tcPr>
            <w:tcW w:w="1166" w:type="dxa"/>
            <w:vMerge w:val="continue"/>
            <w:tcBorders>
              <w:top w:val="nil"/>
              <w:bottom w:val="nil"/>
            </w:tcBorders>
          </w:tcPr>
          <w:p w14:paraId="11690122">
            <w:pPr>
              <w:rPr>
                <w:rFonts w:ascii="Arial"/>
                <w:color w:val="auto"/>
                <w:highlight w:val="none"/>
              </w:rPr>
            </w:pPr>
          </w:p>
        </w:tc>
        <w:tc>
          <w:tcPr>
            <w:tcW w:w="1799" w:type="dxa"/>
          </w:tcPr>
          <w:p w14:paraId="045D2ADB">
            <w:pPr>
              <w:pStyle w:val="935"/>
              <w:spacing w:before="158" w:line="288" w:lineRule="auto"/>
              <w:ind w:left="14" w:right="7" w:hanging="1"/>
              <w:rPr>
                <w:rFonts w:hint="eastAsia"/>
                <w:color w:val="auto"/>
                <w:highlight w:val="none"/>
              </w:rPr>
            </w:pPr>
            <w:r>
              <w:rPr>
                <w:color w:val="auto"/>
                <w:highlight w:val="none"/>
              </w:rPr>
              <w:t>LED</w:t>
            </w:r>
            <w:r>
              <w:rPr>
                <w:color w:val="auto"/>
                <w:spacing w:val="23"/>
                <w:highlight w:val="none"/>
              </w:rPr>
              <w:t xml:space="preserve"> </w:t>
            </w:r>
            <w:r>
              <w:rPr>
                <w:color w:val="auto"/>
                <w:spacing w:val="19"/>
                <w:highlight w:val="none"/>
              </w:rPr>
              <w:t>道路/隧道照明</w:t>
            </w:r>
            <w:r>
              <w:rPr>
                <w:color w:val="auto"/>
                <w:highlight w:val="none"/>
              </w:rPr>
              <w:t xml:space="preserve"> </w:t>
            </w:r>
            <w:r>
              <w:rPr>
                <w:color w:val="auto"/>
                <w:spacing w:val="5"/>
                <w:highlight w:val="none"/>
              </w:rPr>
              <w:t>产品</w:t>
            </w:r>
          </w:p>
        </w:tc>
        <w:tc>
          <w:tcPr>
            <w:tcW w:w="1914" w:type="dxa"/>
          </w:tcPr>
          <w:p w14:paraId="0541BB33">
            <w:pPr>
              <w:rPr>
                <w:rFonts w:ascii="Arial"/>
                <w:color w:val="auto"/>
                <w:highlight w:val="none"/>
              </w:rPr>
            </w:pPr>
          </w:p>
        </w:tc>
        <w:tc>
          <w:tcPr>
            <w:tcW w:w="2969" w:type="dxa"/>
          </w:tcPr>
          <w:p w14:paraId="45B74A60">
            <w:pPr>
              <w:pStyle w:val="935"/>
              <w:spacing w:before="158" w:line="288" w:lineRule="auto"/>
              <w:ind w:left="22"/>
              <w:rPr>
                <w:rFonts w:hint="eastAsia"/>
                <w:color w:val="auto"/>
                <w:highlight w:val="none"/>
              </w:rPr>
            </w:pPr>
            <w:r>
              <w:rPr>
                <w:color w:val="auto"/>
                <w:spacing w:val="7"/>
                <w:highlight w:val="none"/>
              </w:rPr>
              <w:t xml:space="preserve">《道路和隧道照明用 </w:t>
            </w:r>
            <w:r>
              <w:rPr>
                <w:color w:val="auto"/>
                <w:highlight w:val="none"/>
              </w:rPr>
              <w:t>LED</w:t>
            </w:r>
            <w:r>
              <w:rPr>
                <w:color w:val="auto"/>
                <w:spacing w:val="7"/>
                <w:highlight w:val="none"/>
              </w:rPr>
              <w:t xml:space="preserve"> 灯具能</w:t>
            </w:r>
            <w:r>
              <w:rPr>
                <w:color w:val="auto"/>
                <w:highlight w:val="none"/>
              </w:rPr>
              <w:t xml:space="preserve">  </w:t>
            </w:r>
            <w:r>
              <w:rPr>
                <w:color w:val="auto"/>
                <w:spacing w:val="-4"/>
                <w:highlight w:val="none"/>
              </w:rPr>
              <w:t>效限定值及能效等级》（GB</w:t>
            </w:r>
            <w:r>
              <w:rPr>
                <w:color w:val="auto"/>
                <w:spacing w:val="-24"/>
                <w:highlight w:val="none"/>
              </w:rPr>
              <w:t xml:space="preserve"> </w:t>
            </w:r>
            <w:r>
              <w:rPr>
                <w:color w:val="auto"/>
                <w:spacing w:val="-4"/>
                <w:highlight w:val="none"/>
              </w:rPr>
              <w:t>37478）</w:t>
            </w:r>
          </w:p>
        </w:tc>
      </w:tr>
      <w:tr w14:paraId="6F2B1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jc w:val="center"/>
        </w:trPr>
        <w:tc>
          <w:tcPr>
            <w:tcW w:w="578" w:type="dxa"/>
            <w:vMerge w:val="continue"/>
            <w:tcBorders>
              <w:top w:val="nil"/>
              <w:bottom w:val="nil"/>
            </w:tcBorders>
          </w:tcPr>
          <w:p w14:paraId="4346A6BD">
            <w:pPr>
              <w:rPr>
                <w:rFonts w:ascii="Arial"/>
                <w:color w:val="auto"/>
                <w:highlight w:val="none"/>
              </w:rPr>
            </w:pPr>
          </w:p>
        </w:tc>
        <w:tc>
          <w:tcPr>
            <w:tcW w:w="1166" w:type="dxa"/>
            <w:vMerge w:val="continue"/>
            <w:tcBorders>
              <w:top w:val="nil"/>
              <w:bottom w:val="nil"/>
            </w:tcBorders>
          </w:tcPr>
          <w:p w14:paraId="08777FBF">
            <w:pPr>
              <w:rPr>
                <w:rFonts w:ascii="Arial"/>
                <w:color w:val="auto"/>
                <w:highlight w:val="none"/>
              </w:rPr>
            </w:pPr>
          </w:p>
        </w:tc>
        <w:tc>
          <w:tcPr>
            <w:tcW w:w="1799" w:type="dxa"/>
          </w:tcPr>
          <w:p w14:paraId="6B6C891E">
            <w:pPr>
              <w:rPr>
                <w:rFonts w:ascii="Arial"/>
                <w:color w:val="auto"/>
                <w:highlight w:val="none"/>
              </w:rPr>
            </w:pPr>
          </w:p>
          <w:p w14:paraId="3DD52FB9">
            <w:pPr>
              <w:pStyle w:val="935"/>
              <w:spacing w:before="62" w:line="229" w:lineRule="auto"/>
              <w:ind w:left="13"/>
              <w:rPr>
                <w:rFonts w:hint="eastAsia"/>
                <w:color w:val="auto"/>
                <w:highlight w:val="none"/>
              </w:rPr>
            </w:pPr>
            <w:r>
              <w:rPr>
                <w:color w:val="auto"/>
                <w:highlight w:val="none"/>
              </w:rPr>
              <w:t>LED</w:t>
            </w:r>
            <w:r>
              <w:rPr>
                <w:color w:val="auto"/>
                <w:spacing w:val="-32"/>
                <w:highlight w:val="none"/>
              </w:rPr>
              <w:t xml:space="preserve"> </w:t>
            </w:r>
            <w:r>
              <w:rPr>
                <w:color w:val="auto"/>
                <w:spacing w:val="8"/>
                <w:highlight w:val="none"/>
              </w:rPr>
              <w:t>筒灯</w:t>
            </w:r>
          </w:p>
        </w:tc>
        <w:tc>
          <w:tcPr>
            <w:tcW w:w="1914" w:type="dxa"/>
          </w:tcPr>
          <w:p w14:paraId="36948E5F">
            <w:pPr>
              <w:rPr>
                <w:rFonts w:ascii="Arial"/>
                <w:color w:val="auto"/>
                <w:highlight w:val="none"/>
              </w:rPr>
            </w:pPr>
          </w:p>
        </w:tc>
        <w:tc>
          <w:tcPr>
            <w:tcW w:w="2969" w:type="dxa"/>
          </w:tcPr>
          <w:p w14:paraId="7C2694E5">
            <w:pPr>
              <w:pStyle w:val="935"/>
              <w:spacing w:before="148" w:line="288" w:lineRule="auto"/>
              <w:ind w:left="17" w:right="13" w:firstLine="5"/>
              <w:rPr>
                <w:rFonts w:hint="eastAsia"/>
                <w:color w:val="auto"/>
                <w:highlight w:val="none"/>
              </w:rPr>
            </w:pPr>
            <w:r>
              <w:rPr>
                <w:color w:val="auto"/>
                <w:spacing w:val="12"/>
                <w:highlight w:val="none"/>
              </w:rPr>
              <w:t xml:space="preserve">《室内照明用 </w:t>
            </w:r>
            <w:r>
              <w:rPr>
                <w:color w:val="auto"/>
                <w:highlight w:val="none"/>
              </w:rPr>
              <w:t>LED</w:t>
            </w:r>
            <w:r>
              <w:rPr>
                <w:color w:val="auto"/>
                <w:spacing w:val="12"/>
                <w:highlight w:val="none"/>
              </w:rPr>
              <w:t xml:space="preserve"> 产品能效限定</w:t>
            </w:r>
            <w:r>
              <w:rPr>
                <w:color w:val="auto"/>
                <w:spacing w:val="2"/>
                <w:highlight w:val="none"/>
              </w:rPr>
              <w:t xml:space="preserve"> </w:t>
            </w:r>
            <w:r>
              <w:rPr>
                <w:color w:val="auto"/>
                <w:spacing w:val="7"/>
                <w:highlight w:val="none"/>
              </w:rPr>
              <w:t>值及能效等级》（</w:t>
            </w:r>
            <w:r>
              <w:rPr>
                <w:color w:val="auto"/>
                <w:highlight w:val="none"/>
              </w:rPr>
              <w:t>GB</w:t>
            </w:r>
            <w:r>
              <w:rPr>
                <w:color w:val="auto"/>
                <w:spacing w:val="7"/>
                <w:highlight w:val="none"/>
              </w:rPr>
              <w:t xml:space="preserve"> 30255）</w:t>
            </w:r>
          </w:p>
        </w:tc>
      </w:tr>
      <w:tr w14:paraId="1828C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jc w:val="center"/>
        </w:trPr>
        <w:tc>
          <w:tcPr>
            <w:tcW w:w="578" w:type="dxa"/>
            <w:vMerge w:val="continue"/>
            <w:tcBorders>
              <w:top w:val="nil"/>
            </w:tcBorders>
          </w:tcPr>
          <w:p w14:paraId="627ED9D5">
            <w:pPr>
              <w:rPr>
                <w:rFonts w:ascii="Arial"/>
                <w:color w:val="auto"/>
                <w:highlight w:val="none"/>
              </w:rPr>
            </w:pPr>
          </w:p>
        </w:tc>
        <w:tc>
          <w:tcPr>
            <w:tcW w:w="1166" w:type="dxa"/>
            <w:vMerge w:val="continue"/>
            <w:tcBorders>
              <w:top w:val="nil"/>
            </w:tcBorders>
          </w:tcPr>
          <w:p w14:paraId="3777B9D7">
            <w:pPr>
              <w:rPr>
                <w:rFonts w:ascii="Arial"/>
                <w:color w:val="auto"/>
                <w:highlight w:val="none"/>
              </w:rPr>
            </w:pPr>
          </w:p>
        </w:tc>
        <w:tc>
          <w:tcPr>
            <w:tcW w:w="1799" w:type="dxa"/>
          </w:tcPr>
          <w:p w14:paraId="07213172">
            <w:pPr>
              <w:pStyle w:val="935"/>
              <w:spacing w:before="265" w:line="288" w:lineRule="auto"/>
              <w:ind w:left="47" w:right="12" w:hanging="33"/>
              <w:rPr>
                <w:rFonts w:hint="eastAsia"/>
                <w:color w:val="auto"/>
                <w:highlight w:val="none"/>
              </w:rPr>
            </w:pPr>
            <w:r>
              <w:rPr>
                <w:color w:val="auto"/>
                <w:spacing w:val="30"/>
                <w:highlight w:val="none"/>
              </w:rPr>
              <w:t>普通照明用非定向</w:t>
            </w:r>
            <w:r>
              <w:rPr>
                <w:color w:val="auto"/>
                <w:spacing w:val="5"/>
                <w:highlight w:val="none"/>
              </w:rPr>
              <w:t xml:space="preserve"> </w:t>
            </w:r>
            <w:r>
              <w:rPr>
                <w:color w:val="auto"/>
                <w:spacing w:val="-1"/>
                <w:highlight w:val="none"/>
              </w:rPr>
              <w:t>自镇流</w:t>
            </w:r>
            <w:r>
              <w:rPr>
                <w:color w:val="auto"/>
                <w:spacing w:val="-33"/>
                <w:highlight w:val="none"/>
              </w:rPr>
              <w:t xml:space="preserve"> </w:t>
            </w:r>
            <w:r>
              <w:rPr>
                <w:color w:val="auto"/>
                <w:spacing w:val="-1"/>
                <w:highlight w:val="none"/>
              </w:rPr>
              <w:t>LED</w:t>
            </w:r>
            <w:r>
              <w:rPr>
                <w:color w:val="auto"/>
                <w:spacing w:val="-37"/>
                <w:highlight w:val="none"/>
              </w:rPr>
              <w:t xml:space="preserve"> </w:t>
            </w:r>
            <w:r>
              <w:rPr>
                <w:color w:val="auto"/>
                <w:spacing w:val="-1"/>
                <w:highlight w:val="none"/>
              </w:rPr>
              <w:t>灯</w:t>
            </w:r>
          </w:p>
        </w:tc>
        <w:tc>
          <w:tcPr>
            <w:tcW w:w="1914" w:type="dxa"/>
          </w:tcPr>
          <w:p w14:paraId="1F7288B4">
            <w:pPr>
              <w:rPr>
                <w:rFonts w:ascii="Arial"/>
                <w:color w:val="auto"/>
                <w:highlight w:val="none"/>
              </w:rPr>
            </w:pPr>
          </w:p>
        </w:tc>
        <w:tc>
          <w:tcPr>
            <w:tcW w:w="2969" w:type="dxa"/>
          </w:tcPr>
          <w:p w14:paraId="07F33444">
            <w:pPr>
              <w:pStyle w:val="935"/>
              <w:spacing w:before="265" w:line="288" w:lineRule="auto"/>
              <w:ind w:left="17" w:right="13" w:firstLine="5"/>
              <w:rPr>
                <w:rFonts w:hint="eastAsia"/>
                <w:color w:val="auto"/>
                <w:highlight w:val="none"/>
              </w:rPr>
            </w:pPr>
            <w:r>
              <w:rPr>
                <w:color w:val="auto"/>
                <w:spacing w:val="12"/>
                <w:highlight w:val="none"/>
              </w:rPr>
              <w:t xml:space="preserve">《室内照明用 </w:t>
            </w:r>
            <w:r>
              <w:rPr>
                <w:color w:val="auto"/>
                <w:highlight w:val="none"/>
              </w:rPr>
              <w:t>LED</w:t>
            </w:r>
            <w:r>
              <w:rPr>
                <w:color w:val="auto"/>
                <w:spacing w:val="12"/>
                <w:highlight w:val="none"/>
              </w:rPr>
              <w:t xml:space="preserve"> 产品能效限定</w:t>
            </w:r>
            <w:r>
              <w:rPr>
                <w:color w:val="auto"/>
                <w:spacing w:val="2"/>
                <w:highlight w:val="none"/>
              </w:rPr>
              <w:t xml:space="preserve"> </w:t>
            </w:r>
            <w:r>
              <w:rPr>
                <w:color w:val="auto"/>
                <w:spacing w:val="7"/>
                <w:highlight w:val="none"/>
              </w:rPr>
              <w:t>值及能效等级》（</w:t>
            </w:r>
            <w:r>
              <w:rPr>
                <w:color w:val="auto"/>
                <w:highlight w:val="none"/>
              </w:rPr>
              <w:t>GB</w:t>
            </w:r>
            <w:r>
              <w:rPr>
                <w:color w:val="auto"/>
                <w:spacing w:val="7"/>
                <w:highlight w:val="none"/>
              </w:rPr>
              <w:t xml:space="preserve"> 30255）</w:t>
            </w:r>
          </w:p>
        </w:tc>
      </w:tr>
      <w:tr w14:paraId="11612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578" w:type="dxa"/>
          </w:tcPr>
          <w:p w14:paraId="6EF9255D">
            <w:pPr>
              <w:spacing w:line="268" w:lineRule="auto"/>
              <w:rPr>
                <w:rFonts w:ascii="Arial"/>
                <w:color w:val="auto"/>
                <w:highlight w:val="none"/>
              </w:rPr>
            </w:pPr>
          </w:p>
          <w:p w14:paraId="671B58E5">
            <w:pPr>
              <w:pStyle w:val="935"/>
              <w:spacing w:before="62" w:line="190" w:lineRule="auto"/>
              <w:ind w:left="209"/>
              <w:rPr>
                <w:rFonts w:hint="eastAsia"/>
                <w:color w:val="auto"/>
                <w:highlight w:val="none"/>
              </w:rPr>
            </w:pPr>
            <w:r>
              <w:rPr>
                <w:color w:val="auto"/>
                <w:spacing w:val="-7"/>
                <w:highlight w:val="none"/>
              </w:rPr>
              <w:t>12</w:t>
            </w:r>
          </w:p>
        </w:tc>
        <w:tc>
          <w:tcPr>
            <w:tcW w:w="1166" w:type="dxa"/>
          </w:tcPr>
          <w:p w14:paraId="1F2E29A0">
            <w:pPr>
              <w:pStyle w:val="935"/>
              <w:spacing w:before="144" w:line="289" w:lineRule="auto"/>
              <w:ind w:left="14" w:right="8" w:firstLine="3"/>
              <w:rPr>
                <w:rFonts w:hint="eastAsia"/>
                <w:color w:val="auto"/>
                <w:highlight w:val="none"/>
              </w:rPr>
            </w:pPr>
            <w:r>
              <w:rPr>
                <w:color w:val="auto"/>
                <w:spacing w:val="1"/>
                <w:highlight w:val="none"/>
              </w:rPr>
              <w:t>★A020910</w:t>
            </w:r>
            <w:r>
              <w:rPr>
                <w:color w:val="auto"/>
                <w:spacing w:val="-17"/>
                <w:highlight w:val="none"/>
              </w:rPr>
              <w:t xml:space="preserve"> </w:t>
            </w:r>
            <w:r>
              <w:rPr>
                <w:color w:val="auto"/>
                <w:spacing w:val="1"/>
                <w:highlight w:val="none"/>
              </w:rPr>
              <w:t>电</w:t>
            </w:r>
            <w:r>
              <w:rPr>
                <w:color w:val="auto"/>
                <w:highlight w:val="none"/>
              </w:rPr>
              <w:t xml:space="preserve"> </w:t>
            </w:r>
            <w:r>
              <w:rPr>
                <w:color w:val="auto"/>
                <w:spacing w:val="6"/>
                <w:highlight w:val="none"/>
              </w:rPr>
              <w:t>视设备</w:t>
            </w:r>
          </w:p>
        </w:tc>
        <w:tc>
          <w:tcPr>
            <w:tcW w:w="1799" w:type="dxa"/>
          </w:tcPr>
          <w:p w14:paraId="48FFB032">
            <w:pPr>
              <w:pStyle w:val="935"/>
              <w:spacing w:before="145" w:line="288" w:lineRule="auto"/>
              <w:ind w:left="18" w:right="10" w:hanging="9"/>
              <w:rPr>
                <w:rFonts w:hint="eastAsia"/>
                <w:color w:val="auto"/>
                <w:highlight w:val="none"/>
                <w:lang w:eastAsia="zh-CN"/>
              </w:rPr>
            </w:pPr>
            <w:r>
              <w:rPr>
                <w:color w:val="auto"/>
                <w:spacing w:val="4"/>
                <w:highlight w:val="none"/>
                <w:lang w:eastAsia="zh-CN"/>
              </w:rPr>
              <w:t>A02091001 普通电视</w:t>
            </w:r>
            <w:r>
              <w:rPr>
                <w:color w:val="auto"/>
                <w:spacing w:val="7"/>
                <w:highlight w:val="none"/>
                <w:lang w:eastAsia="zh-CN"/>
              </w:rPr>
              <w:t xml:space="preserve"> </w:t>
            </w:r>
            <w:r>
              <w:rPr>
                <w:color w:val="auto"/>
                <w:spacing w:val="6"/>
                <w:highlight w:val="none"/>
                <w:lang w:eastAsia="zh-CN"/>
              </w:rPr>
              <w:t>设备（电视机）</w:t>
            </w:r>
          </w:p>
        </w:tc>
        <w:tc>
          <w:tcPr>
            <w:tcW w:w="1914" w:type="dxa"/>
          </w:tcPr>
          <w:p w14:paraId="14175C89">
            <w:pPr>
              <w:rPr>
                <w:rFonts w:ascii="Arial"/>
                <w:color w:val="auto"/>
                <w:highlight w:val="none"/>
              </w:rPr>
            </w:pPr>
          </w:p>
        </w:tc>
        <w:tc>
          <w:tcPr>
            <w:tcW w:w="2969" w:type="dxa"/>
          </w:tcPr>
          <w:p w14:paraId="5F45BC99">
            <w:pPr>
              <w:pStyle w:val="935"/>
              <w:spacing w:before="146" w:line="289" w:lineRule="auto"/>
              <w:ind w:left="21" w:right="11" w:firstLine="2"/>
              <w:rPr>
                <w:rFonts w:hint="eastAsia"/>
                <w:color w:val="auto"/>
                <w:highlight w:val="none"/>
                <w:lang w:eastAsia="zh-CN"/>
              </w:rPr>
            </w:pPr>
            <w:r>
              <w:rPr>
                <w:color w:val="auto"/>
                <w:spacing w:val="19"/>
                <w:highlight w:val="none"/>
                <w:lang w:eastAsia="zh-CN"/>
              </w:rPr>
              <w:t>《平板电视能效限定值及能效等</w:t>
            </w:r>
            <w:r>
              <w:rPr>
                <w:color w:val="auto"/>
                <w:spacing w:val="2"/>
                <w:highlight w:val="none"/>
                <w:lang w:eastAsia="zh-CN"/>
              </w:rPr>
              <w:t xml:space="preserve"> </w:t>
            </w:r>
            <w:r>
              <w:rPr>
                <w:color w:val="auto"/>
                <w:spacing w:val="4"/>
                <w:highlight w:val="none"/>
                <w:lang w:eastAsia="zh-CN"/>
              </w:rPr>
              <w:t>级》（</w:t>
            </w:r>
            <w:r>
              <w:rPr>
                <w:color w:val="auto"/>
                <w:highlight w:val="none"/>
                <w:lang w:eastAsia="zh-CN"/>
              </w:rPr>
              <w:t>GB</w:t>
            </w:r>
            <w:r>
              <w:rPr>
                <w:color w:val="auto"/>
                <w:spacing w:val="23"/>
                <w:highlight w:val="none"/>
                <w:lang w:eastAsia="zh-CN"/>
              </w:rPr>
              <w:t xml:space="preserve"> </w:t>
            </w:r>
            <w:r>
              <w:rPr>
                <w:color w:val="auto"/>
                <w:spacing w:val="4"/>
                <w:highlight w:val="none"/>
                <w:lang w:eastAsia="zh-CN"/>
              </w:rPr>
              <w:t>24850）</w:t>
            </w:r>
          </w:p>
        </w:tc>
      </w:tr>
      <w:tr w14:paraId="21E34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jc w:val="center"/>
        </w:trPr>
        <w:tc>
          <w:tcPr>
            <w:tcW w:w="578" w:type="dxa"/>
          </w:tcPr>
          <w:p w14:paraId="5763432D">
            <w:pPr>
              <w:spacing w:line="279" w:lineRule="auto"/>
              <w:rPr>
                <w:rFonts w:ascii="Arial"/>
                <w:color w:val="auto"/>
                <w:highlight w:val="none"/>
              </w:rPr>
            </w:pPr>
          </w:p>
          <w:p w14:paraId="1615019F">
            <w:pPr>
              <w:spacing w:line="279" w:lineRule="auto"/>
              <w:rPr>
                <w:rFonts w:ascii="Arial"/>
                <w:color w:val="auto"/>
                <w:highlight w:val="none"/>
              </w:rPr>
            </w:pPr>
          </w:p>
          <w:p w14:paraId="3EEBF64C">
            <w:pPr>
              <w:spacing w:line="279" w:lineRule="auto"/>
              <w:rPr>
                <w:rFonts w:ascii="Arial"/>
                <w:color w:val="auto"/>
                <w:highlight w:val="none"/>
              </w:rPr>
            </w:pPr>
          </w:p>
          <w:p w14:paraId="7D548AA9">
            <w:pPr>
              <w:pStyle w:val="935"/>
              <w:spacing w:before="61" w:line="190" w:lineRule="auto"/>
              <w:ind w:left="209"/>
              <w:rPr>
                <w:rFonts w:hint="eastAsia"/>
                <w:color w:val="auto"/>
                <w:highlight w:val="none"/>
              </w:rPr>
            </w:pPr>
            <w:r>
              <w:rPr>
                <w:color w:val="auto"/>
                <w:spacing w:val="-7"/>
                <w:highlight w:val="none"/>
              </w:rPr>
              <w:t>13</w:t>
            </w:r>
          </w:p>
        </w:tc>
        <w:tc>
          <w:tcPr>
            <w:tcW w:w="1166" w:type="dxa"/>
          </w:tcPr>
          <w:p w14:paraId="2F58796B">
            <w:pPr>
              <w:spacing w:line="325" w:lineRule="auto"/>
              <w:rPr>
                <w:rFonts w:ascii="Arial"/>
                <w:color w:val="auto"/>
                <w:highlight w:val="none"/>
              </w:rPr>
            </w:pPr>
          </w:p>
          <w:p w14:paraId="7036D9CE">
            <w:pPr>
              <w:spacing w:line="326" w:lineRule="auto"/>
              <w:rPr>
                <w:rFonts w:ascii="Arial"/>
                <w:color w:val="auto"/>
                <w:highlight w:val="none"/>
              </w:rPr>
            </w:pPr>
          </w:p>
          <w:p w14:paraId="034EAF2C">
            <w:pPr>
              <w:pStyle w:val="935"/>
              <w:spacing w:before="62" w:line="289" w:lineRule="auto"/>
              <w:ind w:left="16" w:right="8" w:firstLine="2"/>
              <w:rPr>
                <w:rFonts w:hint="eastAsia"/>
                <w:color w:val="auto"/>
                <w:highlight w:val="none"/>
              </w:rPr>
            </w:pPr>
            <w:r>
              <w:rPr>
                <w:color w:val="auto"/>
                <w:spacing w:val="4"/>
                <w:highlight w:val="none"/>
              </w:rPr>
              <w:t>★A020911</w:t>
            </w:r>
            <w:r>
              <w:rPr>
                <w:color w:val="auto"/>
                <w:spacing w:val="-44"/>
                <w:highlight w:val="none"/>
              </w:rPr>
              <w:t xml:space="preserve"> </w:t>
            </w:r>
            <w:r>
              <w:rPr>
                <w:color w:val="auto"/>
                <w:spacing w:val="4"/>
                <w:highlight w:val="none"/>
              </w:rPr>
              <w:t>视</w:t>
            </w:r>
            <w:r>
              <w:rPr>
                <w:color w:val="auto"/>
                <w:highlight w:val="none"/>
              </w:rPr>
              <w:t xml:space="preserve"> </w:t>
            </w:r>
            <w:r>
              <w:rPr>
                <w:color w:val="auto"/>
                <w:spacing w:val="6"/>
                <w:highlight w:val="none"/>
              </w:rPr>
              <w:t>频设备</w:t>
            </w:r>
          </w:p>
        </w:tc>
        <w:tc>
          <w:tcPr>
            <w:tcW w:w="1799" w:type="dxa"/>
          </w:tcPr>
          <w:p w14:paraId="7CA2DDDB">
            <w:pPr>
              <w:spacing w:line="325" w:lineRule="auto"/>
              <w:rPr>
                <w:rFonts w:ascii="Arial"/>
                <w:color w:val="auto"/>
                <w:highlight w:val="none"/>
              </w:rPr>
            </w:pPr>
          </w:p>
          <w:p w14:paraId="0F262794">
            <w:pPr>
              <w:spacing w:line="326" w:lineRule="auto"/>
              <w:rPr>
                <w:rFonts w:ascii="Arial"/>
                <w:color w:val="auto"/>
                <w:highlight w:val="none"/>
              </w:rPr>
            </w:pPr>
          </w:p>
          <w:p w14:paraId="45C91D7A">
            <w:pPr>
              <w:pStyle w:val="935"/>
              <w:spacing w:before="62" w:line="289" w:lineRule="auto"/>
              <w:ind w:left="18" w:right="10" w:hanging="9"/>
              <w:rPr>
                <w:rFonts w:hint="eastAsia"/>
                <w:color w:val="auto"/>
                <w:highlight w:val="none"/>
              </w:rPr>
            </w:pPr>
            <w:r>
              <w:rPr>
                <w:color w:val="auto"/>
                <w:spacing w:val="4"/>
                <w:highlight w:val="none"/>
              </w:rPr>
              <w:t>A02091107 视频监控</w:t>
            </w:r>
            <w:r>
              <w:rPr>
                <w:color w:val="auto"/>
                <w:spacing w:val="7"/>
                <w:highlight w:val="none"/>
              </w:rPr>
              <w:t xml:space="preserve"> </w:t>
            </w:r>
            <w:r>
              <w:rPr>
                <w:color w:val="auto"/>
                <w:spacing w:val="3"/>
                <w:highlight w:val="none"/>
              </w:rPr>
              <w:t>设备</w:t>
            </w:r>
          </w:p>
        </w:tc>
        <w:tc>
          <w:tcPr>
            <w:tcW w:w="1914" w:type="dxa"/>
          </w:tcPr>
          <w:p w14:paraId="4F7C9A73">
            <w:pPr>
              <w:spacing w:line="268" w:lineRule="auto"/>
              <w:rPr>
                <w:rFonts w:ascii="Arial"/>
                <w:color w:val="auto"/>
                <w:highlight w:val="none"/>
              </w:rPr>
            </w:pPr>
          </w:p>
          <w:p w14:paraId="7A3E1267">
            <w:pPr>
              <w:spacing w:line="269" w:lineRule="auto"/>
              <w:rPr>
                <w:rFonts w:ascii="Arial"/>
                <w:color w:val="auto"/>
                <w:highlight w:val="none"/>
              </w:rPr>
            </w:pPr>
          </w:p>
          <w:p w14:paraId="3A54F773">
            <w:pPr>
              <w:spacing w:line="269" w:lineRule="auto"/>
              <w:rPr>
                <w:rFonts w:ascii="Arial"/>
                <w:color w:val="auto"/>
                <w:highlight w:val="none"/>
              </w:rPr>
            </w:pPr>
          </w:p>
          <w:p w14:paraId="68A5BE55">
            <w:pPr>
              <w:pStyle w:val="935"/>
              <w:spacing w:before="62" w:line="230" w:lineRule="auto"/>
              <w:ind w:left="17"/>
              <w:rPr>
                <w:rFonts w:hint="eastAsia"/>
                <w:color w:val="auto"/>
                <w:highlight w:val="none"/>
              </w:rPr>
            </w:pPr>
            <w:r>
              <w:rPr>
                <w:color w:val="auto"/>
                <w:spacing w:val="6"/>
                <w:highlight w:val="none"/>
              </w:rPr>
              <w:t>监视器</w:t>
            </w:r>
          </w:p>
        </w:tc>
        <w:tc>
          <w:tcPr>
            <w:tcW w:w="2969" w:type="dxa"/>
          </w:tcPr>
          <w:p w14:paraId="3983AEA0">
            <w:pPr>
              <w:pStyle w:val="935"/>
              <w:spacing w:before="94" w:line="293" w:lineRule="auto"/>
              <w:ind w:left="17" w:right="11" w:firstLine="23"/>
              <w:rPr>
                <w:rFonts w:hint="eastAsia"/>
                <w:color w:val="auto"/>
                <w:highlight w:val="none"/>
                <w:lang w:eastAsia="zh-CN"/>
              </w:rPr>
            </w:pPr>
            <w:r>
              <w:rPr>
                <w:color w:val="auto"/>
                <w:spacing w:val="18"/>
                <w:highlight w:val="none"/>
                <w:lang w:eastAsia="zh-CN"/>
              </w:rPr>
              <w:t>以射频信号为主要信号输入的监</w:t>
            </w:r>
            <w:r>
              <w:rPr>
                <w:color w:val="auto"/>
                <w:highlight w:val="none"/>
                <w:lang w:eastAsia="zh-CN"/>
              </w:rPr>
              <w:t xml:space="preserve"> </w:t>
            </w:r>
            <w:r>
              <w:rPr>
                <w:color w:val="auto"/>
                <w:spacing w:val="5"/>
                <w:highlight w:val="none"/>
                <w:lang w:eastAsia="zh-CN"/>
              </w:rPr>
              <w:t>视器应符合《平板电视能效限定值</w:t>
            </w:r>
            <w:r>
              <w:rPr>
                <w:color w:val="auto"/>
                <w:spacing w:val="7"/>
                <w:highlight w:val="none"/>
                <w:lang w:eastAsia="zh-CN"/>
              </w:rPr>
              <w:t xml:space="preserve"> </w:t>
            </w:r>
            <w:r>
              <w:rPr>
                <w:color w:val="auto"/>
                <w:spacing w:val="8"/>
                <w:highlight w:val="none"/>
                <w:lang w:eastAsia="zh-CN"/>
              </w:rPr>
              <w:t>及能效等级》（</w:t>
            </w:r>
            <w:r>
              <w:rPr>
                <w:color w:val="auto"/>
                <w:highlight w:val="none"/>
                <w:lang w:eastAsia="zh-CN"/>
              </w:rPr>
              <w:t>GB</w:t>
            </w:r>
            <w:r>
              <w:rPr>
                <w:color w:val="auto"/>
                <w:spacing w:val="8"/>
                <w:highlight w:val="none"/>
                <w:lang w:eastAsia="zh-CN"/>
              </w:rPr>
              <w:t xml:space="preserve"> 24850</w:t>
            </w:r>
            <w:r>
              <w:rPr>
                <w:color w:val="auto"/>
                <w:highlight w:val="none"/>
                <w:lang w:eastAsia="zh-CN"/>
              </w:rPr>
              <w:t>），</w:t>
            </w:r>
          </w:p>
          <w:p w14:paraId="0BCF119C">
            <w:pPr>
              <w:pStyle w:val="935"/>
              <w:spacing w:before="31" w:line="290" w:lineRule="auto"/>
              <w:ind w:left="17" w:right="11" w:firstLine="23"/>
              <w:rPr>
                <w:rFonts w:hint="eastAsia"/>
                <w:color w:val="auto"/>
                <w:highlight w:val="none"/>
                <w:lang w:eastAsia="zh-CN"/>
              </w:rPr>
            </w:pPr>
            <w:r>
              <w:rPr>
                <w:color w:val="auto"/>
                <w:spacing w:val="18"/>
                <w:highlight w:val="none"/>
                <w:lang w:eastAsia="zh-CN"/>
              </w:rPr>
              <w:t>以数字信号为主要信号输入的监</w:t>
            </w:r>
            <w:r>
              <w:rPr>
                <w:color w:val="auto"/>
                <w:highlight w:val="none"/>
                <w:lang w:eastAsia="zh-CN"/>
              </w:rPr>
              <w:t xml:space="preserve"> </w:t>
            </w:r>
            <w:r>
              <w:rPr>
                <w:color w:val="auto"/>
                <w:spacing w:val="5"/>
                <w:highlight w:val="none"/>
                <w:lang w:eastAsia="zh-CN"/>
              </w:rPr>
              <w:t>视器应符合《计算机显示器能效限</w:t>
            </w:r>
            <w:r>
              <w:rPr>
                <w:color w:val="auto"/>
                <w:spacing w:val="7"/>
                <w:highlight w:val="none"/>
                <w:lang w:eastAsia="zh-CN"/>
              </w:rPr>
              <w:t xml:space="preserve"> 定值及能效等级》（</w:t>
            </w:r>
            <w:r>
              <w:rPr>
                <w:color w:val="auto"/>
                <w:highlight w:val="none"/>
                <w:lang w:eastAsia="zh-CN"/>
              </w:rPr>
              <w:t>GB</w:t>
            </w:r>
            <w:r>
              <w:rPr>
                <w:color w:val="auto"/>
                <w:spacing w:val="7"/>
                <w:highlight w:val="none"/>
                <w:lang w:eastAsia="zh-CN"/>
              </w:rPr>
              <w:t xml:space="preserve"> 21520）</w:t>
            </w:r>
          </w:p>
        </w:tc>
      </w:tr>
      <w:tr w14:paraId="23D75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578" w:type="dxa"/>
          </w:tcPr>
          <w:p w14:paraId="2815EBA8">
            <w:pPr>
              <w:spacing w:line="265" w:lineRule="auto"/>
              <w:rPr>
                <w:rFonts w:ascii="Arial"/>
                <w:color w:val="auto"/>
                <w:highlight w:val="none"/>
              </w:rPr>
            </w:pPr>
          </w:p>
          <w:p w14:paraId="6BFE5A1B">
            <w:pPr>
              <w:pStyle w:val="935"/>
              <w:spacing w:before="62" w:line="190" w:lineRule="auto"/>
              <w:ind w:left="209"/>
              <w:rPr>
                <w:rFonts w:hint="eastAsia"/>
                <w:color w:val="auto"/>
                <w:highlight w:val="none"/>
              </w:rPr>
            </w:pPr>
            <w:r>
              <w:rPr>
                <w:color w:val="auto"/>
                <w:spacing w:val="-7"/>
                <w:highlight w:val="none"/>
              </w:rPr>
              <w:t>14</w:t>
            </w:r>
          </w:p>
        </w:tc>
        <w:tc>
          <w:tcPr>
            <w:tcW w:w="1166" w:type="dxa"/>
          </w:tcPr>
          <w:p w14:paraId="17D3A1FE">
            <w:pPr>
              <w:pStyle w:val="935"/>
              <w:spacing w:before="141" w:line="288" w:lineRule="auto"/>
              <w:ind w:left="15" w:right="8" w:hanging="6"/>
              <w:rPr>
                <w:rFonts w:hint="eastAsia"/>
                <w:color w:val="auto"/>
                <w:highlight w:val="none"/>
              </w:rPr>
            </w:pPr>
            <w:r>
              <w:rPr>
                <w:color w:val="auto"/>
                <w:spacing w:val="5"/>
                <w:highlight w:val="none"/>
              </w:rPr>
              <w:t>A031210</w:t>
            </w:r>
            <w:r>
              <w:rPr>
                <w:color w:val="auto"/>
                <w:spacing w:val="-43"/>
                <w:highlight w:val="none"/>
              </w:rPr>
              <w:t xml:space="preserve"> </w:t>
            </w:r>
            <w:r>
              <w:rPr>
                <w:color w:val="auto"/>
                <w:spacing w:val="5"/>
                <w:highlight w:val="none"/>
              </w:rPr>
              <w:t>饮食</w:t>
            </w:r>
            <w:r>
              <w:rPr>
                <w:color w:val="auto"/>
                <w:highlight w:val="none"/>
              </w:rPr>
              <w:t xml:space="preserve"> </w:t>
            </w:r>
            <w:r>
              <w:rPr>
                <w:color w:val="auto"/>
                <w:spacing w:val="7"/>
                <w:highlight w:val="none"/>
              </w:rPr>
              <w:t>炊事机械</w:t>
            </w:r>
          </w:p>
        </w:tc>
        <w:tc>
          <w:tcPr>
            <w:tcW w:w="1799" w:type="dxa"/>
          </w:tcPr>
          <w:p w14:paraId="2CFA3B35">
            <w:pPr>
              <w:pStyle w:val="935"/>
              <w:spacing w:before="297" w:line="230" w:lineRule="auto"/>
              <w:ind w:left="19"/>
              <w:rPr>
                <w:rFonts w:hint="eastAsia"/>
                <w:color w:val="auto"/>
                <w:highlight w:val="none"/>
              </w:rPr>
            </w:pPr>
            <w:r>
              <w:rPr>
                <w:color w:val="auto"/>
                <w:spacing w:val="7"/>
                <w:highlight w:val="none"/>
              </w:rPr>
              <w:t>商用燃气灶具</w:t>
            </w:r>
          </w:p>
        </w:tc>
        <w:tc>
          <w:tcPr>
            <w:tcW w:w="1914" w:type="dxa"/>
          </w:tcPr>
          <w:p w14:paraId="16BE20FF">
            <w:pPr>
              <w:rPr>
                <w:rFonts w:ascii="Arial"/>
                <w:color w:val="auto"/>
                <w:highlight w:val="none"/>
              </w:rPr>
            </w:pPr>
          </w:p>
        </w:tc>
        <w:tc>
          <w:tcPr>
            <w:tcW w:w="2969" w:type="dxa"/>
          </w:tcPr>
          <w:p w14:paraId="170487B8">
            <w:pPr>
              <w:pStyle w:val="935"/>
              <w:spacing w:before="142" w:line="288" w:lineRule="auto"/>
              <w:ind w:left="22" w:right="11"/>
              <w:rPr>
                <w:rFonts w:hint="eastAsia"/>
                <w:color w:val="auto"/>
                <w:highlight w:val="none"/>
                <w:lang w:eastAsia="zh-CN"/>
              </w:rPr>
            </w:pPr>
            <w:r>
              <w:rPr>
                <w:color w:val="auto"/>
                <w:spacing w:val="19"/>
                <w:highlight w:val="none"/>
                <w:lang w:eastAsia="zh-CN"/>
              </w:rPr>
              <w:t>《商用燃气灶具能效限定值及能</w:t>
            </w:r>
            <w:r>
              <w:rPr>
                <w:color w:val="auto"/>
                <w:spacing w:val="2"/>
                <w:highlight w:val="none"/>
                <w:lang w:eastAsia="zh-CN"/>
              </w:rPr>
              <w:t xml:space="preserve"> </w:t>
            </w:r>
            <w:r>
              <w:rPr>
                <w:color w:val="auto"/>
                <w:spacing w:val="6"/>
                <w:highlight w:val="none"/>
                <w:lang w:eastAsia="zh-CN"/>
              </w:rPr>
              <w:t>效等级》（</w:t>
            </w:r>
            <w:r>
              <w:rPr>
                <w:color w:val="auto"/>
                <w:highlight w:val="none"/>
                <w:lang w:eastAsia="zh-CN"/>
              </w:rPr>
              <w:t>GB</w:t>
            </w:r>
            <w:r>
              <w:rPr>
                <w:color w:val="auto"/>
                <w:spacing w:val="6"/>
                <w:highlight w:val="none"/>
                <w:lang w:eastAsia="zh-CN"/>
              </w:rPr>
              <w:t xml:space="preserve"> 30531）</w:t>
            </w:r>
          </w:p>
        </w:tc>
      </w:tr>
      <w:tr w14:paraId="28F02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578" w:type="dxa"/>
            <w:vMerge w:val="restart"/>
            <w:tcBorders>
              <w:bottom w:val="nil"/>
            </w:tcBorders>
          </w:tcPr>
          <w:p w14:paraId="16322A25">
            <w:pPr>
              <w:spacing w:line="298" w:lineRule="auto"/>
              <w:rPr>
                <w:rFonts w:ascii="Arial"/>
                <w:color w:val="auto"/>
                <w:highlight w:val="none"/>
              </w:rPr>
            </w:pPr>
          </w:p>
          <w:p w14:paraId="1D878FAE">
            <w:pPr>
              <w:spacing w:line="298" w:lineRule="auto"/>
              <w:rPr>
                <w:rFonts w:ascii="Arial"/>
                <w:color w:val="auto"/>
                <w:highlight w:val="none"/>
              </w:rPr>
            </w:pPr>
          </w:p>
          <w:p w14:paraId="749FCF90">
            <w:pPr>
              <w:spacing w:line="298" w:lineRule="auto"/>
              <w:rPr>
                <w:rFonts w:ascii="Arial"/>
                <w:color w:val="auto"/>
                <w:highlight w:val="none"/>
              </w:rPr>
            </w:pPr>
          </w:p>
          <w:p w14:paraId="31EAC0D9">
            <w:pPr>
              <w:spacing w:line="299" w:lineRule="auto"/>
              <w:rPr>
                <w:rFonts w:ascii="Arial"/>
                <w:color w:val="auto"/>
                <w:highlight w:val="none"/>
              </w:rPr>
            </w:pPr>
          </w:p>
          <w:p w14:paraId="15F5104A">
            <w:pPr>
              <w:pStyle w:val="935"/>
              <w:spacing w:before="62" w:line="190" w:lineRule="auto"/>
              <w:ind w:left="209"/>
              <w:rPr>
                <w:rFonts w:hint="eastAsia"/>
                <w:color w:val="auto"/>
                <w:highlight w:val="none"/>
              </w:rPr>
            </w:pPr>
            <w:r>
              <w:rPr>
                <w:color w:val="auto"/>
                <w:spacing w:val="-7"/>
                <w:highlight w:val="none"/>
              </w:rPr>
              <w:t>15</w:t>
            </w:r>
          </w:p>
        </w:tc>
        <w:tc>
          <w:tcPr>
            <w:tcW w:w="1166" w:type="dxa"/>
            <w:vMerge w:val="restart"/>
            <w:tcBorders>
              <w:bottom w:val="nil"/>
            </w:tcBorders>
          </w:tcPr>
          <w:p w14:paraId="757E96FC">
            <w:pPr>
              <w:spacing w:line="251" w:lineRule="auto"/>
              <w:rPr>
                <w:rFonts w:ascii="Arial"/>
                <w:color w:val="auto"/>
                <w:highlight w:val="none"/>
              </w:rPr>
            </w:pPr>
          </w:p>
          <w:p w14:paraId="147332EB">
            <w:pPr>
              <w:spacing w:line="251" w:lineRule="auto"/>
              <w:rPr>
                <w:rFonts w:ascii="Arial"/>
                <w:color w:val="auto"/>
                <w:highlight w:val="none"/>
              </w:rPr>
            </w:pPr>
          </w:p>
          <w:p w14:paraId="22750E1B">
            <w:pPr>
              <w:spacing w:line="252" w:lineRule="auto"/>
              <w:rPr>
                <w:rFonts w:ascii="Arial"/>
                <w:color w:val="auto"/>
                <w:highlight w:val="none"/>
              </w:rPr>
            </w:pPr>
          </w:p>
          <w:p w14:paraId="7FAAE624">
            <w:pPr>
              <w:pStyle w:val="935"/>
              <w:spacing w:before="62" w:line="291" w:lineRule="auto"/>
              <w:ind w:left="15" w:right="8" w:firstLine="3"/>
              <w:rPr>
                <w:rFonts w:hint="eastAsia"/>
                <w:color w:val="auto"/>
                <w:highlight w:val="none"/>
              </w:rPr>
            </w:pPr>
            <w:r>
              <w:rPr>
                <w:color w:val="auto"/>
                <w:spacing w:val="3"/>
                <w:highlight w:val="none"/>
              </w:rPr>
              <w:t>★A060805</w:t>
            </w:r>
            <w:r>
              <w:rPr>
                <w:color w:val="auto"/>
                <w:spacing w:val="-35"/>
                <w:highlight w:val="none"/>
              </w:rPr>
              <w:t xml:space="preserve"> </w:t>
            </w:r>
            <w:r>
              <w:rPr>
                <w:color w:val="auto"/>
                <w:spacing w:val="3"/>
                <w:highlight w:val="none"/>
              </w:rPr>
              <w:t>便</w:t>
            </w:r>
            <w:r>
              <w:rPr>
                <w:color w:val="auto"/>
                <w:highlight w:val="none"/>
              </w:rPr>
              <w:t xml:space="preserve"> </w:t>
            </w:r>
            <w:r>
              <w:rPr>
                <w:color w:val="auto"/>
                <w:spacing w:val="1"/>
                <w:highlight w:val="none"/>
              </w:rPr>
              <w:t>器</w:t>
            </w:r>
          </w:p>
        </w:tc>
        <w:tc>
          <w:tcPr>
            <w:tcW w:w="1799" w:type="dxa"/>
          </w:tcPr>
          <w:p w14:paraId="5A4BE617">
            <w:pPr>
              <w:spacing w:line="282" w:lineRule="auto"/>
              <w:rPr>
                <w:rFonts w:ascii="Arial"/>
                <w:color w:val="auto"/>
                <w:highlight w:val="none"/>
              </w:rPr>
            </w:pPr>
          </w:p>
          <w:p w14:paraId="2CC6F9AA">
            <w:pPr>
              <w:pStyle w:val="935"/>
              <w:spacing w:before="62" w:line="229" w:lineRule="auto"/>
              <w:ind w:left="16"/>
              <w:rPr>
                <w:rFonts w:hint="eastAsia"/>
                <w:color w:val="auto"/>
                <w:highlight w:val="none"/>
              </w:rPr>
            </w:pPr>
            <w:r>
              <w:rPr>
                <w:color w:val="auto"/>
                <w:spacing w:val="6"/>
                <w:highlight w:val="none"/>
              </w:rPr>
              <w:t>坐便器</w:t>
            </w:r>
          </w:p>
        </w:tc>
        <w:tc>
          <w:tcPr>
            <w:tcW w:w="1914" w:type="dxa"/>
          </w:tcPr>
          <w:p w14:paraId="6864CB84">
            <w:pPr>
              <w:rPr>
                <w:rFonts w:ascii="Arial"/>
                <w:color w:val="auto"/>
                <w:highlight w:val="none"/>
              </w:rPr>
            </w:pPr>
          </w:p>
        </w:tc>
        <w:tc>
          <w:tcPr>
            <w:tcW w:w="2969" w:type="dxa"/>
          </w:tcPr>
          <w:p w14:paraId="7DE08235">
            <w:pPr>
              <w:pStyle w:val="935"/>
              <w:spacing w:before="189" w:line="295" w:lineRule="auto"/>
              <w:ind w:left="27" w:hanging="4"/>
              <w:rPr>
                <w:rFonts w:hint="eastAsia"/>
                <w:color w:val="auto"/>
                <w:highlight w:val="none"/>
                <w:lang w:eastAsia="zh-CN"/>
              </w:rPr>
            </w:pPr>
            <w:r>
              <w:rPr>
                <w:color w:val="auto"/>
                <w:spacing w:val="6"/>
                <w:highlight w:val="none"/>
                <w:lang w:eastAsia="zh-CN"/>
              </w:rPr>
              <w:t>《坐便器水效限定值及水效等级》</w:t>
            </w:r>
            <w:r>
              <w:rPr>
                <w:color w:val="auto"/>
                <w:highlight w:val="none"/>
                <w:lang w:eastAsia="zh-CN"/>
              </w:rPr>
              <w:t xml:space="preserve"> </w:t>
            </w:r>
            <w:r>
              <w:rPr>
                <w:color w:val="auto"/>
                <w:spacing w:val="1"/>
                <w:highlight w:val="none"/>
                <w:lang w:eastAsia="zh-CN"/>
              </w:rPr>
              <w:t>（</w:t>
            </w:r>
            <w:r>
              <w:rPr>
                <w:color w:val="auto"/>
                <w:highlight w:val="none"/>
                <w:lang w:eastAsia="zh-CN"/>
              </w:rPr>
              <w:t>GB</w:t>
            </w:r>
            <w:r>
              <w:rPr>
                <w:color w:val="auto"/>
                <w:spacing w:val="15"/>
                <w:highlight w:val="none"/>
                <w:lang w:eastAsia="zh-CN"/>
              </w:rPr>
              <w:t xml:space="preserve"> </w:t>
            </w:r>
            <w:r>
              <w:rPr>
                <w:color w:val="auto"/>
                <w:spacing w:val="1"/>
                <w:highlight w:val="none"/>
                <w:lang w:eastAsia="zh-CN"/>
              </w:rPr>
              <w:t>25502）</w:t>
            </w:r>
          </w:p>
        </w:tc>
      </w:tr>
      <w:tr w14:paraId="173E4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578" w:type="dxa"/>
            <w:vMerge w:val="continue"/>
            <w:tcBorders>
              <w:top w:val="nil"/>
              <w:bottom w:val="nil"/>
            </w:tcBorders>
          </w:tcPr>
          <w:p w14:paraId="1F97E680">
            <w:pPr>
              <w:rPr>
                <w:rFonts w:ascii="Arial"/>
                <w:color w:val="auto"/>
                <w:highlight w:val="none"/>
              </w:rPr>
            </w:pPr>
          </w:p>
        </w:tc>
        <w:tc>
          <w:tcPr>
            <w:tcW w:w="1166" w:type="dxa"/>
            <w:vMerge w:val="continue"/>
            <w:tcBorders>
              <w:top w:val="nil"/>
              <w:bottom w:val="nil"/>
            </w:tcBorders>
          </w:tcPr>
          <w:p w14:paraId="21727200">
            <w:pPr>
              <w:rPr>
                <w:rFonts w:ascii="Arial"/>
                <w:color w:val="auto"/>
                <w:highlight w:val="none"/>
              </w:rPr>
            </w:pPr>
          </w:p>
        </w:tc>
        <w:tc>
          <w:tcPr>
            <w:tcW w:w="1799" w:type="dxa"/>
          </w:tcPr>
          <w:p w14:paraId="3E8C3800">
            <w:pPr>
              <w:spacing w:line="283" w:lineRule="auto"/>
              <w:rPr>
                <w:rFonts w:ascii="Arial"/>
                <w:color w:val="auto"/>
                <w:highlight w:val="none"/>
              </w:rPr>
            </w:pPr>
          </w:p>
          <w:p w14:paraId="244D3536">
            <w:pPr>
              <w:pStyle w:val="935"/>
              <w:spacing w:before="62" w:line="229" w:lineRule="auto"/>
              <w:ind w:left="14"/>
              <w:rPr>
                <w:rFonts w:hint="eastAsia"/>
                <w:color w:val="auto"/>
                <w:highlight w:val="none"/>
              </w:rPr>
            </w:pPr>
            <w:r>
              <w:rPr>
                <w:color w:val="auto"/>
                <w:spacing w:val="6"/>
                <w:highlight w:val="none"/>
              </w:rPr>
              <w:t>蹲便器</w:t>
            </w:r>
          </w:p>
        </w:tc>
        <w:tc>
          <w:tcPr>
            <w:tcW w:w="1914" w:type="dxa"/>
          </w:tcPr>
          <w:p w14:paraId="40FF30F5">
            <w:pPr>
              <w:rPr>
                <w:rFonts w:ascii="Arial"/>
                <w:color w:val="auto"/>
                <w:highlight w:val="none"/>
              </w:rPr>
            </w:pPr>
          </w:p>
        </w:tc>
        <w:tc>
          <w:tcPr>
            <w:tcW w:w="2969" w:type="dxa"/>
          </w:tcPr>
          <w:p w14:paraId="190606C4">
            <w:pPr>
              <w:pStyle w:val="935"/>
              <w:spacing w:before="191" w:line="288" w:lineRule="auto"/>
              <w:ind w:left="22" w:right="11"/>
              <w:rPr>
                <w:rFonts w:hint="eastAsia"/>
                <w:color w:val="auto"/>
                <w:highlight w:val="none"/>
                <w:lang w:eastAsia="zh-CN"/>
              </w:rPr>
            </w:pPr>
            <w:r>
              <w:rPr>
                <w:color w:val="auto"/>
                <w:spacing w:val="19"/>
                <w:highlight w:val="none"/>
                <w:lang w:eastAsia="zh-CN"/>
              </w:rPr>
              <w:t>《蹲便器用水效率限定值及用水</w:t>
            </w:r>
            <w:r>
              <w:rPr>
                <w:color w:val="auto"/>
                <w:spacing w:val="2"/>
                <w:highlight w:val="none"/>
                <w:lang w:eastAsia="zh-CN"/>
              </w:rPr>
              <w:t xml:space="preserve"> </w:t>
            </w:r>
            <w:r>
              <w:rPr>
                <w:color w:val="auto"/>
                <w:spacing w:val="6"/>
                <w:highlight w:val="none"/>
                <w:lang w:eastAsia="zh-CN"/>
              </w:rPr>
              <w:t>效率等级》（</w:t>
            </w:r>
            <w:r>
              <w:rPr>
                <w:color w:val="auto"/>
                <w:highlight w:val="none"/>
                <w:lang w:eastAsia="zh-CN"/>
              </w:rPr>
              <w:t>GB</w:t>
            </w:r>
            <w:r>
              <w:rPr>
                <w:color w:val="auto"/>
                <w:spacing w:val="6"/>
                <w:highlight w:val="none"/>
                <w:lang w:eastAsia="zh-CN"/>
              </w:rPr>
              <w:t xml:space="preserve"> 30717）</w:t>
            </w:r>
          </w:p>
        </w:tc>
      </w:tr>
      <w:tr w14:paraId="334A7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jc w:val="center"/>
        </w:trPr>
        <w:tc>
          <w:tcPr>
            <w:tcW w:w="578" w:type="dxa"/>
            <w:vMerge w:val="continue"/>
            <w:tcBorders>
              <w:top w:val="nil"/>
            </w:tcBorders>
          </w:tcPr>
          <w:p w14:paraId="4B0D5BD4">
            <w:pPr>
              <w:rPr>
                <w:rFonts w:ascii="Arial"/>
                <w:color w:val="auto"/>
                <w:highlight w:val="none"/>
              </w:rPr>
            </w:pPr>
          </w:p>
        </w:tc>
        <w:tc>
          <w:tcPr>
            <w:tcW w:w="1166" w:type="dxa"/>
            <w:vMerge w:val="continue"/>
            <w:tcBorders>
              <w:top w:val="nil"/>
            </w:tcBorders>
          </w:tcPr>
          <w:p w14:paraId="5A88BFD6">
            <w:pPr>
              <w:rPr>
                <w:rFonts w:ascii="Arial"/>
                <w:color w:val="auto"/>
                <w:highlight w:val="none"/>
              </w:rPr>
            </w:pPr>
          </w:p>
        </w:tc>
        <w:tc>
          <w:tcPr>
            <w:tcW w:w="1799" w:type="dxa"/>
          </w:tcPr>
          <w:p w14:paraId="4B345D31">
            <w:pPr>
              <w:spacing w:line="284" w:lineRule="auto"/>
              <w:rPr>
                <w:rFonts w:ascii="Arial"/>
                <w:color w:val="auto"/>
                <w:highlight w:val="none"/>
              </w:rPr>
            </w:pPr>
          </w:p>
          <w:p w14:paraId="32E80295">
            <w:pPr>
              <w:pStyle w:val="935"/>
              <w:spacing w:before="61" w:line="229" w:lineRule="auto"/>
              <w:ind w:left="20"/>
              <w:rPr>
                <w:rFonts w:hint="eastAsia"/>
                <w:color w:val="auto"/>
                <w:highlight w:val="none"/>
              </w:rPr>
            </w:pPr>
            <w:r>
              <w:rPr>
                <w:color w:val="auto"/>
                <w:spacing w:val="4"/>
                <w:highlight w:val="none"/>
              </w:rPr>
              <w:t>小便器</w:t>
            </w:r>
          </w:p>
        </w:tc>
        <w:tc>
          <w:tcPr>
            <w:tcW w:w="1914" w:type="dxa"/>
          </w:tcPr>
          <w:p w14:paraId="09B7E98C">
            <w:pPr>
              <w:rPr>
                <w:rFonts w:ascii="Arial"/>
                <w:color w:val="auto"/>
                <w:highlight w:val="none"/>
              </w:rPr>
            </w:pPr>
          </w:p>
        </w:tc>
        <w:tc>
          <w:tcPr>
            <w:tcW w:w="2969" w:type="dxa"/>
          </w:tcPr>
          <w:p w14:paraId="6F87440C">
            <w:pPr>
              <w:pStyle w:val="935"/>
              <w:spacing w:before="191" w:line="288" w:lineRule="auto"/>
              <w:ind w:left="22" w:right="11"/>
              <w:rPr>
                <w:rFonts w:hint="eastAsia"/>
                <w:color w:val="auto"/>
                <w:highlight w:val="none"/>
                <w:lang w:eastAsia="zh-CN"/>
              </w:rPr>
            </w:pPr>
            <w:r>
              <w:rPr>
                <w:color w:val="auto"/>
                <w:spacing w:val="19"/>
                <w:highlight w:val="none"/>
                <w:lang w:eastAsia="zh-CN"/>
              </w:rPr>
              <w:t>《小便器用水效率限定值及用水</w:t>
            </w:r>
            <w:r>
              <w:rPr>
                <w:color w:val="auto"/>
                <w:spacing w:val="2"/>
                <w:highlight w:val="none"/>
                <w:lang w:eastAsia="zh-CN"/>
              </w:rPr>
              <w:t xml:space="preserve"> </w:t>
            </w:r>
            <w:r>
              <w:rPr>
                <w:color w:val="auto"/>
                <w:spacing w:val="6"/>
                <w:highlight w:val="none"/>
                <w:lang w:eastAsia="zh-CN"/>
              </w:rPr>
              <w:t>效率等级》（</w:t>
            </w:r>
            <w:r>
              <w:rPr>
                <w:color w:val="auto"/>
                <w:highlight w:val="none"/>
                <w:lang w:eastAsia="zh-CN"/>
              </w:rPr>
              <w:t>GB</w:t>
            </w:r>
            <w:r>
              <w:rPr>
                <w:color w:val="auto"/>
                <w:spacing w:val="6"/>
                <w:highlight w:val="none"/>
                <w:lang w:eastAsia="zh-CN"/>
              </w:rPr>
              <w:t xml:space="preserve"> 28377）</w:t>
            </w:r>
          </w:p>
        </w:tc>
      </w:tr>
    </w:tbl>
    <w:p w14:paraId="4AA917DA">
      <w:pPr>
        <w:rPr>
          <w:rFonts w:ascii="Arial"/>
          <w:color w:val="auto"/>
          <w:highlight w:val="none"/>
        </w:rPr>
      </w:pPr>
    </w:p>
    <w:p w14:paraId="33413F10">
      <w:pPr>
        <w:rPr>
          <w:rFonts w:ascii="Arial" w:hAnsi="Arial" w:eastAsia="Arial" w:cs="Arial"/>
          <w:color w:val="auto"/>
          <w:szCs w:val="21"/>
          <w:highlight w:val="none"/>
        </w:rPr>
        <w:sectPr>
          <w:pgSz w:w="11906" w:h="16838"/>
          <w:pgMar w:top="1431" w:right="1691" w:bottom="0" w:left="1783" w:header="850" w:footer="0" w:gutter="0"/>
          <w:cols w:space="720" w:num="1"/>
        </w:sectPr>
      </w:pPr>
    </w:p>
    <w:p w14:paraId="5A78266A">
      <w:pPr>
        <w:spacing w:line="91" w:lineRule="auto"/>
        <w:rPr>
          <w:rFonts w:ascii="Arial"/>
          <w:color w:val="auto"/>
          <w:sz w:val="2"/>
          <w:highlight w:val="none"/>
        </w:rPr>
      </w:pPr>
    </w:p>
    <w:tbl>
      <w:tblPr>
        <w:tblStyle w:val="936"/>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1F3E1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578" w:type="dxa"/>
          </w:tcPr>
          <w:p w14:paraId="4E66931D">
            <w:pPr>
              <w:spacing w:line="342" w:lineRule="auto"/>
              <w:rPr>
                <w:rFonts w:ascii="Arial"/>
                <w:color w:val="auto"/>
                <w:highlight w:val="none"/>
              </w:rPr>
            </w:pPr>
          </w:p>
          <w:p w14:paraId="50269ADF">
            <w:pPr>
              <w:pStyle w:val="935"/>
              <w:spacing w:before="62" w:line="190" w:lineRule="auto"/>
              <w:ind w:left="209"/>
              <w:rPr>
                <w:rFonts w:hint="eastAsia"/>
                <w:color w:val="auto"/>
                <w:highlight w:val="none"/>
              </w:rPr>
            </w:pPr>
            <w:r>
              <w:rPr>
                <w:color w:val="auto"/>
                <w:spacing w:val="-7"/>
                <w:highlight w:val="none"/>
              </w:rPr>
              <w:t>16</w:t>
            </w:r>
          </w:p>
        </w:tc>
        <w:tc>
          <w:tcPr>
            <w:tcW w:w="1166" w:type="dxa"/>
          </w:tcPr>
          <w:p w14:paraId="741046F5">
            <w:pPr>
              <w:pStyle w:val="935"/>
              <w:spacing w:before="220" w:line="288" w:lineRule="auto"/>
              <w:ind w:left="22" w:right="8" w:hanging="4"/>
              <w:rPr>
                <w:rFonts w:hint="eastAsia"/>
                <w:color w:val="auto"/>
                <w:highlight w:val="none"/>
              </w:rPr>
            </w:pPr>
            <w:r>
              <w:rPr>
                <w:color w:val="auto"/>
                <w:spacing w:val="3"/>
                <w:highlight w:val="none"/>
              </w:rPr>
              <w:t>★A060806</w:t>
            </w:r>
            <w:r>
              <w:rPr>
                <w:color w:val="auto"/>
                <w:spacing w:val="-35"/>
                <w:highlight w:val="none"/>
              </w:rPr>
              <w:t xml:space="preserve"> </w:t>
            </w:r>
            <w:r>
              <w:rPr>
                <w:color w:val="auto"/>
                <w:spacing w:val="3"/>
                <w:highlight w:val="none"/>
              </w:rPr>
              <w:t>水</w:t>
            </w:r>
            <w:r>
              <w:rPr>
                <w:color w:val="auto"/>
                <w:highlight w:val="none"/>
              </w:rPr>
              <w:t xml:space="preserve"> 嘴</w:t>
            </w:r>
          </w:p>
        </w:tc>
        <w:tc>
          <w:tcPr>
            <w:tcW w:w="1799" w:type="dxa"/>
          </w:tcPr>
          <w:p w14:paraId="2F7F1F10">
            <w:pPr>
              <w:rPr>
                <w:rFonts w:ascii="Arial"/>
                <w:color w:val="auto"/>
                <w:highlight w:val="none"/>
              </w:rPr>
            </w:pPr>
          </w:p>
        </w:tc>
        <w:tc>
          <w:tcPr>
            <w:tcW w:w="1914" w:type="dxa"/>
          </w:tcPr>
          <w:p w14:paraId="3AD77E9B">
            <w:pPr>
              <w:rPr>
                <w:rFonts w:ascii="Arial"/>
                <w:color w:val="auto"/>
                <w:highlight w:val="none"/>
              </w:rPr>
            </w:pPr>
          </w:p>
        </w:tc>
        <w:tc>
          <w:tcPr>
            <w:tcW w:w="2969" w:type="dxa"/>
          </w:tcPr>
          <w:p w14:paraId="7820D952">
            <w:pPr>
              <w:pStyle w:val="935"/>
              <w:spacing w:before="220" w:line="288" w:lineRule="auto"/>
              <w:ind w:left="19" w:right="11" w:firstLine="3"/>
              <w:rPr>
                <w:rFonts w:hint="eastAsia"/>
                <w:color w:val="auto"/>
                <w:highlight w:val="none"/>
                <w:lang w:eastAsia="zh-CN"/>
              </w:rPr>
            </w:pPr>
            <w:r>
              <w:rPr>
                <w:color w:val="auto"/>
                <w:spacing w:val="19"/>
                <w:highlight w:val="none"/>
                <w:lang w:eastAsia="zh-CN"/>
              </w:rPr>
              <w:t>《水嘴用水效率限定值及用水效</w:t>
            </w:r>
            <w:r>
              <w:rPr>
                <w:color w:val="auto"/>
                <w:spacing w:val="2"/>
                <w:highlight w:val="none"/>
                <w:lang w:eastAsia="zh-CN"/>
              </w:rPr>
              <w:t xml:space="preserve"> </w:t>
            </w:r>
            <w:r>
              <w:rPr>
                <w:color w:val="auto"/>
                <w:spacing w:val="6"/>
                <w:highlight w:val="none"/>
                <w:lang w:eastAsia="zh-CN"/>
              </w:rPr>
              <w:t>率等级》（</w:t>
            </w:r>
            <w:r>
              <w:rPr>
                <w:color w:val="auto"/>
                <w:highlight w:val="none"/>
                <w:lang w:eastAsia="zh-CN"/>
              </w:rPr>
              <w:t>GB</w:t>
            </w:r>
            <w:r>
              <w:rPr>
                <w:color w:val="auto"/>
                <w:spacing w:val="6"/>
                <w:highlight w:val="none"/>
                <w:lang w:eastAsia="zh-CN"/>
              </w:rPr>
              <w:t xml:space="preserve"> 25501）</w:t>
            </w:r>
          </w:p>
        </w:tc>
      </w:tr>
      <w:tr w14:paraId="1310E6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jc w:val="center"/>
        </w:trPr>
        <w:tc>
          <w:tcPr>
            <w:tcW w:w="578" w:type="dxa"/>
          </w:tcPr>
          <w:p w14:paraId="2C0155FD">
            <w:pPr>
              <w:spacing w:line="299" w:lineRule="auto"/>
              <w:rPr>
                <w:rFonts w:ascii="Arial"/>
                <w:color w:val="auto"/>
                <w:highlight w:val="none"/>
              </w:rPr>
            </w:pPr>
          </w:p>
          <w:p w14:paraId="4A4C9BFB">
            <w:pPr>
              <w:pStyle w:val="935"/>
              <w:spacing w:before="62" w:line="190" w:lineRule="auto"/>
              <w:ind w:left="209"/>
              <w:rPr>
                <w:rFonts w:hint="eastAsia"/>
                <w:color w:val="auto"/>
                <w:highlight w:val="none"/>
              </w:rPr>
            </w:pPr>
            <w:r>
              <w:rPr>
                <w:color w:val="auto"/>
                <w:spacing w:val="-7"/>
                <w:highlight w:val="none"/>
              </w:rPr>
              <w:t>17</w:t>
            </w:r>
          </w:p>
        </w:tc>
        <w:tc>
          <w:tcPr>
            <w:tcW w:w="1166" w:type="dxa"/>
          </w:tcPr>
          <w:p w14:paraId="7808DA8D">
            <w:pPr>
              <w:pStyle w:val="935"/>
              <w:spacing w:before="176" w:line="289" w:lineRule="auto"/>
              <w:ind w:left="15" w:right="8" w:hanging="6"/>
              <w:rPr>
                <w:rFonts w:hint="eastAsia"/>
                <w:color w:val="auto"/>
                <w:highlight w:val="none"/>
              </w:rPr>
            </w:pPr>
            <w:r>
              <w:rPr>
                <w:color w:val="auto"/>
                <w:spacing w:val="5"/>
                <w:highlight w:val="none"/>
              </w:rPr>
              <w:t>A060807</w:t>
            </w:r>
            <w:r>
              <w:rPr>
                <w:color w:val="auto"/>
                <w:spacing w:val="-43"/>
                <w:highlight w:val="none"/>
              </w:rPr>
              <w:t xml:space="preserve"> </w:t>
            </w:r>
            <w:r>
              <w:rPr>
                <w:color w:val="auto"/>
                <w:spacing w:val="5"/>
                <w:highlight w:val="none"/>
              </w:rPr>
              <w:t>便器</w:t>
            </w:r>
            <w:r>
              <w:rPr>
                <w:color w:val="auto"/>
                <w:highlight w:val="none"/>
              </w:rPr>
              <w:t xml:space="preserve"> </w:t>
            </w:r>
            <w:r>
              <w:rPr>
                <w:color w:val="auto"/>
                <w:spacing w:val="6"/>
                <w:highlight w:val="none"/>
              </w:rPr>
              <w:t>冲洗阀</w:t>
            </w:r>
          </w:p>
        </w:tc>
        <w:tc>
          <w:tcPr>
            <w:tcW w:w="1799" w:type="dxa"/>
          </w:tcPr>
          <w:p w14:paraId="06B5426C">
            <w:pPr>
              <w:rPr>
                <w:rFonts w:ascii="Arial"/>
                <w:color w:val="auto"/>
                <w:highlight w:val="none"/>
              </w:rPr>
            </w:pPr>
          </w:p>
        </w:tc>
        <w:tc>
          <w:tcPr>
            <w:tcW w:w="1914" w:type="dxa"/>
          </w:tcPr>
          <w:p w14:paraId="72C1CBA0">
            <w:pPr>
              <w:rPr>
                <w:rFonts w:ascii="Arial"/>
                <w:color w:val="auto"/>
                <w:highlight w:val="none"/>
              </w:rPr>
            </w:pPr>
          </w:p>
        </w:tc>
        <w:tc>
          <w:tcPr>
            <w:tcW w:w="2969" w:type="dxa"/>
          </w:tcPr>
          <w:p w14:paraId="0FADA147">
            <w:pPr>
              <w:pStyle w:val="935"/>
              <w:spacing w:before="176" w:line="288" w:lineRule="auto"/>
              <w:ind w:left="19" w:right="11" w:firstLine="3"/>
              <w:rPr>
                <w:rFonts w:hint="eastAsia"/>
                <w:color w:val="auto"/>
                <w:highlight w:val="none"/>
                <w:lang w:eastAsia="zh-CN"/>
              </w:rPr>
            </w:pPr>
            <w:r>
              <w:rPr>
                <w:color w:val="auto"/>
                <w:spacing w:val="19"/>
                <w:highlight w:val="none"/>
                <w:lang w:eastAsia="zh-CN"/>
              </w:rPr>
              <w:t>《便器冲洗阀用水效率限定值及</w:t>
            </w:r>
            <w:r>
              <w:rPr>
                <w:color w:val="auto"/>
                <w:spacing w:val="2"/>
                <w:highlight w:val="none"/>
                <w:lang w:eastAsia="zh-CN"/>
              </w:rPr>
              <w:t xml:space="preserve"> </w:t>
            </w:r>
            <w:r>
              <w:rPr>
                <w:color w:val="auto"/>
                <w:spacing w:val="7"/>
                <w:highlight w:val="none"/>
                <w:lang w:eastAsia="zh-CN"/>
              </w:rPr>
              <w:t>用水效率等级》（</w:t>
            </w:r>
            <w:r>
              <w:rPr>
                <w:color w:val="auto"/>
                <w:highlight w:val="none"/>
                <w:lang w:eastAsia="zh-CN"/>
              </w:rPr>
              <w:t>GB</w:t>
            </w:r>
            <w:r>
              <w:rPr>
                <w:color w:val="auto"/>
                <w:spacing w:val="7"/>
                <w:highlight w:val="none"/>
                <w:lang w:eastAsia="zh-CN"/>
              </w:rPr>
              <w:t xml:space="preserve"> 28379）</w:t>
            </w:r>
          </w:p>
        </w:tc>
      </w:tr>
      <w:tr w14:paraId="02826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578" w:type="dxa"/>
          </w:tcPr>
          <w:p w14:paraId="0A750CAB">
            <w:pPr>
              <w:spacing w:line="320" w:lineRule="auto"/>
              <w:rPr>
                <w:rFonts w:ascii="Arial"/>
                <w:color w:val="auto"/>
                <w:highlight w:val="none"/>
              </w:rPr>
            </w:pPr>
          </w:p>
          <w:p w14:paraId="4773BCEF">
            <w:pPr>
              <w:pStyle w:val="935"/>
              <w:spacing w:before="61" w:line="190" w:lineRule="auto"/>
              <w:ind w:left="209"/>
              <w:rPr>
                <w:rFonts w:hint="eastAsia"/>
                <w:color w:val="auto"/>
                <w:highlight w:val="none"/>
              </w:rPr>
            </w:pPr>
            <w:r>
              <w:rPr>
                <w:color w:val="auto"/>
                <w:spacing w:val="-7"/>
                <w:highlight w:val="none"/>
              </w:rPr>
              <w:t>18</w:t>
            </w:r>
          </w:p>
        </w:tc>
        <w:tc>
          <w:tcPr>
            <w:tcW w:w="1166" w:type="dxa"/>
          </w:tcPr>
          <w:p w14:paraId="3E23FB3C">
            <w:pPr>
              <w:pStyle w:val="935"/>
              <w:spacing w:before="196" w:line="291" w:lineRule="auto"/>
              <w:ind w:left="15" w:right="8" w:hanging="6"/>
              <w:rPr>
                <w:rFonts w:hint="eastAsia"/>
                <w:color w:val="auto"/>
                <w:highlight w:val="none"/>
              </w:rPr>
            </w:pPr>
            <w:r>
              <w:rPr>
                <w:color w:val="auto"/>
                <w:spacing w:val="4"/>
                <w:highlight w:val="none"/>
              </w:rPr>
              <w:t>A060810</w:t>
            </w:r>
            <w:r>
              <w:rPr>
                <w:color w:val="auto"/>
                <w:spacing w:val="-34"/>
                <w:highlight w:val="none"/>
              </w:rPr>
              <w:t xml:space="preserve"> </w:t>
            </w:r>
            <w:r>
              <w:rPr>
                <w:color w:val="auto"/>
                <w:spacing w:val="4"/>
                <w:highlight w:val="none"/>
              </w:rPr>
              <w:t>淋浴</w:t>
            </w:r>
            <w:r>
              <w:rPr>
                <w:color w:val="auto"/>
                <w:highlight w:val="none"/>
              </w:rPr>
              <w:t xml:space="preserve"> </w:t>
            </w:r>
            <w:r>
              <w:rPr>
                <w:color w:val="auto"/>
                <w:spacing w:val="1"/>
                <w:highlight w:val="none"/>
              </w:rPr>
              <w:t>器</w:t>
            </w:r>
          </w:p>
        </w:tc>
        <w:tc>
          <w:tcPr>
            <w:tcW w:w="1799" w:type="dxa"/>
          </w:tcPr>
          <w:p w14:paraId="056A018B">
            <w:pPr>
              <w:rPr>
                <w:rFonts w:ascii="Arial"/>
                <w:color w:val="auto"/>
                <w:highlight w:val="none"/>
              </w:rPr>
            </w:pPr>
          </w:p>
        </w:tc>
        <w:tc>
          <w:tcPr>
            <w:tcW w:w="1914" w:type="dxa"/>
          </w:tcPr>
          <w:p w14:paraId="4EC9F5AE">
            <w:pPr>
              <w:rPr>
                <w:rFonts w:ascii="Arial"/>
                <w:color w:val="auto"/>
                <w:highlight w:val="none"/>
              </w:rPr>
            </w:pPr>
          </w:p>
        </w:tc>
        <w:tc>
          <w:tcPr>
            <w:tcW w:w="2969" w:type="dxa"/>
          </w:tcPr>
          <w:p w14:paraId="34E2F94A">
            <w:pPr>
              <w:pStyle w:val="935"/>
              <w:spacing w:before="197" w:line="288" w:lineRule="auto"/>
              <w:ind w:left="22" w:right="11"/>
              <w:rPr>
                <w:rFonts w:hint="eastAsia"/>
                <w:color w:val="auto"/>
                <w:highlight w:val="none"/>
                <w:lang w:eastAsia="zh-CN"/>
              </w:rPr>
            </w:pPr>
            <w:r>
              <w:rPr>
                <w:color w:val="auto"/>
                <w:spacing w:val="19"/>
                <w:highlight w:val="none"/>
                <w:lang w:eastAsia="zh-CN"/>
              </w:rPr>
              <w:t>《淋浴器用水效率限定值及用水</w:t>
            </w:r>
            <w:r>
              <w:rPr>
                <w:color w:val="auto"/>
                <w:spacing w:val="2"/>
                <w:highlight w:val="none"/>
                <w:lang w:eastAsia="zh-CN"/>
              </w:rPr>
              <w:t xml:space="preserve"> </w:t>
            </w:r>
            <w:r>
              <w:rPr>
                <w:color w:val="auto"/>
                <w:spacing w:val="6"/>
                <w:highlight w:val="none"/>
                <w:lang w:eastAsia="zh-CN"/>
              </w:rPr>
              <w:t>效率等级》（</w:t>
            </w:r>
            <w:r>
              <w:rPr>
                <w:color w:val="auto"/>
                <w:highlight w:val="none"/>
                <w:lang w:eastAsia="zh-CN"/>
              </w:rPr>
              <w:t>GB</w:t>
            </w:r>
            <w:r>
              <w:rPr>
                <w:color w:val="auto"/>
                <w:spacing w:val="6"/>
                <w:highlight w:val="none"/>
                <w:lang w:eastAsia="zh-CN"/>
              </w:rPr>
              <w:t xml:space="preserve"> 28378）</w:t>
            </w:r>
          </w:p>
        </w:tc>
      </w:tr>
    </w:tbl>
    <w:p w14:paraId="5FB619AE">
      <w:pPr>
        <w:pStyle w:val="2"/>
        <w:spacing w:before="56" w:line="249" w:lineRule="auto"/>
        <w:ind w:left="27" w:hanging="2"/>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2"/>
          <w:highlight w:val="none"/>
        </w:rPr>
        <w:t>注：1.节能产品认证应依据相关国家标准的最新版</w:t>
      </w:r>
      <w:r>
        <w:rPr>
          <w:rFonts w:hint="eastAsia" w:ascii="仿宋_GB2312" w:hAnsi="仿宋_GB2312" w:eastAsia="仿宋_GB2312" w:cs="仿宋_GB2312"/>
          <w:color w:val="auto"/>
          <w:spacing w:val="-3"/>
          <w:highlight w:val="none"/>
        </w:rPr>
        <w:t>本，依据国家标准中二级能效（水效）</w:t>
      </w:r>
      <w:r>
        <w:rPr>
          <w:rFonts w:hint="eastAsia" w:ascii="仿宋_GB2312" w:hAnsi="仿宋_GB2312" w:eastAsia="仿宋_GB2312" w:cs="仿宋_GB2312"/>
          <w:color w:val="auto"/>
          <w:highlight w:val="none"/>
        </w:rPr>
        <w:t xml:space="preserve"> </w:t>
      </w:r>
      <w:r>
        <w:rPr>
          <w:rFonts w:hint="eastAsia" w:ascii="仿宋_GB2312" w:hAnsi="仿宋_GB2312" w:eastAsia="仿宋_GB2312" w:cs="仿宋_GB2312"/>
          <w:color w:val="auto"/>
          <w:spacing w:val="-4"/>
          <w:highlight w:val="none"/>
        </w:rPr>
        <w:t>指标。</w:t>
      </w:r>
    </w:p>
    <w:p w14:paraId="68040845">
      <w:pPr>
        <w:pStyle w:val="2"/>
        <w:spacing w:before="31" w:line="248" w:lineRule="auto"/>
        <w:ind w:left="25" w:right="97" w:firstLine="444"/>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
          <w:highlight w:val="none"/>
        </w:rPr>
        <w:t>2.上述产品中认证标准发生变更的，依据原认</w:t>
      </w:r>
      <w:r>
        <w:rPr>
          <w:rFonts w:hint="eastAsia" w:ascii="仿宋_GB2312" w:hAnsi="仿宋_GB2312" w:eastAsia="仿宋_GB2312" w:cs="仿宋_GB2312"/>
          <w:color w:val="auto"/>
          <w:highlight w:val="none"/>
        </w:rPr>
        <w:t xml:space="preserve">证标准获得的、仍在有效期内的认证 </w:t>
      </w:r>
      <w:r>
        <w:rPr>
          <w:rFonts w:hint="eastAsia" w:ascii="仿宋_GB2312" w:hAnsi="仿宋_GB2312" w:eastAsia="仿宋_GB2312" w:cs="仿宋_GB2312"/>
          <w:color w:val="auto"/>
          <w:spacing w:val="-8"/>
          <w:highlight w:val="none"/>
        </w:rPr>
        <w:t>证书可使用至</w:t>
      </w:r>
      <w:r>
        <w:rPr>
          <w:rFonts w:hint="eastAsia" w:ascii="仿宋_GB2312" w:hAnsi="仿宋_GB2312" w:eastAsia="仿宋_GB2312" w:cs="仿宋_GB2312"/>
          <w:color w:val="auto"/>
          <w:spacing w:val="-37"/>
          <w:highlight w:val="none"/>
        </w:rPr>
        <w:t xml:space="preserve"> </w:t>
      </w:r>
      <w:r>
        <w:rPr>
          <w:rFonts w:hint="eastAsia" w:ascii="仿宋_GB2312" w:hAnsi="仿宋_GB2312" w:eastAsia="仿宋_GB2312" w:cs="仿宋_GB2312"/>
          <w:color w:val="auto"/>
          <w:spacing w:val="-8"/>
          <w:highlight w:val="none"/>
        </w:rPr>
        <w:t>2019</w:t>
      </w:r>
      <w:r>
        <w:rPr>
          <w:rFonts w:hint="eastAsia" w:ascii="仿宋_GB2312" w:hAnsi="仿宋_GB2312" w:eastAsia="仿宋_GB2312" w:cs="仿宋_GB2312"/>
          <w:color w:val="auto"/>
          <w:spacing w:val="-46"/>
          <w:highlight w:val="none"/>
        </w:rPr>
        <w:t xml:space="preserve"> </w:t>
      </w:r>
      <w:r>
        <w:rPr>
          <w:rFonts w:hint="eastAsia" w:ascii="仿宋_GB2312" w:hAnsi="仿宋_GB2312" w:eastAsia="仿宋_GB2312" w:cs="仿宋_GB2312"/>
          <w:color w:val="auto"/>
          <w:spacing w:val="-8"/>
          <w:highlight w:val="none"/>
        </w:rPr>
        <w:t>年</w:t>
      </w:r>
      <w:r>
        <w:rPr>
          <w:rFonts w:hint="eastAsia" w:ascii="仿宋_GB2312" w:hAnsi="仿宋_GB2312" w:eastAsia="仿宋_GB2312" w:cs="仿宋_GB2312"/>
          <w:color w:val="auto"/>
          <w:spacing w:val="-44"/>
          <w:highlight w:val="none"/>
        </w:rPr>
        <w:t xml:space="preserve"> </w:t>
      </w:r>
      <w:r>
        <w:rPr>
          <w:rFonts w:hint="eastAsia" w:ascii="仿宋_GB2312" w:hAnsi="仿宋_GB2312" w:eastAsia="仿宋_GB2312" w:cs="仿宋_GB2312"/>
          <w:color w:val="auto"/>
          <w:spacing w:val="-8"/>
          <w:highlight w:val="none"/>
        </w:rPr>
        <w:t>6</w:t>
      </w:r>
      <w:r>
        <w:rPr>
          <w:rFonts w:hint="eastAsia" w:ascii="仿宋_GB2312" w:hAnsi="仿宋_GB2312" w:eastAsia="仿宋_GB2312" w:cs="仿宋_GB2312"/>
          <w:color w:val="auto"/>
          <w:spacing w:val="-44"/>
          <w:highlight w:val="none"/>
        </w:rPr>
        <w:t xml:space="preserve"> </w:t>
      </w:r>
      <w:r>
        <w:rPr>
          <w:rFonts w:hint="eastAsia" w:ascii="仿宋_GB2312" w:hAnsi="仿宋_GB2312" w:eastAsia="仿宋_GB2312" w:cs="仿宋_GB2312"/>
          <w:color w:val="auto"/>
          <w:spacing w:val="-8"/>
          <w:highlight w:val="none"/>
        </w:rPr>
        <w:t>月</w:t>
      </w:r>
      <w:r>
        <w:rPr>
          <w:rFonts w:hint="eastAsia" w:ascii="仿宋_GB2312" w:hAnsi="仿宋_GB2312" w:eastAsia="仿宋_GB2312" w:cs="仿宋_GB2312"/>
          <w:color w:val="auto"/>
          <w:spacing w:val="-29"/>
          <w:highlight w:val="none"/>
        </w:rPr>
        <w:t xml:space="preserve"> </w:t>
      </w:r>
      <w:r>
        <w:rPr>
          <w:rFonts w:hint="eastAsia" w:ascii="仿宋_GB2312" w:hAnsi="仿宋_GB2312" w:eastAsia="仿宋_GB2312" w:cs="仿宋_GB2312"/>
          <w:color w:val="auto"/>
          <w:spacing w:val="-8"/>
          <w:highlight w:val="none"/>
        </w:rPr>
        <w:t>1 日。</w:t>
      </w:r>
    </w:p>
    <w:p w14:paraId="7DBE2AA9">
      <w:pPr>
        <w:pStyle w:val="2"/>
        <w:spacing w:before="33" w:line="220" w:lineRule="auto"/>
        <w:ind w:left="471"/>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3"/>
          <w:highlight w:val="none"/>
        </w:rPr>
        <w:t>3.以“★</w:t>
      </w:r>
      <w:r>
        <w:rPr>
          <w:rFonts w:hint="eastAsia" w:ascii="仿宋_GB2312" w:hAnsi="仿宋_GB2312" w:eastAsia="仿宋_GB2312" w:cs="仿宋_GB2312"/>
          <w:color w:val="auto"/>
          <w:spacing w:val="-68"/>
          <w:highlight w:val="none"/>
        </w:rPr>
        <w:t xml:space="preserve"> </w:t>
      </w:r>
      <w:r>
        <w:rPr>
          <w:rFonts w:hint="eastAsia" w:ascii="仿宋_GB2312" w:hAnsi="仿宋_GB2312" w:eastAsia="仿宋_GB2312" w:cs="仿宋_GB2312"/>
          <w:color w:val="auto"/>
          <w:spacing w:val="-3"/>
          <w:highlight w:val="none"/>
        </w:rPr>
        <w:t>”标注的为政府强制采购产品。</w:t>
      </w:r>
    </w:p>
    <w:p w14:paraId="03778F4F">
      <w:pP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4.若表格有变动，按最新政策执行。</w:t>
      </w:r>
    </w:p>
    <w:p w14:paraId="1CC16B32">
      <w:pPr>
        <w:widowControl/>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br w:type="page"/>
      </w:r>
    </w:p>
    <w:p w14:paraId="433A180F">
      <w:pPr>
        <w:rPr>
          <w:rFonts w:hint="eastAsia" w:ascii="仿宋_GB2312" w:hAnsi="仿宋_GB2312" w:eastAsia="仿宋_GB2312" w:cs="仿宋_GB2312"/>
          <w:color w:val="auto"/>
          <w:sz w:val="28"/>
          <w:szCs w:val="28"/>
          <w:highlight w:val="none"/>
        </w:rPr>
      </w:pPr>
    </w:p>
    <w:p w14:paraId="26B9C873">
      <w:pP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附件二</w:t>
      </w:r>
    </w:p>
    <w:p w14:paraId="404BA4D1">
      <w:pPr>
        <w:spacing w:before="342" w:line="175" w:lineRule="auto"/>
        <w:jc w:val="center"/>
        <w:rPr>
          <w:rFonts w:hint="eastAsia" w:ascii="微软雅黑" w:hAnsi="微软雅黑" w:eastAsia="微软雅黑" w:cs="微软雅黑"/>
          <w:color w:val="auto"/>
          <w:spacing w:val="-2"/>
          <w:sz w:val="40"/>
          <w:szCs w:val="40"/>
          <w:highlight w:val="none"/>
        </w:rPr>
      </w:pPr>
      <w:bookmarkStart w:id="76" w:name="_Toc9572"/>
      <w:r>
        <w:rPr>
          <w:rFonts w:ascii="微软雅黑" w:hAnsi="微软雅黑" w:eastAsia="微软雅黑" w:cs="微软雅黑"/>
          <w:color w:val="auto"/>
          <w:spacing w:val="-2"/>
          <w:sz w:val="40"/>
          <w:szCs w:val="40"/>
          <w:highlight w:val="none"/>
        </w:rPr>
        <w:t>环境标志产品政府采购品目清单</w:t>
      </w:r>
      <w:bookmarkEnd w:id="76"/>
    </w:p>
    <w:p w14:paraId="30FEB2E1">
      <w:pPr>
        <w:spacing w:before="41"/>
        <w:rPr>
          <w:color w:val="auto"/>
          <w:highlight w:val="none"/>
        </w:rPr>
      </w:pPr>
    </w:p>
    <w:tbl>
      <w:tblPr>
        <w:tblStyle w:val="936"/>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14:paraId="65E60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36212A1F">
            <w:pPr>
              <w:pStyle w:val="935"/>
              <w:spacing w:before="71" w:line="283" w:lineRule="auto"/>
              <w:ind w:left="114" w:right="107" w:firstLine="15"/>
              <w:rPr>
                <w:rFonts w:hint="eastAsia"/>
                <w:color w:val="auto"/>
                <w:highlight w:val="none"/>
              </w:rPr>
            </w:pPr>
            <w:r>
              <w:rPr>
                <w:b/>
                <w:bCs/>
                <w:color w:val="auto"/>
                <w:spacing w:val="-12"/>
                <w:highlight w:val="none"/>
              </w:rPr>
              <w:t>品目</w:t>
            </w:r>
            <w:r>
              <w:rPr>
                <w:color w:val="auto"/>
                <w:highlight w:val="none"/>
              </w:rPr>
              <w:t xml:space="preserve"> </w:t>
            </w:r>
            <w:r>
              <w:rPr>
                <w:b/>
                <w:bCs/>
                <w:color w:val="auto"/>
                <w:spacing w:val="-4"/>
                <w:highlight w:val="none"/>
              </w:rPr>
              <w:t>序号</w:t>
            </w:r>
          </w:p>
        </w:tc>
        <w:tc>
          <w:tcPr>
            <w:tcW w:w="6462" w:type="dxa"/>
            <w:gridSpan w:val="3"/>
          </w:tcPr>
          <w:p w14:paraId="3159AC92">
            <w:pPr>
              <w:pStyle w:val="935"/>
              <w:spacing w:before="224" w:line="222" w:lineRule="auto"/>
              <w:ind w:left="3054"/>
              <w:rPr>
                <w:rFonts w:hint="eastAsia"/>
                <w:color w:val="auto"/>
                <w:highlight w:val="none"/>
              </w:rPr>
            </w:pPr>
            <w:r>
              <w:rPr>
                <w:b/>
                <w:bCs/>
                <w:color w:val="auto"/>
                <w:spacing w:val="-6"/>
                <w:highlight w:val="none"/>
              </w:rPr>
              <w:t>名称</w:t>
            </w:r>
          </w:p>
        </w:tc>
        <w:tc>
          <w:tcPr>
            <w:tcW w:w="3543" w:type="dxa"/>
          </w:tcPr>
          <w:p w14:paraId="583E378D">
            <w:pPr>
              <w:pStyle w:val="935"/>
              <w:spacing w:before="224" w:line="219" w:lineRule="auto"/>
              <w:ind w:left="1325"/>
              <w:rPr>
                <w:rFonts w:hint="eastAsia"/>
                <w:color w:val="auto"/>
                <w:highlight w:val="none"/>
              </w:rPr>
            </w:pPr>
            <w:r>
              <w:rPr>
                <w:b/>
                <w:bCs/>
                <w:color w:val="auto"/>
                <w:spacing w:val="-4"/>
                <w:highlight w:val="none"/>
              </w:rPr>
              <w:t>依据的标准</w:t>
            </w:r>
          </w:p>
        </w:tc>
      </w:tr>
      <w:tr w14:paraId="67073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restart"/>
            <w:tcBorders>
              <w:bottom w:val="nil"/>
            </w:tcBorders>
          </w:tcPr>
          <w:p w14:paraId="448A798D">
            <w:pPr>
              <w:pStyle w:val="935"/>
              <w:spacing w:before="93" w:line="184" w:lineRule="auto"/>
              <w:ind w:left="128"/>
              <w:rPr>
                <w:rFonts w:hint="eastAsia"/>
                <w:color w:val="auto"/>
                <w:highlight w:val="none"/>
              </w:rPr>
            </w:pPr>
            <w:r>
              <w:rPr>
                <w:color w:val="auto"/>
                <w:highlight w:val="none"/>
              </w:rPr>
              <w:t>1</w:t>
            </w:r>
          </w:p>
        </w:tc>
        <w:tc>
          <w:tcPr>
            <w:tcW w:w="1542" w:type="dxa"/>
            <w:vMerge w:val="restart"/>
            <w:tcBorders>
              <w:bottom w:val="nil"/>
            </w:tcBorders>
          </w:tcPr>
          <w:p w14:paraId="0F65E7D3">
            <w:pPr>
              <w:pStyle w:val="935"/>
              <w:spacing w:before="66" w:line="307" w:lineRule="auto"/>
              <w:ind w:left="110" w:right="108" w:hanging="8"/>
              <w:rPr>
                <w:rFonts w:hint="eastAsia"/>
                <w:color w:val="auto"/>
                <w:highlight w:val="none"/>
              </w:rPr>
            </w:pPr>
            <w:r>
              <w:rPr>
                <w:color w:val="auto"/>
                <w:spacing w:val="3"/>
                <w:highlight w:val="none"/>
              </w:rPr>
              <w:t>A020101</w:t>
            </w:r>
            <w:r>
              <w:rPr>
                <w:color w:val="auto"/>
                <w:spacing w:val="34"/>
                <w:highlight w:val="none"/>
              </w:rPr>
              <w:t xml:space="preserve"> </w:t>
            </w:r>
            <w:r>
              <w:rPr>
                <w:color w:val="auto"/>
                <w:spacing w:val="3"/>
                <w:highlight w:val="none"/>
              </w:rPr>
              <w:t>计算机</w:t>
            </w:r>
            <w:r>
              <w:rPr>
                <w:color w:val="auto"/>
                <w:highlight w:val="none"/>
              </w:rPr>
              <w:t xml:space="preserve"> </w:t>
            </w:r>
            <w:r>
              <w:rPr>
                <w:color w:val="auto"/>
                <w:spacing w:val="-3"/>
                <w:highlight w:val="none"/>
              </w:rPr>
              <w:t>设备</w:t>
            </w:r>
          </w:p>
        </w:tc>
        <w:tc>
          <w:tcPr>
            <w:tcW w:w="2672" w:type="dxa"/>
          </w:tcPr>
          <w:p w14:paraId="537B35B6">
            <w:pPr>
              <w:pStyle w:val="935"/>
              <w:spacing w:before="66" w:line="220" w:lineRule="auto"/>
              <w:ind w:left="103"/>
              <w:rPr>
                <w:rFonts w:hint="eastAsia"/>
                <w:color w:val="auto"/>
                <w:highlight w:val="none"/>
              </w:rPr>
            </w:pPr>
            <w:r>
              <w:rPr>
                <w:color w:val="auto"/>
                <w:spacing w:val="-1"/>
                <w:highlight w:val="none"/>
              </w:rPr>
              <w:t>A02010103</w:t>
            </w:r>
            <w:r>
              <w:rPr>
                <w:color w:val="auto"/>
                <w:spacing w:val="-32"/>
                <w:highlight w:val="none"/>
              </w:rPr>
              <w:t xml:space="preserve"> </w:t>
            </w:r>
            <w:r>
              <w:rPr>
                <w:color w:val="auto"/>
                <w:spacing w:val="-1"/>
                <w:highlight w:val="none"/>
              </w:rPr>
              <w:t>服务器</w:t>
            </w:r>
          </w:p>
        </w:tc>
        <w:tc>
          <w:tcPr>
            <w:tcW w:w="2248" w:type="dxa"/>
          </w:tcPr>
          <w:p w14:paraId="38C85977">
            <w:pPr>
              <w:rPr>
                <w:rFonts w:ascii="Arial"/>
                <w:color w:val="auto"/>
                <w:highlight w:val="none"/>
              </w:rPr>
            </w:pPr>
          </w:p>
        </w:tc>
        <w:tc>
          <w:tcPr>
            <w:tcW w:w="3543" w:type="dxa"/>
          </w:tcPr>
          <w:p w14:paraId="791CF59B">
            <w:pPr>
              <w:pStyle w:val="935"/>
              <w:spacing w:before="66" w:line="219" w:lineRule="auto"/>
              <w:ind w:left="109"/>
              <w:rPr>
                <w:rFonts w:hint="eastAsia"/>
                <w:color w:val="auto"/>
                <w:highlight w:val="none"/>
              </w:rPr>
            </w:pPr>
            <w:r>
              <w:rPr>
                <w:color w:val="auto"/>
                <w:spacing w:val="-2"/>
                <w:highlight w:val="none"/>
              </w:rPr>
              <w:t>HJ2507</w:t>
            </w:r>
            <w:r>
              <w:rPr>
                <w:color w:val="auto"/>
                <w:spacing w:val="-20"/>
                <w:highlight w:val="none"/>
              </w:rPr>
              <w:t xml:space="preserve"> </w:t>
            </w:r>
            <w:r>
              <w:rPr>
                <w:color w:val="auto"/>
                <w:spacing w:val="-2"/>
                <w:highlight w:val="none"/>
              </w:rPr>
              <w:t>网络服务器</w:t>
            </w:r>
          </w:p>
        </w:tc>
      </w:tr>
      <w:tr w14:paraId="5A27F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19F63430">
            <w:pPr>
              <w:rPr>
                <w:rFonts w:ascii="Arial"/>
                <w:color w:val="auto"/>
                <w:highlight w:val="none"/>
              </w:rPr>
            </w:pPr>
          </w:p>
        </w:tc>
        <w:tc>
          <w:tcPr>
            <w:tcW w:w="1542" w:type="dxa"/>
            <w:vMerge w:val="continue"/>
            <w:tcBorders>
              <w:top w:val="nil"/>
              <w:bottom w:val="nil"/>
            </w:tcBorders>
          </w:tcPr>
          <w:p w14:paraId="153CC8B1">
            <w:pPr>
              <w:rPr>
                <w:rFonts w:ascii="Arial"/>
                <w:color w:val="auto"/>
                <w:highlight w:val="none"/>
              </w:rPr>
            </w:pPr>
          </w:p>
        </w:tc>
        <w:tc>
          <w:tcPr>
            <w:tcW w:w="2672" w:type="dxa"/>
          </w:tcPr>
          <w:p w14:paraId="57EBEB11">
            <w:pPr>
              <w:pStyle w:val="935"/>
              <w:spacing w:before="65" w:line="219" w:lineRule="auto"/>
              <w:ind w:left="103"/>
              <w:rPr>
                <w:rFonts w:hint="eastAsia"/>
                <w:color w:val="auto"/>
                <w:highlight w:val="none"/>
              </w:rPr>
            </w:pPr>
            <w:r>
              <w:rPr>
                <w:color w:val="auto"/>
                <w:spacing w:val="-2"/>
                <w:highlight w:val="none"/>
              </w:rPr>
              <w:t>A02010104</w:t>
            </w:r>
            <w:r>
              <w:rPr>
                <w:color w:val="auto"/>
                <w:spacing w:val="-14"/>
                <w:highlight w:val="none"/>
              </w:rPr>
              <w:t xml:space="preserve"> </w:t>
            </w:r>
            <w:r>
              <w:rPr>
                <w:color w:val="auto"/>
                <w:spacing w:val="-2"/>
                <w:highlight w:val="none"/>
              </w:rPr>
              <w:t>台式计算机</w:t>
            </w:r>
          </w:p>
        </w:tc>
        <w:tc>
          <w:tcPr>
            <w:tcW w:w="2248" w:type="dxa"/>
          </w:tcPr>
          <w:p w14:paraId="10A5D0EE">
            <w:pPr>
              <w:rPr>
                <w:rFonts w:ascii="Arial"/>
                <w:color w:val="auto"/>
                <w:highlight w:val="none"/>
              </w:rPr>
            </w:pPr>
          </w:p>
        </w:tc>
        <w:tc>
          <w:tcPr>
            <w:tcW w:w="3543" w:type="dxa"/>
          </w:tcPr>
          <w:p w14:paraId="444D0790">
            <w:pPr>
              <w:pStyle w:val="935"/>
              <w:spacing w:before="64" w:line="219" w:lineRule="auto"/>
              <w:ind w:left="109"/>
              <w:rPr>
                <w:rFonts w:hint="eastAsia"/>
                <w:color w:val="auto"/>
                <w:highlight w:val="none"/>
                <w:lang w:eastAsia="zh-CN"/>
              </w:rPr>
            </w:pPr>
            <w:r>
              <w:rPr>
                <w:color w:val="auto"/>
                <w:spacing w:val="-1"/>
                <w:highlight w:val="none"/>
                <w:lang w:eastAsia="zh-CN"/>
              </w:rPr>
              <w:t>HJ2536</w:t>
            </w:r>
            <w:r>
              <w:rPr>
                <w:color w:val="auto"/>
                <w:spacing w:val="-28"/>
                <w:highlight w:val="none"/>
                <w:lang w:eastAsia="zh-CN"/>
              </w:rPr>
              <w:t xml:space="preserve"> </w:t>
            </w:r>
            <w:r>
              <w:rPr>
                <w:color w:val="auto"/>
                <w:spacing w:val="-1"/>
                <w:highlight w:val="none"/>
                <w:lang w:eastAsia="zh-CN"/>
              </w:rPr>
              <w:t>微型计算机、显示器</w:t>
            </w:r>
          </w:p>
        </w:tc>
      </w:tr>
      <w:tr w14:paraId="609DC5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A0704EB">
            <w:pPr>
              <w:rPr>
                <w:rFonts w:ascii="Arial"/>
                <w:color w:val="auto"/>
                <w:highlight w:val="none"/>
              </w:rPr>
            </w:pPr>
          </w:p>
        </w:tc>
        <w:tc>
          <w:tcPr>
            <w:tcW w:w="1542" w:type="dxa"/>
            <w:vMerge w:val="continue"/>
            <w:tcBorders>
              <w:top w:val="nil"/>
              <w:bottom w:val="nil"/>
            </w:tcBorders>
          </w:tcPr>
          <w:p w14:paraId="0A5486A3">
            <w:pPr>
              <w:rPr>
                <w:rFonts w:ascii="Arial"/>
                <w:color w:val="auto"/>
                <w:highlight w:val="none"/>
              </w:rPr>
            </w:pPr>
          </w:p>
        </w:tc>
        <w:tc>
          <w:tcPr>
            <w:tcW w:w="2672" w:type="dxa"/>
          </w:tcPr>
          <w:p w14:paraId="67BDD7D4">
            <w:pPr>
              <w:pStyle w:val="935"/>
              <w:spacing w:before="64" w:line="219" w:lineRule="auto"/>
              <w:ind w:left="103"/>
              <w:rPr>
                <w:rFonts w:hint="eastAsia"/>
                <w:color w:val="auto"/>
                <w:highlight w:val="none"/>
              </w:rPr>
            </w:pPr>
            <w:r>
              <w:rPr>
                <w:color w:val="auto"/>
                <w:spacing w:val="-1"/>
                <w:highlight w:val="none"/>
              </w:rPr>
              <w:t>A02010105</w:t>
            </w:r>
            <w:r>
              <w:rPr>
                <w:color w:val="auto"/>
                <w:spacing w:val="-30"/>
                <w:highlight w:val="none"/>
              </w:rPr>
              <w:t xml:space="preserve"> </w:t>
            </w:r>
            <w:r>
              <w:rPr>
                <w:color w:val="auto"/>
                <w:spacing w:val="-1"/>
                <w:highlight w:val="none"/>
              </w:rPr>
              <w:t>便携式计算机</w:t>
            </w:r>
          </w:p>
        </w:tc>
        <w:tc>
          <w:tcPr>
            <w:tcW w:w="2248" w:type="dxa"/>
          </w:tcPr>
          <w:p w14:paraId="790DDE31">
            <w:pPr>
              <w:rPr>
                <w:rFonts w:ascii="Arial"/>
                <w:color w:val="auto"/>
                <w:highlight w:val="none"/>
              </w:rPr>
            </w:pPr>
          </w:p>
        </w:tc>
        <w:tc>
          <w:tcPr>
            <w:tcW w:w="3543" w:type="dxa"/>
          </w:tcPr>
          <w:p w14:paraId="2411F982">
            <w:pPr>
              <w:pStyle w:val="935"/>
              <w:spacing w:before="64" w:line="219" w:lineRule="auto"/>
              <w:ind w:left="109"/>
              <w:rPr>
                <w:rFonts w:hint="eastAsia"/>
                <w:color w:val="auto"/>
                <w:highlight w:val="none"/>
                <w:lang w:eastAsia="zh-CN"/>
              </w:rPr>
            </w:pPr>
            <w:r>
              <w:rPr>
                <w:color w:val="auto"/>
                <w:spacing w:val="-1"/>
                <w:highlight w:val="none"/>
                <w:lang w:eastAsia="zh-CN"/>
              </w:rPr>
              <w:t>HJ2536</w:t>
            </w:r>
            <w:r>
              <w:rPr>
                <w:color w:val="auto"/>
                <w:spacing w:val="-28"/>
                <w:highlight w:val="none"/>
                <w:lang w:eastAsia="zh-CN"/>
              </w:rPr>
              <w:t xml:space="preserve"> </w:t>
            </w:r>
            <w:r>
              <w:rPr>
                <w:color w:val="auto"/>
                <w:spacing w:val="-1"/>
                <w:highlight w:val="none"/>
                <w:lang w:eastAsia="zh-CN"/>
              </w:rPr>
              <w:t>微型计算机、显示器</w:t>
            </w:r>
          </w:p>
        </w:tc>
      </w:tr>
      <w:tr w14:paraId="69B48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1FBCC718">
            <w:pPr>
              <w:rPr>
                <w:rFonts w:ascii="Arial"/>
                <w:color w:val="auto"/>
                <w:highlight w:val="none"/>
              </w:rPr>
            </w:pPr>
          </w:p>
        </w:tc>
        <w:tc>
          <w:tcPr>
            <w:tcW w:w="1542" w:type="dxa"/>
            <w:vMerge w:val="continue"/>
            <w:tcBorders>
              <w:top w:val="nil"/>
              <w:bottom w:val="nil"/>
            </w:tcBorders>
          </w:tcPr>
          <w:p w14:paraId="282E9759">
            <w:pPr>
              <w:rPr>
                <w:rFonts w:ascii="Arial"/>
                <w:color w:val="auto"/>
                <w:highlight w:val="none"/>
              </w:rPr>
            </w:pPr>
          </w:p>
        </w:tc>
        <w:tc>
          <w:tcPr>
            <w:tcW w:w="2672" w:type="dxa"/>
          </w:tcPr>
          <w:p w14:paraId="1E70EA94">
            <w:pPr>
              <w:pStyle w:val="935"/>
              <w:spacing w:before="64" w:line="219" w:lineRule="auto"/>
              <w:ind w:left="103"/>
              <w:rPr>
                <w:rFonts w:hint="eastAsia"/>
                <w:color w:val="auto"/>
                <w:highlight w:val="none"/>
              </w:rPr>
            </w:pPr>
            <w:r>
              <w:rPr>
                <w:color w:val="auto"/>
                <w:spacing w:val="-1"/>
                <w:highlight w:val="none"/>
              </w:rPr>
              <w:t>A02010107</w:t>
            </w:r>
            <w:r>
              <w:rPr>
                <w:color w:val="auto"/>
                <w:spacing w:val="-28"/>
                <w:highlight w:val="none"/>
              </w:rPr>
              <w:t xml:space="preserve"> </w:t>
            </w:r>
            <w:r>
              <w:rPr>
                <w:color w:val="auto"/>
                <w:spacing w:val="-1"/>
                <w:highlight w:val="none"/>
              </w:rPr>
              <w:t>平板式微型计算机</w:t>
            </w:r>
          </w:p>
        </w:tc>
        <w:tc>
          <w:tcPr>
            <w:tcW w:w="2248" w:type="dxa"/>
          </w:tcPr>
          <w:p w14:paraId="6CE400E9">
            <w:pPr>
              <w:rPr>
                <w:rFonts w:ascii="Arial"/>
                <w:color w:val="auto"/>
                <w:highlight w:val="none"/>
              </w:rPr>
            </w:pPr>
          </w:p>
        </w:tc>
        <w:tc>
          <w:tcPr>
            <w:tcW w:w="3543" w:type="dxa"/>
          </w:tcPr>
          <w:p w14:paraId="0203DFFD">
            <w:pPr>
              <w:pStyle w:val="935"/>
              <w:spacing w:before="63" w:line="219" w:lineRule="auto"/>
              <w:ind w:left="109"/>
              <w:rPr>
                <w:rFonts w:hint="eastAsia"/>
                <w:color w:val="auto"/>
                <w:highlight w:val="none"/>
                <w:lang w:eastAsia="zh-CN"/>
              </w:rPr>
            </w:pPr>
            <w:r>
              <w:rPr>
                <w:color w:val="auto"/>
                <w:spacing w:val="-1"/>
                <w:highlight w:val="none"/>
                <w:lang w:eastAsia="zh-CN"/>
              </w:rPr>
              <w:t>HJ2536</w:t>
            </w:r>
            <w:r>
              <w:rPr>
                <w:color w:val="auto"/>
                <w:spacing w:val="-28"/>
                <w:highlight w:val="none"/>
                <w:lang w:eastAsia="zh-CN"/>
              </w:rPr>
              <w:t xml:space="preserve"> </w:t>
            </w:r>
            <w:r>
              <w:rPr>
                <w:color w:val="auto"/>
                <w:spacing w:val="-1"/>
                <w:highlight w:val="none"/>
                <w:lang w:eastAsia="zh-CN"/>
              </w:rPr>
              <w:t>微型计算机、显示器</w:t>
            </w:r>
          </w:p>
        </w:tc>
      </w:tr>
      <w:tr w14:paraId="4C663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E54EBDA">
            <w:pPr>
              <w:rPr>
                <w:rFonts w:ascii="Arial"/>
                <w:color w:val="auto"/>
                <w:highlight w:val="none"/>
              </w:rPr>
            </w:pPr>
          </w:p>
        </w:tc>
        <w:tc>
          <w:tcPr>
            <w:tcW w:w="1542" w:type="dxa"/>
            <w:vMerge w:val="continue"/>
            <w:tcBorders>
              <w:top w:val="nil"/>
              <w:bottom w:val="nil"/>
            </w:tcBorders>
          </w:tcPr>
          <w:p w14:paraId="2AE8D739">
            <w:pPr>
              <w:rPr>
                <w:rFonts w:ascii="Arial"/>
                <w:color w:val="auto"/>
                <w:highlight w:val="none"/>
              </w:rPr>
            </w:pPr>
          </w:p>
        </w:tc>
        <w:tc>
          <w:tcPr>
            <w:tcW w:w="2672" w:type="dxa"/>
          </w:tcPr>
          <w:p w14:paraId="4195750E">
            <w:pPr>
              <w:pStyle w:val="935"/>
              <w:spacing w:before="65" w:line="219" w:lineRule="auto"/>
              <w:ind w:left="103"/>
              <w:rPr>
                <w:rFonts w:hint="eastAsia"/>
                <w:color w:val="auto"/>
                <w:highlight w:val="none"/>
              </w:rPr>
            </w:pPr>
            <w:r>
              <w:rPr>
                <w:color w:val="auto"/>
                <w:spacing w:val="-2"/>
                <w:highlight w:val="none"/>
              </w:rPr>
              <w:t>A02010108</w:t>
            </w:r>
            <w:r>
              <w:rPr>
                <w:color w:val="auto"/>
                <w:spacing w:val="32"/>
                <w:highlight w:val="none"/>
              </w:rPr>
              <w:t xml:space="preserve"> </w:t>
            </w:r>
            <w:r>
              <w:rPr>
                <w:color w:val="auto"/>
                <w:spacing w:val="-2"/>
                <w:highlight w:val="none"/>
              </w:rPr>
              <w:t>网络计算机</w:t>
            </w:r>
          </w:p>
        </w:tc>
        <w:tc>
          <w:tcPr>
            <w:tcW w:w="2248" w:type="dxa"/>
          </w:tcPr>
          <w:p w14:paraId="1DB881A4">
            <w:pPr>
              <w:rPr>
                <w:rFonts w:ascii="Arial"/>
                <w:color w:val="auto"/>
                <w:highlight w:val="none"/>
              </w:rPr>
            </w:pPr>
          </w:p>
        </w:tc>
        <w:tc>
          <w:tcPr>
            <w:tcW w:w="3543" w:type="dxa"/>
          </w:tcPr>
          <w:p w14:paraId="4A52251A">
            <w:pPr>
              <w:pStyle w:val="935"/>
              <w:spacing w:before="64" w:line="219" w:lineRule="auto"/>
              <w:ind w:left="109"/>
              <w:rPr>
                <w:rFonts w:hint="eastAsia"/>
                <w:color w:val="auto"/>
                <w:highlight w:val="none"/>
                <w:lang w:eastAsia="zh-CN"/>
              </w:rPr>
            </w:pPr>
            <w:r>
              <w:rPr>
                <w:color w:val="auto"/>
                <w:spacing w:val="-1"/>
                <w:highlight w:val="none"/>
                <w:lang w:eastAsia="zh-CN"/>
              </w:rPr>
              <w:t>HJ2536</w:t>
            </w:r>
            <w:r>
              <w:rPr>
                <w:color w:val="auto"/>
                <w:spacing w:val="-28"/>
                <w:highlight w:val="none"/>
                <w:lang w:eastAsia="zh-CN"/>
              </w:rPr>
              <w:t xml:space="preserve"> </w:t>
            </w:r>
            <w:r>
              <w:rPr>
                <w:color w:val="auto"/>
                <w:spacing w:val="-1"/>
                <w:highlight w:val="none"/>
                <w:lang w:eastAsia="zh-CN"/>
              </w:rPr>
              <w:t>微型计算机、显示器</w:t>
            </w:r>
          </w:p>
        </w:tc>
      </w:tr>
      <w:tr w14:paraId="2BA8E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093CFC57">
            <w:pPr>
              <w:rPr>
                <w:rFonts w:ascii="Arial"/>
                <w:color w:val="auto"/>
                <w:highlight w:val="none"/>
              </w:rPr>
            </w:pPr>
          </w:p>
        </w:tc>
        <w:tc>
          <w:tcPr>
            <w:tcW w:w="1542" w:type="dxa"/>
            <w:vMerge w:val="continue"/>
            <w:tcBorders>
              <w:top w:val="nil"/>
              <w:bottom w:val="nil"/>
            </w:tcBorders>
          </w:tcPr>
          <w:p w14:paraId="03A942B7">
            <w:pPr>
              <w:rPr>
                <w:rFonts w:ascii="Arial"/>
                <w:color w:val="auto"/>
                <w:highlight w:val="none"/>
              </w:rPr>
            </w:pPr>
          </w:p>
        </w:tc>
        <w:tc>
          <w:tcPr>
            <w:tcW w:w="2672" w:type="dxa"/>
          </w:tcPr>
          <w:p w14:paraId="0F71274C">
            <w:pPr>
              <w:pStyle w:val="935"/>
              <w:spacing w:before="64" w:line="219" w:lineRule="auto"/>
              <w:ind w:left="103"/>
              <w:rPr>
                <w:rFonts w:hint="eastAsia"/>
                <w:color w:val="auto"/>
                <w:highlight w:val="none"/>
              </w:rPr>
            </w:pPr>
            <w:r>
              <w:rPr>
                <w:color w:val="auto"/>
                <w:highlight w:val="none"/>
              </w:rPr>
              <w:t>A02010109 计算机工作站</w:t>
            </w:r>
          </w:p>
        </w:tc>
        <w:tc>
          <w:tcPr>
            <w:tcW w:w="2248" w:type="dxa"/>
          </w:tcPr>
          <w:p w14:paraId="02FD46A9">
            <w:pPr>
              <w:rPr>
                <w:rFonts w:ascii="Arial"/>
                <w:color w:val="auto"/>
                <w:highlight w:val="none"/>
              </w:rPr>
            </w:pPr>
          </w:p>
        </w:tc>
        <w:tc>
          <w:tcPr>
            <w:tcW w:w="3543" w:type="dxa"/>
          </w:tcPr>
          <w:p w14:paraId="498C6FC6">
            <w:pPr>
              <w:pStyle w:val="935"/>
              <w:spacing w:before="64" w:line="219" w:lineRule="auto"/>
              <w:ind w:left="109"/>
              <w:rPr>
                <w:rFonts w:hint="eastAsia"/>
                <w:color w:val="auto"/>
                <w:highlight w:val="none"/>
                <w:lang w:eastAsia="zh-CN"/>
              </w:rPr>
            </w:pPr>
            <w:r>
              <w:rPr>
                <w:color w:val="auto"/>
                <w:spacing w:val="-1"/>
                <w:highlight w:val="none"/>
                <w:lang w:eastAsia="zh-CN"/>
              </w:rPr>
              <w:t>HJ2536</w:t>
            </w:r>
            <w:r>
              <w:rPr>
                <w:color w:val="auto"/>
                <w:spacing w:val="-28"/>
                <w:highlight w:val="none"/>
                <w:lang w:eastAsia="zh-CN"/>
              </w:rPr>
              <w:t xml:space="preserve"> </w:t>
            </w:r>
            <w:r>
              <w:rPr>
                <w:color w:val="auto"/>
                <w:spacing w:val="-1"/>
                <w:highlight w:val="none"/>
                <w:lang w:eastAsia="zh-CN"/>
              </w:rPr>
              <w:t>微型计算机、显示器</w:t>
            </w:r>
          </w:p>
        </w:tc>
      </w:tr>
      <w:tr w14:paraId="200BB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0A11E968">
            <w:pPr>
              <w:rPr>
                <w:rFonts w:ascii="Arial"/>
                <w:color w:val="auto"/>
                <w:highlight w:val="none"/>
              </w:rPr>
            </w:pPr>
          </w:p>
        </w:tc>
        <w:tc>
          <w:tcPr>
            <w:tcW w:w="1542" w:type="dxa"/>
            <w:vMerge w:val="continue"/>
            <w:tcBorders>
              <w:top w:val="nil"/>
            </w:tcBorders>
          </w:tcPr>
          <w:p w14:paraId="6C33E676">
            <w:pPr>
              <w:rPr>
                <w:rFonts w:ascii="Arial"/>
                <w:color w:val="auto"/>
                <w:highlight w:val="none"/>
              </w:rPr>
            </w:pPr>
          </w:p>
        </w:tc>
        <w:tc>
          <w:tcPr>
            <w:tcW w:w="2672" w:type="dxa"/>
          </w:tcPr>
          <w:p w14:paraId="1E1D391A">
            <w:pPr>
              <w:pStyle w:val="935"/>
              <w:spacing w:before="64" w:line="219" w:lineRule="auto"/>
              <w:ind w:left="103"/>
              <w:rPr>
                <w:rFonts w:hint="eastAsia"/>
                <w:color w:val="auto"/>
                <w:highlight w:val="none"/>
              </w:rPr>
            </w:pPr>
            <w:r>
              <w:rPr>
                <w:color w:val="auto"/>
                <w:spacing w:val="-1"/>
                <w:highlight w:val="none"/>
              </w:rPr>
              <w:t>A02010199</w:t>
            </w:r>
            <w:r>
              <w:rPr>
                <w:color w:val="auto"/>
                <w:spacing w:val="-29"/>
                <w:highlight w:val="none"/>
              </w:rPr>
              <w:t xml:space="preserve"> </w:t>
            </w:r>
            <w:r>
              <w:rPr>
                <w:color w:val="auto"/>
                <w:spacing w:val="-1"/>
                <w:highlight w:val="none"/>
              </w:rPr>
              <w:t>其他计算机设备</w:t>
            </w:r>
          </w:p>
        </w:tc>
        <w:tc>
          <w:tcPr>
            <w:tcW w:w="2248" w:type="dxa"/>
          </w:tcPr>
          <w:p w14:paraId="62245437">
            <w:pPr>
              <w:rPr>
                <w:rFonts w:ascii="Arial"/>
                <w:color w:val="auto"/>
                <w:highlight w:val="none"/>
              </w:rPr>
            </w:pPr>
          </w:p>
        </w:tc>
        <w:tc>
          <w:tcPr>
            <w:tcW w:w="3543" w:type="dxa"/>
          </w:tcPr>
          <w:p w14:paraId="26BF9D8B">
            <w:pPr>
              <w:pStyle w:val="935"/>
              <w:spacing w:before="64" w:line="219" w:lineRule="auto"/>
              <w:ind w:left="109"/>
              <w:rPr>
                <w:rFonts w:hint="eastAsia"/>
                <w:color w:val="auto"/>
                <w:highlight w:val="none"/>
                <w:lang w:eastAsia="zh-CN"/>
              </w:rPr>
            </w:pPr>
            <w:r>
              <w:rPr>
                <w:color w:val="auto"/>
                <w:spacing w:val="-1"/>
                <w:highlight w:val="none"/>
                <w:lang w:eastAsia="zh-CN"/>
              </w:rPr>
              <w:t>HJ2536</w:t>
            </w:r>
            <w:r>
              <w:rPr>
                <w:color w:val="auto"/>
                <w:spacing w:val="-28"/>
                <w:highlight w:val="none"/>
                <w:lang w:eastAsia="zh-CN"/>
              </w:rPr>
              <w:t xml:space="preserve"> </w:t>
            </w:r>
            <w:r>
              <w:rPr>
                <w:color w:val="auto"/>
                <w:spacing w:val="-1"/>
                <w:highlight w:val="none"/>
                <w:lang w:eastAsia="zh-CN"/>
              </w:rPr>
              <w:t>微型计算机、显示器</w:t>
            </w:r>
          </w:p>
        </w:tc>
      </w:tr>
      <w:tr w14:paraId="75729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7C51723D">
            <w:pPr>
              <w:pStyle w:val="935"/>
              <w:spacing w:before="93" w:line="183" w:lineRule="auto"/>
              <w:ind w:left="116"/>
              <w:rPr>
                <w:rFonts w:hint="eastAsia"/>
                <w:color w:val="auto"/>
                <w:highlight w:val="none"/>
              </w:rPr>
            </w:pPr>
            <w:r>
              <w:rPr>
                <w:color w:val="auto"/>
                <w:highlight w:val="none"/>
              </w:rPr>
              <w:t>2</w:t>
            </w:r>
          </w:p>
        </w:tc>
        <w:tc>
          <w:tcPr>
            <w:tcW w:w="1542" w:type="dxa"/>
            <w:vMerge w:val="restart"/>
            <w:tcBorders>
              <w:bottom w:val="nil"/>
            </w:tcBorders>
          </w:tcPr>
          <w:p w14:paraId="5B988B5D">
            <w:pPr>
              <w:pStyle w:val="935"/>
              <w:spacing w:before="65" w:line="307" w:lineRule="auto"/>
              <w:ind w:left="123" w:right="108" w:hanging="21"/>
              <w:rPr>
                <w:rFonts w:hint="eastAsia"/>
                <w:color w:val="auto"/>
                <w:highlight w:val="none"/>
              </w:rPr>
            </w:pPr>
            <w:r>
              <w:rPr>
                <w:color w:val="auto"/>
                <w:spacing w:val="3"/>
                <w:highlight w:val="none"/>
              </w:rPr>
              <w:t>A020106</w:t>
            </w:r>
            <w:r>
              <w:rPr>
                <w:color w:val="auto"/>
                <w:spacing w:val="34"/>
                <w:highlight w:val="none"/>
              </w:rPr>
              <w:t xml:space="preserve"> </w:t>
            </w:r>
            <w:r>
              <w:rPr>
                <w:color w:val="auto"/>
                <w:spacing w:val="3"/>
                <w:highlight w:val="none"/>
              </w:rPr>
              <w:t>输入输</w:t>
            </w:r>
            <w:r>
              <w:rPr>
                <w:color w:val="auto"/>
                <w:spacing w:val="-5"/>
                <w:highlight w:val="none"/>
              </w:rPr>
              <w:t>出设备</w:t>
            </w:r>
          </w:p>
        </w:tc>
        <w:tc>
          <w:tcPr>
            <w:tcW w:w="2672" w:type="dxa"/>
            <w:vMerge w:val="restart"/>
            <w:tcBorders>
              <w:bottom w:val="nil"/>
            </w:tcBorders>
          </w:tcPr>
          <w:p w14:paraId="06275CB5">
            <w:pPr>
              <w:pStyle w:val="935"/>
              <w:spacing w:before="64" w:line="220" w:lineRule="auto"/>
              <w:ind w:left="103"/>
              <w:rPr>
                <w:rFonts w:hint="eastAsia"/>
                <w:color w:val="auto"/>
                <w:highlight w:val="none"/>
              </w:rPr>
            </w:pPr>
            <w:r>
              <w:rPr>
                <w:color w:val="auto"/>
                <w:spacing w:val="-1"/>
                <w:highlight w:val="none"/>
              </w:rPr>
              <w:t>A02010601</w:t>
            </w:r>
            <w:r>
              <w:rPr>
                <w:color w:val="auto"/>
                <w:spacing w:val="-31"/>
                <w:highlight w:val="none"/>
              </w:rPr>
              <w:t xml:space="preserve"> </w:t>
            </w:r>
            <w:r>
              <w:rPr>
                <w:color w:val="auto"/>
                <w:spacing w:val="-1"/>
                <w:highlight w:val="none"/>
              </w:rPr>
              <w:t>打印设备</w:t>
            </w:r>
          </w:p>
        </w:tc>
        <w:tc>
          <w:tcPr>
            <w:tcW w:w="2248" w:type="dxa"/>
          </w:tcPr>
          <w:p w14:paraId="2F1C5124">
            <w:pPr>
              <w:pStyle w:val="935"/>
              <w:spacing w:before="65" w:line="219" w:lineRule="auto"/>
              <w:ind w:left="105"/>
              <w:rPr>
                <w:rFonts w:hint="eastAsia"/>
                <w:color w:val="auto"/>
                <w:highlight w:val="none"/>
              </w:rPr>
            </w:pPr>
            <w:r>
              <w:rPr>
                <w:color w:val="auto"/>
                <w:highlight w:val="none"/>
              </w:rPr>
              <w:t>A0201060101 喷墨打印机</w:t>
            </w:r>
          </w:p>
        </w:tc>
        <w:tc>
          <w:tcPr>
            <w:tcW w:w="3543" w:type="dxa"/>
          </w:tcPr>
          <w:p w14:paraId="6C618D32">
            <w:pPr>
              <w:pStyle w:val="935"/>
              <w:spacing w:before="64" w:line="219" w:lineRule="auto"/>
              <w:ind w:left="109"/>
              <w:rPr>
                <w:rFonts w:hint="eastAsia"/>
                <w:color w:val="auto"/>
                <w:highlight w:val="none"/>
                <w:lang w:eastAsia="zh-CN"/>
              </w:rPr>
            </w:pPr>
            <w:r>
              <w:rPr>
                <w:color w:val="auto"/>
                <w:spacing w:val="-1"/>
                <w:highlight w:val="none"/>
                <w:lang w:eastAsia="zh-CN"/>
              </w:rPr>
              <w:t>HJ2512</w:t>
            </w:r>
            <w:r>
              <w:rPr>
                <w:color w:val="auto"/>
                <w:spacing w:val="-29"/>
                <w:highlight w:val="none"/>
                <w:lang w:eastAsia="zh-CN"/>
              </w:rPr>
              <w:t xml:space="preserve"> </w:t>
            </w:r>
            <w:r>
              <w:rPr>
                <w:color w:val="auto"/>
                <w:spacing w:val="-1"/>
                <w:highlight w:val="none"/>
                <w:lang w:eastAsia="zh-CN"/>
              </w:rPr>
              <w:t>打印机、传真机及多功能一体机</w:t>
            </w:r>
          </w:p>
        </w:tc>
      </w:tr>
      <w:tr w14:paraId="4A06B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9007037">
            <w:pPr>
              <w:rPr>
                <w:rFonts w:ascii="Arial"/>
                <w:color w:val="auto"/>
                <w:highlight w:val="none"/>
              </w:rPr>
            </w:pPr>
          </w:p>
        </w:tc>
        <w:tc>
          <w:tcPr>
            <w:tcW w:w="1542" w:type="dxa"/>
            <w:vMerge w:val="continue"/>
            <w:tcBorders>
              <w:top w:val="nil"/>
              <w:bottom w:val="nil"/>
            </w:tcBorders>
          </w:tcPr>
          <w:p w14:paraId="30DDBC22">
            <w:pPr>
              <w:rPr>
                <w:rFonts w:ascii="Arial"/>
                <w:color w:val="auto"/>
                <w:highlight w:val="none"/>
              </w:rPr>
            </w:pPr>
          </w:p>
        </w:tc>
        <w:tc>
          <w:tcPr>
            <w:tcW w:w="2672" w:type="dxa"/>
            <w:vMerge w:val="continue"/>
            <w:tcBorders>
              <w:top w:val="nil"/>
              <w:bottom w:val="nil"/>
            </w:tcBorders>
          </w:tcPr>
          <w:p w14:paraId="45872923">
            <w:pPr>
              <w:rPr>
                <w:rFonts w:ascii="Arial"/>
                <w:color w:val="auto"/>
                <w:highlight w:val="none"/>
              </w:rPr>
            </w:pPr>
          </w:p>
        </w:tc>
        <w:tc>
          <w:tcPr>
            <w:tcW w:w="2248" w:type="dxa"/>
          </w:tcPr>
          <w:p w14:paraId="6D41F3D0">
            <w:pPr>
              <w:pStyle w:val="935"/>
              <w:spacing w:before="64" w:line="219" w:lineRule="auto"/>
              <w:ind w:left="105"/>
              <w:rPr>
                <w:rFonts w:hint="eastAsia"/>
                <w:color w:val="auto"/>
                <w:highlight w:val="none"/>
              </w:rPr>
            </w:pPr>
            <w:r>
              <w:rPr>
                <w:color w:val="auto"/>
                <w:highlight w:val="none"/>
              </w:rPr>
              <w:t>A0201060102 激光打印机</w:t>
            </w:r>
          </w:p>
        </w:tc>
        <w:tc>
          <w:tcPr>
            <w:tcW w:w="3543" w:type="dxa"/>
          </w:tcPr>
          <w:p w14:paraId="16335313">
            <w:pPr>
              <w:pStyle w:val="935"/>
              <w:spacing w:before="64" w:line="219" w:lineRule="auto"/>
              <w:ind w:left="109"/>
              <w:rPr>
                <w:rFonts w:hint="eastAsia"/>
                <w:color w:val="auto"/>
                <w:highlight w:val="none"/>
                <w:lang w:eastAsia="zh-CN"/>
              </w:rPr>
            </w:pPr>
            <w:r>
              <w:rPr>
                <w:color w:val="auto"/>
                <w:spacing w:val="-1"/>
                <w:highlight w:val="none"/>
                <w:lang w:eastAsia="zh-CN"/>
              </w:rPr>
              <w:t>HJ2512</w:t>
            </w:r>
            <w:r>
              <w:rPr>
                <w:color w:val="auto"/>
                <w:spacing w:val="-29"/>
                <w:highlight w:val="none"/>
                <w:lang w:eastAsia="zh-CN"/>
              </w:rPr>
              <w:t xml:space="preserve"> </w:t>
            </w:r>
            <w:r>
              <w:rPr>
                <w:color w:val="auto"/>
                <w:spacing w:val="-1"/>
                <w:highlight w:val="none"/>
                <w:lang w:eastAsia="zh-CN"/>
              </w:rPr>
              <w:t>打印机、传真机及多功能一体机</w:t>
            </w:r>
          </w:p>
        </w:tc>
      </w:tr>
      <w:tr w14:paraId="4EF8A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7DD76503">
            <w:pPr>
              <w:rPr>
                <w:rFonts w:ascii="Arial"/>
                <w:color w:val="auto"/>
                <w:highlight w:val="none"/>
              </w:rPr>
            </w:pPr>
          </w:p>
        </w:tc>
        <w:tc>
          <w:tcPr>
            <w:tcW w:w="1542" w:type="dxa"/>
            <w:vMerge w:val="continue"/>
            <w:tcBorders>
              <w:top w:val="nil"/>
              <w:bottom w:val="nil"/>
            </w:tcBorders>
          </w:tcPr>
          <w:p w14:paraId="4B4B13A8">
            <w:pPr>
              <w:rPr>
                <w:rFonts w:ascii="Arial"/>
                <w:color w:val="auto"/>
                <w:highlight w:val="none"/>
              </w:rPr>
            </w:pPr>
          </w:p>
        </w:tc>
        <w:tc>
          <w:tcPr>
            <w:tcW w:w="2672" w:type="dxa"/>
            <w:vMerge w:val="continue"/>
            <w:tcBorders>
              <w:top w:val="nil"/>
              <w:bottom w:val="nil"/>
            </w:tcBorders>
          </w:tcPr>
          <w:p w14:paraId="1A3DFFB5">
            <w:pPr>
              <w:rPr>
                <w:rFonts w:ascii="Arial"/>
                <w:color w:val="auto"/>
                <w:highlight w:val="none"/>
              </w:rPr>
            </w:pPr>
          </w:p>
        </w:tc>
        <w:tc>
          <w:tcPr>
            <w:tcW w:w="2248" w:type="dxa"/>
          </w:tcPr>
          <w:p w14:paraId="578776E7">
            <w:pPr>
              <w:pStyle w:val="935"/>
              <w:spacing w:before="64" w:line="219" w:lineRule="auto"/>
              <w:ind w:left="105"/>
              <w:rPr>
                <w:rFonts w:hint="eastAsia"/>
                <w:color w:val="auto"/>
                <w:highlight w:val="none"/>
              </w:rPr>
            </w:pPr>
            <w:r>
              <w:rPr>
                <w:color w:val="auto"/>
                <w:highlight w:val="none"/>
              </w:rPr>
              <w:t>A0201060103 热式打印机</w:t>
            </w:r>
          </w:p>
        </w:tc>
        <w:tc>
          <w:tcPr>
            <w:tcW w:w="3543" w:type="dxa"/>
          </w:tcPr>
          <w:p w14:paraId="02E965F2">
            <w:pPr>
              <w:pStyle w:val="935"/>
              <w:spacing w:before="64" w:line="219" w:lineRule="auto"/>
              <w:ind w:left="109"/>
              <w:rPr>
                <w:rFonts w:hint="eastAsia"/>
                <w:color w:val="auto"/>
                <w:highlight w:val="none"/>
                <w:lang w:eastAsia="zh-CN"/>
              </w:rPr>
            </w:pPr>
            <w:r>
              <w:rPr>
                <w:color w:val="auto"/>
                <w:spacing w:val="-1"/>
                <w:highlight w:val="none"/>
                <w:lang w:eastAsia="zh-CN"/>
              </w:rPr>
              <w:t>HJ2512</w:t>
            </w:r>
            <w:r>
              <w:rPr>
                <w:color w:val="auto"/>
                <w:spacing w:val="-29"/>
                <w:highlight w:val="none"/>
                <w:lang w:eastAsia="zh-CN"/>
              </w:rPr>
              <w:t xml:space="preserve"> </w:t>
            </w:r>
            <w:r>
              <w:rPr>
                <w:color w:val="auto"/>
                <w:spacing w:val="-1"/>
                <w:highlight w:val="none"/>
                <w:lang w:eastAsia="zh-CN"/>
              </w:rPr>
              <w:t>打印机、传真机及多功能一体机</w:t>
            </w:r>
          </w:p>
        </w:tc>
      </w:tr>
      <w:tr w14:paraId="53A74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34807495">
            <w:pPr>
              <w:rPr>
                <w:rFonts w:ascii="Arial"/>
                <w:color w:val="auto"/>
                <w:highlight w:val="none"/>
              </w:rPr>
            </w:pPr>
          </w:p>
        </w:tc>
        <w:tc>
          <w:tcPr>
            <w:tcW w:w="1542" w:type="dxa"/>
            <w:vMerge w:val="continue"/>
            <w:tcBorders>
              <w:top w:val="nil"/>
              <w:bottom w:val="nil"/>
            </w:tcBorders>
          </w:tcPr>
          <w:p w14:paraId="3F053B31">
            <w:pPr>
              <w:rPr>
                <w:rFonts w:ascii="Arial"/>
                <w:color w:val="auto"/>
                <w:highlight w:val="none"/>
              </w:rPr>
            </w:pPr>
          </w:p>
        </w:tc>
        <w:tc>
          <w:tcPr>
            <w:tcW w:w="2672" w:type="dxa"/>
            <w:vMerge w:val="continue"/>
            <w:tcBorders>
              <w:top w:val="nil"/>
            </w:tcBorders>
          </w:tcPr>
          <w:p w14:paraId="46BC9015">
            <w:pPr>
              <w:rPr>
                <w:rFonts w:ascii="Arial"/>
                <w:color w:val="auto"/>
                <w:highlight w:val="none"/>
              </w:rPr>
            </w:pPr>
          </w:p>
        </w:tc>
        <w:tc>
          <w:tcPr>
            <w:tcW w:w="2248" w:type="dxa"/>
          </w:tcPr>
          <w:p w14:paraId="4AF041D5">
            <w:pPr>
              <w:pStyle w:val="935"/>
              <w:spacing w:before="65" w:line="219" w:lineRule="auto"/>
              <w:ind w:left="105"/>
              <w:rPr>
                <w:rFonts w:hint="eastAsia"/>
                <w:color w:val="auto"/>
                <w:highlight w:val="none"/>
              </w:rPr>
            </w:pPr>
            <w:r>
              <w:rPr>
                <w:color w:val="auto"/>
                <w:highlight w:val="none"/>
              </w:rPr>
              <w:t>A0201060104 针式打印机</w:t>
            </w:r>
          </w:p>
        </w:tc>
        <w:tc>
          <w:tcPr>
            <w:tcW w:w="3543" w:type="dxa"/>
          </w:tcPr>
          <w:p w14:paraId="7E1A57CD">
            <w:pPr>
              <w:pStyle w:val="935"/>
              <w:spacing w:before="64" w:line="219" w:lineRule="auto"/>
              <w:ind w:left="109"/>
              <w:rPr>
                <w:rFonts w:hint="eastAsia"/>
                <w:color w:val="auto"/>
                <w:highlight w:val="none"/>
                <w:lang w:eastAsia="zh-CN"/>
              </w:rPr>
            </w:pPr>
            <w:r>
              <w:rPr>
                <w:color w:val="auto"/>
                <w:spacing w:val="-1"/>
                <w:highlight w:val="none"/>
                <w:lang w:eastAsia="zh-CN"/>
              </w:rPr>
              <w:t>HJ2512</w:t>
            </w:r>
            <w:r>
              <w:rPr>
                <w:color w:val="auto"/>
                <w:spacing w:val="-29"/>
                <w:highlight w:val="none"/>
                <w:lang w:eastAsia="zh-CN"/>
              </w:rPr>
              <w:t xml:space="preserve"> </w:t>
            </w:r>
            <w:r>
              <w:rPr>
                <w:color w:val="auto"/>
                <w:spacing w:val="-1"/>
                <w:highlight w:val="none"/>
                <w:lang w:eastAsia="zh-CN"/>
              </w:rPr>
              <w:t>打印机、传真机及多功能一体机</w:t>
            </w:r>
          </w:p>
        </w:tc>
      </w:tr>
      <w:tr w14:paraId="714CE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529B841D">
            <w:pPr>
              <w:rPr>
                <w:rFonts w:ascii="Arial"/>
                <w:color w:val="auto"/>
                <w:highlight w:val="none"/>
              </w:rPr>
            </w:pPr>
          </w:p>
        </w:tc>
        <w:tc>
          <w:tcPr>
            <w:tcW w:w="1542" w:type="dxa"/>
            <w:vMerge w:val="continue"/>
            <w:tcBorders>
              <w:top w:val="nil"/>
              <w:bottom w:val="nil"/>
            </w:tcBorders>
          </w:tcPr>
          <w:p w14:paraId="33283A62">
            <w:pPr>
              <w:rPr>
                <w:rFonts w:ascii="Arial"/>
                <w:color w:val="auto"/>
                <w:highlight w:val="none"/>
              </w:rPr>
            </w:pPr>
          </w:p>
        </w:tc>
        <w:tc>
          <w:tcPr>
            <w:tcW w:w="2672" w:type="dxa"/>
            <w:vMerge w:val="restart"/>
            <w:tcBorders>
              <w:bottom w:val="nil"/>
            </w:tcBorders>
          </w:tcPr>
          <w:p w14:paraId="29548005">
            <w:pPr>
              <w:pStyle w:val="935"/>
              <w:spacing w:before="64" w:line="222" w:lineRule="auto"/>
              <w:ind w:left="103"/>
              <w:rPr>
                <w:rFonts w:hint="eastAsia"/>
                <w:color w:val="auto"/>
                <w:highlight w:val="none"/>
              </w:rPr>
            </w:pPr>
            <w:r>
              <w:rPr>
                <w:color w:val="auto"/>
                <w:highlight w:val="none"/>
              </w:rPr>
              <w:t>A02010604 显示设备</w:t>
            </w:r>
          </w:p>
        </w:tc>
        <w:tc>
          <w:tcPr>
            <w:tcW w:w="2248" w:type="dxa"/>
          </w:tcPr>
          <w:p w14:paraId="29BFFF0F">
            <w:pPr>
              <w:pStyle w:val="935"/>
              <w:spacing w:before="64" w:line="221" w:lineRule="auto"/>
              <w:ind w:left="105"/>
              <w:rPr>
                <w:rFonts w:hint="eastAsia"/>
                <w:color w:val="auto"/>
                <w:highlight w:val="none"/>
              </w:rPr>
            </w:pPr>
            <w:r>
              <w:rPr>
                <w:color w:val="auto"/>
                <w:highlight w:val="none"/>
              </w:rPr>
              <w:t>A0201060401 液晶显示器</w:t>
            </w:r>
          </w:p>
        </w:tc>
        <w:tc>
          <w:tcPr>
            <w:tcW w:w="3543" w:type="dxa"/>
          </w:tcPr>
          <w:p w14:paraId="45A8A19D">
            <w:pPr>
              <w:pStyle w:val="935"/>
              <w:spacing w:before="64" w:line="219" w:lineRule="auto"/>
              <w:ind w:left="109"/>
              <w:rPr>
                <w:rFonts w:hint="eastAsia"/>
                <w:color w:val="auto"/>
                <w:highlight w:val="none"/>
                <w:lang w:eastAsia="zh-CN"/>
              </w:rPr>
            </w:pPr>
            <w:r>
              <w:rPr>
                <w:color w:val="auto"/>
                <w:spacing w:val="-1"/>
                <w:highlight w:val="none"/>
                <w:lang w:eastAsia="zh-CN"/>
              </w:rPr>
              <w:t>HJ2536</w:t>
            </w:r>
            <w:r>
              <w:rPr>
                <w:color w:val="auto"/>
                <w:spacing w:val="-28"/>
                <w:highlight w:val="none"/>
                <w:lang w:eastAsia="zh-CN"/>
              </w:rPr>
              <w:t xml:space="preserve"> </w:t>
            </w:r>
            <w:r>
              <w:rPr>
                <w:color w:val="auto"/>
                <w:spacing w:val="-1"/>
                <w:highlight w:val="none"/>
                <w:lang w:eastAsia="zh-CN"/>
              </w:rPr>
              <w:t>微型计算机、显示器</w:t>
            </w:r>
          </w:p>
        </w:tc>
      </w:tr>
      <w:tr w14:paraId="46B6D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D9DC3E7">
            <w:pPr>
              <w:rPr>
                <w:rFonts w:ascii="Arial"/>
                <w:color w:val="auto"/>
                <w:highlight w:val="none"/>
              </w:rPr>
            </w:pPr>
          </w:p>
        </w:tc>
        <w:tc>
          <w:tcPr>
            <w:tcW w:w="1542" w:type="dxa"/>
            <w:vMerge w:val="continue"/>
            <w:tcBorders>
              <w:top w:val="nil"/>
              <w:bottom w:val="nil"/>
            </w:tcBorders>
          </w:tcPr>
          <w:p w14:paraId="187130F0">
            <w:pPr>
              <w:rPr>
                <w:rFonts w:ascii="Arial"/>
                <w:color w:val="auto"/>
                <w:highlight w:val="none"/>
              </w:rPr>
            </w:pPr>
          </w:p>
        </w:tc>
        <w:tc>
          <w:tcPr>
            <w:tcW w:w="2672" w:type="dxa"/>
            <w:vMerge w:val="continue"/>
            <w:tcBorders>
              <w:top w:val="nil"/>
            </w:tcBorders>
          </w:tcPr>
          <w:p w14:paraId="496F2D9F">
            <w:pPr>
              <w:rPr>
                <w:rFonts w:ascii="Arial"/>
                <w:color w:val="auto"/>
                <w:highlight w:val="none"/>
              </w:rPr>
            </w:pPr>
          </w:p>
        </w:tc>
        <w:tc>
          <w:tcPr>
            <w:tcW w:w="2248" w:type="dxa"/>
          </w:tcPr>
          <w:p w14:paraId="4935FCB6">
            <w:pPr>
              <w:pStyle w:val="935"/>
              <w:spacing w:before="64" w:line="221" w:lineRule="auto"/>
              <w:ind w:left="105"/>
              <w:rPr>
                <w:rFonts w:hint="eastAsia"/>
                <w:color w:val="auto"/>
                <w:highlight w:val="none"/>
              </w:rPr>
            </w:pPr>
            <w:r>
              <w:rPr>
                <w:color w:val="auto"/>
                <w:highlight w:val="none"/>
              </w:rPr>
              <w:t>A0201060499 其他显示器</w:t>
            </w:r>
          </w:p>
        </w:tc>
        <w:tc>
          <w:tcPr>
            <w:tcW w:w="3543" w:type="dxa"/>
          </w:tcPr>
          <w:p w14:paraId="372CA4B0">
            <w:pPr>
              <w:pStyle w:val="935"/>
              <w:spacing w:before="63" w:line="219" w:lineRule="auto"/>
              <w:ind w:left="109"/>
              <w:rPr>
                <w:rFonts w:hint="eastAsia"/>
                <w:color w:val="auto"/>
                <w:highlight w:val="none"/>
                <w:lang w:eastAsia="zh-CN"/>
              </w:rPr>
            </w:pPr>
            <w:r>
              <w:rPr>
                <w:color w:val="auto"/>
                <w:spacing w:val="-1"/>
                <w:highlight w:val="none"/>
                <w:lang w:eastAsia="zh-CN"/>
              </w:rPr>
              <w:t>HJ2536</w:t>
            </w:r>
            <w:r>
              <w:rPr>
                <w:color w:val="auto"/>
                <w:spacing w:val="-28"/>
                <w:highlight w:val="none"/>
                <w:lang w:eastAsia="zh-CN"/>
              </w:rPr>
              <w:t xml:space="preserve"> </w:t>
            </w:r>
            <w:r>
              <w:rPr>
                <w:color w:val="auto"/>
                <w:spacing w:val="-1"/>
                <w:highlight w:val="none"/>
                <w:lang w:eastAsia="zh-CN"/>
              </w:rPr>
              <w:t>微型计算机、显示器</w:t>
            </w:r>
          </w:p>
        </w:tc>
      </w:tr>
      <w:tr w14:paraId="7386A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6EF851D7">
            <w:pPr>
              <w:rPr>
                <w:rFonts w:ascii="Arial"/>
                <w:color w:val="auto"/>
                <w:highlight w:val="none"/>
              </w:rPr>
            </w:pPr>
          </w:p>
        </w:tc>
        <w:tc>
          <w:tcPr>
            <w:tcW w:w="1542" w:type="dxa"/>
            <w:vMerge w:val="continue"/>
            <w:tcBorders>
              <w:top w:val="nil"/>
            </w:tcBorders>
          </w:tcPr>
          <w:p w14:paraId="47689BB8">
            <w:pPr>
              <w:rPr>
                <w:rFonts w:ascii="Arial"/>
                <w:color w:val="auto"/>
                <w:highlight w:val="none"/>
              </w:rPr>
            </w:pPr>
          </w:p>
        </w:tc>
        <w:tc>
          <w:tcPr>
            <w:tcW w:w="2672" w:type="dxa"/>
          </w:tcPr>
          <w:p w14:paraId="132AAA01">
            <w:pPr>
              <w:pStyle w:val="935"/>
              <w:spacing w:before="64" w:line="220" w:lineRule="auto"/>
              <w:ind w:left="103"/>
              <w:rPr>
                <w:rFonts w:hint="eastAsia"/>
                <w:color w:val="auto"/>
                <w:highlight w:val="none"/>
              </w:rPr>
            </w:pPr>
            <w:r>
              <w:rPr>
                <w:color w:val="auto"/>
                <w:spacing w:val="-2"/>
                <w:highlight w:val="none"/>
              </w:rPr>
              <w:t>A02010609</w:t>
            </w:r>
            <w:r>
              <w:rPr>
                <w:color w:val="auto"/>
                <w:spacing w:val="-9"/>
                <w:highlight w:val="none"/>
              </w:rPr>
              <w:t xml:space="preserve"> </w:t>
            </w:r>
            <w:r>
              <w:rPr>
                <w:color w:val="auto"/>
                <w:spacing w:val="-2"/>
                <w:highlight w:val="none"/>
              </w:rPr>
              <w:t>图形图像输入设备</w:t>
            </w:r>
          </w:p>
        </w:tc>
        <w:tc>
          <w:tcPr>
            <w:tcW w:w="2248" w:type="dxa"/>
          </w:tcPr>
          <w:p w14:paraId="66C898C4">
            <w:pPr>
              <w:pStyle w:val="935"/>
              <w:spacing w:before="64" w:line="220" w:lineRule="auto"/>
              <w:ind w:left="105"/>
              <w:rPr>
                <w:rFonts w:hint="eastAsia"/>
                <w:color w:val="auto"/>
                <w:highlight w:val="none"/>
              </w:rPr>
            </w:pPr>
            <w:r>
              <w:rPr>
                <w:color w:val="auto"/>
                <w:highlight w:val="none"/>
              </w:rPr>
              <w:t>A0201060901 扫描仪</w:t>
            </w:r>
          </w:p>
        </w:tc>
        <w:tc>
          <w:tcPr>
            <w:tcW w:w="3543" w:type="dxa"/>
          </w:tcPr>
          <w:p w14:paraId="38997E15">
            <w:pPr>
              <w:pStyle w:val="935"/>
              <w:spacing w:before="64" w:line="219" w:lineRule="auto"/>
              <w:ind w:left="109"/>
              <w:rPr>
                <w:rFonts w:hint="eastAsia"/>
                <w:color w:val="auto"/>
                <w:highlight w:val="none"/>
              </w:rPr>
            </w:pPr>
            <w:r>
              <w:rPr>
                <w:color w:val="auto"/>
                <w:spacing w:val="-1"/>
                <w:highlight w:val="none"/>
              </w:rPr>
              <w:t>HJ2517</w:t>
            </w:r>
            <w:r>
              <w:rPr>
                <w:color w:val="auto"/>
                <w:spacing w:val="-34"/>
                <w:highlight w:val="none"/>
              </w:rPr>
              <w:t xml:space="preserve"> </w:t>
            </w:r>
            <w:r>
              <w:rPr>
                <w:color w:val="auto"/>
                <w:spacing w:val="-1"/>
                <w:highlight w:val="none"/>
              </w:rPr>
              <w:t>扫描仪</w:t>
            </w:r>
          </w:p>
        </w:tc>
      </w:tr>
      <w:tr w14:paraId="2C313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10D4667D">
            <w:pPr>
              <w:pStyle w:val="935"/>
              <w:spacing w:before="93" w:line="183" w:lineRule="auto"/>
              <w:ind w:left="118"/>
              <w:rPr>
                <w:rFonts w:hint="eastAsia"/>
                <w:color w:val="auto"/>
                <w:highlight w:val="none"/>
              </w:rPr>
            </w:pPr>
            <w:r>
              <w:rPr>
                <w:color w:val="auto"/>
                <w:highlight w:val="none"/>
              </w:rPr>
              <w:t>3</w:t>
            </w:r>
          </w:p>
        </w:tc>
        <w:tc>
          <w:tcPr>
            <w:tcW w:w="1542" w:type="dxa"/>
          </w:tcPr>
          <w:p w14:paraId="3F6C8C2C">
            <w:pPr>
              <w:pStyle w:val="935"/>
              <w:spacing w:before="64" w:line="220" w:lineRule="auto"/>
              <w:ind w:left="102"/>
              <w:rPr>
                <w:rFonts w:hint="eastAsia"/>
                <w:color w:val="auto"/>
                <w:highlight w:val="none"/>
              </w:rPr>
            </w:pPr>
            <w:r>
              <w:rPr>
                <w:color w:val="auto"/>
                <w:spacing w:val="-1"/>
                <w:highlight w:val="none"/>
              </w:rPr>
              <w:t>A020202</w:t>
            </w:r>
            <w:r>
              <w:rPr>
                <w:color w:val="auto"/>
                <w:spacing w:val="-33"/>
                <w:highlight w:val="none"/>
              </w:rPr>
              <w:t xml:space="preserve"> </w:t>
            </w:r>
            <w:r>
              <w:rPr>
                <w:color w:val="auto"/>
                <w:spacing w:val="-1"/>
                <w:highlight w:val="none"/>
              </w:rPr>
              <w:t>投影仪</w:t>
            </w:r>
          </w:p>
        </w:tc>
        <w:tc>
          <w:tcPr>
            <w:tcW w:w="2672" w:type="dxa"/>
          </w:tcPr>
          <w:p w14:paraId="424A47C1">
            <w:pPr>
              <w:rPr>
                <w:rFonts w:ascii="Arial"/>
                <w:color w:val="auto"/>
                <w:highlight w:val="none"/>
              </w:rPr>
            </w:pPr>
          </w:p>
        </w:tc>
        <w:tc>
          <w:tcPr>
            <w:tcW w:w="2248" w:type="dxa"/>
          </w:tcPr>
          <w:p w14:paraId="36AF93CD">
            <w:pPr>
              <w:rPr>
                <w:rFonts w:ascii="Arial"/>
                <w:color w:val="auto"/>
                <w:highlight w:val="none"/>
              </w:rPr>
            </w:pPr>
          </w:p>
        </w:tc>
        <w:tc>
          <w:tcPr>
            <w:tcW w:w="3543" w:type="dxa"/>
          </w:tcPr>
          <w:p w14:paraId="08C5ED67">
            <w:pPr>
              <w:pStyle w:val="935"/>
              <w:spacing w:before="64" w:line="219" w:lineRule="auto"/>
              <w:ind w:left="109"/>
              <w:rPr>
                <w:rFonts w:hint="eastAsia"/>
                <w:color w:val="auto"/>
                <w:highlight w:val="none"/>
              </w:rPr>
            </w:pPr>
            <w:r>
              <w:rPr>
                <w:color w:val="auto"/>
                <w:spacing w:val="-1"/>
                <w:highlight w:val="none"/>
              </w:rPr>
              <w:t>HJ2516</w:t>
            </w:r>
            <w:r>
              <w:rPr>
                <w:color w:val="auto"/>
                <w:spacing w:val="-34"/>
                <w:highlight w:val="none"/>
              </w:rPr>
              <w:t xml:space="preserve"> </w:t>
            </w:r>
            <w:r>
              <w:rPr>
                <w:color w:val="auto"/>
                <w:spacing w:val="-1"/>
                <w:highlight w:val="none"/>
              </w:rPr>
              <w:t>投影仪</w:t>
            </w:r>
          </w:p>
        </w:tc>
      </w:tr>
      <w:tr w14:paraId="06AD3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tcPr>
          <w:p w14:paraId="77499811">
            <w:pPr>
              <w:pStyle w:val="935"/>
              <w:spacing w:before="92" w:line="183" w:lineRule="auto"/>
              <w:ind w:left="114"/>
              <w:rPr>
                <w:rFonts w:hint="eastAsia"/>
                <w:color w:val="auto"/>
                <w:highlight w:val="none"/>
              </w:rPr>
            </w:pPr>
            <w:r>
              <w:rPr>
                <w:color w:val="auto"/>
                <w:highlight w:val="none"/>
              </w:rPr>
              <w:t>4</w:t>
            </w:r>
          </w:p>
        </w:tc>
        <w:tc>
          <w:tcPr>
            <w:tcW w:w="1542" w:type="dxa"/>
          </w:tcPr>
          <w:p w14:paraId="5D5BC9EC">
            <w:pPr>
              <w:pStyle w:val="935"/>
              <w:spacing w:before="64" w:line="219" w:lineRule="auto"/>
              <w:ind w:left="102"/>
              <w:rPr>
                <w:rFonts w:hint="eastAsia"/>
                <w:color w:val="auto"/>
                <w:highlight w:val="none"/>
              </w:rPr>
            </w:pPr>
            <w:r>
              <w:rPr>
                <w:color w:val="auto"/>
                <w:spacing w:val="-1"/>
                <w:highlight w:val="none"/>
              </w:rPr>
              <w:t>A020201</w:t>
            </w:r>
            <w:r>
              <w:rPr>
                <w:color w:val="auto"/>
                <w:spacing w:val="-32"/>
                <w:highlight w:val="none"/>
              </w:rPr>
              <w:t xml:space="preserve"> </w:t>
            </w:r>
            <w:r>
              <w:rPr>
                <w:color w:val="auto"/>
                <w:spacing w:val="-1"/>
                <w:highlight w:val="none"/>
              </w:rPr>
              <w:t>复印机</w:t>
            </w:r>
          </w:p>
        </w:tc>
        <w:tc>
          <w:tcPr>
            <w:tcW w:w="2672" w:type="dxa"/>
          </w:tcPr>
          <w:p w14:paraId="255E456B">
            <w:pPr>
              <w:rPr>
                <w:rFonts w:ascii="Arial"/>
                <w:color w:val="auto"/>
                <w:highlight w:val="none"/>
              </w:rPr>
            </w:pPr>
          </w:p>
        </w:tc>
        <w:tc>
          <w:tcPr>
            <w:tcW w:w="2248" w:type="dxa"/>
          </w:tcPr>
          <w:p w14:paraId="2C99D5D1">
            <w:pPr>
              <w:rPr>
                <w:rFonts w:ascii="Arial"/>
                <w:color w:val="auto"/>
                <w:highlight w:val="none"/>
              </w:rPr>
            </w:pPr>
          </w:p>
        </w:tc>
        <w:tc>
          <w:tcPr>
            <w:tcW w:w="3543" w:type="dxa"/>
          </w:tcPr>
          <w:p w14:paraId="24AC7264">
            <w:pPr>
              <w:pStyle w:val="935"/>
              <w:spacing w:before="64" w:line="219" w:lineRule="auto"/>
              <w:ind w:left="109"/>
              <w:rPr>
                <w:rFonts w:hint="eastAsia"/>
                <w:color w:val="auto"/>
                <w:highlight w:val="none"/>
                <w:lang w:eastAsia="zh-CN"/>
              </w:rPr>
            </w:pPr>
            <w:r>
              <w:rPr>
                <w:color w:val="auto"/>
                <w:highlight w:val="none"/>
                <w:lang w:eastAsia="zh-CN"/>
              </w:rPr>
              <w:t>HJ424 数字式复印（包括多功能）设备</w:t>
            </w:r>
          </w:p>
        </w:tc>
      </w:tr>
      <w:tr w14:paraId="2BFA7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3EA62D40">
            <w:pPr>
              <w:pStyle w:val="935"/>
              <w:spacing w:before="94" w:line="182" w:lineRule="auto"/>
              <w:ind w:left="118"/>
              <w:rPr>
                <w:rFonts w:hint="eastAsia"/>
                <w:color w:val="auto"/>
                <w:highlight w:val="none"/>
              </w:rPr>
            </w:pPr>
            <w:r>
              <w:rPr>
                <w:color w:val="auto"/>
                <w:highlight w:val="none"/>
              </w:rPr>
              <w:t>5</w:t>
            </w:r>
          </w:p>
        </w:tc>
        <w:tc>
          <w:tcPr>
            <w:tcW w:w="1542" w:type="dxa"/>
          </w:tcPr>
          <w:p w14:paraId="0822D40F">
            <w:pPr>
              <w:pStyle w:val="935"/>
              <w:spacing w:before="64" w:line="284" w:lineRule="auto"/>
              <w:ind w:left="110" w:right="108" w:hanging="8"/>
              <w:rPr>
                <w:rFonts w:hint="eastAsia"/>
                <w:color w:val="auto"/>
                <w:highlight w:val="none"/>
              </w:rPr>
            </w:pPr>
            <w:r>
              <w:rPr>
                <w:color w:val="auto"/>
                <w:spacing w:val="2"/>
                <w:highlight w:val="none"/>
              </w:rPr>
              <w:t>A020204</w:t>
            </w:r>
            <w:r>
              <w:rPr>
                <w:color w:val="auto"/>
                <w:spacing w:val="44"/>
                <w:highlight w:val="none"/>
              </w:rPr>
              <w:t xml:space="preserve"> </w:t>
            </w:r>
            <w:r>
              <w:rPr>
                <w:color w:val="auto"/>
                <w:spacing w:val="2"/>
                <w:highlight w:val="none"/>
              </w:rPr>
              <w:t>多功能</w:t>
            </w:r>
            <w:r>
              <w:rPr>
                <w:color w:val="auto"/>
                <w:spacing w:val="-4"/>
                <w:highlight w:val="none"/>
              </w:rPr>
              <w:t>一体机</w:t>
            </w:r>
          </w:p>
        </w:tc>
        <w:tc>
          <w:tcPr>
            <w:tcW w:w="2672" w:type="dxa"/>
          </w:tcPr>
          <w:p w14:paraId="3B2DF4D4">
            <w:pPr>
              <w:rPr>
                <w:rFonts w:ascii="Arial"/>
                <w:color w:val="auto"/>
                <w:highlight w:val="none"/>
              </w:rPr>
            </w:pPr>
          </w:p>
        </w:tc>
        <w:tc>
          <w:tcPr>
            <w:tcW w:w="2248" w:type="dxa"/>
          </w:tcPr>
          <w:p w14:paraId="6D163763">
            <w:pPr>
              <w:rPr>
                <w:rFonts w:ascii="Arial"/>
                <w:color w:val="auto"/>
                <w:highlight w:val="none"/>
              </w:rPr>
            </w:pPr>
          </w:p>
        </w:tc>
        <w:tc>
          <w:tcPr>
            <w:tcW w:w="3543" w:type="dxa"/>
          </w:tcPr>
          <w:p w14:paraId="0857D105">
            <w:pPr>
              <w:pStyle w:val="935"/>
              <w:spacing w:before="64" w:line="219" w:lineRule="auto"/>
              <w:ind w:left="109"/>
              <w:rPr>
                <w:rFonts w:hint="eastAsia"/>
                <w:color w:val="auto"/>
                <w:highlight w:val="none"/>
                <w:lang w:eastAsia="zh-CN"/>
              </w:rPr>
            </w:pPr>
            <w:r>
              <w:rPr>
                <w:color w:val="auto"/>
                <w:highlight w:val="none"/>
                <w:lang w:eastAsia="zh-CN"/>
              </w:rPr>
              <w:t>HJ424 数字式复印（包括多功能）设备</w:t>
            </w:r>
          </w:p>
        </w:tc>
      </w:tr>
      <w:tr w14:paraId="5CB5B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41BF92BA">
            <w:pPr>
              <w:pStyle w:val="935"/>
              <w:spacing w:before="94" w:line="183" w:lineRule="auto"/>
              <w:ind w:left="116"/>
              <w:rPr>
                <w:rFonts w:hint="eastAsia"/>
                <w:color w:val="auto"/>
                <w:highlight w:val="none"/>
              </w:rPr>
            </w:pPr>
            <w:r>
              <w:rPr>
                <w:color w:val="auto"/>
                <w:highlight w:val="none"/>
              </w:rPr>
              <w:t>6</w:t>
            </w:r>
          </w:p>
        </w:tc>
        <w:tc>
          <w:tcPr>
            <w:tcW w:w="1542" w:type="dxa"/>
          </w:tcPr>
          <w:p w14:paraId="6D6CB2EC">
            <w:pPr>
              <w:pStyle w:val="935"/>
              <w:spacing w:before="66" w:line="283" w:lineRule="auto"/>
              <w:ind w:left="109" w:right="108" w:hanging="7"/>
              <w:rPr>
                <w:rFonts w:hint="eastAsia"/>
                <w:color w:val="auto"/>
                <w:highlight w:val="none"/>
              </w:rPr>
            </w:pPr>
            <w:r>
              <w:rPr>
                <w:color w:val="auto"/>
                <w:spacing w:val="-1"/>
                <w:highlight w:val="none"/>
              </w:rPr>
              <w:t>A020210</w:t>
            </w:r>
            <w:r>
              <w:rPr>
                <w:color w:val="auto"/>
                <w:spacing w:val="32"/>
                <w:highlight w:val="none"/>
              </w:rPr>
              <w:t xml:space="preserve"> </w:t>
            </w:r>
            <w:r>
              <w:rPr>
                <w:color w:val="auto"/>
                <w:spacing w:val="-1"/>
                <w:highlight w:val="none"/>
              </w:rPr>
              <w:t>文</w:t>
            </w:r>
            <w:r>
              <w:rPr>
                <w:color w:val="auto"/>
                <w:spacing w:val="-48"/>
                <w:highlight w:val="none"/>
              </w:rPr>
              <w:t xml:space="preserve"> </w:t>
            </w:r>
            <w:r>
              <w:rPr>
                <w:color w:val="auto"/>
                <w:spacing w:val="-1"/>
                <w:highlight w:val="none"/>
              </w:rPr>
              <w:t>印设</w:t>
            </w:r>
            <w:r>
              <w:rPr>
                <w:color w:val="auto"/>
                <w:highlight w:val="none"/>
              </w:rPr>
              <w:t xml:space="preserve"> 备</w:t>
            </w:r>
          </w:p>
        </w:tc>
        <w:tc>
          <w:tcPr>
            <w:tcW w:w="2672" w:type="dxa"/>
          </w:tcPr>
          <w:p w14:paraId="7E190144">
            <w:pPr>
              <w:pStyle w:val="935"/>
              <w:spacing w:before="65" w:line="219" w:lineRule="auto"/>
              <w:ind w:left="103"/>
              <w:rPr>
                <w:rFonts w:hint="eastAsia"/>
                <w:color w:val="auto"/>
                <w:highlight w:val="none"/>
              </w:rPr>
            </w:pPr>
            <w:r>
              <w:rPr>
                <w:color w:val="auto"/>
                <w:highlight w:val="none"/>
              </w:rPr>
              <w:t>A02021001 速印机</w:t>
            </w:r>
          </w:p>
        </w:tc>
        <w:tc>
          <w:tcPr>
            <w:tcW w:w="2248" w:type="dxa"/>
          </w:tcPr>
          <w:p w14:paraId="20527F85">
            <w:pPr>
              <w:rPr>
                <w:rFonts w:ascii="Arial"/>
                <w:color w:val="auto"/>
                <w:highlight w:val="none"/>
              </w:rPr>
            </w:pPr>
          </w:p>
        </w:tc>
        <w:tc>
          <w:tcPr>
            <w:tcW w:w="3543" w:type="dxa"/>
          </w:tcPr>
          <w:p w14:paraId="17F2E7DD">
            <w:pPr>
              <w:pStyle w:val="935"/>
              <w:spacing w:before="65" w:line="219" w:lineRule="auto"/>
              <w:ind w:left="109"/>
              <w:rPr>
                <w:rFonts w:hint="eastAsia"/>
                <w:color w:val="auto"/>
                <w:highlight w:val="none"/>
                <w:lang w:eastAsia="zh-CN"/>
              </w:rPr>
            </w:pPr>
            <w:r>
              <w:rPr>
                <w:color w:val="auto"/>
                <w:spacing w:val="-1"/>
                <w:highlight w:val="none"/>
                <w:lang w:eastAsia="zh-CN"/>
              </w:rPr>
              <w:t>HJ472 数字式一体化速印机</w:t>
            </w:r>
          </w:p>
        </w:tc>
      </w:tr>
      <w:tr w14:paraId="5CC2D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583" w:type="dxa"/>
          </w:tcPr>
          <w:p w14:paraId="41E98417">
            <w:pPr>
              <w:pStyle w:val="935"/>
              <w:spacing w:before="95" w:line="182" w:lineRule="auto"/>
              <w:ind w:left="119"/>
              <w:rPr>
                <w:rFonts w:hint="eastAsia"/>
                <w:color w:val="auto"/>
                <w:highlight w:val="none"/>
              </w:rPr>
            </w:pPr>
            <w:r>
              <w:rPr>
                <w:color w:val="auto"/>
                <w:highlight w:val="none"/>
              </w:rPr>
              <w:t>7</w:t>
            </w:r>
          </w:p>
        </w:tc>
        <w:tc>
          <w:tcPr>
            <w:tcW w:w="1542" w:type="dxa"/>
          </w:tcPr>
          <w:p w14:paraId="367D4A76">
            <w:pPr>
              <w:pStyle w:val="935"/>
              <w:spacing w:before="67" w:line="301" w:lineRule="auto"/>
              <w:ind w:left="109" w:right="32" w:hanging="7"/>
              <w:rPr>
                <w:rFonts w:hint="eastAsia"/>
                <w:color w:val="auto"/>
                <w:highlight w:val="none"/>
                <w:lang w:eastAsia="zh-CN"/>
              </w:rPr>
            </w:pPr>
            <w:r>
              <w:rPr>
                <w:color w:val="auto"/>
                <w:spacing w:val="3"/>
                <w:highlight w:val="none"/>
                <w:lang w:eastAsia="zh-CN"/>
              </w:rPr>
              <w:t>A020301</w:t>
            </w:r>
            <w:r>
              <w:rPr>
                <w:color w:val="auto"/>
                <w:spacing w:val="34"/>
                <w:highlight w:val="none"/>
                <w:lang w:eastAsia="zh-CN"/>
              </w:rPr>
              <w:t xml:space="preserve"> </w:t>
            </w:r>
            <w:r>
              <w:rPr>
                <w:color w:val="auto"/>
                <w:spacing w:val="3"/>
                <w:highlight w:val="none"/>
                <w:lang w:eastAsia="zh-CN"/>
              </w:rPr>
              <w:t>载货汽</w:t>
            </w:r>
            <w:r>
              <w:rPr>
                <w:color w:val="auto"/>
                <w:highlight w:val="none"/>
                <w:lang w:eastAsia="zh-CN"/>
              </w:rPr>
              <w:t xml:space="preserve">  </w:t>
            </w:r>
            <w:r>
              <w:rPr>
                <w:color w:val="auto"/>
                <w:spacing w:val="-6"/>
                <w:highlight w:val="none"/>
                <w:lang w:eastAsia="zh-CN"/>
              </w:rPr>
              <w:t>车（含自卸汽车）</w:t>
            </w:r>
          </w:p>
        </w:tc>
        <w:tc>
          <w:tcPr>
            <w:tcW w:w="2672" w:type="dxa"/>
          </w:tcPr>
          <w:p w14:paraId="7F9E5E1D">
            <w:pPr>
              <w:rPr>
                <w:rFonts w:ascii="Arial"/>
                <w:color w:val="auto"/>
                <w:highlight w:val="none"/>
              </w:rPr>
            </w:pPr>
          </w:p>
        </w:tc>
        <w:tc>
          <w:tcPr>
            <w:tcW w:w="2248" w:type="dxa"/>
          </w:tcPr>
          <w:p w14:paraId="798D8926">
            <w:pPr>
              <w:rPr>
                <w:rFonts w:ascii="Arial"/>
                <w:color w:val="auto"/>
                <w:highlight w:val="none"/>
              </w:rPr>
            </w:pPr>
          </w:p>
        </w:tc>
        <w:tc>
          <w:tcPr>
            <w:tcW w:w="3543" w:type="dxa"/>
          </w:tcPr>
          <w:p w14:paraId="45D37881">
            <w:pPr>
              <w:pStyle w:val="935"/>
              <w:spacing w:before="65" w:line="219" w:lineRule="auto"/>
              <w:ind w:left="109"/>
              <w:rPr>
                <w:rFonts w:hint="eastAsia"/>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0150D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583" w:type="dxa"/>
            <w:vMerge w:val="restart"/>
            <w:tcBorders>
              <w:bottom w:val="nil"/>
            </w:tcBorders>
          </w:tcPr>
          <w:p w14:paraId="39BA9D21">
            <w:pPr>
              <w:pStyle w:val="935"/>
              <w:spacing w:before="95" w:line="183" w:lineRule="auto"/>
              <w:ind w:left="115"/>
              <w:rPr>
                <w:rFonts w:hint="eastAsia"/>
                <w:color w:val="auto"/>
                <w:highlight w:val="none"/>
              </w:rPr>
            </w:pPr>
            <w:r>
              <w:rPr>
                <w:color w:val="auto"/>
                <w:highlight w:val="none"/>
              </w:rPr>
              <w:t>8</w:t>
            </w:r>
          </w:p>
        </w:tc>
        <w:tc>
          <w:tcPr>
            <w:tcW w:w="1542" w:type="dxa"/>
            <w:vMerge w:val="restart"/>
            <w:tcBorders>
              <w:bottom w:val="nil"/>
            </w:tcBorders>
          </w:tcPr>
          <w:p w14:paraId="472ACC96">
            <w:pPr>
              <w:pStyle w:val="935"/>
              <w:spacing w:before="65" w:line="307" w:lineRule="auto"/>
              <w:ind w:left="112" w:right="108" w:hanging="10"/>
              <w:rPr>
                <w:rFonts w:hint="eastAsia"/>
                <w:color w:val="auto"/>
                <w:highlight w:val="none"/>
              </w:rPr>
            </w:pPr>
            <w:r>
              <w:rPr>
                <w:color w:val="auto"/>
                <w:spacing w:val="3"/>
                <w:highlight w:val="none"/>
              </w:rPr>
              <w:t>A020305</w:t>
            </w:r>
            <w:r>
              <w:rPr>
                <w:color w:val="auto"/>
                <w:spacing w:val="34"/>
                <w:highlight w:val="none"/>
              </w:rPr>
              <w:t xml:space="preserve"> </w:t>
            </w:r>
            <w:r>
              <w:rPr>
                <w:color w:val="auto"/>
                <w:spacing w:val="3"/>
                <w:highlight w:val="none"/>
              </w:rPr>
              <w:t>乘用车</w:t>
            </w:r>
            <w:r>
              <w:rPr>
                <w:color w:val="auto"/>
                <w:spacing w:val="-3"/>
                <w:highlight w:val="none"/>
              </w:rPr>
              <w:t>（轿车）</w:t>
            </w:r>
          </w:p>
        </w:tc>
        <w:tc>
          <w:tcPr>
            <w:tcW w:w="2672" w:type="dxa"/>
          </w:tcPr>
          <w:p w14:paraId="4FF768EA">
            <w:pPr>
              <w:pStyle w:val="935"/>
              <w:spacing w:before="66" w:line="220" w:lineRule="auto"/>
              <w:ind w:left="103"/>
              <w:rPr>
                <w:rFonts w:hint="eastAsia"/>
                <w:color w:val="auto"/>
                <w:highlight w:val="none"/>
              </w:rPr>
            </w:pPr>
            <w:r>
              <w:rPr>
                <w:color w:val="auto"/>
                <w:highlight w:val="none"/>
              </w:rPr>
              <w:t>A02030501 轿车</w:t>
            </w:r>
          </w:p>
        </w:tc>
        <w:tc>
          <w:tcPr>
            <w:tcW w:w="2248" w:type="dxa"/>
          </w:tcPr>
          <w:p w14:paraId="6180AB5A">
            <w:pPr>
              <w:rPr>
                <w:rFonts w:ascii="Arial"/>
                <w:color w:val="auto"/>
                <w:highlight w:val="none"/>
              </w:rPr>
            </w:pPr>
          </w:p>
        </w:tc>
        <w:tc>
          <w:tcPr>
            <w:tcW w:w="3543" w:type="dxa"/>
          </w:tcPr>
          <w:p w14:paraId="203A8D70">
            <w:pPr>
              <w:pStyle w:val="935"/>
              <w:spacing w:before="66" w:line="219" w:lineRule="auto"/>
              <w:ind w:left="109"/>
              <w:rPr>
                <w:rFonts w:hint="eastAsia"/>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014BA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1475ED91">
            <w:pPr>
              <w:rPr>
                <w:rFonts w:ascii="Arial"/>
                <w:color w:val="auto"/>
                <w:highlight w:val="none"/>
              </w:rPr>
            </w:pPr>
          </w:p>
        </w:tc>
        <w:tc>
          <w:tcPr>
            <w:tcW w:w="1542" w:type="dxa"/>
            <w:vMerge w:val="continue"/>
            <w:tcBorders>
              <w:top w:val="nil"/>
            </w:tcBorders>
          </w:tcPr>
          <w:p w14:paraId="0B277FF7">
            <w:pPr>
              <w:rPr>
                <w:rFonts w:ascii="Arial"/>
                <w:color w:val="auto"/>
                <w:highlight w:val="none"/>
              </w:rPr>
            </w:pPr>
          </w:p>
        </w:tc>
        <w:tc>
          <w:tcPr>
            <w:tcW w:w="2672" w:type="dxa"/>
          </w:tcPr>
          <w:p w14:paraId="0564CCC3">
            <w:pPr>
              <w:pStyle w:val="935"/>
              <w:spacing w:before="66" w:line="220" w:lineRule="auto"/>
              <w:ind w:left="103"/>
              <w:rPr>
                <w:rFonts w:hint="eastAsia"/>
                <w:color w:val="auto"/>
                <w:highlight w:val="none"/>
              </w:rPr>
            </w:pPr>
            <w:r>
              <w:rPr>
                <w:color w:val="auto"/>
                <w:spacing w:val="-1"/>
                <w:highlight w:val="none"/>
              </w:rPr>
              <w:t>A02030599</w:t>
            </w:r>
            <w:r>
              <w:rPr>
                <w:color w:val="auto"/>
                <w:spacing w:val="-28"/>
                <w:highlight w:val="none"/>
              </w:rPr>
              <w:t xml:space="preserve"> </w:t>
            </w:r>
            <w:r>
              <w:rPr>
                <w:color w:val="auto"/>
                <w:spacing w:val="-1"/>
                <w:highlight w:val="none"/>
              </w:rPr>
              <w:t>其他乘用车（轿车）</w:t>
            </w:r>
          </w:p>
        </w:tc>
        <w:tc>
          <w:tcPr>
            <w:tcW w:w="2248" w:type="dxa"/>
          </w:tcPr>
          <w:p w14:paraId="070FFC25">
            <w:pPr>
              <w:rPr>
                <w:rFonts w:ascii="Arial"/>
                <w:color w:val="auto"/>
                <w:highlight w:val="none"/>
              </w:rPr>
            </w:pPr>
          </w:p>
        </w:tc>
        <w:tc>
          <w:tcPr>
            <w:tcW w:w="3543" w:type="dxa"/>
          </w:tcPr>
          <w:p w14:paraId="0B48C21E">
            <w:pPr>
              <w:pStyle w:val="935"/>
              <w:spacing w:before="66" w:line="219" w:lineRule="auto"/>
              <w:ind w:left="109"/>
              <w:rPr>
                <w:rFonts w:hint="eastAsia"/>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4AE0D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4ECEC43B">
            <w:pPr>
              <w:pStyle w:val="935"/>
              <w:spacing w:before="94" w:line="183" w:lineRule="auto"/>
              <w:ind w:left="115"/>
              <w:rPr>
                <w:rFonts w:hint="eastAsia"/>
                <w:color w:val="auto"/>
                <w:highlight w:val="none"/>
              </w:rPr>
            </w:pPr>
            <w:r>
              <w:rPr>
                <w:color w:val="auto"/>
                <w:highlight w:val="none"/>
              </w:rPr>
              <w:t>9</w:t>
            </w:r>
          </w:p>
        </w:tc>
        <w:tc>
          <w:tcPr>
            <w:tcW w:w="1542" w:type="dxa"/>
          </w:tcPr>
          <w:p w14:paraId="6D4AFA5D">
            <w:pPr>
              <w:pStyle w:val="935"/>
              <w:spacing w:before="66" w:line="220" w:lineRule="auto"/>
              <w:ind w:left="102"/>
              <w:rPr>
                <w:rFonts w:hint="eastAsia"/>
                <w:color w:val="auto"/>
                <w:highlight w:val="none"/>
              </w:rPr>
            </w:pPr>
            <w:r>
              <w:rPr>
                <w:color w:val="auto"/>
                <w:spacing w:val="-1"/>
                <w:highlight w:val="none"/>
              </w:rPr>
              <w:t>A020306</w:t>
            </w:r>
            <w:r>
              <w:rPr>
                <w:color w:val="auto"/>
                <w:spacing w:val="-33"/>
                <w:highlight w:val="none"/>
              </w:rPr>
              <w:t xml:space="preserve"> </w:t>
            </w:r>
            <w:r>
              <w:rPr>
                <w:color w:val="auto"/>
                <w:spacing w:val="-1"/>
                <w:highlight w:val="none"/>
              </w:rPr>
              <w:t>客车</w:t>
            </w:r>
          </w:p>
        </w:tc>
        <w:tc>
          <w:tcPr>
            <w:tcW w:w="2672" w:type="dxa"/>
          </w:tcPr>
          <w:p w14:paraId="7073B732">
            <w:pPr>
              <w:pStyle w:val="935"/>
              <w:spacing w:before="66" w:line="220" w:lineRule="auto"/>
              <w:ind w:left="103"/>
              <w:rPr>
                <w:rFonts w:hint="eastAsia"/>
                <w:color w:val="auto"/>
                <w:highlight w:val="none"/>
              </w:rPr>
            </w:pPr>
            <w:r>
              <w:rPr>
                <w:color w:val="auto"/>
                <w:spacing w:val="-1"/>
                <w:highlight w:val="none"/>
              </w:rPr>
              <w:t>A02030601</w:t>
            </w:r>
            <w:r>
              <w:rPr>
                <w:color w:val="auto"/>
                <w:spacing w:val="-30"/>
                <w:highlight w:val="none"/>
              </w:rPr>
              <w:t xml:space="preserve"> </w:t>
            </w:r>
            <w:r>
              <w:rPr>
                <w:color w:val="auto"/>
                <w:spacing w:val="-1"/>
                <w:highlight w:val="none"/>
              </w:rPr>
              <w:t>小型客车</w:t>
            </w:r>
          </w:p>
        </w:tc>
        <w:tc>
          <w:tcPr>
            <w:tcW w:w="2248" w:type="dxa"/>
          </w:tcPr>
          <w:p w14:paraId="2247EB48">
            <w:pPr>
              <w:rPr>
                <w:rFonts w:ascii="Arial"/>
                <w:color w:val="auto"/>
                <w:highlight w:val="none"/>
              </w:rPr>
            </w:pPr>
          </w:p>
        </w:tc>
        <w:tc>
          <w:tcPr>
            <w:tcW w:w="3543" w:type="dxa"/>
          </w:tcPr>
          <w:p w14:paraId="3C19F536">
            <w:pPr>
              <w:pStyle w:val="935"/>
              <w:spacing w:before="66" w:line="219" w:lineRule="auto"/>
              <w:ind w:left="109"/>
              <w:rPr>
                <w:rFonts w:hint="eastAsia"/>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323AD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2F1C0E35">
            <w:pPr>
              <w:pStyle w:val="935"/>
              <w:spacing w:before="94" w:line="184" w:lineRule="auto"/>
              <w:ind w:left="128"/>
              <w:rPr>
                <w:rFonts w:hint="eastAsia"/>
                <w:color w:val="auto"/>
                <w:highlight w:val="none"/>
              </w:rPr>
            </w:pPr>
            <w:r>
              <w:rPr>
                <w:color w:val="auto"/>
                <w:spacing w:val="-10"/>
                <w:highlight w:val="none"/>
              </w:rPr>
              <w:t>10</w:t>
            </w:r>
          </w:p>
        </w:tc>
        <w:tc>
          <w:tcPr>
            <w:tcW w:w="1542" w:type="dxa"/>
          </w:tcPr>
          <w:p w14:paraId="6259DD45">
            <w:pPr>
              <w:pStyle w:val="935"/>
              <w:spacing w:before="66" w:line="283" w:lineRule="auto"/>
              <w:ind w:left="106" w:right="108" w:hanging="4"/>
              <w:rPr>
                <w:rFonts w:hint="eastAsia"/>
                <w:color w:val="auto"/>
                <w:highlight w:val="none"/>
              </w:rPr>
            </w:pPr>
            <w:r>
              <w:rPr>
                <w:color w:val="auto"/>
                <w:spacing w:val="3"/>
                <w:highlight w:val="none"/>
              </w:rPr>
              <w:t>A020307</w:t>
            </w:r>
            <w:r>
              <w:rPr>
                <w:color w:val="auto"/>
                <w:spacing w:val="34"/>
                <w:highlight w:val="none"/>
              </w:rPr>
              <w:t xml:space="preserve"> </w:t>
            </w:r>
            <w:r>
              <w:rPr>
                <w:color w:val="auto"/>
                <w:spacing w:val="3"/>
                <w:highlight w:val="none"/>
              </w:rPr>
              <w:t>专用车</w:t>
            </w:r>
            <w:r>
              <w:rPr>
                <w:color w:val="auto"/>
                <w:highlight w:val="none"/>
              </w:rPr>
              <w:t xml:space="preserve"> 辆</w:t>
            </w:r>
          </w:p>
        </w:tc>
        <w:tc>
          <w:tcPr>
            <w:tcW w:w="2672" w:type="dxa"/>
          </w:tcPr>
          <w:p w14:paraId="2C8A8DFD">
            <w:pPr>
              <w:pStyle w:val="935"/>
              <w:spacing w:before="66" w:line="220" w:lineRule="auto"/>
              <w:ind w:left="103"/>
              <w:rPr>
                <w:rFonts w:hint="eastAsia"/>
                <w:color w:val="auto"/>
                <w:highlight w:val="none"/>
              </w:rPr>
            </w:pPr>
            <w:r>
              <w:rPr>
                <w:color w:val="auto"/>
                <w:spacing w:val="-1"/>
                <w:highlight w:val="none"/>
              </w:rPr>
              <w:t>A02030799</w:t>
            </w:r>
            <w:r>
              <w:rPr>
                <w:color w:val="auto"/>
                <w:spacing w:val="-30"/>
                <w:highlight w:val="none"/>
              </w:rPr>
              <w:t xml:space="preserve"> </w:t>
            </w:r>
            <w:r>
              <w:rPr>
                <w:color w:val="auto"/>
                <w:spacing w:val="-1"/>
                <w:highlight w:val="none"/>
              </w:rPr>
              <w:t>其他专用汽车</w:t>
            </w:r>
          </w:p>
        </w:tc>
        <w:tc>
          <w:tcPr>
            <w:tcW w:w="2248" w:type="dxa"/>
          </w:tcPr>
          <w:p w14:paraId="5A75E84B">
            <w:pPr>
              <w:rPr>
                <w:rFonts w:ascii="Arial"/>
                <w:color w:val="auto"/>
                <w:highlight w:val="none"/>
              </w:rPr>
            </w:pPr>
          </w:p>
        </w:tc>
        <w:tc>
          <w:tcPr>
            <w:tcW w:w="3543" w:type="dxa"/>
          </w:tcPr>
          <w:p w14:paraId="785D66BA">
            <w:pPr>
              <w:pStyle w:val="935"/>
              <w:spacing w:before="66" w:line="219" w:lineRule="auto"/>
              <w:ind w:left="109"/>
              <w:rPr>
                <w:rFonts w:hint="eastAsia"/>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032FA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83" w:type="dxa"/>
            <w:vMerge w:val="restart"/>
            <w:tcBorders>
              <w:bottom w:val="nil"/>
            </w:tcBorders>
          </w:tcPr>
          <w:p w14:paraId="15CFA3FF">
            <w:pPr>
              <w:pStyle w:val="935"/>
              <w:spacing w:before="97" w:line="184" w:lineRule="auto"/>
              <w:ind w:left="128"/>
              <w:rPr>
                <w:rFonts w:hint="eastAsia"/>
                <w:color w:val="auto"/>
                <w:highlight w:val="none"/>
              </w:rPr>
            </w:pPr>
            <w:r>
              <w:rPr>
                <w:color w:val="auto"/>
                <w:spacing w:val="-10"/>
                <w:highlight w:val="none"/>
              </w:rPr>
              <w:t>11</w:t>
            </w:r>
          </w:p>
        </w:tc>
        <w:tc>
          <w:tcPr>
            <w:tcW w:w="1542" w:type="dxa"/>
            <w:vMerge w:val="restart"/>
            <w:tcBorders>
              <w:bottom w:val="nil"/>
            </w:tcBorders>
          </w:tcPr>
          <w:p w14:paraId="59D33BB6">
            <w:pPr>
              <w:pStyle w:val="935"/>
              <w:spacing w:before="70" w:line="307" w:lineRule="auto"/>
              <w:ind w:left="109" w:right="108" w:hanging="7"/>
              <w:rPr>
                <w:rFonts w:hint="eastAsia"/>
                <w:color w:val="auto"/>
                <w:highlight w:val="none"/>
              </w:rPr>
            </w:pPr>
            <w:r>
              <w:rPr>
                <w:color w:val="auto"/>
                <w:spacing w:val="3"/>
                <w:highlight w:val="none"/>
              </w:rPr>
              <w:t>A020523</w:t>
            </w:r>
            <w:r>
              <w:rPr>
                <w:color w:val="auto"/>
                <w:spacing w:val="34"/>
                <w:highlight w:val="none"/>
              </w:rPr>
              <w:t xml:space="preserve"> </w:t>
            </w:r>
            <w:r>
              <w:rPr>
                <w:color w:val="auto"/>
                <w:spacing w:val="3"/>
                <w:highlight w:val="none"/>
              </w:rPr>
              <w:t>制冷空</w:t>
            </w:r>
            <w:r>
              <w:rPr>
                <w:color w:val="auto"/>
                <w:spacing w:val="-2"/>
                <w:highlight w:val="none"/>
              </w:rPr>
              <w:t>调设备</w:t>
            </w:r>
          </w:p>
        </w:tc>
        <w:tc>
          <w:tcPr>
            <w:tcW w:w="2672" w:type="dxa"/>
          </w:tcPr>
          <w:p w14:paraId="17A6994D">
            <w:pPr>
              <w:pStyle w:val="935"/>
              <w:spacing w:before="70" w:line="219" w:lineRule="auto"/>
              <w:ind w:left="103"/>
              <w:rPr>
                <w:rFonts w:hint="eastAsia"/>
                <w:color w:val="auto"/>
                <w:highlight w:val="none"/>
              </w:rPr>
            </w:pPr>
            <w:r>
              <w:rPr>
                <w:color w:val="auto"/>
                <w:highlight w:val="none"/>
              </w:rPr>
              <w:t>A02052301 制冷压缩机</w:t>
            </w:r>
          </w:p>
        </w:tc>
        <w:tc>
          <w:tcPr>
            <w:tcW w:w="2248" w:type="dxa"/>
          </w:tcPr>
          <w:p w14:paraId="6D53CCD4">
            <w:pPr>
              <w:rPr>
                <w:rFonts w:ascii="Arial"/>
                <w:color w:val="auto"/>
                <w:highlight w:val="none"/>
              </w:rPr>
            </w:pPr>
          </w:p>
        </w:tc>
        <w:tc>
          <w:tcPr>
            <w:tcW w:w="3543" w:type="dxa"/>
          </w:tcPr>
          <w:p w14:paraId="42E5C126">
            <w:pPr>
              <w:pStyle w:val="935"/>
              <w:spacing w:before="69" w:line="219" w:lineRule="auto"/>
              <w:ind w:left="109"/>
              <w:rPr>
                <w:rFonts w:hint="eastAsia"/>
                <w:color w:val="auto"/>
                <w:highlight w:val="none"/>
              </w:rPr>
            </w:pPr>
            <w:r>
              <w:rPr>
                <w:color w:val="auto"/>
                <w:spacing w:val="-1"/>
                <w:highlight w:val="none"/>
              </w:rPr>
              <w:t>HJ2531</w:t>
            </w:r>
            <w:r>
              <w:rPr>
                <w:color w:val="auto"/>
                <w:spacing w:val="-32"/>
                <w:highlight w:val="none"/>
              </w:rPr>
              <w:t xml:space="preserve"> </w:t>
            </w:r>
            <w:r>
              <w:rPr>
                <w:color w:val="auto"/>
                <w:spacing w:val="-1"/>
                <w:highlight w:val="none"/>
              </w:rPr>
              <w:t>工商用制冷设备</w:t>
            </w:r>
          </w:p>
        </w:tc>
      </w:tr>
      <w:tr w14:paraId="4CAFC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bottom w:val="nil"/>
            </w:tcBorders>
          </w:tcPr>
          <w:p w14:paraId="56AA9082">
            <w:pPr>
              <w:rPr>
                <w:rFonts w:ascii="Arial"/>
                <w:color w:val="auto"/>
                <w:highlight w:val="none"/>
              </w:rPr>
            </w:pPr>
          </w:p>
        </w:tc>
        <w:tc>
          <w:tcPr>
            <w:tcW w:w="1542" w:type="dxa"/>
            <w:vMerge w:val="continue"/>
            <w:tcBorders>
              <w:top w:val="nil"/>
              <w:bottom w:val="nil"/>
            </w:tcBorders>
          </w:tcPr>
          <w:p w14:paraId="6876B4CD">
            <w:pPr>
              <w:rPr>
                <w:rFonts w:ascii="Arial"/>
                <w:color w:val="auto"/>
                <w:highlight w:val="none"/>
              </w:rPr>
            </w:pPr>
          </w:p>
        </w:tc>
        <w:tc>
          <w:tcPr>
            <w:tcW w:w="2672" w:type="dxa"/>
          </w:tcPr>
          <w:p w14:paraId="2D030AB2">
            <w:pPr>
              <w:pStyle w:val="935"/>
              <w:spacing w:before="67" w:line="219" w:lineRule="auto"/>
              <w:ind w:left="103"/>
              <w:rPr>
                <w:rFonts w:hint="eastAsia"/>
                <w:color w:val="auto"/>
                <w:highlight w:val="none"/>
              </w:rPr>
            </w:pPr>
            <w:r>
              <w:rPr>
                <w:color w:val="auto"/>
                <w:highlight w:val="none"/>
              </w:rPr>
              <w:t>A02052305 空调机组</w:t>
            </w:r>
          </w:p>
        </w:tc>
        <w:tc>
          <w:tcPr>
            <w:tcW w:w="2248" w:type="dxa"/>
          </w:tcPr>
          <w:p w14:paraId="68BE098E">
            <w:pPr>
              <w:rPr>
                <w:rFonts w:ascii="Arial"/>
                <w:color w:val="auto"/>
                <w:highlight w:val="none"/>
              </w:rPr>
            </w:pPr>
          </w:p>
        </w:tc>
        <w:tc>
          <w:tcPr>
            <w:tcW w:w="3543" w:type="dxa"/>
          </w:tcPr>
          <w:p w14:paraId="5D8183F2">
            <w:pPr>
              <w:pStyle w:val="935"/>
              <w:spacing w:before="67" w:line="219" w:lineRule="auto"/>
              <w:ind w:left="109"/>
              <w:rPr>
                <w:rFonts w:hint="eastAsia"/>
                <w:color w:val="auto"/>
                <w:highlight w:val="none"/>
              </w:rPr>
            </w:pPr>
            <w:r>
              <w:rPr>
                <w:color w:val="auto"/>
                <w:spacing w:val="-1"/>
                <w:highlight w:val="none"/>
              </w:rPr>
              <w:t>HJ2531</w:t>
            </w:r>
            <w:r>
              <w:rPr>
                <w:color w:val="auto"/>
                <w:spacing w:val="-32"/>
                <w:highlight w:val="none"/>
              </w:rPr>
              <w:t xml:space="preserve"> </w:t>
            </w:r>
            <w:r>
              <w:rPr>
                <w:color w:val="auto"/>
                <w:spacing w:val="-1"/>
                <w:highlight w:val="none"/>
              </w:rPr>
              <w:t>工商用制冷设备</w:t>
            </w:r>
          </w:p>
        </w:tc>
      </w:tr>
      <w:tr w14:paraId="25C95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tcBorders>
          </w:tcPr>
          <w:p w14:paraId="0DBE6A61">
            <w:pPr>
              <w:rPr>
                <w:rFonts w:ascii="Arial"/>
                <w:color w:val="auto"/>
                <w:highlight w:val="none"/>
              </w:rPr>
            </w:pPr>
          </w:p>
        </w:tc>
        <w:tc>
          <w:tcPr>
            <w:tcW w:w="1542" w:type="dxa"/>
            <w:vMerge w:val="continue"/>
            <w:tcBorders>
              <w:top w:val="nil"/>
            </w:tcBorders>
          </w:tcPr>
          <w:p w14:paraId="5D03D39E">
            <w:pPr>
              <w:rPr>
                <w:rFonts w:ascii="Arial"/>
                <w:color w:val="auto"/>
                <w:highlight w:val="none"/>
              </w:rPr>
            </w:pPr>
          </w:p>
        </w:tc>
        <w:tc>
          <w:tcPr>
            <w:tcW w:w="2672" w:type="dxa"/>
          </w:tcPr>
          <w:p w14:paraId="76DA4011">
            <w:pPr>
              <w:pStyle w:val="935"/>
              <w:spacing w:before="67" w:line="221" w:lineRule="auto"/>
              <w:ind w:left="103"/>
              <w:rPr>
                <w:rFonts w:hint="eastAsia"/>
                <w:color w:val="auto"/>
                <w:highlight w:val="none"/>
                <w:lang w:eastAsia="zh-CN"/>
              </w:rPr>
            </w:pPr>
            <w:r>
              <w:rPr>
                <w:color w:val="auto"/>
                <w:spacing w:val="-2"/>
                <w:highlight w:val="none"/>
                <w:lang w:eastAsia="zh-CN"/>
              </w:rPr>
              <w:t>A02052309</w:t>
            </w:r>
            <w:r>
              <w:rPr>
                <w:color w:val="auto"/>
                <w:spacing w:val="-27"/>
                <w:highlight w:val="none"/>
                <w:lang w:eastAsia="zh-CN"/>
              </w:rPr>
              <w:t xml:space="preserve"> </w:t>
            </w:r>
            <w:r>
              <w:rPr>
                <w:color w:val="auto"/>
                <w:spacing w:val="-2"/>
                <w:highlight w:val="none"/>
                <w:lang w:eastAsia="zh-CN"/>
              </w:rPr>
              <w:t>专用制冷、空调设备</w:t>
            </w:r>
          </w:p>
        </w:tc>
        <w:tc>
          <w:tcPr>
            <w:tcW w:w="2248" w:type="dxa"/>
          </w:tcPr>
          <w:p w14:paraId="2DD8CD0E">
            <w:pPr>
              <w:rPr>
                <w:rFonts w:ascii="Arial"/>
                <w:color w:val="auto"/>
                <w:highlight w:val="none"/>
              </w:rPr>
            </w:pPr>
          </w:p>
        </w:tc>
        <w:tc>
          <w:tcPr>
            <w:tcW w:w="3543" w:type="dxa"/>
          </w:tcPr>
          <w:p w14:paraId="713F55BE">
            <w:pPr>
              <w:pStyle w:val="935"/>
              <w:spacing w:before="67" w:line="219" w:lineRule="auto"/>
              <w:ind w:left="109"/>
              <w:rPr>
                <w:rFonts w:hint="eastAsia"/>
                <w:color w:val="auto"/>
                <w:highlight w:val="none"/>
              </w:rPr>
            </w:pPr>
            <w:r>
              <w:rPr>
                <w:color w:val="auto"/>
                <w:spacing w:val="-1"/>
                <w:highlight w:val="none"/>
              </w:rPr>
              <w:t>HJ2531</w:t>
            </w:r>
            <w:r>
              <w:rPr>
                <w:color w:val="auto"/>
                <w:spacing w:val="-32"/>
                <w:highlight w:val="none"/>
              </w:rPr>
              <w:t xml:space="preserve"> </w:t>
            </w:r>
            <w:r>
              <w:rPr>
                <w:color w:val="auto"/>
                <w:spacing w:val="-1"/>
                <w:highlight w:val="none"/>
              </w:rPr>
              <w:t>工商用制冷设备</w:t>
            </w:r>
          </w:p>
        </w:tc>
      </w:tr>
      <w:tr w14:paraId="689EB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8B6D378">
            <w:pPr>
              <w:pStyle w:val="935"/>
              <w:spacing w:before="96" w:line="184" w:lineRule="auto"/>
              <w:ind w:left="128"/>
              <w:rPr>
                <w:rFonts w:hint="eastAsia"/>
                <w:color w:val="auto"/>
                <w:highlight w:val="none"/>
              </w:rPr>
            </w:pPr>
            <w:r>
              <w:rPr>
                <w:color w:val="auto"/>
                <w:spacing w:val="-10"/>
                <w:highlight w:val="none"/>
              </w:rPr>
              <w:t>12</w:t>
            </w:r>
          </w:p>
        </w:tc>
        <w:tc>
          <w:tcPr>
            <w:tcW w:w="1542" w:type="dxa"/>
            <w:vMerge w:val="restart"/>
            <w:tcBorders>
              <w:bottom w:val="nil"/>
            </w:tcBorders>
          </w:tcPr>
          <w:p w14:paraId="58DB82F3">
            <w:pPr>
              <w:pStyle w:val="935"/>
              <w:spacing w:before="68" w:line="309" w:lineRule="auto"/>
              <w:ind w:left="128" w:right="108" w:hanging="26"/>
              <w:rPr>
                <w:rFonts w:hint="eastAsia"/>
                <w:color w:val="auto"/>
                <w:highlight w:val="none"/>
              </w:rPr>
            </w:pPr>
            <w:r>
              <w:rPr>
                <w:color w:val="auto"/>
                <w:spacing w:val="3"/>
                <w:highlight w:val="none"/>
              </w:rPr>
              <w:t>A020618</w:t>
            </w:r>
            <w:r>
              <w:rPr>
                <w:color w:val="auto"/>
                <w:spacing w:val="34"/>
                <w:highlight w:val="none"/>
              </w:rPr>
              <w:t xml:space="preserve"> </w:t>
            </w:r>
            <w:r>
              <w:rPr>
                <w:color w:val="auto"/>
                <w:spacing w:val="3"/>
                <w:highlight w:val="none"/>
              </w:rPr>
              <w:t>生活用</w:t>
            </w:r>
            <w:r>
              <w:rPr>
                <w:color w:val="auto"/>
                <w:spacing w:val="-8"/>
                <w:highlight w:val="none"/>
              </w:rPr>
              <w:t>电器</w:t>
            </w:r>
          </w:p>
        </w:tc>
        <w:tc>
          <w:tcPr>
            <w:tcW w:w="2672" w:type="dxa"/>
          </w:tcPr>
          <w:p w14:paraId="783B94BE">
            <w:pPr>
              <w:pStyle w:val="935"/>
              <w:spacing w:before="68" w:line="221" w:lineRule="auto"/>
              <w:ind w:left="103"/>
              <w:rPr>
                <w:rFonts w:hint="eastAsia"/>
                <w:color w:val="auto"/>
                <w:highlight w:val="none"/>
              </w:rPr>
            </w:pPr>
            <w:r>
              <w:rPr>
                <w:color w:val="auto"/>
                <w:spacing w:val="-1"/>
                <w:highlight w:val="none"/>
              </w:rPr>
              <w:t>A02061802</w:t>
            </w:r>
            <w:r>
              <w:rPr>
                <w:color w:val="auto"/>
                <w:spacing w:val="-29"/>
                <w:highlight w:val="none"/>
              </w:rPr>
              <w:t xml:space="preserve"> </w:t>
            </w:r>
            <w:r>
              <w:rPr>
                <w:color w:val="auto"/>
                <w:spacing w:val="-1"/>
                <w:highlight w:val="none"/>
              </w:rPr>
              <w:t>空气调节电器</w:t>
            </w:r>
          </w:p>
        </w:tc>
        <w:tc>
          <w:tcPr>
            <w:tcW w:w="2248" w:type="dxa"/>
          </w:tcPr>
          <w:p w14:paraId="20C62F84">
            <w:pPr>
              <w:pStyle w:val="935"/>
              <w:spacing w:before="68" w:line="219" w:lineRule="auto"/>
              <w:ind w:left="105"/>
              <w:rPr>
                <w:rFonts w:hint="eastAsia"/>
                <w:color w:val="auto"/>
                <w:highlight w:val="none"/>
              </w:rPr>
            </w:pPr>
            <w:r>
              <w:rPr>
                <w:color w:val="auto"/>
                <w:spacing w:val="-1"/>
                <w:highlight w:val="none"/>
              </w:rPr>
              <w:t>A0206180203</w:t>
            </w:r>
            <w:r>
              <w:rPr>
                <w:color w:val="auto"/>
                <w:spacing w:val="-28"/>
                <w:highlight w:val="none"/>
              </w:rPr>
              <w:t xml:space="preserve"> </w:t>
            </w:r>
            <w:r>
              <w:rPr>
                <w:color w:val="auto"/>
                <w:spacing w:val="-1"/>
                <w:highlight w:val="none"/>
              </w:rPr>
              <w:t>空调机</w:t>
            </w:r>
          </w:p>
        </w:tc>
        <w:tc>
          <w:tcPr>
            <w:tcW w:w="3543" w:type="dxa"/>
          </w:tcPr>
          <w:p w14:paraId="6E19A368">
            <w:pPr>
              <w:pStyle w:val="935"/>
              <w:spacing w:before="68" w:line="219" w:lineRule="auto"/>
              <w:ind w:left="109"/>
              <w:rPr>
                <w:rFonts w:hint="eastAsia"/>
                <w:color w:val="auto"/>
                <w:highlight w:val="none"/>
              </w:rPr>
            </w:pPr>
            <w:r>
              <w:rPr>
                <w:color w:val="auto"/>
                <w:spacing w:val="-1"/>
                <w:highlight w:val="none"/>
              </w:rPr>
              <w:t>HJ2535</w:t>
            </w:r>
            <w:r>
              <w:rPr>
                <w:color w:val="auto"/>
                <w:spacing w:val="-32"/>
                <w:highlight w:val="none"/>
              </w:rPr>
              <w:t xml:space="preserve"> </w:t>
            </w:r>
            <w:r>
              <w:rPr>
                <w:color w:val="auto"/>
                <w:spacing w:val="-1"/>
                <w:highlight w:val="none"/>
              </w:rPr>
              <w:t>房间空气调节器</w:t>
            </w:r>
          </w:p>
        </w:tc>
      </w:tr>
      <w:tr w14:paraId="43EE7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83" w:type="dxa"/>
            <w:vMerge w:val="continue"/>
            <w:tcBorders>
              <w:top w:val="nil"/>
            </w:tcBorders>
          </w:tcPr>
          <w:p w14:paraId="2D2268C7">
            <w:pPr>
              <w:rPr>
                <w:rFonts w:ascii="Arial"/>
                <w:color w:val="auto"/>
                <w:highlight w:val="none"/>
              </w:rPr>
            </w:pPr>
          </w:p>
        </w:tc>
        <w:tc>
          <w:tcPr>
            <w:tcW w:w="1542" w:type="dxa"/>
            <w:vMerge w:val="continue"/>
            <w:tcBorders>
              <w:top w:val="nil"/>
            </w:tcBorders>
          </w:tcPr>
          <w:p w14:paraId="1C1A6C44">
            <w:pPr>
              <w:rPr>
                <w:rFonts w:ascii="Arial"/>
                <w:color w:val="auto"/>
                <w:highlight w:val="none"/>
              </w:rPr>
            </w:pPr>
          </w:p>
        </w:tc>
        <w:tc>
          <w:tcPr>
            <w:tcW w:w="2672" w:type="dxa"/>
          </w:tcPr>
          <w:p w14:paraId="3CB83B9A">
            <w:pPr>
              <w:pStyle w:val="935"/>
              <w:spacing w:before="68" w:line="220" w:lineRule="auto"/>
              <w:ind w:left="103"/>
              <w:rPr>
                <w:rFonts w:hint="eastAsia"/>
                <w:color w:val="auto"/>
                <w:highlight w:val="none"/>
              </w:rPr>
            </w:pPr>
            <w:r>
              <w:rPr>
                <w:color w:val="auto"/>
                <w:spacing w:val="-1"/>
                <w:highlight w:val="none"/>
              </w:rPr>
              <w:t>A02061808</w:t>
            </w:r>
            <w:r>
              <w:rPr>
                <w:color w:val="auto"/>
                <w:spacing w:val="-31"/>
                <w:highlight w:val="none"/>
              </w:rPr>
              <w:t xml:space="preserve"> </w:t>
            </w:r>
            <w:r>
              <w:rPr>
                <w:color w:val="auto"/>
                <w:spacing w:val="-1"/>
                <w:highlight w:val="none"/>
              </w:rPr>
              <w:t>热水器</w:t>
            </w:r>
          </w:p>
        </w:tc>
        <w:tc>
          <w:tcPr>
            <w:tcW w:w="2248" w:type="dxa"/>
          </w:tcPr>
          <w:p w14:paraId="02D3670E">
            <w:pPr>
              <w:rPr>
                <w:rFonts w:ascii="Arial"/>
                <w:color w:val="auto"/>
                <w:highlight w:val="none"/>
              </w:rPr>
            </w:pPr>
          </w:p>
        </w:tc>
        <w:tc>
          <w:tcPr>
            <w:tcW w:w="3543" w:type="dxa"/>
          </w:tcPr>
          <w:p w14:paraId="03252AFA">
            <w:pPr>
              <w:pStyle w:val="935"/>
              <w:spacing w:before="67" w:line="219" w:lineRule="auto"/>
              <w:ind w:left="109"/>
              <w:rPr>
                <w:rFonts w:hint="eastAsia"/>
                <w:color w:val="auto"/>
                <w:highlight w:val="none"/>
              </w:rPr>
            </w:pPr>
            <w:r>
              <w:rPr>
                <w:color w:val="auto"/>
                <w:spacing w:val="-1"/>
                <w:highlight w:val="none"/>
              </w:rPr>
              <w:t>HJ/T362</w:t>
            </w:r>
            <w:r>
              <w:rPr>
                <w:color w:val="auto"/>
                <w:spacing w:val="-33"/>
                <w:highlight w:val="none"/>
              </w:rPr>
              <w:t xml:space="preserve"> </w:t>
            </w:r>
            <w:r>
              <w:rPr>
                <w:color w:val="auto"/>
                <w:spacing w:val="-1"/>
                <w:highlight w:val="none"/>
              </w:rPr>
              <w:t>太阳能集热器</w:t>
            </w:r>
          </w:p>
        </w:tc>
      </w:tr>
      <w:tr w14:paraId="1AB76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2E4D164E">
            <w:pPr>
              <w:pStyle w:val="935"/>
              <w:spacing w:before="95" w:line="184" w:lineRule="auto"/>
              <w:ind w:left="128"/>
              <w:rPr>
                <w:rFonts w:hint="eastAsia"/>
                <w:color w:val="auto"/>
                <w:highlight w:val="none"/>
              </w:rPr>
            </w:pPr>
            <w:r>
              <w:rPr>
                <w:color w:val="auto"/>
                <w:spacing w:val="-10"/>
                <w:highlight w:val="none"/>
              </w:rPr>
              <w:t>13</w:t>
            </w:r>
          </w:p>
        </w:tc>
        <w:tc>
          <w:tcPr>
            <w:tcW w:w="1542" w:type="dxa"/>
          </w:tcPr>
          <w:p w14:paraId="5E5D79A3">
            <w:pPr>
              <w:pStyle w:val="935"/>
              <w:spacing w:before="69" w:line="284" w:lineRule="auto"/>
              <w:ind w:left="109" w:right="108" w:hanging="7"/>
              <w:rPr>
                <w:rFonts w:hint="eastAsia"/>
                <w:color w:val="auto"/>
                <w:highlight w:val="none"/>
              </w:rPr>
            </w:pPr>
            <w:r>
              <w:rPr>
                <w:color w:val="auto"/>
                <w:spacing w:val="-2"/>
                <w:highlight w:val="none"/>
              </w:rPr>
              <w:t>A020619</w:t>
            </w:r>
            <w:r>
              <w:rPr>
                <w:color w:val="auto"/>
                <w:spacing w:val="39"/>
                <w:highlight w:val="none"/>
              </w:rPr>
              <w:t xml:space="preserve"> </w:t>
            </w:r>
            <w:r>
              <w:rPr>
                <w:color w:val="auto"/>
                <w:spacing w:val="-2"/>
                <w:highlight w:val="none"/>
              </w:rPr>
              <w:t>照</w:t>
            </w:r>
            <w:r>
              <w:rPr>
                <w:color w:val="auto"/>
                <w:spacing w:val="-45"/>
                <w:highlight w:val="none"/>
              </w:rPr>
              <w:t xml:space="preserve"> </w:t>
            </w:r>
            <w:r>
              <w:rPr>
                <w:color w:val="auto"/>
                <w:spacing w:val="-2"/>
                <w:highlight w:val="none"/>
              </w:rPr>
              <w:t>明设</w:t>
            </w:r>
            <w:r>
              <w:rPr>
                <w:color w:val="auto"/>
                <w:highlight w:val="none"/>
              </w:rPr>
              <w:t xml:space="preserve"> 备</w:t>
            </w:r>
          </w:p>
        </w:tc>
        <w:tc>
          <w:tcPr>
            <w:tcW w:w="2672" w:type="dxa"/>
          </w:tcPr>
          <w:p w14:paraId="4310511C">
            <w:pPr>
              <w:pStyle w:val="935"/>
              <w:spacing w:before="68" w:line="220" w:lineRule="auto"/>
              <w:ind w:left="103"/>
              <w:rPr>
                <w:rFonts w:hint="eastAsia"/>
                <w:color w:val="auto"/>
                <w:highlight w:val="none"/>
              </w:rPr>
            </w:pPr>
            <w:r>
              <w:rPr>
                <w:color w:val="auto"/>
                <w:spacing w:val="-1"/>
                <w:highlight w:val="none"/>
              </w:rPr>
              <w:t>A02061908</w:t>
            </w:r>
            <w:r>
              <w:rPr>
                <w:color w:val="auto"/>
                <w:spacing w:val="-29"/>
                <w:highlight w:val="none"/>
              </w:rPr>
              <w:t xml:space="preserve"> </w:t>
            </w:r>
            <w:r>
              <w:rPr>
                <w:color w:val="auto"/>
                <w:spacing w:val="-1"/>
                <w:highlight w:val="none"/>
              </w:rPr>
              <w:t>室内照明灯具</w:t>
            </w:r>
          </w:p>
        </w:tc>
        <w:tc>
          <w:tcPr>
            <w:tcW w:w="2248" w:type="dxa"/>
          </w:tcPr>
          <w:p w14:paraId="6404726A">
            <w:pPr>
              <w:rPr>
                <w:rFonts w:ascii="Arial"/>
                <w:color w:val="auto"/>
                <w:highlight w:val="none"/>
              </w:rPr>
            </w:pPr>
          </w:p>
        </w:tc>
        <w:tc>
          <w:tcPr>
            <w:tcW w:w="3543" w:type="dxa"/>
          </w:tcPr>
          <w:p w14:paraId="19A64525">
            <w:pPr>
              <w:pStyle w:val="935"/>
              <w:spacing w:before="67" w:line="219" w:lineRule="auto"/>
              <w:ind w:left="109"/>
              <w:rPr>
                <w:rFonts w:hint="eastAsia"/>
                <w:color w:val="auto"/>
                <w:highlight w:val="none"/>
              </w:rPr>
            </w:pPr>
            <w:r>
              <w:rPr>
                <w:color w:val="auto"/>
                <w:spacing w:val="-1"/>
                <w:highlight w:val="none"/>
              </w:rPr>
              <w:t>HJ2518</w:t>
            </w:r>
            <w:r>
              <w:rPr>
                <w:color w:val="auto"/>
                <w:spacing w:val="-35"/>
                <w:highlight w:val="none"/>
              </w:rPr>
              <w:t xml:space="preserve"> </w:t>
            </w:r>
            <w:r>
              <w:rPr>
                <w:color w:val="auto"/>
                <w:spacing w:val="-1"/>
                <w:highlight w:val="none"/>
              </w:rPr>
              <w:t>照明光源</w:t>
            </w:r>
          </w:p>
        </w:tc>
      </w:tr>
      <w:tr w14:paraId="2A1169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14:paraId="080B5ED2">
            <w:pPr>
              <w:pStyle w:val="935"/>
              <w:spacing w:before="91" w:line="184" w:lineRule="auto"/>
              <w:ind w:left="128"/>
              <w:rPr>
                <w:rFonts w:hint="eastAsia"/>
                <w:color w:val="auto"/>
                <w:highlight w:val="none"/>
              </w:rPr>
            </w:pPr>
            <w:r>
              <w:rPr>
                <w:color w:val="auto"/>
                <w:spacing w:val="-10"/>
                <w:highlight w:val="none"/>
              </w:rPr>
              <w:t>14</w:t>
            </w:r>
          </w:p>
        </w:tc>
        <w:tc>
          <w:tcPr>
            <w:tcW w:w="1542" w:type="dxa"/>
          </w:tcPr>
          <w:p w14:paraId="374146AD">
            <w:pPr>
              <w:pStyle w:val="935"/>
              <w:spacing w:before="64" w:line="296" w:lineRule="auto"/>
              <w:ind w:left="109" w:right="106" w:hanging="7"/>
              <w:rPr>
                <w:rFonts w:hint="eastAsia"/>
                <w:color w:val="auto"/>
                <w:highlight w:val="none"/>
                <w:lang w:eastAsia="zh-CN"/>
              </w:rPr>
            </w:pPr>
            <w:r>
              <w:rPr>
                <w:color w:val="auto"/>
                <w:spacing w:val="3"/>
                <w:highlight w:val="none"/>
                <w:lang w:eastAsia="zh-CN"/>
              </w:rPr>
              <w:t>A020810</w:t>
            </w:r>
            <w:r>
              <w:rPr>
                <w:color w:val="auto"/>
                <w:spacing w:val="34"/>
                <w:highlight w:val="none"/>
                <w:lang w:eastAsia="zh-CN"/>
              </w:rPr>
              <w:t xml:space="preserve"> </w:t>
            </w:r>
            <w:r>
              <w:rPr>
                <w:color w:val="auto"/>
                <w:spacing w:val="3"/>
                <w:highlight w:val="none"/>
                <w:lang w:eastAsia="zh-CN"/>
              </w:rPr>
              <w:t>传真及</w:t>
            </w:r>
            <w:r>
              <w:rPr>
                <w:color w:val="auto"/>
                <w:highlight w:val="none"/>
                <w:lang w:eastAsia="zh-CN"/>
              </w:rPr>
              <w:t xml:space="preserve"> </w:t>
            </w:r>
            <w:r>
              <w:rPr>
                <w:color w:val="auto"/>
                <w:spacing w:val="8"/>
                <w:highlight w:val="none"/>
                <w:lang w:eastAsia="zh-CN"/>
              </w:rPr>
              <w:t>数据数字通信设</w:t>
            </w:r>
            <w:r>
              <w:rPr>
                <w:color w:val="auto"/>
                <w:spacing w:val="4"/>
                <w:highlight w:val="none"/>
                <w:lang w:eastAsia="zh-CN"/>
              </w:rPr>
              <w:t xml:space="preserve"> </w:t>
            </w:r>
            <w:r>
              <w:rPr>
                <w:color w:val="auto"/>
                <w:highlight w:val="none"/>
                <w:lang w:eastAsia="zh-CN"/>
              </w:rPr>
              <w:t>备</w:t>
            </w:r>
          </w:p>
        </w:tc>
        <w:tc>
          <w:tcPr>
            <w:tcW w:w="2672" w:type="dxa"/>
          </w:tcPr>
          <w:p w14:paraId="5E413103">
            <w:pPr>
              <w:pStyle w:val="935"/>
              <w:spacing w:before="64" w:line="219" w:lineRule="auto"/>
              <w:ind w:left="103"/>
              <w:rPr>
                <w:rFonts w:hint="eastAsia"/>
                <w:color w:val="auto"/>
                <w:highlight w:val="none"/>
              </w:rPr>
            </w:pPr>
            <w:r>
              <w:rPr>
                <w:color w:val="auto"/>
                <w:spacing w:val="-1"/>
                <w:highlight w:val="none"/>
              </w:rPr>
              <w:t>A02081001</w:t>
            </w:r>
            <w:r>
              <w:rPr>
                <w:color w:val="auto"/>
                <w:spacing w:val="-30"/>
                <w:highlight w:val="none"/>
              </w:rPr>
              <w:t xml:space="preserve"> </w:t>
            </w:r>
            <w:r>
              <w:rPr>
                <w:color w:val="auto"/>
                <w:spacing w:val="-1"/>
                <w:highlight w:val="none"/>
              </w:rPr>
              <w:t>传真通信设备</w:t>
            </w:r>
          </w:p>
        </w:tc>
        <w:tc>
          <w:tcPr>
            <w:tcW w:w="2248" w:type="dxa"/>
          </w:tcPr>
          <w:p w14:paraId="06023BF3">
            <w:pPr>
              <w:rPr>
                <w:rFonts w:ascii="Arial"/>
                <w:color w:val="auto"/>
                <w:highlight w:val="none"/>
              </w:rPr>
            </w:pPr>
          </w:p>
        </w:tc>
        <w:tc>
          <w:tcPr>
            <w:tcW w:w="3543" w:type="dxa"/>
          </w:tcPr>
          <w:p w14:paraId="1EC2966C">
            <w:pPr>
              <w:pStyle w:val="935"/>
              <w:spacing w:before="63" w:line="219" w:lineRule="auto"/>
              <w:ind w:left="109"/>
              <w:rPr>
                <w:rFonts w:hint="eastAsia"/>
                <w:color w:val="auto"/>
                <w:highlight w:val="none"/>
                <w:lang w:eastAsia="zh-CN"/>
              </w:rPr>
            </w:pPr>
            <w:r>
              <w:rPr>
                <w:color w:val="auto"/>
                <w:spacing w:val="-1"/>
                <w:highlight w:val="none"/>
                <w:lang w:eastAsia="zh-CN"/>
              </w:rPr>
              <w:t>HJ2512</w:t>
            </w:r>
            <w:r>
              <w:rPr>
                <w:color w:val="auto"/>
                <w:spacing w:val="-29"/>
                <w:highlight w:val="none"/>
                <w:lang w:eastAsia="zh-CN"/>
              </w:rPr>
              <w:t xml:space="preserve"> </w:t>
            </w:r>
            <w:r>
              <w:rPr>
                <w:color w:val="auto"/>
                <w:spacing w:val="-1"/>
                <w:highlight w:val="none"/>
                <w:lang w:eastAsia="zh-CN"/>
              </w:rPr>
              <w:t>打印机、传真机及多功能一体机</w:t>
            </w:r>
          </w:p>
        </w:tc>
      </w:tr>
      <w:tr w14:paraId="0907B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78F9E94D">
            <w:pPr>
              <w:pStyle w:val="935"/>
              <w:spacing w:before="92" w:line="184" w:lineRule="auto"/>
              <w:ind w:left="128"/>
              <w:rPr>
                <w:rFonts w:hint="eastAsia"/>
                <w:color w:val="auto"/>
                <w:highlight w:val="none"/>
              </w:rPr>
            </w:pPr>
            <w:r>
              <w:rPr>
                <w:color w:val="auto"/>
                <w:spacing w:val="-10"/>
                <w:highlight w:val="none"/>
              </w:rPr>
              <w:t>15</w:t>
            </w:r>
          </w:p>
        </w:tc>
        <w:tc>
          <w:tcPr>
            <w:tcW w:w="1542" w:type="dxa"/>
            <w:vMerge w:val="restart"/>
            <w:tcBorders>
              <w:bottom w:val="nil"/>
            </w:tcBorders>
          </w:tcPr>
          <w:p w14:paraId="26782D87">
            <w:pPr>
              <w:pStyle w:val="935"/>
              <w:spacing w:before="65" w:line="307" w:lineRule="auto"/>
              <w:ind w:left="109" w:right="108" w:hanging="7"/>
              <w:rPr>
                <w:rFonts w:hint="eastAsia"/>
                <w:color w:val="auto"/>
                <w:highlight w:val="none"/>
              </w:rPr>
            </w:pPr>
            <w:r>
              <w:rPr>
                <w:color w:val="auto"/>
                <w:spacing w:val="1"/>
                <w:highlight w:val="none"/>
              </w:rPr>
              <w:t>A020910</w:t>
            </w:r>
            <w:r>
              <w:rPr>
                <w:color w:val="auto"/>
                <w:spacing w:val="54"/>
                <w:highlight w:val="none"/>
              </w:rPr>
              <w:t xml:space="preserve"> </w:t>
            </w:r>
            <w:r>
              <w:rPr>
                <w:color w:val="auto"/>
                <w:spacing w:val="1"/>
                <w:highlight w:val="none"/>
              </w:rPr>
              <w:t>电视设</w:t>
            </w:r>
            <w:r>
              <w:rPr>
                <w:color w:val="auto"/>
                <w:highlight w:val="none"/>
              </w:rPr>
              <w:t xml:space="preserve"> 备</w:t>
            </w:r>
          </w:p>
        </w:tc>
        <w:tc>
          <w:tcPr>
            <w:tcW w:w="2672" w:type="dxa"/>
          </w:tcPr>
          <w:p w14:paraId="6B7765F0">
            <w:pPr>
              <w:pStyle w:val="935"/>
              <w:spacing w:before="64" w:line="284" w:lineRule="auto"/>
              <w:ind w:left="107" w:right="107" w:hanging="4"/>
              <w:rPr>
                <w:rFonts w:hint="eastAsia"/>
                <w:color w:val="auto"/>
                <w:highlight w:val="none"/>
                <w:lang w:eastAsia="zh-CN"/>
              </w:rPr>
            </w:pPr>
            <w:r>
              <w:rPr>
                <w:color w:val="auto"/>
                <w:spacing w:val="-2"/>
                <w:highlight w:val="none"/>
                <w:lang w:eastAsia="zh-CN"/>
              </w:rPr>
              <w:t>A02091001</w:t>
            </w:r>
            <w:r>
              <w:rPr>
                <w:color w:val="auto"/>
                <w:spacing w:val="-29"/>
                <w:highlight w:val="none"/>
                <w:lang w:eastAsia="zh-CN"/>
              </w:rPr>
              <w:t xml:space="preserve"> </w:t>
            </w:r>
            <w:r>
              <w:rPr>
                <w:color w:val="auto"/>
                <w:spacing w:val="-2"/>
                <w:highlight w:val="none"/>
                <w:lang w:eastAsia="zh-CN"/>
              </w:rPr>
              <w:t>普通电视设备（电视</w:t>
            </w:r>
            <w:r>
              <w:rPr>
                <w:color w:val="auto"/>
                <w:highlight w:val="none"/>
                <w:lang w:eastAsia="zh-CN"/>
              </w:rPr>
              <w:t xml:space="preserve"> </w:t>
            </w:r>
            <w:r>
              <w:rPr>
                <w:color w:val="auto"/>
                <w:spacing w:val="-4"/>
                <w:highlight w:val="none"/>
                <w:lang w:eastAsia="zh-CN"/>
              </w:rPr>
              <w:t>机）</w:t>
            </w:r>
          </w:p>
        </w:tc>
        <w:tc>
          <w:tcPr>
            <w:tcW w:w="2248" w:type="dxa"/>
          </w:tcPr>
          <w:p w14:paraId="5E8E967B">
            <w:pPr>
              <w:rPr>
                <w:rFonts w:ascii="Arial"/>
                <w:color w:val="auto"/>
                <w:highlight w:val="none"/>
              </w:rPr>
            </w:pPr>
          </w:p>
        </w:tc>
        <w:tc>
          <w:tcPr>
            <w:tcW w:w="3543" w:type="dxa"/>
          </w:tcPr>
          <w:p w14:paraId="1F2FD4E9">
            <w:pPr>
              <w:pStyle w:val="935"/>
              <w:spacing w:before="64" w:line="219" w:lineRule="auto"/>
              <w:ind w:left="109"/>
              <w:rPr>
                <w:rFonts w:hint="eastAsia"/>
                <w:color w:val="auto"/>
                <w:highlight w:val="none"/>
                <w:lang w:eastAsia="zh-CN"/>
              </w:rPr>
            </w:pPr>
            <w:r>
              <w:rPr>
                <w:color w:val="auto"/>
                <w:spacing w:val="-1"/>
                <w:highlight w:val="none"/>
                <w:lang w:eastAsia="zh-CN"/>
              </w:rPr>
              <w:t>HJ2506</w:t>
            </w:r>
            <w:r>
              <w:rPr>
                <w:color w:val="auto"/>
                <w:spacing w:val="-31"/>
                <w:highlight w:val="none"/>
                <w:lang w:eastAsia="zh-CN"/>
              </w:rPr>
              <w:t xml:space="preserve"> </w:t>
            </w:r>
            <w:r>
              <w:rPr>
                <w:color w:val="auto"/>
                <w:spacing w:val="-1"/>
                <w:highlight w:val="none"/>
                <w:lang w:eastAsia="zh-CN"/>
              </w:rPr>
              <w:t>彩色电视广播接收机</w:t>
            </w:r>
          </w:p>
        </w:tc>
      </w:tr>
      <w:tr w14:paraId="2BE641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14:paraId="08B1C519">
            <w:pPr>
              <w:rPr>
                <w:rFonts w:ascii="Arial"/>
                <w:color w:val="auto"/>
                <w:highlight w:val="none"/>
              </w:rPr>
            </w:pPr>
          </w:p>
        </w:tc>
        <w:tc>
          <w:tcPr>
            <w:tcW w:w="1542" w:type="dxa"/>
            <w:vMerge w:val="continue"/>
            <w:tcBorders>
              <w:top w:val="nil"/>
            </w:tcBorders>
          </w:tcPr>
          <w:p w14:paraId="26E2F326">
            <w:pPr>
              <w:rPr>
                <w:rFonts w:ascii="Arial"/>
                <w:color w:val="auto"/>
                <w:highlight w:val="none"/>
              </w:rPr>
            </w:pPr>
          </w:p>
        </w:tc>
        <w:tc>
          <w:tcPr>
            <w:tcW w:w="2672" w:type="dxa"/>
          </w:tcPr>
          <w:p w14:paraId="6B96D2F1">
            <w:pPr>
              <w:pStyle w:val="935"/>
              <w:spacing w:before="67" w:line="284" w:lineRule="auto"/>
              <w:ind w:left="111" w:right="107" w:hanging="8"/>
              <w:rPr>
                <w:rFonts w:hint="eastAsia"/>
                <w:color w:val="auto"/>
                <w:highlight w:val="none"/>
                <w:lang w:eastAsia="zh-CN"/>
              </w:rPr>
            </w:pPr>
            <w:r>
              <w:rPr>
                <w:color w:val="auto"/>
                <w:spacing w:val="6"/>
                <w:highlight w:val="none"/>
                <w:lang w:eastAsia="zh-CN"/>
              </w:rPr>
              <w:t>A02091003 特殊功能应用电视</w:t>
            </w:r>
            <w:r>
              <w:rPr>
                <w:color w:val="auto"/>
                <w:spacing w:val="7"/>
                <w:highlight w:val="none"/>
                <w:lang w:eastAsia="zh-CN"/>
              </w:rPr>
              <w:t xml:space="preserve"> </w:t>
            </w:r>
            <w:r>
              <w:rPr>
                <w:color w:val="auto"/>
                <w:spacing w:val="-3"/>
                <w:highlight w:val="none"/>
                <w:lang w:eastAsia="zh-CN"/>
              </w:rPr>
              <w:t>设备</w:t>
            </w:r>
          </w:p>
        </w:tc>
        <w:tc>
          <w:tcPr>
            <w:tcW w:w="2248" w:type="dxa"/>
          </w:tcPr>
          <w:p w14:paraId="14275519">
            <w:pPr>
              <w:rPr>
                <w:rFonts w:ascii="Arial"/>
                <w:color w:val="auto"/>
                <w:highlight w:val="none"/>
              </w:rPr>
            </w:pPr>
          </w:p>
        </w:tc>
        <w:tc>
          <w:tcPr>
            <w:tcW w:w="3543" w:type="dxa"/>
          </w:tcPr>
          <w:p w14:paraId="43F86923">
            <w:pPr>
              <w:pStyle w:val="935"/>
              <w:spacing w:before="67" w:line="219" w:lineRule="auto"/>
              <w:ind w:left="109"/>
              <w:rPr>
                <w:rFonts w:hint="eastAsia"/>
                <w:color w:val="auto"/>
                <w:highlight w:val="none"/>
                <w:lang w:eastAsia="zh-CN"/>
              </w:rPr>
            </w:pPr>
            <w:r>
              <w:rPr>
                <w:color w:val="auto"/>
                <w:spacing w:val="-1"/>
                <w:highlight w:val="none"/>
                <w:lang w:eastAsia="zh-CN"/>
              </w:rPr>
              <w:t>HJ2506</w:t>
            </w:r>
            <w:r>
              <w:rPr>
                <w:color w:val="auto"/>
                <w:spacing w:val="-31"/>
                <w:highlight w:val="none"/>
                <w:lang w:eastAsia="zh-CN"/>
              </w:rPr>
              <w:t xml:space="preserve"> </w:t>
            </w:r>
            <w:r>
              <w:rPr>
                <w:color w:val="auto"/>
                <w:spacing w:val="-1"/>
                <w:highlight w:val="none"/>
                <w:lang w:eastAsia="zh-CN"/>
              </w:rPr>
              <w:t>彩色电视广播接收机</w:t>
            </w:r>
          </w:p>
        </w:tc>
      </w:tr>
      <w:tr w14:paraId="1D811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restart"/>
            <w:tcBorders>
              <w:bottom w:val="nil"/>
            </w:tcBorders>
          </w:tcPr>
          <w:p w14:paraId="3B66DBAA">
            <w:pPr>
              <w:pStyle w:val="935"/>
              <w:spacing w:before="92" w:line="184" w:lineRule="auto"/>
              <w:ind w:left="128"/>
              <w:rPr>
                <w:rFonts w:hint="eastAsia"/>
                <w:color w:val="auto"/>
                <w:highlight w:val="none"/>
              </w:rPr>
            </w:pPr>
            <w:r>
              <w:rPr>
                <w:color w:val="auto"/>
                <w:spacing w:val="-10"/>
                <w:highlight w:val="none"/>
              </w:rPr>
              <w:t>16</w:t>
            </w:r>
          </w:p>
        </w:tc>
        <w:tc>
          <w:tcPr>
            <w:tcW w:w="1542" w:type="dxa"/>
            <w:vMerge w:val="restart"/>
            <w:tcBorders>
              <w:bottom w:val="nil"/>
            </w:tcBorders>
          </w:tcPr>
          <w:p w14:paraId="7405CFC9">
            <w:pPr>
              <w:pStyle w:val="935"/>
              <w:spacing w:before="65" w:line="220" w:lineRule="auto"/>
              <w:ind w:left="193"/>
              <w:rPr>
                <w:rFonts w:hint="eastAsia"/>
                <w:color w:val="auto"/>
                <w:highlight w:val="none"/>
              </w:rPr>
            </w:pPr>
            <w:r>
              <w:rPr>
                <w:color w:val="auto"/>
                <w:spacing w:val="-1"/>
                <w:highlight w:val="none"/>
              </w:rPr>
              <w:t>A0601</w:t>
            </w:r>
            <w:r>
              <w:rPr>
                <w:color w:val="auto"/>
                <w:spacing w:val="-36"/>
                <w:highlight w:val="none"/>
              </w:rPr>
              <w:t xml:space="preserve"> </w:t>
            </w:r>
            <w:r>
              <w:rPr>
                <w:color w:val="auto"/>
                <w:spacing w:val="-1"/>
                <w:highlight w:val="none"/>
              </w:rPr>
              <w:t>床类</w:t>
            </w:r>
          </w:p>
        </w:tc>
        <w:tc>
          <w:tcPr>
            <w:tcW w:w="2672" w:type="dxa"/>
          </w:tcPr>
          <w:p w14:paraId="1E0159B8">
            <w:pPr>
              <w:pStyle w:val="935"/>
              <w:spacing w:before="65" w:line="220" w:lineRule="auto"/>
              <w:ind w:left="103"/>
              <w:rPr>
                <w:rFonts w:hint="eastAsia"/>
                <w:color w:val="auto"/>
                <w:highlight w:val="none"/>
              </w:rPr>
            </w:pPr>
            <w:r>
              <w:rPr>
                <w:color w:val="auto"/>
                <w:spacing w:val="-1"/>
                <w:highlight w:val="none"/>
              </w:rPr>
              <w:t>A060101</w:t>
            </w:r>
            <w:r>
              <w:rPr>
                <w:color w:val="auto"/>
                <w:spacing w:val="-34"/>
                <w:highlight w:val="none"/>
              </w:rPr>
              <w:t xml:space="preserve"> </w:t>
            </w:r>
            <w:r>
              <w:rPr>
                <w:color w:val="auto"/>
                <w:spacing w:val="-1"/>
                <w:highlight w:val="none"/>
              </w:rPr>
              <w:t>钢木床类</w:t>
            </w:r>
          </w:p>
        </w:tc>
        <w:tc>
          <w:tcPr>
            <w:tcW w:w="2248" w:type="dxa"/>
          </w:tcPr>
          <w:p w14:paraId="34DB9986">
            <w:pPr>
              <w:rPr>
                <w:rFonts w:ascii="Arial"/>
                <w:color w:val="auto"/>
                <w:highlight w:val="none"/>
              </w:rPr>
            </w:pPr>
          </w:p>
        </w:tc>
        <w:tc>
          <w:tcPr>
            <w:tcW w:w="3543" w:type="dxa"/>
          </w:tcPr>
          <w:p w14:paraId="679D6D90">
            <w:pPr>
              <w:pStyle w:val="935"/>
              <w:spacing w:before="64"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1F4D6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583" w:type="dxa"/>
            <w:vMerge w:val="continue"/>
            <w:tcBorders>
              <w:top w:val="nil"/>
              <w:bottom w:val="nil"/>
            </w:tcBorders>
          </w:tcPr>
          <w:p w14:paraId="7D3DCF55">
            <w:pPr>
              <w:rPr>
                <w:rFonts w:ascii="Arial"/>
                <w:color w:val="auto"/>
                <w:highlight w:val="none"/>
              </w:rPr>
            </w:pPr>
          </w:p>
        </w:tc>
        <w:tc>
          <w:tcPr>
            <w:tcW w:w="1542" w:type="dxa"/>
            <w:vMerge w:val="continue"/>
            <w:tcBorders>
              <w:top w:val="nil"/>
              <w:bottom w:val="nil"/>
            </w:tcBorders>
          </w:tcPr>
          <w:p w14:paraId="4747E9CA">
            <w:pPr>
              <w:rPr>
                <w:rFonts w:ascii="Arial"/>
                <w:color w:val="auto"/>
                <w:highlight w:val="none"/>
              </w:rPr>
            </w:pPr>
          </w:p>
        </w:tc>
        <w:tc>
          <w:tcPr>
            <w:tcW w:w="2672" w:type="dxa"/>
          </w:tcPr>
          <w:p w14:paraId="2CE0B23E">
            <w:pPr>
              <w:pStyle w:val="935"/>
              <w:spacing w:before="65" w:line="220" w:lineRule="auto"/>
              <w:ind w:left="103"/>
              <w:rPr>
                <w:rFonts w:hint="eastAsia"/>
                <w:color w:val="auto"/>
                <w:highlight w:val="none"/>
              </w:rPr>
            </w:pPr>
            <w:r>
              <w:rPr>
                <w:color w:val="auto"/>
                <w:spacing w:val="-1"/>
                <w:highlight w:val="none"/>
              </w:rPr>
              <w:t>A060104</w:t>
            </w:r>
            <w:r>
              <w:rPr>
                <w:color w:val="auto"/>
                <w:spacing w:val="-33"/>
                <w:highlight w:val="none"/>
              </w:rPr>
              <w:t xml:space="preserve"> </w:t>
            </w:r>
            <w:r>
              <w:rPr>
                <w:color w:val="auto"/>
                <w:spacing w:val="-1"/>
                <w:highlight w:val="none"/>
              </w:rPr>
              <w:t>木制床类</w:t>
            </w:r>
          </w:p>
        </w:tc>
        <w:tc>
          <w:tcPr>
            <w:tcW w:w="2248" w:type="dxa"/>
          </w:tcPr>
          <w:p w14:paraId="4322AF6B">
            <w:pPr>
              <w:rPr>
                <w:rFonts w:ascii="Arial"/>
                <w:color w:val="auto"/>
                <w:highlight w:val="none"/>
              </w:rPr>
            </w:pPr>
          </w:p>
        </w:tc>
        <w:tc>
          <w:tcPr>
            <w:tcW w:w="3543" w:type="dxa"/>
          </w:tcPr>
          <w:p w14:paraId="24B06CDF">
            <w:pPr>
              <w:pStyle w:val="935"/>
              <w:spacing w:before="65"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2D625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779D87AC">
            <w:pPr>
              <w:rPr>
                <w:rFonts w:ascii="Arial"/>
                <w:color w:val="auto"/>
                <w:highlight w:val="none"/>
              </w:rPr>
            </w:pPr>
          </w:p>
        </w:tc>
        <w:tc>
          <w:tcPr>
            <w:tcW w:w="1542" w:type="dxa"/>
            <w:vMerge w:val="continue"/>
            <w:tcBorders>
              <w:top w:val="nil"/>
            </w:tcBorders>
          </w:tcPr>
          <w:p w14:paraId="716AC03A">
            <w:pPr>
              <w:rPr>
                <w:rFonts w:ascii="Arial"/>
                <w:color w:val="auto"/>
                <w:highlight w:val="none"/>
              </w:rPr>
            </w:pPr>
          </w:p>
        </w:tc>
        <w:tc>
          <w:tcPr>
            <w:tcW w:w="2672" w:type="dxa"/>
          </w:tcPr>
          <w:p w14:paraId="275D5CE5">
            <w:pPr>
              <w:pStyle w:val="935"/>
              <w:spacing w:before="65" w:line="220" w:lineRule="auto"/>
              <w:ind w:left="103"/>
              <w:rPr>
                <w:rFonts w:hint="eastAsia"/>
                <w:color w:val="auto"/>
                <w:highlight w:val="none"/>
              </w:rPr>
            </w:pPr>
            <w:r>
              <w:rPr>
                <w:color w:val="auto"/>
                <w:spacing w:val="-1"/>
                <w:highlight w:val="none"/>
              </w:rPr>
              <w:t>A060199</w:t>
            </w:r>
            <w:r>
              <w:rPr>
                <w:color w:val="auto"/>
                <w:spacing w:val="-33"/>
                <w:highlight w:val="none"/>
              </w:rPr>
              <w:t xml:space="preserve"> </w:t>
            </w:r>
            <w:r>
              <w:rPr>
                <w:color w:val="auto"/>
                <w:spacing w:val="-1"/>
                <w:highlight w:val="none"/>
              </w:rPr>
              <w:t>其他床类</w:t>
            </w:r>
          </w:p>
        </w:tc>
        <w:tc>
          <w:tcPr>
            <w:tcW w:w="2248" w:type="dxa"/>
          </w:tcPr>
          <w:p w14:paraId="43C17F5A">
            <w:pPr>
              <w:rPr>
                <w:rFonts w:ascii="Arial"/>
                <w:color w:val="auto"/>
                <w:highlight w:val="none"/>
              </w:rPr>
            </w:pPr>
          </w:p>
        </w:tc>
        <w:tc>
          <w:tcPr>
            <w:tcW w:w="3543" w:type="dxa"/>
          </w:tcPr>
          <w:p w14:paraId="713F8871">
            <w:pPr>
              <w:pStyle w:val="935"/>
              <w:spacing w:before="65"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11BC3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0586EC2">
            <w:pPr>
              <w:pStyle w:val="935"/>
              <w:spacing w:before="93" w:line="184" w:lineRule="auto"/>
              <w:ind w:left="128"/>
              <w:rPr>
                <w:rFonts w:hint="eastAsia"/>
                <w:color w:val="auto"/>
                <w:highlight w:val="none"/>
              </w:rPr>
            </w:pPr>
            <w:r>
              <w:rPr>
                <w:color w:val="auto"/>
                <w:spacing w:val="-10"/>
                <w:highlight w:val="none"/>
              </w:rPr>
              <w:t>17</w:t>
            </w:r>
          </w:p>
        </w:tc>
        <w:tc>
          <w:tcPr>
            <w:tcW w:w="1542" w:type="dxa"/>
            <w:vMerge w:val="restart"/>
            <w:tcBorders>
              <w:bottom w:val="nil"/>
            </w:tcBorders>
          </w:tcPr>
          <w:p w14:paraId="4B9DDB7F">
            <w:pPr>
              <w:pStyle w:val="935"/>
              <w:spacing w:before="65" w:line="220" w:lineRule="auto"/>
              <w:ind w:left="102"/>
              <w:rPr>
                <w:rFonts w:hint="eastAsia"/>
                <w:color w:val="auto"/>
                <w:highlight w:val="none"/>
              </w:rPr>
            </w:pPr>
            <w:r>
              <w:rPr>
                <w:color w:val="auto"/>
                <w:spacing w:val="-2"/>
                <w:highlight w:val="none"/>
              </w:rPr>
              <w:t>A0602</w:t>
            </w:r>
            <w:r>
              <w:rPr>
                <w:color w:val="auto"/>
                <w:spacing w:val="-22"/>
                <w:highlight w:val="none"/>
              </w:rPr>
              <w:t xml:space="preserve"> </w:t>
            </w:r>
            <w:r>
              <w:rPr>
                <w:color w:val="auto"/>
                <w:spacing w:val="-2"/>
                <w:highlight w:val="none"/>
              </w:rPr>
              <w:t>台、桌类</w:t>
            </w:r>
          </w:p>
        </w:tc>
        <w:tc>
          <w:tcPr>
            <w:tcW w:w="2672" w:type="dxa"/>
          </w:tcPr>
          <w:p w14:paraId="01FA7ADF">
            <w:pPr>
              <w:pStyle w:val="935"/>
              <w:spacing w:before="65" w:line="220" w:lineRule="auto"/>
              <w:ind w:left="103"/>
              <w:rPr>
                <w:rFonts w:hint="eastAsia"/>
                <w:color w:val="auto"/>
                <w:highlight w:val="none"/>
              </w:rPr>
            </w:pPr>
            <w:r>
              <w:rPr>
                <w:color w:val="auto"/>
                <w:spacing w:val="-1"/>
                <w:highlight w:val="none"/>
              </w:rPr>
              <w:t>A060201</w:t>
            </w:r>
            <w:r>
              <w:rPr>
                <w:color w:val="auto"/>
                <w:spacing w:val="-29"/>
                <w:highlight w:val="none"/>
              </w:rPr>
              <w:t xml:space="preserve"> </w:t>
            </w:r>
            <w:r>
              <w:rPr>
                <w:color w:val="auto"/>
                <w:spacing w:val="-1"/>
                <w:highlight w:val="none"/>
              </w:rPr>
              <w:t>钢木台、桌类</w:t>
            </w:r>
          </w:p>
        </w:tc>
        <w:tc>
          <w:tcPr>
            <w:tcW w:w="2248" w:type="dxa"/>
          </w:tcPr>
          <w:p w14:paraId="0148676D">
            <w:pPr>
              <w:rPr>
                <w:rFonts w:ascii="Arial"/>
                <w:color w:val="auto"/>
                <w:highlight w:val="none"/>
              </w:rPr>
            </w:pPr>
          </w:p>
        </w:tc>
        <w:tc>
          <w:tcPr>
            <w:tcW w:w="3543" w:type="dxa"/>
          </w:tcPr>
          <w:p w14:paraId="51B46CBB">
            <w:pPr>
              <w:pStyle w:val="935"/>
              <w:spacing w:before="65"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3A6E6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14:paraId="7BE06C55">
            <w:pPr>
              <w:rPr>
                <w:rFonts w:ascii="Arial"/>
                <w:color w:val="auto"/>
                <w:highlight w:val="none"/>
              </w:rPr>
            </w:pPr>
          </w:p>
        </w:tc>
        <w:tc>
          <w:tcPr>
            <w:tcW w:w="1542" w:type="dxa"/>
            <w:vMerge w:val="continue"/>
            <w:tcBorders>
              <w:top w:val="nil"/>
              <w:bottom w:val="nil"/>
            </w:tcBorders>
          </w:tcPr>
          <w:p w14:paraId="6BA8E3B9">
            <w:pPr>
              <w:rPr>
                <w:rFonts w:ascii="Arial"/>
                <w:color w:val="auto"/>
                <w:highlight w:val="none"/>
              </w:rPr>
            </w:pPr>
          </w:p>
        </w:tc>
        <w:tc>
          <w:tcPr>
            <w:tcW w:w="2672" w:type="dxa"/>
          </w:tcPr>
          <w:p w14:paraId="4935314F">
            <w:pPr>
              <w:pStyle w:val="935"/>
              <w:spacing w:before="65" w:line="220" w:lineRule="auto"/>
              <w:ind w:left="103"/>
              <w:rPr>
                <w:rFonts w:hint="eastAsia"/>
                <w:color w:val="auto"/>
                <w:highlight w:val="none"/>
              </w:rPr>
            </w:pPr>
            <w:r>
              <w:rPr>
                <w:color w:val="auto"/>
                <w:spacing w:val="-1"/>
                <w:highlight w:val="none"/>
              </w:rPr>
              <w:t>A060205</w:t>
            </w:r>
            <w:r>
              <w:rPr>
                <w:color w:val="auto"/>
                <w:spacing w:val="-29"/>
                <w:highlight w:val="none"/>
              </w:rPr>
              <w:t xml:space="preserve"> </w:t>
            </w:r>
            <w:r>
              <w:rPr>
                <w:color w:val="auto"/>
                <w:spacing w:val="-1"/>
                <w:highlight w:val="none"/>
              </w:rPr>
              <w:t>木制台、桌类</w:t>
            </w:r>
          </w:p>
        </w:tc>
        <w:tc>
          <w:tcPr>
            <w:tcW w:w="2248" w:type="dxa"/>
          </w:tcPr>
          <w:p w14:paraId="18B17C58">
            <w:pPr>
              <w:rPr>
                <w:rFonts w:ascii="Arial"/>
                <w:color w:val="auto"/>
                <w:highlight w:val="none"/>
              </w:rPr>
            </w:pPr>
          </w:p>
        </w:tc>
        <w:tc>
          <w:tcPr>
            <w:tcW w:w="3543" w:type="dxa"/>
          </w:tcPr>
          <w:p w14:paraId="6BFBEADF">
            <w:pPr>
              <w:pStyle w:val="935"/>
              <w:spacing w:before="65"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55290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37B17C20">
            <w:pPr>
              <w:rPr>
                <w:rFonts w:ascii="Arial"/>
                <w:color w:val="auto"/>
                <w:highlight w:val="none"/>
              </w:rPr>
            </w:pPr>
          </w:p>
        </w:tc>
        <w:tc>
          <w:tcPr>
            <w:tcW w:w="1542" w:type="dxa"/>
            <w:vMerge w:val="continue"/>
            <w:tcBorders>
              <w:top w:val="nil"/>
            </w:tcBorders>
          </w:tcPr>
          <w:p w14:paraId="2EF3BC54">
            <w:pPr>
              <w:rPr>
                <w:rFonts w:ascii="Arial"/>
                <w:color w:val="auto"/>
                <w:highlight w:val="none"/>
              </w:rPr>
            </w:pPr>
          </w:p>
        </w:tc>
        <w:tc>
          <w:tcPr>
            <w:tcW w:w="2672" w:type="dxa"/>
          </w:tcPr>
          <w:p w14:paraId="578CC126">
            <w:pPr>
              <w:pStyle w:val="935"/>
              <w:spacing w:before="66" w:line="220" w:lineRule="auto"/>
              <w:ind w:left="103"/>
              <w:rPr>
                <w:rFonts w:hint="eastAsia"/>
                <w:color w:val="auto"/>
                <w:highlight w:val="none"/>
              </w:rPr>
            </w:pPr>
            <w:r>
              <w:rPr>
                <w:color w:val="auto"/>
                <w:spacing w:val="-1"/>
                <w:highlight w:val="none"/>
              </w:rPr>
              <w:t>A060299</w:t>
            </w:r>
            <w:r>
              <w:rPr>
                <w:color w:val="auto"/>
                <w:spacing w:val="-29"/>
                <w:highlight w:val="none"/>
              </w:rPr>
              <w:t xml:space="preserve"> </w:t>
            </w:r>
            <w:r>
              <w:rPr>
                <w:color w:val="auto"/>
                <w:spacing w:val="-1"/>
                <w:highlight w:val="none"/>
              </w:rPr>
              <w:t>其他台、桌类</w:t>
            </w:r>
          </w:p>
        </w:tc>
        <w:tc>
          <w:tcPr>
            <w:tcW w:w="2248" w:type="dxa"/>
          </w:tcPr>
          <w:p w14:paraId="4DDAB874">
            <w:pPr>
              <w:rPr>
                <w:rFonts w:ascii="Arial"/>
                <w:color w:val="auto"/>
                <w:highlight w:val="none"/>
              </w:rPr>
            </w:pPr>
          </w:p>
        </w:tc>
        <w:tc>
          <w:tcPr>
            <w:tcW w:w="3543" w:type="dxa"/>
          </w:tcPr>
          <w:p w14:paraId="5AE31853">
            <w:pPr>
              <w:pStyle w:val="935"/>
              <w:spacing w:before="66"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020ED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2318899C">
            <w:pPr>
              <w:pStyle w:val="935"/>
              <w:spacing w:before="94" w:line="184" w:lineRule="auto"/>
              <w:ind w:left="128"/>
              <w:rPr>
                <w:rFonts w:hint="eastAsia"/>
                <w:color w:val="auto"/>
                <w:highlight w:val="none"/>
              </w:rPr>
            </w:pPr>
            <w:r>
              <w:rPr>
                <w:color w:val="auto"/>
                <w:spacing w:val="-10"/>
                <w:highlight w:val="none"/>
              </w:rPr>
              <w:t>18</w:t>
            </w:r>
          </w:p>
        </w:tc>
        <w:tc>
          <w:tcPr>
            <w:tcW w:w="1542" w:type="dxa"/>
            <w:vMerge w:val="restart"/>
            <w:tcBorders>
              <w:bottom w:val="nil"/>
            </w:tcBorders>
          </w:tcPr>
          <w:p w14:paraId="7F63E342">
            <w:pPr>
              <w:pStyle w:val="935"/>
              <w:spacing w:before="66" w:line="220" w:lineRule="auto"/>
              <w:ind w:left="102"/>
              <w:rPr>
                <w:rFonts w:hint="eastAsia"/>
                <w:color w:val="auto"/>
                <w:highlight w:val="none"/>
              </w:rPr>
            </w:pPr>
            <w:r>
              <w:rPr>
                <w:color w:val="auto"/>
                <w:spacing w:val="-1"/>
                <w:highlight w:val="none"/>
              </w:rPr>
              <w:t>A0603</w:t>
            </w:r>
            <w:r>
              <w:rPr>
                <w:color w:val="auto"/>
                <w:spacing w:val="-36"/>
                <w:highlight w:val="none"/>
              </w:rPr>
              <w:t xml:space="preserve"> </w:t>
            </w:r>
            <w:r>
              <w:rPr>
                <w:color w:val="auto"/>
                <w:spacing w:val="-1"/>
                <w:highlight w:val="none"/>
              </w:rPr>
              <w:t>椅凳类</w:t>
            </w:r>
          </w:p>
        </w:tc>
        <w:tc>
          <w:tcPr>
            <w:tcW w:w="2672" w:type="dxa"/>
          </w:tcPr>
          <w:p w14:paraId="36126705">
            <w:pPr>
              <w:pStyle w:val="935"/>
              <w:spacing w:before="66" w:line="220" w:lineRule="auto"/>
              <w:ind w:left="103"/>
              <w:rPr>
                <w:rFonts w:hint="eastAsia"/>
                <w:color w:val="auto"/>
                <w:highlight w:val="none"/>
              </w:rPr>
            </w:pPr>
            <w:r>
              <w:rPr>
                <w:color w:val="auto"/>
                <w:spacing w:val="-1"/>
                <w:highlight w:val="none"/>
              </w:rPr>
              <w:t>A060301</w:t>
            </w:r>
            <w:r>
              <w:rPr>
                <w:color w:val="auto"/>
                <w:spacing w:val="-46"/>
                <w:highlight w:val="none"/>
              </w:rPr>
              <w:t xml:space="preserve"> </w:t>
            </w:r>
            <w:r>
              <w:rPr>
                <w:color w:val="auto"/>
                <w:spacing w:val="-1"/>
                <w:highlight w:val="none"/>
              </w:rPr>
              <w:t>金属骨架为主的椅凳类</w:t>
            </w:r>
          </w:p>
        </w:tc>
        <w:tc>
          <w:tcPr>
            <w:tcW w:w="2248" w:type="dxa"/>
          </w:tcPr>
          <w:p w14:paraId="7B06F105">
            <w:pPr>
              <w:rPr>
                <w:rFonts w:ascii="Arial"/>
                <w:color w:val="auto"/>
                <w:highlight w:val="none"/>
              </w:rPr>
            </w:pPr>
          </w:p>
        </w:tc>
        <w:tc>
          <w:tcPr>
            <w:tcW w:w="3543" w:type="dxa"/>
          </w:tcPr>
          <w:p w14:paraId="54595496">
            <w:pPr>
              <w:pStyle w:val="935"/>
              <w:spacing w:before="66"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353B7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14:paraId="0F517DC3">
            <w:pPr>
              <w:rPr>
                <w:rFonts w:ascii="Arial"/>
                <w:color w:val="auto"/>
                <w:highlight w:val="none"/>
              </w:rPr>
            </w:pPr>
          </w:p>
        </w:tc>
        <w:tc>
          <w:tcPr>
            <w:tcW w:w="1542" w:type="dxa"/>
            <w:vMerge w:val="continue"/>
            <w:tcBorders>
              <w:top w:val="nil"/>
              <w:bottom w:val="nil"/>
            </w:tcBorders>
          </w:tcPr>
          <w:p w14:paraId="4452492E">
            <w:pPr>
              <w:rPr>
                <w:rFonts w:ascii="Arial"/>
                <w:color w:val="auto"/>
                <w:highlight w:val="none"/>
              </w:rPr>
            </w:pPr>
          </w:p>
        </w:tc>
        <w:tc>
          <w:tcPr>
            <w:tcW w:w="2672" w:type="dxa"/>
          </w:tcPr>
          <w:p w14:paraId="23CE420E">
            <w:pPr>
              <w:pStyle w:val="935"/>
              <w:spacing w:before="66" w:line="220" w:lineRule="auto"/>
              <w:ind w:left="103"/>
              <w:rPr>
                <w:rFonts w:hint="eastAsia"/>
                <w:color w:val="auto"/>
                <w:highlight w:val="none"/>
              </w:rPr>
            </w:pPr>
            <w:r>
              <w:rPr>
                <w:color w:val="auto"/>
                <w:spacing w:val="-1"/>
                <w:highlight w:val="none"/>
              </w:rPr>
              <w:t>A060302</w:t>
            </w:r>
            <w:r>
              <w:rPr>
                <w:color w:val="auto"/>
                <w:spacing w:val="-29"/>
                <w:highlight w:val="none"/>
              </w:rPr>
              <w:t xml:space="preserve"> </w:t>
            </w:r>
            <w:r>
              <w:rPr>
                <w:color w:val="auto"/>
                <w:spacing w:val="-1"/>
                <w:highlight w:val="none"/>
              </w:rPr>
              <w:t>木骨架为主的椅凳类</w:t>
            </w:r>
          </w:p>
        </w:tc>
        <w:tc>
          <w:tcPr>
            <w:tcW w:w="2248" w:type="dxa"/>
          </w:tcPr>
          <w:p w14:paraId="3AC8CC7B">
            <w:pPr>
              <w:rPr>
                <w:rFonts w:ascii="Arial"/>
                <w:color w:val="auto"/>
                <w:highlight w:val="none"/>
              </w:rPr>
            </w:pPr>
          </w:p>
        </w:tc>
        <w:tc>
          <w:tcPr>
            <w:tcW w:w="3543" w:type="dxa"/>
          </w:tcPr>
          <w:p w14:paraId="445969C5">
            <w:pPr>
              <w:pStyle w:val="935"/>
              <w:spacing w:before="66"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4A940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44765C6E">
            <w:pPr>
              <w:rPr>
                <w:rFonts w:ascii="Arial"/>
                <w:color w:val="auto"/>
                <w:highlight w:val="none"/>
              </w:rPr>
            </w:pPr>
          </w:p>
        </w:tc>
        <w:tc>
          <w:tcPr>
            <w:tcW w:w="1542" w:type="dxa"/>
            <w:vMerge w:val="continue"/>
            <w:tcBorders>
              <w:top w:val="nil"/>
            </w:tcBorders>
          </w:tcPr>
          <w:p w14:paraId="0BC4D06A">
            <w:pPr>
              <w:rPr>
                <w:rFonts w:ascii="Arial"/>
                <w:color w:val="auto"/>
                <w:highlight w:val="none"/>
              </w:rPr>
            </w:pPr>
          </w:p>
        </w:tc>
        <w:tc>
          <w:tcPr>
            <w:tcW w:w="2672" w:type="dxa"/>
          </w:tcPr>
          <w:p w14:paraId="187C2DEE">
            <w:pPr>
              <w:pStyle w:val="935"/>
              <w:spacing w:before="67" w:line="220" w:lineRule="auto"/>
              <w:ind w:left="103"/>
              <w:rPr>
                <w:rFonts w:hint="eastAsia"/>
                <w:color w:val="auto"/>
                <w:highlight w:val="none"/>
              </w:rPr>
            </w:pPr>
            <w:r>
              <w:rPr>
                <w:color w:val="auto"/>
                <w:spacing w:val="-1"/>
                <w:highlight w:val="none"/>
              </w:rPr>
              <w:t>A060399</w:t>
            </w:r>
            <w:r>
              <w:rPr>
                <w:color w:val="auto"/>
                <w:spacing w:val="-33"/>
                <w:highlight w:val="none"/>
              </w:rPr>
              <w:t xml:space="preserve"> </w:t>
            </w:r>
            <w:r>
              <w:rPr>
                <w:color w:val="auto"/>
                <w:spacing w:val="-1"/>
                <w:highlight w:val="none"/>
              </w:rPr>
              <w:t>其他椅凳类</w:t>
            </w:r>
          </w:p>
        </w:tc>
        <w:tc>
          <w:tcPr>
            <w:tcW w:w="2248" w:type="dxa"/>
          </w:tcPr>
          <w:p w14:paraId="6EFAB882">
            <w:pPr>
              <w:rPr>
                <w:rFonts w:ascii="Arial"/>
                <w:color w:val="auto"/>
                <w:highlight w:val="none"/>
              </w:rPr>
            </w:pPr>
          </w:p>
        </w:tc>
        <w:tc>
          <w:tcPr>
            <w:tcW w:w="3543" w:type="dxa"/>
          </w:tcPr>
          <w:p w14:paraId="23854425">
            <w:pPr>
              <w:pStyle w:val="935"/>
              <w:spacing w:before="66"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6838C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2D13C26B">
            <w:pPr>
              <w:pStyle w:val="935"/>
              <w:spacing w:before="95" w:line="184" w:lineRule="auto"/>
              <w:ind w:left="128"/>
              <w:rPr>
                <w:rFonts w:hint="eastAsia"/>
                <w:color w:val="auto"/>
                <w:highlight w:val="none"/>
              </w:rPr>
            </w:pPr>
            <w:r>
              <w:rPr>
                <w:color w:val="auto"/>
                <w:spacing w:val="-10"/>
                <w:highlight w:val="none"/>
              </w:rPr>
              <w:t>19</w:t>
            </w:r>
          </w:p>
        </w:tc>
        <w:tc>
          <w:tcPr>
            <w:tcW w:w="1542" w:type="dxa"/>
          </w:tcPr>
          <w:p w14:paraId="6A164D46">
            <w:pPr>
              <w:pStyle w:val="935"/>
              <w:spacing w:before="67" w:line="220" w:lineRule="auto"/>
              <w:ind w:left="102"/>
              <w:rPr>
                <w:rFonts w:hint="eastAsia"/>
                <w:color w:val="auto"/>
                <w:highlight w:val="none"/>
              </w:rPr>
            </w:pPr>
            <w:r>
              <w:rPr>
                <w:color w:val="auto"/>
                <w:spacing w:val="-1"/>
                <w:highlight w:val="none"/>
              </w:rPr>
              <w:t>A0604</w:t>
            </w:r>
            <w:r>
              <w:rPr>
                <w:color w:val="auto"/>
                <w:spacing w:val="-35"/>
                <w:highlight w:val="none"/>
              </w:rPr>
              <w:t xml:space="preserve"> </w:t>
            </w:r>
            <w:r>
              <w:rPr>
                <w:color w:val="auto"/>
                <w:spacing w:val="-1"/>
                <w:highlight w:val="none"/>
              </w:rPr>
              <w:t>沙发类</w:t>
            </w:r>
          </w:p>
        </w:tc>
        <w:tc>
          <w:tcPr>
            <w:tcW w:w="2672" w:type="dxa"/>
          </w:tcPr>
          <w:p w14:paraId="749F5E6D">
            <w:pPr>
              <w:pStyle w:val="935"/>
              <w:spacing w:before="67" w:line="220" w:lineRule="auto"/>
              <w:ind w:left="103"/>
              <w:rPr>
                <w:rFonts w:hint="eastAsia"/>
                <w:color w:val="auto"/>
                <w:highlight w:val="none"/>
              </w:rPr>
            </w:pPr>
            <w:r>
              <w:rPr>
                <w:color w:val="auto"/>
                <w:spacing w:val="-1"/>
                <w:highlight w:val="none"/>
              </w:rPr>
              <w:t>A060499</w:t>
            </w:r>
            <w:r>
              <w:rPr>
                <w:color w:val="auto"/>
                <w:spacing w:val="-33"/>
                <w:highlight w:val="none"/>
              </w:rPr>
              <w:t xml:space="preserve"> </w:t>
            </w:r>
            <w:r>
              <w:rPr>
                <w:color w:val="auto"/>
                <w:spacing w:val="-1"/>
                <w:highlight w:val="none"/>
              </w:rPr>
              <w:t>其他沙发类</w:t>
            </w:r>
          </w:p>
        </w:tc>
        <w:tc>
          <w:tcPr>
            <w:tcW w:w="2248" w:type="dxa"/>
          </w:tcPr>
          <w:p w14:paraId="20F6804C">
            <w:pPr>
              <w:rPr>
                <w:rFonts w:ascii="Arial"/>
                <w:color w:val="auto"/>
                <w:highlight w:val="none"/>
              </w:rPr>
            </w:pPr>
          </w:p>
        </w:tc>
        <w:tc>
          <w:tcPr>
            <w:tcW w:w="3543" w:type="dxa"/>
          </w:tcPr>
          <w:p w14:paraId="2BA4B176">
            <w:pPr>
              <w:pStyle w:val="935"/>
              <w:spacing w:before="67"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7F9E2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65D604A9">
            <w:pPr>
              <w:pStyle w:val="935"/>
              <w:spacing w:before="96" w:line="183" w:lineRule="auto"/>
              <w:ind w:left="116"/>
              <w:rPr>
                <w:rFonts w:hint="eastAsia"/>
                <w:color w:val="auto"/>
                <w:highlight w:val="none"/>
              </w:rPr>
            </w:pPr>
            <w:r>
              <w:rPr>
                <w:color w:val="auto"/>
                <w:spacing w:val="-4"/>
                <w:highlight w:val="none"/>
              </w:rPr>
              <w:t>20</w:t>
            </w:r>
          </w:p>
        </w:tc>
        <w:tc>
          <w:tcPr>
            <w:tcW w:w="1542" w:type="dxa"/>
            <w:vMerge w:val="restart"/>
            <w:tcBorders>
              <w:bottom w:val="nil"/>
            </w:tcBorders>
          </w:tcPr>
          <w:p w14:paraId="5E7DA667">
            <w:pPr>
              <w:pStyle w:val="935"/>
              <w:spacing w:before="67" w:line="220" w:lineRule="auto"/>
              <w:ind w:left="193"/>
              <w:rPr>
                <w:rFonts w:hint="eastAsia"/>
                <w:color w:val="auto"/>
                <w:highlight w:val="none"/>
              </w:rPr>
            </w:pPr>
            <w:r>
              <w:rPr>
                <w:color w:val="auto"/>
                <w:spacing w:val="-1"/>
                <w:highlight w:val="none"/>
              </w:rPr>
              <w:t>A0605</w:t>
            </w:r>
            <w:r>
              <w:rPr>
                <w:color w:val="auto"/>
                <w:spacing w:val="-36"/>
                <w:highlight w:val="none"/>
              </w:rPr>
              <w:t xml:space="preserve"> </w:t>
            </w:r>
            <w:r>
              <w:rPr>
                <w:color w:val="auto"/>
                <w:spacing w:val="-1"/>
                <w:highlight w:val="none"/>
              </w:rPr>
              <w:t>柜类</w:t>
            </w:r>
          </w:p>
        </w:tc>
        <w:tc>
          <w:tcPr>
            <w:tcW w:w="2672" w:type="dxa"/>
          </w:tcPr>
          <w:p w14:paraId="1565A38C">
            <w:pPr>
              <w:pStyle w:val="935"/>
              <w:spacing w:before="67" w:line="220" w:lineRule="auto"/>
              <w:ind w:left="103"/>
              <w:rPr>
                <w:rFonts w:hint="eastAsia"/>
                <w:color w:val="auto"/>
                <w:highlight w:val="none"/>
              </w:rPr>
            </w:pPr>
            <w:r>
              <w:rPr>
                <w:color w:val="auto"/>
                <w:spacing w:val="-1"/>
                <w:highlight w:val="none"/>
              </w:rPr>
              <w:t>A060501</w:t>
            </w:r>
            <w:r>
              <w:rPr>
                <w:color w:val="auto"/>
                <w:spacing w:val="-33"/>
                <w:highlight w:val="none"/>
              </w:rPr>
              <w:t xml:space="preserve"> </w:t>
            </w:r>
            <w:r>
              <w:rPr>
                <w:color w:val="auto"/>
                <w:spacing w:val="-1"/>
                <w:highlight w:val="none"/>
              </w:rPr>
              <w:t>木质柜类</w:t>
            </w:r>
          </w:p>
        </w:tc>
        <w:tc>
          <w:tcPr>
            <w:tcW w:w="2248" w:type="dxa"/>
          </w:tcPr>
          <w:p w14:paraId="773FFB70">
            <w:pPr>
              <w:rPr>
                <w:rFonts w:ascii="Arial"/>
                <w:color w:val="auto"/>
                <w:highlight w:val="none"/>
              </w:rPr>
            </w:pPr>
          </w:p>
        </w:tc>
        <w:tc>
          <w:tcPr>
            <w:tcW w:w="3543" w:type="dxa"/>
          </w:tcPr>
          <w:p w14:paraId="6C9DDFC3">
            <w:pPr>
              <w:pStyle w:val="935"/>
              <w:spacing w:before="67"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5C158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706D320A">
            <w:pPr>
              <w:rPr>
                <w:rFonts w:ascii="Arial"/>
                <w:color w:val="auto"/>
                <w:highlight w:val="none"/>
              </w:rPr>
            </w:pPr>
          </w:p>
        </w:tc>
        <w:tc>
          <w:tcPr>
            <w:tcW w:w="1542" w:type="dxa"/>
            <w:vMerge w:val="continue"/>
            <w:tcBorders>
              <w:top w:val="nil"/>
              <w:bottom w:val="nil"/>
            </w:tcBorders>
          </w:tcPr>
          <w:p w14:paraId="28259B9A">
            <w:pPr>
              <w:rPr>
                <w:rFonts w:ascii="Arial"/>
                <w:color w:val="auto"/>
                <w:highlight w:val="none"/>
              </w:rPr>
            </w:pPr>
          </w:p>
        </w:tc>
        <w:tc>
          <w:tcPr>
            <w:tcW w:w="2672" w:type="dxa"/>
          </w:tcPr>
          <w:p w14:paraId="45CF2110">
            <w:pPr>
              <w:pStyle w:val="935"/>
              <w:spacing w:before="67" w:line="220" w:lineRule="auto"/>
              <w:ind w:left="103"/>
              <w:rPr>
                <w:rFonts w:hint="eastAsia"/>
                <w:color w:val="auto"/>
                <w:highlight w:val="none"/>
              </w:rPr>
            </w:pPr>
            <w:r>
              <w:rPr>
                <w:color w:val="auto"/>
                <w:spacing w:val="-1"/>
                <w:highlight w:val="none"/>
              </w:rPr>
              <w:t>A060503</w:t>
            </w:r>
            <w:r>
              <w:rPr>
                <w:color w:val="auto"/>
                <w:spacing w:val="-32"/>
                <w:highlight w:val="none"/>
              </w:rPr>
              <w:t xml:space="preserve"> </w:t>
            </w:r>
            <w:r>
              <w:rPr>
                <w:color w:val="auto"/>
                <w:spacing w:val="-1"/>
                <w:highlight w:val="none"/>
              </w:rPr>
              <w:t>金属质柜类</w:t>
            </w:r>
          </w:p>
        </w:tc>
        <w:tc>
          <w:tcPr>
            <w:tcW w:w="2248" w:type="dxa"/>
          </w:tcPr>
          <w:p w14:paraId="36342C8B">
            <w:pPr>
              <w:rPr>
                <w:rFonts w:ascii="Arial"/>
                <w:color w:val="auto"/>
                <w:highlight w:val="none"/>
              </w:rPr>
            </w:pPr>
          </w:p>
        </w:tc>
        <w:tc>
          <w:tcPr>
            <w:tcW w:w="3543" w:type="dxa"/>
          </w:tcPr>
          <w:p w14:paraId="0A9DA026">
            <w:pPr>
              <w:pStyle w:val="935"/>
              <w:spacing w:before="67"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711BD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41228744">
            <w:pPr>
              <w:rPr>
                <w:rFonts w:ascii="Arial"/>
                <w:color w:val="auto"/>
                <w:highlight w:val="none"/>
              </w:rPr>
            </w:pPr>
          </w:p>
        </w:tc>
        <w:tc>
          <w:tcPr>
            <w:tcW w:w="1542" w:type="dxa"/>
            <w:vMerge w:val="continue"/>
            <w:tcBorders>
              <w:top w:val="nil"/>
            </w:tcBorders>
          </w:tcPr>
          <w:p w14:paraId="64AC23B4">
            <w:pPr>
              <w:rPr>
                <w:rFonts w:ascii="Arial"/>
                <w:color w:val="auto"/>
                <w:highlight w:val="none"/>
              </w:rPr>
            </w:pPr>
          </w:p>
        </w:tc>
        <w:tc>
          <w:tcPr>
            <w:tcW w:w="2672" w:type="dxa"/>
          </w:tcPr>
          <w:p w14:paraId="3AE28EBA">
            <w:pPr>
              <w:pStyle w:val="935"/>
              <w:spacing w:before="67" w:line="220" w:lineRule="auto"/>
              <w:ind w:left="103"/>
              <w:rPr>
                <w:rFonts w:hint="eastAsia"/>
                <w:color w:val="auto"/>
                <w:highlight w:val="none"/>
              </w:rPr>
            </w:pPr>
            <w:r>
              <w:rPr>
                <w:color w:val="auto"/>
                <w:spacing w:val="-1"/>
                <w:highlight w:val="none"/>
              </w:rPr>
              <w:t>A060599</w:t>
            </w:r>
            <w:r>
              <w:rPr>
                <w:color w:val="auto"/>
                <w:spacing w:val="-33"/>
                <w:highlight w:val="none"/>
              </w:rPr>
              <w:t xml:space="preserve"> </w:t>
            </w:r>
            <w:r>
              <w:rPr>
                <w:color w:val="auto"/>
                <w:spacing w:val="-1"/>
                <w:highlight w:val="none"/>
              </w:rPr>
              <w:t>其他柜类</w:t>
            </w:r>
          </w:p>
        </w:tc>
        <w:tc>
          <w:tcPr>
            <w:tcW w:w="2248" w:type="dxa"/>
          </w:tcPr>
          <w:p w14:paraId="208A4359">
            <w:pPr>
              <w:rPr>
                <w:rFonts w:ascii="Arial"/>
                <w:color w:val="auto"/>
                <w:highlight w:val="none"/>
              </w:rPr>
            </w:pPr>
          </w:p>
        </w:tc>
        <w:tc>
          <w:tcPr>
            <w:tcW w:w="3543" w:type="dxa"/>
          </w:tcPr>
          <w:p w14:paraId="734675A3">
            <w:pPr>
              <w:pStyle w:val="935"/>
              <w:spacing w:before="67"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1EBC9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53776001">
            <w:pPr>
              <w:pStyle w:val="935"/>
              <w:spacing w:before="94" w:line="184" w:lineRule="auto"/>
              <w:ind w:left="116"/>
              <w:rPr>
                <w:rFonts w:hint="eastAsia"/>
                <w:color w:val="auto"/>
                <w:highlight w:val="none"/>
              </w:rPr>
            </w:pPr>
            <w:r>
              <w:rPr>
                <w:color w:val="auto"/>
                <w:spacing w:val="-4"/>
                <w:highlight w:val="none"/>
              </w:rPr>
              <w:t>21</w:t>
            </w:r>
          </w:p>
        </w:tc>
        <w:tc>
          <w:tcPr>
            <w:tcW w:w="1542" w:type="dxa"/>
            <w:vMerge w:val="restart"/>
            <w:tcBorders>
              <w:bottom w:val="nil"/>
            </w:tcBorders>
          </w:tcPr>
          <w:p w14:paraId="25AAF017">
            <w:pPr>
              <w:pStyle w:val="935"/>
              <w:spacing w:before="67" w:line="220" w:lineRule="auto"/>
              <w:ind w:left="102"/>
              <w:rPr>
                <w:rFonts w:hint="eastAsia"/>
                <w:color w:val="auto"/>
                <w:highlight w:val="none"/>
              </w:rPr>
            </w:pPr>
            <w:r>
              <w:rPr>
                <w:color w:val="auto"/>
                <w:spacing w:val="-1"/>
                <w:highlight w:val="none"/>
              </w:rPr>
              <w:t>A0606</w:t>
            </w:r>
            <w:r>
              <w:rPr>
                <w:color w:val="auto"/>
                <w:spacing w:val="-35"/>
                <w:highlight w:val="none"/>
              </w:rPr>
              <w:t xml:space="preserve"> </w:t>
            </w:r>
            <w:r>
              <w:rPr>
                <w:color w:val="auto"/>
                <w:spacing w:val="-1"/>
                <w:highlight w:val="none"/>
              </w:rPr>
              <w:t>架类</w:t>
            </w:r>
          </w:p>
        </w:tc>
        <w:tc>
          <w:tcPr>
            <w:tcW w:w="2672" w:type="dxa"/>
          </w:tcPr>
          <w:p w14:paraId="29C96126">
            <w:pPr>
              <w:pStyle w:val="935"/>
              <w:spacing w:before="67" w:line="220" w:lineRule="auto"/>
              <w:ind w:left="103"/>
              <w:rPr>
                <w:rFonts w:hint="eastAsia"/>
                <w:color w:val="auto"/>
                <w:highlight w:val="none"/>
              </w:rPr>
            </w:pPr>
            <w:r>
              <w:rPr>
                <w:color w:val="auto"/>
                <w:spacing w:val="-1"/>
                <w:highlight w:val="none"/>
              </w:rPr>
              <w:t>A060601</w:t>
            </w:r>
            <w:r>
              <w:rPr>
                <w:color w:val="auto"/>
                <w:spacing w:val="-33"/>
                <w:highlight w:val="none"/>
              </w:rPr>
              <w:t xml:space="preserve"> </w:t>
            </w:r>
            <w:r>
              <w:rPr>
                <w:color w:val="auto"/>
                <w:spacing w:val="-1"/>
                <w:highlight w:val="none"/>
              </w:rPr>
              <w:t>木质架类</w:t>
            </w:r>
          </w:p>
        </w:tc>
        <w:tc>
          <w:tcPr>
            <w:tcW w:w="2248" w:type="dxa"/>
          </w:tcPr>
          <w:p w14:paraId="2DA0AA86">
            <w:pPr>
              <w:rPr>
                <w:rFonts w:ascii="Arial"/>
                <w:color w:val="auto"/>
                <w:highlight w:val="none"/>
              </w:rPr>
            </w:pPr>
          </w:p>
        </w:tc>
        <w:tc>
          <w:tcPr>
            <w:tcW w:w="3543" w:type="dxa"/>
          </w:tcPr>
          <w:p w14:paraId="07BAA79B">
            <w:pPr>
              <w:pStyle w:val="935"/>
              <w:spacing w:before="67"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43F05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453B1D50">
            <w:pPr>
              <w:rPr>
                <w:rFonts w:ascii="Arial"/>
                <w:color w:val="auto"/>
                <w:highlight w:val="none"/>
              </w:rPr>
            </w:pPr>
          </w:p>
        </w:tc>
        <w:tc>
          <w:tcPr>
            <w:tcW w:w="1542" w:type="dxa"/>
            <w:vMerge w:val="continue"/>
            <w:tcBorders>
              <w:top w:val="nil"/>
            </w:tcBorders>
          </w:tcPr>
          <w:p w14:paraId="07E04E13">
            <w:pPr>
              <w:rPr>
                <w:rFonts w:ascii="Arial"/>
                <w:color w:val="auto"/>
                <w:highlight w:val="none"/>
              </w:rPr>
            </w:pPr>
          </w:p>
        </w:tc>
        <w:tc>
          <w:tcPr>
            <w:tcW w:w="2672" w:type="dxa"/>
          </w:tcPr>
          <w:p w14:paraId="431FD15F">
            <w:pPr>
              <w:pStyle w:val="935"/>
              <w:spacing w:before="67" w:line="220" w:lineRule="auto"/>
              <w:ind w:left="103"/>
              <w:rPr>
                <w:rFonts w:hint="eastAsia"/>
                <w:color w:val="auto"/>
                <w:highlight w:val="none"/>
              </w:rPr>
            </w:pPr>
            <w:r>
              <w:rPr>
                <w:color w:val="auto"/>
                <w:spacing w:val="-1"/>
                <w:highlight w:val="none"/>
              </w:rPr>
              <w:t>A060602</w:t>
            </w:r>
            <w:r>
              <w:rPr>
                <w:color w:val="auto"/>
                <w:spacing w:val="-32"/>
                <w:highlight w:val="none"/>
              </w:rPr>
              <w:t xml:space="preserve"> </w:t>
            </w:r>
            <w:r>
              <w:rPr>
                <w:color w:val="auto"/>
                <w:spacing w:val="-1"/>
                <w:highlight w:val="none"/>
              </w:rPr>
              <w:t>金属质架类</w:t>
            </w:r>
          </w:p>
        </w:tc>
        <w:tc>
          <w:tcPr>
            <w:tcW w:w="2248" w:type="dxa"/>
          </w:tcPr>
          <w:p w14:paraId="36AFF245">
            <w:pPr>
              <w:rPr>
                <w:rFonts w:ascii="Arial"/>
                <w:color w:val="auto"/>
                <w:highlight w:val="none"/>
              </w:rPr>
            </w:pPr>
          </w:p>
        </w:tc>
        <w:tc>
          <w:tcPr>
            <w:tcW w:w="3543" w:type="dxa"/>
          </w:tcPr>
          <w:p w14:paraId="16EE02DB">
            <w:pPr>
              <w:pStyle w:val="935"/>
              <w:spacing w:before="67"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366A7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75722E20">
            <w:pPr>
              <w:pStyle w:val="935"/>
              <w:spacing w:before="96" w:line="183" w:lineRule="auto"/>
              <w:ind w:left="116"/>
              <w:rPr>
                <w:rFonts w:hint="eastAsia"/>
                <w:color w:val="auto"/>
                <w:highlight w:val="none"/>
              </w:rPr>
            </w:pPr>
            <w:r>
              <w:rPr>
                <w:color w:val="auto"/>
                <w:spacing w:val="-4"/>
                <w:highlight w:val="none"/>
              </w:rPr>
              <w:t>22</w:t>
            </w:r>
          </w:p>
        </w:tc>
        <w:tc>
          <w:tcPr>
            <w:tcW w:w="1542" w:type="dxa"/>
            <w:vMerge w:val="restart"/>
            <w:tcBorders>
              <w:bottom w:val="nil"/>
            </w:tcBorders>
          </w:tcPr>
          <w:p w14:paraId="3860710B">
            <w:pPr>
              <w:pStyle w:val="935"/>
              <w:spacing w:before="67" w:line="220" w:lineRule="auto"/>
              <w:ind w:left="102"/>
              <w:rPr>
                <w:rFonts w:hint="eastAsia"/>
                <w:color w:val="auto"/>
                <w:highlight w:val="none"/>
              </w:rPr>
            </w:pPr>
            <w:r>
              <w:rPr>
                <w:color w:val="auto"/>
                <w:spacing w:val="-1"/>
                <w:highlight w:val="none"/>
              </w:rPr>
              <w:t>A0607</w:t>
            </w:r>
            <w:r>
              <w:rPr>
                <w:color w:val="auto"/>
                <w:spacing w:val="-35"/>
                <w:highlight w:val="none"/>
              </w:rPr>
              <w:t xml:space="preserve"> </w:t>
            </w:r>
            <w:r>
              <w:rPr>
                <w:color w:val="auto"/>
                <w:spacing w:val="-1"/>
                <w:highlight w:val="none"/>
              </w:rPr>
              <w:t>屏风类</w:t>
            </w:r>
          </w:p>
        </w:tc>
        <w:tc>
          <w:tcPr>
            <w:tcW w:w="2672" w:type="dxa"/>
          </w:tcPr>
          <w:p w14:paraId="66DD90BB">
            <w:pPr>
              <w:pStyle w:val="935"/>
              <w:spacing w:before="67" w:line="220" w:lineRule="auto"/>
              <w:ind w:left="103"/>
              <w:rPr>
                <w:rFonts w:hint="eastAsia"/>
                <w:color w:val="auto"/>
                <w:highlight w:val="none"/>
              </w:rPr>
            </w:pPr>
            <w:r>
              <w:rPr>
                <w:color w:val="auto"/>
                <w:spacing w:val="-1"/>
                <w:highlight w:val="none"/>
              </w:rPr>
              <w:t>A060701</w:t>
            </w:r>
            <w:r>
              <w:rPr>
                <w:color w:val="auto"/>
                <w:spacing w:val="-33"/>
                <w:highlight w:val="none"/>
              </w:rPr>
              <w:t xml:space="preserve"> </w:t>
            </w:r>
            <w:r>
              <w:rPr>
                <w:color w:val="auto"/>
                <w:spacing w:val="-1"/>
                <w:highlight w:val="none"/>
              </w:rPr>
              <w:t>木质屏风类</w:t>
            </w:r>
          </w:p>
        </w:tc>
        <w:tc>
          <w:tcPr>
            <w:tcW w:w="2248" w:type="dxa"/>
          </w:tcPr>
          <w:p w14:paraId="5D0638B0">
            <w:pPr>
              <w:rPr>
                <w:rFonts w:ascii="Arial"/>
                <w:color w:val="auto"/>
                <w:highlight w:val="none"/>
              </w:rPr>
            </w:pPr>
          </w:p>
        </w:tc>
        <w:tc>
          <w:tcPr>
            <w:tcW w:w="3543" w:type="dxa"/>
          </w:tcPr>
          <w:p w14:paraId="52B9A136">
            <w:pPr>
              <w:pStyle w:val="935"/>
              <w:spacing w:before="67"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1042B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2D4A2299">
            <w:pPr>
              <w:rPr>
                <w:rFonts w:ascii="Arial"/>
                <w:color w:val="auto"/>
                <w:highlight w:val="none"/>
              </w:rPr>
            </w:pPr>
          </w:p>
        </w:tc>
        <w:tc>
          <w:tcPr>
            <w:tcW w:w="1542" w:type="dxa"/>
            <w:vMerge w:val="continue"/>
            <w:tcBorders>
              <w:top w:val="nil"/>
            </w:tcBorders>
          </w:tcPr>
          <w:p w14:paraId="101E1643">
            <w:pPr>
              <w:rPr>
                <w:rFonts w:ascii="Arial"/>
                <w:color w:val="auto"/>
                <w:highlight w:val="none"/>
              </w:rPr>
            </w:pPr>
          </w:p>
        </w:tc>
        <w:tc>
          <w:tcPr>
            <w:tcW w:w="2672" w:type="dxa"/>
          </w:tcPr>
          <w:p w14:paraId="6D48B12C">
            <w:pPr>
              <w:pStyle w:val="935"/>
              <w:spacing w:before="67" w:line="220" w:lineRule="auto"/>
              <w:ind w:left="103"/>
              <w:rPr>
                <w:rFonts w:hint="eastAsia"/>
                <w:color w:val="auto"/>
                <w:highlight w:val="none"/>
              </w:rPr>
            </w:pPr>
            <w:r>
              <w:rPr>
                <w:color w:val="auto"/>
                <w:spacing w:val="-1"/>
                <w:highlight w:val="none"/>
              </w:rPr>
              <w:t>A060702</w:t>
            </w:r>
            <w:r>
              <w:rPr>
                <w:color w:val="auto"/>
                <w:spacing w:val="-32"/>
                <w:highlight w:val="none"/>
              </w:rPr>
              <w:t xml:space="preserve"> </w:t>
            </w:r>
            <w:r>
              <w:rPr>
                <w:color w:val="auto"/>
                <w:spacing w:val="-1"/>
                <w:highlight w:val="none"/>
              </w:rPr>
              <w:t>金属质屏风类</w:t>
            </w:r>
          </w:p>
        </w:tc>
        <w:tc>
          <w:tcPr>
            <w:tcW w:w="2248" w:type="dxa"/>
          </w:tcPr>
          <w:p w14:paraId="18C1E4F7">
            <w:pPr>
              <w:rPr>
                <w:rFonts w:ascii="Arial"/>
                <w:color w:val="auto"/>
                <w:highlight w:val="none"/>
              </w:rPr>
            </w:pPr>
          </w:p>
        </w:tc>
        <w:tc>
          <w:tcPr>
            <w:tcW w:w="3543" w:type="dxa"/>
          </w:tcPr>
          <w:p w14:paraId="6179947F">
            <w:pPr>
              <w:pStyle w:val="935"/>
              <w:spacing w:before="67"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4DF5B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69AF44ED">
            <w:pPr>
              <w:pStyle w:val="935"/>
              <w:spacing w:before="95" w:line="183" w:lineRule="auto"/>
              <w:ind w:left="116"/>
              <w:rPr>
                <w:rFonts w:hint="eastAsia"/>
                <w:color w:val="auto"/>
                <w:highlight w:val="none"/>
              </w:rPr>
            </w:pPr>
            <w:r>
              <w:rPr>
                <w:color w:val="auto"/>
                <w:spacing w:val="-4"/>
                <w:highlight w:val="none"/>
              </w:rPr>
              <w:t>23</w:t>
            </w:r>
          </w:p>
        </w:tc>
        <w:tc>
          <w:tcPr>
            <w:tcW w:w="1542" w:type="dxa"/>
          </w:tcPr>
          <w:p w14:paraId="03F434C8">
            <w:pPr>
              <w:pStyle w:val="935"/>
              <w:spacing w:before="67" w:line="220" w:lineRule="auto"/>
              <w:ind w:left="102"/>
              <w:rPr>
                <w:rFonts w:hint="eastAsia"/>
                <w:color w:val="auto"/>
                <w:highlight w:val="none"/>
              </w:rPr>
            </w:pPr>
            <w:r>
              <w:rPr>
                <w:color w:val="auto"/>
                <w:spacing w:val="-1"/>
                <w:highlight w:val="none"/>
              </w:rPr>
              <w:t>A060804</w:t>
            </w:r>
            <w:r>
              <w:rPr>
                <w:color w:val="auto"/>
                <w:spacing w:val="-32"/>
                <w:highlight w:val="none"/>
              </w:rPr>
              <w:t xml:space="preserve"> </w:t>
            </w:r>
            <w:r>
              <w:rPr>
                <w:color w:val="auto"/>
                <w:spacing w:val="-1"/>
                <w:highlight w:val="none"/>
              </w:rPr>
              <w:t>水池</w:t>
            </w:r>
          </w:p>
        </w:tc>
        <w:tc>
          <w:tcPr>
            <w:tcW w:w="2672" w:type="dxa"/>
          </w:tcPr>
          <w:p w14:paraId="4A9999B9">
            <w:pPr>
              <w:rPr>
                <w:rFonts w:ascii="Arial"/>
                <w:color w:val="auto"/>
                <w:highlight w:val="none"/>
              </w:rPr>
            </w:pPr>
          </w:p>
        </w:tc>
        <w:tc>
          <w:tcPr>
            <w:tcW w:w="2248" w:type="dxa"/>
          </w:tcPr>
          <w:p w14:paraId="01AB2979">
            <w:pPr>
              <w:rPr>
                <w:rFonts w:ascii="Arial"/>
                <w:color w:val="auto"/>
                <w:highlight w:val="none"/>
              </w:rPr>
            </w:pPr>
          </w:p>
        </w:tc>
        <w:tc>
          <w:tcPr>
            <w:tcW w:w="3543" w:type="dxa"/>
          </w:tcPr>
          <w:p w14:paraId="1E62C394">
            <w:pPr>
              <w:pStyle w:val="935"/>
              <w:spacing w:before="66" w:line="219" w:lineRule="auto"/>
              <w:ind w:left="109"/>
              <w:rPr>
                <w:rFonts w:hint="eastAsia"/>
                <w:color w:val="auto"/>
                <w:highlight w:val="none"/>
              </w:rPr>
            </w:pPr>
            <w:r>
              <w:rPr>
                <w:color w:val="auto"/>
                <w:spacing w:val="-1"/>
                <w:highlight w:val="none"/>
              </w:rPr>
              <w:t>HJ/T296</w:t>
            </w:r>
            <w:r>
              <w:rPr>
                <w:color w:val="auto"/>
                <w:spacing w:val="-34"/>
                <w:highlight w:val="none"/>
              </w:rPr>
              <w:t xml:space="preserve"> </w:t>
            </w:r>
            <w:r>
              <w:rPr>
                <w:color w:val="auto"/>
                <w:spacing w:val="-1"/>
                <w:highlight w:val="none"/>
              </w:rPr>
              <w:t>卫生陶瓷</w:t>
            </w:r>
          </w:p>
        </w:tc>
      </w:tr>
      <w:tr w14:paraId="699ED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665C6EB0">
            <w:pPr>
              <w:pStyle w:val="935"/>
              <w:spacing w:before="96" w:line="183" w:lineRule="auto"/>
              <w:ind w:left="116"/>
              <w:rPr>
                <w:rFonts w:hint="eastAsia"/>
                <w:color w:val="auto"/>
                <w:highlight w:val="none"/>
              </w:rPr>
            </w:pPr>
            <w:r>
              <w:rPr>
                <w:color w:val="auto"/>
                <w:spacing w:val="-4"/>
                <w:highlight w:val="none"/>
              </w:rPr>
              <w:t>24</w:t>
            </w:r>
          </w:p>
        </w:tc>
        <w:tc>
          <w:tcPr>
            <w:tcW w:w="1542" w:type="dxa"/>
          </w:tcPr>
          <w:p w14:paraId="030F48CE">
            <w:pPr>
              <w:pStyle w:val="935"/>
              <w:spacing w:before="67" w:line="220" w:lineRule="auto"/>
              <w:ind w:left="102"/>
              <w:rPr>
                <w:rFonts w:hint="eastAsia"/>
                <w:color w:val="auto"/>
                <w:highlight w:val="none"/>
              </w:rPr>
            </w:pPr>
            <w:r>
              <w:rPr>
                <w:color w:val="auto"/>
                <w:spacing w:val="-1"/>
                <w:highlight w:val="none"/>
              </w:rPr>
              <w:t>A060805</w:t>
            </w:r>
            <w:r>
              <w:rPr>
                <w:color w:val="auto"/>
                <w:spacing w:val="-33"/>
                <w:highlight w:val="none"/>
              </w:rPr>
              <w:t xml:space="preserve"> </w:t>
            </w:r>
            <w:r>
              <w:rPr>
                <w:color w:val="auto"/>
                <w:spacing w:val="-1"/>
                <w:highlight w:val="none"/>
              </w:rPr>
              <w:t>便器</w:t>
            </w:r>
          </w:p>
        </w:tc>
        <w:tc>
          <w:tcPr>
            <w:tcW w:w="2672" w:type="dxa"/>
          </w:tcPr>
          <w:p w14:paraId="7C68CBC4">
            <w:pPr>
              <w:rPr>
                <w:rFonts w:ascii="Arial"/>
                <w:color w:val="auto"/>
                <w:highlight w:val="none"/>
              </w:rPr>
            </w:pPr>
          </w:p>
        </w:tc>
        <w:tc>
          <w:tcPr>
            <w:tcW w:w="2248" w:type="dxa"/>
          </w:tcPr>
          <w:p w14:paraId="5B5E229A">
            <w:pPr>
              <w:rPr>
                <w:rFonts w:ascii="Arial"/>
                <w:color w:val="auto"/>
                <w:highlight w:val="none"/>
              </w:rPr>
            </w:pPr>
          </w:p>
        </w:tc>
        <w:tc>
          <w:tcPr>
            <w:tcW w:w="3543" w:type="dxa"/>
          </w:tcPr>
          <w:p w14:paraId="45625D37">
            <w:pPr>
              <w:pStyle w:val="935"/>
              <w:spacing w:before="67" w:line="219" w:lineRule="auto"/>
              <w:ind w:left="109"/>
              <w:rPr>
                <w:rFonts w:hint="eastAsia"/>
                <w:color w:val="auto"/>
                <w:highlight w:val="none"/>
              </w:rPr>
            </w:pPr>
            <w:r>
              <w:rPr>
                <w:color w:val="auto"/>
                <w:spacing w:val="-1"/>
                <w:highlight w:val="none"/>
              </w:rPr>
              <w:t>HJ/T296</w:t>
            </w:r>
            <w:r>
              <w:rPr>
                <w:color w:val="auto"/>
                <w:spacing w:val="-34"/>
                <w:highlight w:val="none"/>
              </w:rPr>
              <w:t xml:space="preserve"> </w:t>
            </w:r>
            <w:r>
              <w:rPr>
                <w:color w:val="auto"/>
                <w:spacing w:val="-1"/>
                <w:highlight w:val="none"/>
              </w:rPr>
              <w:t>卫生陶瓷</w:t>
            </w:r>
          </w:p>
        </w:tc>
      </w:tr>
      <w:tr w14:paraId="502A47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0D9F9B6C">
            <w:pPr>
              <w:pStyle w:val="935"/>
              <w:spacing w:before="96" w:line="183" w:lineRule="auto"/>
              <w:ind w:left="116"/>
              <w:rPr>
                <w:rFonts w:hint="eastAsia"/>
                <w:color w:val="auto"/>
                <w:highlight w:val="none"/>
              </w:rPr>
            </w:pPr>
            <w:r>
              <w:rPr>
                <w:color w:val="auto"/>
                <w:spacing w:val="-4"/>
                <w:highlight w:val="none"/>
              </w:rPr>
              <w:t>25</w:t>
            </w:r>
          </w:p>
        </w:tc>
        <w:tc>
          <w:tcPr>
            <w:tcW w:w="1542" w:type="dxa"/>
          </w:tcPr>
          <w:p w14:paraId="3F1A4484">
            <w:pPr>
              <w:pStyle w:val="935"/>
              <w:spacing w:before="67" w:line="220" w:lineRule="auto"/>
              <w:ind w:left="102"/>
              <w:rPr>
                <w:rFonts w:hint="eastAsia"/>
                <w:color w:val="auto"/>
                <w:highlight w:val="none"/>
              </w:rPr>
            </w:pPr>
            <w:r>
              <w:rPr>
                <w:color w:val="auto"/>
                <w:spacing w:val="-1"/>
                <w:highlight w:val="none"/>
              </w:rPr>
              <w:t>A060806</w:t>
            </w:r>
            <w:r>
              <w:rPr>
                <w:color w:val="auto"/>
                <w:spacing w:val="-32"/>
                <w:highlight w:val="none"/>
              </w:rPr>
              <w:t xml:space="preserve"> </w:t>
            </w:r>
            <w:r>
              <w:rPr>
                <w:color w:val="auto"/>
                <w:spacing w:val="-1"/>
                <w:highlight w:val="none"/>
              </w:rPr>
              <w:t>水嘴</w:t>
            </w:r>
          </w:p>
        </w:tc>
        <w:tc>
          <w:tcPr>
            <w:tcW w:w="2672" w:type="dxa"/>
          </w:tcPr>
          <w:p w14:paraId="6DC36453">
            <w:pPr>
              <w:rPr>
                <w:rFonts w:ascii="Arial"/>
                <w:color w:val="auto"/>
                <w:highlight w:val="none"/>
              </w:rPr>
            </w:pPr>
          </w:p>
        </w:tc>
        <w:tc>
          <w:tcPr>
            <w:tcW w:w="2248" w:type="dxa"/>
          </w:tcPr>
          <w:p w14:paraId="7BECC553">
            <w:pPr>
              <w:rPr>
                <w:rFonts w:ascii="Arial"/>
                <w:color w:val="auto"/>
                <w:highlight w:val="none"/>
              </w:rPr>
            </w:pPr>
          </w:p>
        </w:tc>
        <w:tc>
          <w:tcPr>
            <w:tcW w:w="3543" w:type="dxa"/>
          </w:tcPr>
          <w:p w14:paraId="455B070D">
            <w:pPr>
              <w:pStyle w:val="935"/>
              <w:spacing w:before="67" w:line="219" w:lineRule="auto"/>
              <w:ind w:left="109"/>
              <w:rPr>
                <w:rFonts w:hint="eastAsia"/>
                <w:color w:val="auto"/>
                <w:highlight w:val="none"/>
              </w:rPr>
            </w:pPr>
            <w:r>
              <w:rPr>
                <w:color w:val="auto"/>
                <w:spacing w:val="-1"/>
                <w:highlight w:val="none"/>
              </w:rPr>
              <w:t>HJ/T411</w:t>
            </w:r>
            <w:r>
              <w:rPr>
                <w:color w:val="auto"/>
                <w:spacing w:val="-34"/>
                <w:highlight w:val="none"/>
              </w:rPr>
              <w:t xml:space="preserve"> </w:t>
            </w:r>
            <w:r>
              <w:rPr>
                <w:color w:val="auto"/>
                <w:spacing w:val="-1"/>
                <w:highlight w:val="none"/>
              </w:rPr>
              <w:t>水嘴</w:t>
            </w:r>
          </w:p>
        </w:tc>
      </w:tr>
      <w:tr w14:paraId="43486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01181BE3">
            <w:pPr>
              <w:pStyle w:val="935"/>
              <w:spacing w:before="95" w:line="183" w:lineRule="auto"/>
              <w:ind w:left="116"/>
              <w:rPr>
                <w:rFonts w:hint="eastAsia"/>
                <w:color w:val="auto"/>
                <w:highlight w:val="none"/>
              </w:rPr>
            </w:pPr>
            <w:r>
              <w:rPr>
                <w:color w:val="auto"/>
                <w:spacing w:val="-4"/>
                <w:highlight w:val="none"/>
              </w:rPr>
              <w:t>26</w:t>
            </w:r>
          </w:p>
        </w:tc>
        <w:tc>
          <w:tcPr>
            <w:tcW w:w="1542" w:type="dxa"/>
          </w:tcPr>
          <w:p w14:paraId="14F293AE">
            <w:pPr>
              <w:pStyle w:val="935"/>
              <w:spacing w:before="67" w:line="221" w:lineRule="auto"/>
              <w:ind w:left="102"/>
              <w:rPr>
                <w:rFonts w:hint="eastAsia"/>
                <w:color w:val="auto"/>
                <w:highlight w:val="none"/>
              </w:rPr>
            </w:pPr>
            <w:r>
              <w:rPr>
                <w:color w:val="auto"/>
                <w:spacing w:val="-1"/>
                <w:highlight w:val="none"/>
              </w:rPr>
              <w:t>A0609</w:t>
            </w:r>
            <w:r>
              <w:rPr>
                <w:color w:val="auto"/>
                <w:spacing w:val="-34"/>
                <w:highlight w:val="none"/>
              </w:rPr>
              <w:t xml:space="preserve"> </w:t>
            </w:r>
            <w:r>
              <w:rPr>
                <w:color w:val="auto"/>
                <w:spacing w:val="-1"/>
                <w:highlight w:val="none"/>
              </w:rPr>
              <w:t>组合家具</w:t>
            </w:r>
          </w:p>
        </w:tc>
        <w:tc>
          <w:tcPr>
            <w:tcW w:w="2672" w:type="dxa"/>
          </w:tcPr>
          <w:p w14:paraId="3918473D">
            <w:pPr>
              <w:rPr>
                <w:rFonts w:ascii="Arial"/>
                <w:color w:val="auto"/>
                <w:highlight w:val="none"/>
              </w:rPr>
            </w:pPr>
          </w:p>
        </w:tc>
        <w:tc>
          <w:tcPr>
            <w:tcW w:w="2248" w:type="dxa"/>
          </w:tcPr>
          <w:p w14:paraId="7371CA02">
            <w:pPr>
              <w:rPr>
                <w:rFonts w:ascii="Arial"/>
                <w:color w:val="auto"/>
                <w:highlight w:val="none"/>
              </w:rPr>
            </w:pPr>
          </w:p>
        </w:tc>
        <w:tc>
          <w:tcPr>
            <w:tcW w:w="3543" w:type="dxa"/>
          </w:tcPr>
          <w:p w14:paraId="6F5FA4F6">
            <w:pPr>
              <w:pStyle w:val="935"/>
              <w:spacing w:before="67"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582FE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4B1D5819">
            <w:pPr>
              <w:pStyle w:val="935"/>
              <w:spacing w:before="96" w:line="183" w:lineRule="auto"/>
              <w:ind w:left="116"/>
              <w:rPr>
                <w:rFonts w:hint="eastAsia"/>
                <w:color w:val="auto"/>
                <w:highlight w:val="none"/>
              </w:rPr>
            </w:pPr>
            <w:r>
              <w:rPr>
                <w:color w:val="auto"/>
                <w:spacing w:val="-4"/>
                <w:highlight w:val="none"/>
              </w:rPr>
              <w:t>27</w:t>
            </w:r>
          </w:p>
        </w:tc>
        <w:tc>
          <w:tcPr>
            <w:tcW w:w="1542" w:type="dxa"/>
          </w:tcPr>
          <w:p w14:paraId="3FC99EEF">
            <w:pPr>
              <w:pStyle w:val="935"/>
              <w:spacing w:before="68" w:line="282" w:lineRule="auto"/>
              <w:ind w:left="108" w:right="106" w:hanging="6"/>
              <w:rPr>
                <w:rFonts w:hint="eastAsia"/>
                <w:color w:val="auto"/>
                <w:highlight w:val="none"/>
              </w:rPr>
            </w:pPr>
            <w:r>
              <w:rPr>
                <w:color w:val="auto"/>
                <w:spacing w:val="4"/>
                <w:highlight w:val="none"/>
              </w:rPr>
              <w:t>A0610</w:t>
            </w:r>
            <w:r>
              <w:rPr>
                <w:color w:val="auto"/>
                <w:spacing w:val="31"/>
                <w:highlight w:val="none"/>
              </w:rPr>
              <w:t xml:space="preserve"> </w:t>
            </w:r>
            <w:r>
              <w:rPr>
                <w:color w:val="auto"/>
                <w:spacing w:val="4"/>
                <w:highlight w:val="none"/>
              </w:rPr>
              <w:t>家用家具</w:t>
            </w:r>
            <w:r>
              <w:rPr>
                <w:color w:val="auto"/>
                <w:spacing w:val="-2"/>
                <w:highlight w:val="none"/>
              </w:rPr>
              <w:t>零配件</w:t>
            </w:r>
          </w:p>
        </w:tc>
        <w:tc>
          <w:tcPr>
            <w:tcW w:w="2672" w:type="dxa"/>
          </w:tcPr>
          <w:p w14:paraId="34E30739">
            <w:pPr>
              <w:rPr>
                <w:rFonts w:ascii="Arial"/>
                <w:color w:val="auto"/>
                <w:highlight w:val="none"/>
              </w:rPr>
            </w:pPr>
          </w:p>
        </w:tc>
        <w:tc>
          <w:tcPr>
            <w:tcW w:w="2248" w:type="dxa"/>
          </w:tcPr>
          <w:p w14:paraId="0498EBBB">
            <w:pPr>
              <w:rPr>
                <w:rFonts w:ascii="Arial"/>
                <w:color w:val="auto"/>
                <w:highlight w:val="none"/>
              </w:rPr>
            </w:pPr>
          </w:p>
        </w:tc>
        <w:tc>
          <w:tcPr>
            <w:tcW w:w="3543" w:type="dxa"/>
          </w:tcPr>
          <w:p w14:paraId="79980620">
            <w:pPr>
              <w:pStyle w:val="935"/>
              <w:spacing w:before="67"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3C94B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tcPr>
          <w:p w14:paraId="407F4F25">
            <w:pPr>
              <w:pStyle w:val="935"/>
              <w:spacing w:before="99" w:line="183" w:lineRule="auto"/>
              <w:ind w:left="116"/>
              <w:rPr>
                <w:rFonts w:hint="eastAsia"/>
                <w:color w:val="auto"/>
                <w:highlight w:val="none"/>
              </w:rPr>
            </w:pPr>
            <w:r>
              <w:rPr>
                <w:color w:val="auto"/>
                <w:spacing w:val="-4"/>
                <w:highlight w:val="none"/>
              </w:rPr>
              <w:t>28</w:t>
            </w:r>
          </w:p>
        </w:tc>
        <w:tc>
          <w:tcPr>
            <w:tcW w:w="1542" w:type="dxa"/>
          </w:tcPr>
          <w:p w14:paraId="6F0C0BEA">
            <w:pPr>
              <w:pStyle w:val="935"/>
              <w:spacing w:before="71" w:line="282" w:lineRule="auto"/>
              <w:ind w:left="109" w:right="106" w:hanging="7"/>
              <w:rPr>
                <w:rFonts w:hint="eastAsia"/>
                <w:color w:val="auto"/>
                <w:highlight w:val="none"/>
              </w:rPr>
            </w:pPr>
            <w:r>
              <w:rPr>
                <w:color w:val="auto"/>
                <w:spacing w:val="4"/>
                <w:highlight w:val="none"/>
              </w:rPr>
              <w:t>A0699</w:t>
            </w:r>
            <w:r>
              <w:rPr>
                <w:color w:val="auto"/>
                <w:spacing w:val="31"/>
                <w:highlight w:val="none"/>
              </w:rPr>
              <w:t xml:space="preserve"> </w:t>
            </w:r>
            <w:r>
              <w:rPr>
                <w:color w:val="auto"/>
                <w:spacing w:val="4"/>
                <w:highlight w:val="none"/>
              </w:rPr>
              <w:t>其他家具</w:t>
            </w:r>
            <w:r>
              <w:rPr>
                <w:color w:val="auto"/>
                <w:spacing w:val="-3"/>
                <w:highlight w:val="none"/>
              </w:rPr>
              <w:t>用具</w:t>
            </w:r>
          </w:p>
        </w:tc>
        <w:tc>
          <w:tcPr>
            <w:tcW w:w="2672" w:type="dxa"/>
          </w:tcPr>
          <w:p w14:paraId="3C32092B">
            <w:pPr>
              <w:rPr>
                <w:rFonts w:ascii="Arial"/>
                <w:color w:val="auto"/>
                <w:highlight w:val="none"/>
              </w:rPr>
            </w:pPr>
          </w:p>
        </w:tc>
        <w:tc>
          <w:tcPr>
            <w:tcW w:w="2248" w:type="dxa"/>
          </w:tcPr>
          <w:p w14:paraId="66968585">
            <w:pPr>
              <w:rPr>
                <w:rFonts w:ascii="Arial"/>
                <w:color w:val="auto"/>
                <w:highlight w:val="none"/>
              </w:rPr>
            </w:pPr>
          </w:p>
        </w:tc>
        <w:tc>
          <w:tcPr>
            <w:tcW w:w="3543" w:type="dxa"/>
          </w:tcPr>
          <w:p w14:paraId="378D236C">
            <w:pPr>
              <w:pStyle w:val="935"/>
              <w:spacing w:before="70" w:line="219" w:lineRule="auto"/>
              <w:ind w:left="109"/>
              <w:rPr>
                <w:rFonts w:hint="eastAsia"/>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1AAA2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2FB6804D">
            <w:pPr>
              <w:pStyle w:val="935"/>
              <w:spacing w:before="96" w:line="183" w:lineRule="auto"/>
              <w:ind w:left="116"/>
              <w:rPr>
                <w:rFonts w:hint="eastAsia"/>
                <w:color w:val="auto"/>
                <w:highlight w:val="none"/>
              </w:rPr>
            </w:pPr>
            <w:r>
              <w:rPr>
                <w:color w:val="auto"/>
                <w:spacing w:val="-4"/>
                <w:highlight w:val="none"/>
              </w:rPr>
              <w:t>29</w:t>
            </w:r>
          </w:p>
        </w:tc>
        <w:tc>
          <w:tcPr>
            <w:tcW w:w="1542" w:type="dxa"/>
          </w:tcPr>
          <w:p w14:paraId="0764E52A">
            <w:pPr>
              <w:pStyle w:val="935"/>
              <w:spacing w:before="69" w:line="284" w:lineRule="auto"/>
              <w:ind w:left="111" w:right="106" w:hanging="9"/>
              <w:rPr>
                <w:rFonts w:hint="eastAsia"/>
                <w:color w:val="auto"/>
                <w:highlight w:val="none"/>
              </w:rPr>
            </w:pPr>
            <w:r>
              <w:rPr>
                <w:color w:val="auto"/>
                <w:spacing w:val="-7"/>
                <w:highlight w:val="none"/>
              </w:rPr>
              <w:t>A070101</w:t>
            </w:r>
            <w:r>
              <w:rPr>
                <w:color w:val="auto"/>
                <w:spacing w:val="-36"/>
                <w:highlight w:val="none"/>
              </w:rPr>
              <w:t xml:space="preserve"> </w:t>
            </w:r>
            <w:r>
              <w:rPr>
                <w:color w:val="auto"/>
                <w:spacing w:val="-7"/>
                <w:highlight w:val="none"/>
              </w:rPr>
              <w:t>棉、化纤</w:t>
            </w:r>
            <w:r>
              <w:rPr>
                <w:color w:val="auto"/>
                <w:highlight w:val="none"/>
              </w:rPr>
              <w:t xml:space="preserve"> </w:t>
            </w:r>
            <w:r>
              <w:rPr>
                <w:color w:val="auto"/>
                <w:spacing w:val="-2"/>
                <w:highlight w:val="none"/>
              </w:rPr>
              <w:t>纺织及印染原料</w:t>
            </w:r>
          </w:p>
        </w:tc>
        <w:tc>
          <w:tcPr>
            <w:tcW w:w="2672" w:type="dxa"/>
          </w:tcPr>
          <w:p w14:paraId="44B831E8">
            <w:pPr>
              <w:rPr>
                <w:rFonts w:ascii="Arial"/>
                <w:color w:val="auto"/>
                <w:highlight w:val="none"/>
              </w:rPr>
            </w:pPr>
          </w:p>
        </w:tc>
        <w:tc>
          <w:tcPr>
            <w:tcW w:w="2248" w:type="dxa"/>
          </w:tcPr>
          <w:p w14:paraId="695F6D37">
            <w:pPr>
              <w:rPr>
                <w:rFonts w:ascii="Arial"/>
                <w:color w:val="auto"/>
                <w:highlight w:val="none"/>
              </w:rPr>
            </w:pPr>
          </w:p>
        </w:tc>
        <w:tc>
          <w:tcPr>
            <w:tcW w:w="3543" w:type="dxa"/>
          </w:tcPr>
          <w:p w14:paraId="0CEDD251">
            <w:pPr>
              <w:pStyle w:val="935"/>
              <w:spacing w:before="67" w:line="219" w:lineRule="auto"/>
              <w:ind w:left="109"/>
              <w:rPr>
                <w:rFonts w:hint="eastAsia"/>
                <w:color w:val="auto"/>
                <w:highlight w:val="none"/>
              </w:rPr>
            </w:pPr>
            <w:r>
              <w:rPr>
                <w:color w:val="auto"/>
                <w:spacing w:val="-1"/>
                <w:highlight w:val="none"/>
              </w:rPr>
              <w:t>HJ2546</w:t>
            </w:r>
            <w:r>
              <w:rPr>
                <w:color w:val="auto"/>
                <w:spacing w:val="-34"/>
                <w:highlight w:val="none"/>
              </w:rPr>
              <w:t xml:space="preserve"> </w:t>
            </w:r>
            <w:r>
              <w:rPr>
                <w:color w:val="auto"/>
                <w:spacing w:val="-1"/>
                <w:highlight w:val="none"/>
              </w:rPr>
              <w:t>纺织产品</w:t>
            </w:r>
          </w:p>
        </w:tc>
      </w:tr>
      <w:tr w14:paraId="5E5F6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83" w:type="dxa"/>
          </w:tcPr>
          <w:p w14:paraId="0BA050E3">
            <w:pPr>
              <w:pStyle w:val="935"/>
              <w:spacing w:before="96" w:line="183" w:lineRule="auto"/>
              <w:ind w:left="118"/>
              <w:rPr>
                <w:rFonts w:hint="eastAsia"/>
                <w:color w:val="auto"/>
                <w:highlight w:val="none"/>
              </w:rPr>
            </w:pPr>
            <w:r>
              <w:rPr>
                <w:color w:val="auto"/>
                <w:spacing w:val="-5"/>
                <w:highlight w:val="none"/>
              </w:rPr>
              <w:t>30</w:t>
            </w:r>
          </w:p>
        </w:tc>
        <w:tc>
          <w:tcPr>
            <w:tcW w:w="1542" w:type="dxa"/>
          </w:tcPr>
          <w:p w14:paraId="204BCA57">
            <w:pPr>
              <w:pStyle w:val="935"/>
              <w:spacing w:before="69" w:line="296" w:lineRule="auto"/>
              <w:ind w:left="109" w:right="106" w:hanging="7"/>
              <w:rPr>
                <w:rFonts w:hint="eastAsia"/>
                <w:color w:val="auto"/>
                <w:highlight w:val="none"/>
              </w:rPr>
            </w:pPr>
            <w:r>
              <w:rPr>
                <w:color w:val="auto"/>
                <w:spacing w:val="-2"/>
                <w:highlight w:val="none"/>
              </w:rPr>
              <w:t>A090101</w:t>
            </w:r>
            <w:r>
              <w:rPr>
                <w:color w:val="auto"/>
                <w:spacing w:val="42"/>
                <w:highlight w:val="none"/>
              </w:rPr>
              <w:t xml:space="preserve"> </w:t>
            </w:r>
            <w:r>
              <w:rPr>
                <w:color w:val="auto"/>
                <w:spacing w:val="-2"/>
                <w:highlight w:val="none"/>
              </w:rPr>
              <w:t>复</w:t>
            </w:r>
            <w:r>
              <w:rPr>
                <w:color w:val="auto"/>
                <w:spacing w:val="-48"/>
                <w:highlight w:val="none"/>
              </w:rPr>
              <w:t xml:space="preserve"> </w:t>
            </w:r>
            <w:r>
              <w:rPr>
                <w:color w:val="auto"/>
                <w:spacing w:val="-2"/>
                <w:highlight w:val="none"/>
              </w:rPr>
              <w:t>印纸</w:t>
            </w:r>
            <w:r>
              <w:rPr>
                <w:color w:val="auto"/>
                <w:highlight w:val="none"/>
              </w:rPr>
              <w:t xml:space="preserve"> </w:t>
            </w:r>
            <w:r>
              <w:rPr>
                <w:color w:val="auto"/>
                <w:spacing w:val="8"/>
                <w:highlight w:val="none"/>
              </w:rPr>
              <w:t>（包括再生复印</w:t>
            </w:r>
            <w:r>
              <w:rPr>
                <w:color w:val="auto"/>
                <w:spacing w:val="4"/>
                <w:highlight w:val="none"/>
              </w:rPr>
              <w:t xml:space="preserve"> </w:t>
            </w:r>
            <w:r>
              <w:rPr>
                <w:color w:val="auto"/>
                <w:spacing w:val="-5"/>
                <w:highlight w:val="none"/>
              </w:rPr>
              <w:t>纸）</w:t>
            </w:r>
          </w:p>
        </w:tc>
        <w:tc>
          <w:tcPr>
            <w:tcW w:w="2672" w:type="dxa"/>
          </w:tcPr>
          <w:p w14:paraId="169E3616">
            <w:pPr>
              <w:rPr>
                <w:rFonts w:ascii="Arial"/>
                <w:color w:val="auto"/>
                <w:highlight w:val="none"/>
              </w:rPr>
            </w:pPr>
          </w:p>
        </w:tc>
        <w:tc>
          <w:tcPr>
            <w:tcW w:w="2248" w:type="dxa"/>
          </w:tcPr>
          <w:p w14:paraId="4E8DB299">
            <w:pPr>
              <w:rPr>
                <w:rFonts w:ascii="Arial"/>
                <w:color w:val="auto"/>
                <w:highlight w:val="none"/>
              </w:rPr>
            </w:pPr>
          </w:p>
        </w:tc>
        <w:tc>
          <w:tcPr>
            <w:tcW w:w="3543" w:type="dxa"/>
          </w:tcPr>
          <w:p w14:paraId="2D0971CC">
            <w:pPr>
              <w:pStyle w:val="935"/>
              <w:spacing w:before="67" w:line="219" w:lineRule="auto"/>
              <w:ind w:left="109"/>
              <w:rPr>
                <w:rFonts w:hint="eastAsia"/>
                <w:color w:val="auto"/>
                <w:highlight w:val="none"/>
              </w:rPr>
            </w:pPr>
            <w:r>
              <w:rPr>
                <w:color w:val="auto"/>
                <w:spacing w:val="-2"/>
                <w:highlight w:val="none"/>
              </w:rPr>
              <w:t>HJ410</w:t>
            </w:r>
            <w:r>
              <w:rPr>
                <w:color w:val="auto"/>
                <w:spacing w:val="-27"/>
                <w:highlight w:val="none"/>
              </w:rPr>
              <w:t xml:space="preserve"> </w:t>
            </w:r>
            <w:r>
              <w:rPr>
                <w:color w:val="auto"/>
                <w:spacing w:val="-2"/>
                <w:highlight w:val="none"/>
              </w:rPr>
              <w:t>文化用纸</w:t>
            </w:r>
          </w:p>
        </w:tc>
      </w:tr>
      <w:tr w14:paraId="6F053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14:paraId="0DEF6821">
            <w:pPr>
              <w:pStyle w:val="935"/>
              <w:spacing w:before="91" w:line="184" w:lineRule="auto"/>
              <w:ind w:left="118"/>
              <w:rPr>
                <w:rFonts w:hint="eastAsia"/>
                <w:color w:val="auto"/>
                <w:highlight w:val="none"/>
              </w:rPr>
            </w:pPr>
            <w:r>
              <w:rPr>
                <w:color w:val="auto"/>
                <w:spacing w:val="-5"/>
                <w:highlight w:val="none"/>
              </w:rPr>
              <w:t>31</w:t>
            </w:r>
          </w:p>
        </w:tc>
        <w:tc>
          <w:tcPr>
            <w:tcW w:w="1542" w:type="dxa"/>
          </w:tcPr>
          <w:p w14:paraId="347A63B9">
            <w:pPr>
              <w:pStyle w:val="935"/>
              <w:spacing w:before="64" w:line="296" w:lineRule="auto"/>
              <w:ind w:left="109" w:right="106" w:hanging="7"/>
              <w:rPr>
                <w:rFonts w:hint="eastAsia"/>
                <w:color w:val="auto"/>
                <w:highlight w:val="none"/>
              </w:rPr>
            </w:pPr>
            <w:r>
              <w:rPr>
                <w:color w:val="auto"/>
                <w:spacing w:val="3"/>
                <w:highlight w:val="none"/>
              </w:rPr>
              <w:t>A090201</w:t>
            </w:r>
            <w:r>
              <w:rPr>
                <w:color w:val="auto"/>
                <w:spacing w:val="34"/>
                <w:highlight w:val="none"/>
              </w:rPr>
              <w:t xml:space="preserve"> </w:t>
            </w:r>
            <w:r>
              <w:rPr>
                <w:color w:val="auto"/>
                <w:spacing w:val="3"/>
                <w:highlight w:val="none"/>
              </w:rPr>
              <w:t>鼓粉盒</w:t>
            </w:r>
            <w:r>
              <w:rPr>
                <w:color w:val="auto"/>
                <w:highlight w:val="none"/>
              </w:rPr>
              <w:t xml:space="preserve"> </w:t>
            </w:r>
            <w:r>
              <w:rPr>
                <w:color w:val="auto"/>
                <w:spacing w:val="8"/>
                <w:highlight w:val="none"/>
              </w:rPr>
              <w:t>（包括再生鼓粉</w:t>
            </w:r>
            <w:r>
              <w:rPr>
                <w:color w:val="auto"/>
                <w:spacing w:val="4"/>
                <w:highlight w:val="none"/>
              </w:rPr>
              <w:t xml:space="preserve"> </w:t>
            </w:r>
            <w:r>
              <w:rPr>
                <w:color w:val="auto"/>
                <w:spacing w:val="-5"/>
                <w:highlight w:val="none"/>
              </w:rPr>
              <w:t>盒）</w:t>
            </w:r>
          </w:p>
        </w:tc>
        <w:tc>
          <w:tcPr>
            <w:tcW w:w="2672" w:type="dxa"/>
          </w:tcPr>
          <w:p w14:paraId="565090B7">
            <w:pPr>
              <w:rPr>
                <w:rFonts w:ascii="Arial"/>
                <w:color w:val="auto"/>
                <w:highlight w:val="none"/>
              </w:rPr>
            </w:pPr>
          </w:p>
        </w:tc>
        <w:tc>
          <w:tcPr>
            <w:tcW w:w="2248" w:type="dxa"/>
          </w:tcPr>
          <w:p w14:paraId="6BCC9485">
            <w:pPr>
              <w:rPr>
                <w:rFonts w:ascii="Arial"/>
                <w:color w:val="auto"/>
                <w:highlight w:val="none"/>
              </w:rPr>
            </w:pPr>
          </w:p>
        </w:tc>
        <w:tc>
          <w:tcPr>
            <w:tcW w:w="3543" w:type="dxa"/>
          </w:tcPr>
          <w:p w14:paraId="226A9C91">
            <w:pPr>
              <w:pStyle w:val="935"/>
              <w:spacing w:before="63" w:line="219" w:lineRule="auto"/>
              <w:ind w:left="109"/>
              <w:rPr>
                <w:rFonts w:hint="eastAsia"/>
                <w:color w:val="auto"/>
                <w:highlight w:val="none"/>
              </w:rPr>
            </w:pPr>
            <w:r>
              <w:rPr>
                <w:color w:val="auto"/>
                <w:spacing w:val="-1"/>
                <w:highlight w:val="none"/>
              </w:rPr>
              <w:t>HJ/T413</w:t>
            </w:r>
            <w:r>
              <w:rPr>
                <w:color w:val="auto"/>
                <w:spacing w:val="-34"/>
                <w:highlight w:val="none"/>
              </w:rPr>
              <w:t xml:space="preserve"> </w:t>
            </w:r>
            <w:r>
              <w:rPr>
                <w:color w:val="auto"/>
                <w:spacing w:val="-1"/>
                <w:highlight w:val="none"/>
              </w:rPr>
              <w:t>再生鼓粉盒</w:t>
            </w:r>
          </w:p>
        </w:tc>
      </w:tr>
      <w:tr w14:paraId="43C22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83" w:type="dxa"/>
            <w:vMerge w:val="restart"/>
            <w:tcBorders>
              <w:bottom w:val="nil"/>
            </w:tcBorders>
          </w:tcPr>
          <w:p w14:paraId="35107614">
            <w:pPr>
              <w:pStyle w:val="935"/>
              <w:spacing w:before="93" w:line="183" w:lineRule="auto"/>
              <w:ind w:left="118"/>
              <w:rPr>
                <w:rFonts w:hint="eastAsia"/>
                <w:color w:val="auto"/>
                <w:highlight w:val="none"/>
              </w:rPr>
            </w:pPr>
            <w:r>
              <w:rPr>
                <w:color w:val="auto"/>
                <w:spacing w:val="-5"/>
                <w:highlight w:val="none"/>
              </w:rPr>
              <w:t>32</w:t>
            </w:r>
          </w:p>
        </w:tc>
        <w:tc>
          <w:tcPr>
            <w:tcW w:w="1542" w:type="dxa"/>
            <w:vMerge w:val="restart"/>
            <w:tcBorders>
              <w:bottom w:val="nil"/>
            </w:tcBorders>
          </w:tcPr>
          <w:p w14:paraId="538EA8B8">
            <w:pPr>
              <w:pStyle w:val="935"/>
              <w:spacing w:before="64" w:line="219" w:lineRule="auto"/>
              <w:ind w:left="102"/>
              <w:rPr>
                <w:rFonts w:hint="eastAsia"/>
                <w:color w:val="auto"/>
                <w:highlight w:val="none"/>
              </w:rPr>
            </w:pPr>
            <w:r>
              <w:rPr>
                <w:color w:val="auto"/>
                <w:spacing w:val="-1"/>
                <w:highlight w:val="none"/>
              </w:rPr>
              <w:t>A100203</w:t>
            </w:r>
            <w:r>
              <w:rPr>
                <w:color w:val="auto"/>
                <w:spacing w:val="-33"/>
                <w:highlight w:val="none"/>
              </w:rPr>
              <w:t xml:space="preserve"> </w:t>
            </w:r>
            <w:r>
              <w:rPr>
                <w:color w:val="auto"/>
                <w:spacing w:val="-1"/>
                <w:highlight w:val="none"/>
              </w:rPr>
              <w:t>人造板</w:t>
            </w:r>
          </w:p>
        </w:tc>
        <w:tc>
          <w:tcPr>
            <w:tcW w:w="2672" w:type="dxa"/>
          </w:tcPr>
          <w:p w14:paraId="22EB7150">
            <w:pPr>
              <w:pStyle w:val="935"/>
              <w:spacing w:before="64" w:line="219" w:lineRule="auto"/>
              <w:ind w:left="103"/>
              <w:rPr>
                <w:rFonts w:hint="eastAsia"/>
                <w:color w:val="auto"/>
                <w:highlight w:val="none"/>
              </w:rPr>
            </w:pPr>
            <w:r>
              <w:rPr>
                <w:color w:val="auto"/>
                <w:spacing w:val="-1"/>
                <w:highlight w:val="none"/>
              </w:rPr>
              <w:t>A10020301</w:t>
            </w:r>
            <w:r>
              <w:rPr>
                <w:color w:val="auto"/>
                <w:spacing w:val="-32"/>
                <w:highlight w:val="none"/>
              </w:rPr>
              <w:t xml:space="preserve"> </w:t>
            </w:r>
            <w:r>
              <w:rPr>
                <w:color w:val="auto"/>
                <w:spacing w:val="-1"/>
                <w:highlight w:val="none"/>
              </w:rPr>
              <w:t>胶合板</w:t>
            </w:r>
          </w:p>
        </w:tc>
        <w:tc>
          <w:tcPr>
            <w:tcW w:w="2248" w:type="dxa"/>
          </w:tcPr>
          <w:p w14:paraId="3D66D511">
            <w:pPr>
              <w:rPr>
                <w:rFonts w:ascii="Arial"/>
                <w:color w:val="auto"/>
                <w:highlight w:val="none"/>
              </w:rPr>
            </w:pPr>
          </w:p>
        </w:tc>
        <w:tc>
          <w:tcPr>
            <w:tcW w:w="3543" w:type="dxa"/>
          </w:tcPr>
          <w:p w14:paraId="2D08C033">
            <w:pPr>
              <w:pStyle w:val="935"/>
              <w:spacing w:before="64" w:line="219" w:lineRule="auto"/>
              <w:ind w:left="109"/>
              <w:rPr>
                <w:rFonts w:hint="eastAsia"/>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38804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099B1EF8">
            <w:pPr>
              <w:rPr>
                <w:rFonts w:ascii="Arial"/>
                <w:color w:val="auto"/>
                <w:highlight w:val="none"/>
              </w:rPr>
            </w:pPr>
          </w:p>
        </w:tc>
        <w:tc>
          <w:tcPr>
            <w:tcW w:w="1542" w:type="dxa"/>
            <w:vMerge w:val="continue"/>
            <w:tcBorders>
              <w:top w:val="nil"/>
              <w:bottom w:val="nil"/>
            </w:tcBorders>
          </w:tcPr>
          <w:p w14:paraId="1EFFBC3B">
            <w:pPr>
              <w:rPr>
                <w:rFonts w:ascii="Arial"/>
                <w:color w:val="auto"/>
                <w:highlight w:val="none"/>
              </w:rPr>
            </w:pPr>
          </w:p>
        </w:tc>
        <w:tc>
          <w:tcPr>
            <w:tcW w:w="2672" w:type="dxa"/>
          </w:tcPr>
          <w:p w14:paraId="53E4D662">
            <w:pPr>
              <w:pStyle w:val="935"/>
              <w:spacing w:before="65" w:line="219" w:lineRule="auto"/>
              <w:ind w:left="103"/>
              <w:rPr>
                <w:rFonts w:hint="eastAsia"/>
                <w:color w:val="auto"/>
                <w:highlight w:val="none"/>
              </w:rPr>
            </w:pPr>
            <w:r>
              <w:rPr>
                <w:color w:val="auto"/>
                <w:spacing w:val="-1"/>
                <w:highlight w:val="none"/>
              </w:rPr>
              <w:t>A10020302</w:t>
            </w:r>
            <w:r>
              <w:rPr>
                <w:color w:val="auto"/>
                <w:spacing w:val="-30"/>
                <w:highlight w:val="none"/>
              </w:rPr>
              <w:t xml:space="preserve"> </w:t>
            </w:r>
            <w:r>
              <w:rPr>
                <w:color w:val="auto"/>
                <w:spacing w:val="-1"/>
                <w:highlight w:val="none"/>
              </w:rPr>
              <w:t>纤维板</w:t>
            </w:r>
          </w:p>
        </w:tc>
        <w:tc>
          <w:tcPr>
            <w:tcW w:w="2248" w:type="dxa"/>
          </w:tcPr>
          <w:p w14:paraId="0D015B3A">
            <w:pPr>
              <w:rPr>
                <w:rFonts w:ascii="Arial"/>
                <w:color w:val="auto"/>
                <w:highlight w:val="none"/>
              </w:rPr>
            </w:pPr>
          </w:p>
        </w:tc>
        <w:tc>
          <w:tcPr>
            <w:tcW w:w="3543" w:type="dxa"/>
          </w:tcPr>
          <w:p w14:paraId="08156996">
            <w:pPr>
              <w:pStyle w:val="935"/>
              <w:spacing w:before="64" w:line="219" w:lineRule="auto"/>
              <w:ind w:left="109"/>
              <w:rPr>
                <w:rFonts w:hint="eastAsia"/>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55360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BD99E57">
            <w:pPr>
              <w:rPr>
                <w:rFonts w:ascii="Arial"/>
                <w:color w:val="auto"/>
                <w:highlight w:val="none"/>
              </w:rPr>
            </w:pPr>
          </w:p>
        </w:tc>
        <w:tc>
          <w:tcPr>
            <w:tcW w:w="1542" w:type="dxa"/>
            <w:vMerge w:val="continue"/>
            <w:tcBorders>
              <w:top w:val="nil"/>
              <w:bottom w:val="nil"/>
            </w:tcBorders>
          </w:tcPr>
          <w:p w14:paraId="569C325E">
            <w:pPr>
              <w:rPr>
                <w:rFonts w:ascii="Arial"/>
                <w:color w:val="auto"/>
                <w:highlight w:val="none"/>
              </w:rPr>
            </w:pPr>
          </w:p>
        </w:tc>
        <w:tc>
          <w:tcPr>
            <w:tcW w:w="2672" w:type="dxa"/>
          </w:tcPr>
          <w:p w14:paraId="414513EB">
            <w:pPr>
              <w:pStyle w:val="935"/>
              <w:spacing w:before="65" w:line="219" w:lineRule="auto"/>
              <w:ind w:left="103"/>
              <w:rPr>
                <w:rFonts w:hint="eastAsia"/>
                <w:color w:val="auto"/>
                <w:highlight w:val="none"/>
              </w:rPr>
            </w:pPr>
            <w:r>
              <w:rPr>
                <w:color w:val="auto"/>
                <w:spacing w:val="-1"/>
                <w:highlight w:val="none"/>
              </w:rPr>
              <w:t>A10020303</w:t>
            </w:r>
            <w:r>
              <w:rPr>
                <w:color w:val="auto"/>
                <w:spacing w:val="-32"/>
                <w:highlight w:val="none"/>
              </w:rPr>
              <w:t xml:space="preserve"> </w:t>
            </w:r>
            <w:r>
              <w:rPr>
                <w:color w:val="auto"/>
                <w:spacing w:val="-1"/>
                <w:highlight w:val="none"/>
              </w:rPr>
              <w:t>刨花板</w:t>
            </w:r>
          </w:p>
        </w:tc>
        <w:tc>
          <w:tcPr>
            <w:tcW w:w="2248" w:type="dxa"/>
          </w:tcPr>
          <w:p w14:paraId="1219FB0F">
            <w:pPr>
              <w:rPr>
                <w:rFonts w:ascii="Arial"/>
                <w:color w:val="auto"/>
                <w:highlight w:val="none"/>
              </w:rPr>
            </w:pPr>
          </w:p>
        </w:tc>
        <w:tc>
          <w:tcPr>
            <w:tcW w:w="3543" w:type="dxa"/>
          </w:tcPr>
          <w:p w14:paraId="09C13C61">
            <w:pPr>
              <w:pStyle w:val="935"/>
              <w:spacing w:before="64" w:line="219" w:lineRule="auto"/>
              <w:ind w:left="109"/>
              <w:rPr>
                <w:rFonts w:hint="eastAsia"/>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2C5D8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146F2C5D">
            <w:pPr>
              <w:rPr>
                <w:rFonts w:ascii="Arial"/>
                <w:color w:val="auto"/>
                <w:highlight w:val="none"/>
              </w:rPr>
            </w:pPr>
          </w:p>
        </w:tc>
        <w:tc>
          <w:tcPr>
            <w:tcW w:w="1542" w:type="dxa"/>
            <w:vMerge w:val="continue"/>
            <w:tcBorders>
              <w:top w:val="nil"/>
              <w:bottom w:val="nil"/>
            </w:tcBorders>
          </w:tcPr>
          <w:p w14:paraId="0805A4CF">
            <w:pPr>
              <w:rPr>
                <w:rFonts w:ascii="Arial"/>
                <w:color w:val="auto"/>
                <w:highlight w:val="none"/>
              </w:rPr>
            </w:pPr>
          </w:p>
        </w:tc>
        <w:tc>
          <w:tcPr>
            <w:tcW w:w="2672" w:type="dxa"/>
          </w:tcPr>
          <w:p w14:paraId="5B905571">
            <w:pPr>
              <w:pStyle w:val="935"/>
              <w:spacing w:before="68" w:line="219" w:lineRule="auto"/>
              <w:ind w:left="103"/>
              <w:rPr>
                <w:rFonts w:hint="eastAsia"/>
                <w:color w:val="auto"/>
                <w:highlight w:val="none"/>
              </w:rPr>
            </w:pPr>
            <w:r>
              <w:rPr>
                <w:color w:val="auto"/>
                <w:spacing w:val="-1"/>
                <w:highlight w:val="none"/>
              </w:rPr>
              <w:t>A10020304</w:t>
            </w:r>
            <w:r>
              <w:rPr>
                <w:color w:val="auto"/>
                <w:spacing w:val="-31"/>
                <w:highlight w:val="none"/>
              </w:rPr>
              <w:t xml:space="preserve"> </w:t>
            </w:r>
            <w:r>
              <w:rPr>
                <w:color w:val="auto"/>
                <w:spacing w:val="-1"/>
                <w:highlight w:val="none"/>
              </w:rPr>
              <w:t>细木工板</w:t>
            </w:r>
          </w:p>
        </w:tc>
        <w:tc>
          <w:tcPr>
            <w:tcW w:w="2248" w:type="dxa"/>
          </w:tcPr>
          <w:p w14:paraId="4B2AAB63">
            <w:pPr>
              <w:rPr>
                <w:rFonts w:ascii="Arial"/>
                <w:color w:val="auto"/>
                <w:highlight w:val="none"/>
              </w:rPr>
            </w:pPr>
          </w:p>
        </w:tc>
        <w:tc>
          <w:tcPr>
            <w:tcW w:w="3543" w:type="dxa"/>
          </w:tcPr>
          <w:p w14:paraId="3EFDDEEA">
            <w:pPr>
              <w:pStyle w:val="935"/>
              <w:spacing w:before="67" w:line="219" w:lineRule="auto"/>
              <w:ind w:left="109"/>
              <w:rPr>
                <w:rFonts w:hint="eastAsia"/>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46BDF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1B9EF11C">
            <w:pPr>
              <w:rPr>
                <w:rFonts w:ascii="Arial"/>
                <w:color w:val="auto"/>
                <w:highlight w:val="none"/>
              </w:rPr>
            </w:pPr>
          </w:p>
        </w:tc>
        <w:tc>
          <w:tcPr>
            <w:tcW w:w="1542" w:type="dxa"/>
            <w:vMerge w:val="continue"/>
            <w:tcBorders>
              <w:top w:val="nil"/>
            </w:tcBorders>
          </w:tcPr>
          <w:p w14:paraId="3B949138">
            <w:pPr>
              <w:rPr>
                <w:rFonts w:ascii="Arial"/>
                <w:color w:val="auto"/>
                <w:highlight w:val="none"/>
              </w:rPr>
            </w:pPr>
          </w:p>
        </w:tc>
        <w:tc>
          <w:tcPr>
            <w:tcW w:w="2672" w:type="dxa"/>
          </w:tcPr>
          <w:p w14:paraId="4D93E736">
            <w:pPr>
              <w:pStyle w:val="935"/>
              <w:spacing w:before="65" w:line="219" w:lineRule="auto"/>
              <w:ind w:left="103"/>
              <w:rPr>
                <w:rFonts w:hint="eastAsia"/>
                <w:color w:val="auto"/>
                <w:highlight w:val="none"/>
              </w:rPr>
            </w:pPr>
            <w:r>
              <w:rPr>
                <w:color w:val="auto"/>
                <w:spacing w:val="-1"/>
                <w:highlight w:val="none"/>
              </w:rPr>
              <w:t>A10020399</w:t>
            </w:r>
            <w:r>
              <w:rPr>
                <w:color w:val="auto"/>
                <w:spacing w:val="-31"/>
                <w:highlight w:val="none"/>
              </w:rPr>
              <w:t xml:space="preserve"> </w:t>
            </w:r>
            <w:r>
              <w:rPr>
                <w:color w:val="auto"/>
                <w:spacing w:val="-1"/>
                <w:highlight w:val="none"/>
              </w:rPr>
              <w:t>其他人造板</w:t>
            </w:r>
          </w:p>
        </w:tc>
        <w:tc>
          <w:tcPr>
            <w:tcW w:w="2248" w:type="dxa"/>
          </w:tcPr>
          <w:p w14:paraId="3E19E29A">
            <w:pPr>
              <w:rPr>
                <w:rFonts w:ascii="Arial"/>
                <w:color w:val="auto"/>
                <w:highlight w:val="none"/>
              </w:rPr>
            </w:pPr>
          </w:p>
        </w:tc>
        <w:tc>
          <w:tcPr>
            <w:tcW w:w="3543" w:type="dxa"/>
          </w:tcPr>
          <w:p w14:paraId="0216FB93">
            <w:pPr>
              <w:pStyle w:val="935"/>
              <w:spacing w:before="64" w:line="219" w:lineRule="auto"/>
              <w:ind w:left="109"/>
              <w:rPr>
                <w:rFonts w:hint="eastAsia"/>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5EA20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83" w:type="dxa"/>
            <w:vMerge w:val="restart"/>
            <w:tcBorders>
              <w:bottom w:val="nil"/>
            </w:tcBorders>
          </w:tcPr>
          <w:p w14:paraId="7FCAA283">
            <w:pPr>
              <w:pStyle w:val="935"/>
              <w:spacing w:before="93" w:line="183" w:lineRule="auto"/>
              <w:ind w:left="118"/>
              <w:rPr>
                <w:rFonts w:hint="eastAsia"/>
                <w:color w:val="auto"/>
                <w:highlight w:val="none"/>
              </w:rPr>
            </w:pPr>
            <w:r>
              <w:rPr>
                <w:color w:val="auto"/>
                <w:spacing w:val="-5"/>
                <w:highlight w:val="none"/>
              </w:rPr>
              <w:t>33</w:t>
            </w:r>
          </w:p>
        </w:tc>
        <w:tc>
          <w:tcPr>
            <w:tcW w:w="1542" w:type="dxa"/>
            <w:vMerge w:val="restart"/>
            <w:tcBorders>
              <w:bottom w:val="nil"/>
            </w:tcBorders>
          </w:tcPr>
          <w:p w14:paraId="1BC9707B">
            <w:pPr>
              <w:pStyle w:val="935"/>
              <w:spacing w:before="65" w:line="305" w:lineRule="auto"/>
              <w:ind w:left="109" w:right="108" w:hanging="7"/>
              <w:rPr>
                <w:rFonts w:hint="eastAsia"/>
                <w:color w:val="auto"/>
                <w:highlight w:val="none"/>
              </w:rPr>
            </w:pPr>
            <w:r>
              <w:rPr>
                <w:color w:val="auto"/>
                <w:spacing w:val="3"/>
                <w:highlight w:val="none"/>
              </w:rPr>
              <w:t>A100204</w:t>
            </w:r>
            <w:r>
              <w:rPr>
                <w:color w:val="auto"/>
                <w:spacing w:val="34"/>
                <w:highlight w:val="none"/>
              </w:rPr>
              <w:t xml:space="preserve"> </w:t>
            </w:r>
            <w:r>
              <w:rPr>
                <w:color w:val="auto"/>
                <w:spacing w:val="3"/>
                <w:highlight w:val="none"/>
              </w:rPr>
              <w:t>二次加</w:t>
            </w:r>
            <w:r>
              <w:rPr>
                <w:color w:val="auto"/>
                <w:spacing w:val="-2"/>
                <w:highlight w:val="none"/>
              </w:rPr>
              <w:t>工材,相关板材</w:t>
            </w:r>
          </w:p>
        </w:tc>
        <w:tc>
          <w:tcPr>
            <w:tcW w:w="2672" w:type="dxa"/>
          </w:tcPr>
          <w:p w14:paraId="19ECDFF3">
            <w:pPr>
              <w:pStyle w:val="935"/>
              <w:spacing w:before="65" w:line="219" w:lineRule="auto"/>
              <w:ind w:left="103"/>
              <w:rPr>
                <w:rFonts w:hint="eastAsia"/>
                <w:color w:val="auto"/>
                <w:highlight w:val="none"/>
              </w:rPr>
            </w:pPr>
            <w:r>
              <w:rPr>
                <w:color w:val="auto"/>
                <w:spacing w:val="-1"/>
                <w:highlight w:val="none"/>
              </w:rPr>
              <w:t>A10020404</w:t>
            </w:r>
            <w:r>
              <w:rPr>
                <w:color w:val="auto"/>
                <w:spacing w:val="-28"/>
                <w:highlight w:val="none"/>
              </w:rPr>
              <w:t xml:space="preserve"> </w:t>
            </w:r>
            <w:r>
              <w:rPr>
                <w:color w:val="auto"/>
                <w:spacing w:val="-1"/>
                <w:highlight w:val="none"/>
              </w:rPr>
              <w:t>人造板表面装饰板</w:t>
            </w:r>
          </w:p>
        </w:tc>
        <w:tc>
          <w:tcPr>
            <w:tcW w:w="2248" w:type="dxa"/>
          </w:tcPr>
          <w:p w14:paraId="2F5828C6">
            <w:pPr>
              <w:rPr>
                <w:rFonts w:ascii="Arial"/>
                <w:color w:val="auto"/>
                <w:highlight w:val="none"/>
              </w:rPr>
            </w:pPr>
          </w:p>
        </w:tc>
        <w:tc>
          <w:tcPr>
            <w:tcW w:w="3543" w:type="dxa"/>
          </w:tcPr>
          <w:p w14:paraId="6420EFF2">
            <w:pPr>
              <w:pStyle w:val="935"/>
              <w:spacing w:before="64" w:line="219" w:lineRule="auto"/>
              <w:ind w:left="109"/>
              <w:rPr>
                <w:rFonts w:hint="eastAsia"/>
                <w:color w:val="auto"/>
                <w:highlight w:val="none"/>
              </w:rPr>
            </w:pPr>
            <w:r>
              <w:rPr>
                <w:color w:val="auto"/>
                <w:spacing w:val="-1"/>
                <w:highlight w:val="none"/>
              </w:rPr>
              <w:t>HJ571</w:t>
            </w:r>
            <w:r>
              <w:rPr>
                <w:color w:val="auto"/>
                <w:spacing w:val="-30"/>
                <w:highlight w:val="none"/>
              </w:rPr>
              <w:t xml:space="preserve"> </w:t>
            </w:r>
            <w:r>
              <w:rPr>
                <w:color w:val="auto"/>
                <w:spacing w:val="-1"/>
                <w:highlight w:val="none"/>
              </w:rPr>
              <w:t>人造板及其制品/HJ2540</w:t>
            </w:r>
            <w:r>
              <w:rPr>
                <w:color w:val="auto"/>
                <w:spacing w:val="-38"/>
                <w:highlight w:val="none"/>
              </w:rPr>
              <w:t xml:space="preserve"> </w:t>
            </w:r>
            <w:r>
              <w:rPr>
                <w:color w:val="auto"/>
                <w:spacing w:val="-1"/>
                <w:highlight w:val="none"/>
              </w:rPr>
              <w:t>木塑制品</w:t>
            </w:r>
          </w:p>
        </w:tc>
      </w:tr>
      <w:tr w14:paraId="01074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14:paraId="08752D12">
            <w:pPr>
              <w:rPr>
                <w:rFonts w:ascii="Arial"/>
                <w:color w:val="auto"/>
                <w:highlight w:val="none"/>
              </w:rPr>
            </w:pPr>
          </w:p>
        </w:tc>
        <w:tc>
          <w:tcPr>
            <w:tcW w:w="1542" w:type="dxa"/>
            <w:vMerge w:val="continue"/>
            <w:tcBorders>
              <w:top w:val="nil"/>
            </w:tcBorders>
          </w:tcPr>
          <w:p w14:paraId="124EB7C0">
            <w:pPr>
              <w:rPr>
                <w:rFonts w:ascii="Arial"/>
                <w:color w:val="auto"/>
                <w:highlight w:val="none"/>
              </w:rPr>
            </w:pPr>
          </w:p>
        </w:tc>
        <w:tc>
          <w:tcPr>
            <w:tcW w:w="2672" w:type="dxa"/>
          </w:tcPr>
          <w:p w14:paraId="70EBFAAB">
            <w:pPr>
              <w:pStyle w:val="935"/>
              <w:spacing w:before="67" w:line="284" w:lineRule="auto"/>
              <w:ind w:left="113" w:right="107" w:hanging="10"/>
              <w:rPr>
                <w:rFonts w:hint="eastAsia"/>
                <w:color w:val="auto"/>
                <w:highlight w:val="none"/>
              </w:rPr>
            </w:pPr>
            <w:r>
              <w:rPr>
                <w:color w:val="auto"/>
                <w:spacing w:val="5"/>
                <w:highlight w:val="none"/>
              </w:rPr>
              <w:t>A10020404</w:t>
            </w:r>
            <w:r>
              <w:rPr>
                <w:color w:val="auto"/>
                <w:spacing w:val="30"/>
                <w:highlight w:val="none"/>
              </w:rPr>
              <w:t xml:space="preserve"> </w:t>
            </w:r>
            <w:r>
              <w:rPr>
                <w:color w:val="auto"/>
                <w:spacing w:val="5"/>
                <w:highlight w:val="none"/>
              </w:rPr>
              <w:t>人造板表面装饰板</w:t>
            </w:r>
            <w:r>
              <w:rPr>
                <w:color w:val="auto"/>
                <w:highlight w:val="none"/>
              </w:rPr>
              <w:t xml:space="preserve"> </w:t>
            </w:r>
            <w:r>
              <w:rPr>
                <w:color w:val="auto"/>
                <w:spacing w:val="-3"/>
                <w:highlight w:val="none"/>
              </w:rPr>
              <w:t>（地板）</w:t>
            </w:r>
          </w:p>
        </w:tc>
        <w:tc>
          <w:tcPr>
            <w:tcW w:w="2248" w:type="dxa"/>
          </w:tcPr>
          <w:p w14:paraId="27FC5B9F">
            <w:pPr>
              <w:rPr>
                <w:rFonts w:ascii="Arial"/>
                <w:color w:val="auto"/>
                <w:highlight w:val="none"/>
              </w:rPr>
            </w:pPr>
          </w:p>
        </w:tc>
        <w:tc>
          <w:tcPr>
            <w:tcW w:w="3543" w:type="dxa"/>
          </w:tcPr>
          <w:p w14:paraId="1753B303">
            <w:pPr>
              <w:pStyle w:val="935"/>
              <w:spacing w:before="67" w:line="219" w:lineRule="auto"/>
              <w:ind w:left="109"/>
              <w:rPr>
                <w:rFonts w:hint="eastAsia"/>
                <w:color w:val="auto"/>
                <w:highlight w:val="none"/>
              </w:rPr>
            </w:pPr>
            <w:r>
              <w:rPr>
                <w:color w:val="auto"/>
                <w:spacing w:val="-1"/>
                <w:highlight w:val="none"/>
              </w:rPr>
              <w:t>HJ571</w:t>
            </w:r>
            <w:r>
              <w:rPr>
                <w:color w:val="auto"/>
                <w:spacing w:val="-30"/>
                <w:highlight w:val="none"/>
              </w:rPr>
              <w:t xml:space="preserve"> </w:t>
            </w:r>
            <w:r>
              <w:rPr>
                <w:color w:val="auto"/>
                <w:spacing w:val="-1"/>
                <w:highlight w:val="none"/>
              </w:rPr>
              <w:t>人造板及其制品/HJ2540</w:t>
            </w:r>
            <w:r>
              <w:rPr>
                <w:color w:val="auto"/>
                <w:spacing w:val="-38"/>
                <w:highlight w:val="none"/>
              </w:rPr>
              <w:t xml:space="preserve"> </w:t>
            </w:r>
            <w:r>
              <w:rPr>
                <w:color w:val="auto"/>
                <w:spacing w:val="-1"/>
                <w:highlight w:val="none"/>
              </w:rPr>
              <w:t>木塑制品</w:t>
            </w:r>
          </w:p>
        </w:tc>
      </w:tr>
      <w:tr w14:paraId="7B910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0E8261C9">
            <w:pPr>
              <w:pStyle w:val="935"/>
              <w:spacing w:before="93" w:line="183" w:lineRule="auto"/>
              <w:ind w:left="118"/>
              <w:rPr>
                <w:rFonts w:hint="eastAsia"/>
                <w:color w:val="auto"/>
                <w:highlight w:val="none"/>
              </w:rPr>
            </w:pPr>
            <w:r>
              <w:rPr>
                <w:color w:val="auto"/>
                <w:spacing w:val="-5"/>
                <w:highlight w:val="none"/>
              </w:rPr>
              <w:t>34</w:t>
            </w:r>
          </w:p>
        </w:tc>
        <w:tc>
          <w:tcPr>
            <w:tcW w:w="1542" w:type="dxa"/>
          </w:tcPr>
          <w:p w14:paraId="3AEE20A8">
            <w:pPr>
              <w:pStyle w:val="935"/>
              <w:spacing w:before="66" w:line="283" w:lineRule="auto"/>
              <w:ind w:left="107" w:right="108" w:hanging="5"/>
              <w:rPr>
                <w:rFonts w:hint="eastAsia"/>
                <w:color w:val="auto"/>
                <w:highlight w:val="none"/>
              </w:rPr>
            </w:pPr>
            <w:r>
              <w:rPr>
                <w:color w:val="auto"/>
                <w:spacing w:val="3"/>
                <w:highlight w:val="none"/>
              </w:rPr>
              <w:t>A100301</w:t>
            </w:r>
            <w:r>
              <w:rPr>
                <w:color w:val="auto"/>
                <w:spacing w:val="34"/>
                <w:highlight w:val="none"/>
              </w:rPr>
              <w:t xml:space="preserve"> </w:t>
            </w:r>
            <w:r>
              <w:rPr>
                <w:color w:val="auto"/>
                <w:spacing w:val="3"/>
                <w:highlight w:val="none"/>
              </w:rPr>
              <w:t>水泥熟</w:t>
            </w:r>
            <w:r>
              <w:rPr>
                <w:color w:val="auto"/>
                <w:spacing w:val="-2"/>
                <w:highlight w:val="none"/>
              </w:rPr>
              <w:t>料及水泥</w:t>
            </w:r>
          </w:p>
        </w:tc>
        <w:tc>
          <w:tcPr>
            <w:tcW w:w="2672" w:type="dxa"/>
          </w:tcPr>
          <w:p w14:paraId="5C679AB1">
            <w:pPr>
              <w:pStyle w:val="935"/>
              <w:spacing w:before="65" w:line="220" w:lineRule="auto"/>
              <w:ind w:left="103"/>
              <w:rPr>
                <w:rFonts w:hint="eastAsia"/>
                <w:color w:val="auto"/>
                <w:highlight w:val="none"/>
              </w:rPr>
            </w:pPr>
            <w:r>
              <w:rPr>
                <w:color w:val="auto"/>
                <w:spacing w:val="-1"/>
                <w:highlight w:val="none"/>
              </w:rPr>
              <w:t>A10030102</w:t>
            </w:r>
            <w:r>
              <w:rPr>
                <w:color w:val="auto"/>
                <w:spacing w:val="-31"/>
                <w:highlight w:val="none"/>
              </w:rPr>
              <w:t xml:space="preserve"> </w:t>
            </w:r>
            <w:r>
              <w:rPr>
                <w:color w:val="auto"/>
                <w:spacing w:val="-1"/>
                <w:highlight w:val="none"/>
              </w:rPr>
              <w:t>水泥</w:t>
            </w:r>
          </w:p>
        </w:tc>
        <w:tc>
          <w:tcPr>
            <w:tcW w:w="2248" w:type="dxa"/>
          </w:tcPr>
          <w:p w14:paraId="0DA66FBD">
            <w:pPr>
              <w:rPr>
                <w:rFonts w:ascii="Arial"/>
                <w:color w:val="auto"/>
                <w:highlight w:val="none"/>
              </w:rPr>
            </w:pPr>
          </w:p>
        </w:tc>
        <w:tc>
          <w:tcPr>
            <w:tcW w:w="3543" w:type="dxa"/>
          </w:tcPr>
          <w:p w14:paraId="45196DAB">
            <w:pPr>
              <w:pStyle w:val="935"/>
              <w:spacing w:before="64" w:line="219" w:lineRule="auto"/>
              <w:ind w:left="109"/>
              <w:rPr>
                <w:rFonts w:hint="eastAsia"/>
                <w:color w:val="auto"/>
                <w:highlight w:val="none"/>
              </w:rPr>
            </w:pPr>
            <w:r>
              <w:rPr>
                <w:color w:val="auto"/>
                <w:spacing w:val="-1"/>
                <w:highlight w:val="none"/>
              </w:rPr>
              <w:t>HJ2519</w:t>
            </w:r>
            <w:r>
              <w:rPr>
                <w:color w:val="auto"/>
                <w:spacing w:val="-34"/>
                <w:highlight w:val="none"/>
              </w:rPr>
              <w:t xml:space="preserve"> </w:t>
            </w:r>
            <w:r>
              <w:rPr>
                <w:color w:val="auto"/>
                <w:spacing w:val="-1"/>
                <w:highlight w:val="none"/>
              </w:rPr>
              <w:t>水泥</w:t>
            </w:r>
          </w:p>
        </w:tc>
      </w:tr>
      <w:tr w14:paraId="616E3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0504B666">
            <w:pPr>
              <w:pStyle w:val="935"/>
              <w:spacing w:before="94" w:line="183" w:lineRule="auto"/>
              <w:ind w:left="118"/>
              <w:rPr>
                <w:rFonts w:hint="eastAsia"/>
                <w:color w:val="auto"/>
                <w:highlight w:val="none"/>
              </w:rPr>
            </w:pPr>
            <w:r>
              <w:rPr>
                <w:color w:val="auto"/>
                <w:spacing w:val="-5"/>
                <w:highlight w:val="none"/>
              </w:rPr>
              <w:t>35</w:t>
            </w:r>
          </w:p>
        </w:tc>
        <w:tc>
          <w:tcPr>
            <w:tcW w:w="1542" w:type="dxa"/>
          </w:tcPr>
          <w:p w14:paraId="20D628EB">
            <w:pPr>
              <w:pStyle w:val="935"/>
              <w:spacing w:before="66" w:line="283" w:lineRule="auto"/>
              <w:ind w:left="106" w:right="108" w:hanging="4"/>
              <w:rPr>
                <w:rFonts w:hint="eastAsia"/>
                <w:color w:val="auto"/>
                <w:highlight w:val="none"/>
              </w:rPr>
            </w:pPr>
            <w:r>
              <w:rPr>
                <w:color w:val="auto"/>
                <w:spacing w:val="3"/>
                <w:highlight w:val="none"/>
              </w:rPr>
              <w:t>A100303</w:t>
            </w:r>
            <w:r>
              <w:rPr>
                <w:color w:val="auto"/>
                <w:spacing w:val="34"/>
                <w:highlight w:val="none"/>
              </w:rPr>
              <w:t xml:space="preserve"> </w:t>
            </w:r>
            <w:r>
              <w:rPr>
                <w:color w:val="auto"/>
                <w:spacing w:val="3"/>
                <w:highlight w:val="none"/>
              </w:rPr>
              <w:t>水泥混</w:t>
            </w:r>
            <w:r>
              <w:rPr>
                <w:color w:val="auto"/>
                <w:spacing w:val="-2"/>
                <w:highlight w:val="none"/>
              </w:rPr>
              <w:t>凝土制品</w:t>
            </w:r>
          </w:p>
        </w:tc>
        <w:tc>
          <w:tcPr>
            <w:tcW w:w="2672" w:type="dxa"/>
          </w:tcPr>
          <w:p w14:paraId="52EC8C3F">
            <w:pPr>
              <w:pStyle w:val="935"/>
              <w:spacing w:before="65" w:line="221" w:lineRule="auto"/>
              <w:ind w:left="103"/>
              <w:rPr>
                <w:rFonts w:hint="eastAsia"/>
                <w:color w:val="auto"/>
                <w:highlight w:val="none"/>
              </w:rPr>
            </w:pPr>
            <w:r>
              <w:rPr>
                <w:color w:val="auto"/>
                <w:spacing w:val="-1"/>
                <w:highlight w:val="none"/>
              </w:rPr>
              <w:t>A10030301</w:t>
            </w:r>
            <w:r>
              <w:rPr>
                <w:color w:val="auto"/>
                <w:spacing w:val="-30"/>
                <w:highlight w:val="none"/>
              </w:rPr>
              <w:t xml:space="preserve"> </w:t>
            </w:r>
            <w:r>
              <w:rPr>
                <w:color w:val="auto"/>
                <w:spacing w:val="-1"/>
                <w:highlight w:val="none"/>
              </w:rPr>
              <w:t>商品混凝土</w:t>
            </w:r>
          </w:p>
        </w:tc>
        <w:tc>
          <w:tcPr>
            <w:tcW w:w="2248" w:type="dxa"/>
          </w:tcPr>
          <w:p w14:paraId="57CD34A9">
            <w:pPr>
              <w:rPr>
                <w:rFonts w:ascii="Arial"/>
                <w:color w:val="auto"/>
                <w:highlight w:val="none"/>
              </w:rPr>
            </w:pPr>
          </w:p>
        </w:tc>
        <w:tc>
          <w:tcPr>
            <w:tcW w:w="3543" w:type="dxa"/>
          </w:tcPr>
          <w:p w14:paraId="766A272F">
            <w:pPr>
              <w:pStyle w:val="935"/>
              <w:spacing w:before="65" w:line="219" w:lineRule="auto"/>
              <w:ind w:left="109"/>
              <w:rPr>
                <w:rFonts w:hint="eastAsia"/>
                <w:color w:val="auto"/>
                <w:highlight w:val="none"/>
              </w:rPr>
            </w:pPr>
            <w:r>
              <w:rPr>
                <w:color w:val="auto"/>
                <w:spacing w:val="-1"/>
                <w:highlight w:val="none"/>
              </w:rPr>
              <w:t>HJ/T412</w:t>
            </w:r>
            <w:r>
              <w:rPr>
                <w:color w:val="auto"/>
                <w:spacing w:val="-34"/>
                <w:highlight w:val="none"/>
              </w:rPr>
              <w:t xml:space="preserve"> </w:t>
            </w:r>
            <w:r>
              <w:rPr>
                <w:color w:val="auto"/>
                <w:spacing w:val="-1"/>
                <w:highlight w:val="none"/>
              </w:rPr>
              <w:t>预拌混凝土</w:t>
            </w:r>
          </w:p>
        </w:tc>
      </w:tr>
      <w:tr w14:paraId="374C4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5C309305">
            <w:pPr>
              <w:pStyle w:val="935"/>
              <w:spacing w:before="94" w:line="183" w:lineRule="auto"/>
              <w:ind w:left="118"/>
              <w:rPr>
                <w:rFonts w:hint="eastAsia"/>
                <w:color w:val="auto"/>
                <w:highlight w:val="none"/>
              </w:rPr>
            </w:pPr>
            <w:r>
              <w:rPr>
                <w:color w:val="auto"/>
                <w:spacing w:val="-5"/>
                <w:highlight w:val="none"/>
              </w:rPr>
              <w:t>36</w:t>
            </w:r>
          </w:p>
        </w:tc>
        <w:tc>
          <w:tcPr>
            <w:tcW w:w="1542" w:type="dxa"/>
            <w:vMerge w:val="restart"/>
            <w:tcBorders>
              <w:bottom w:val="nil"/>
            </w:tcBorders>
          </w:tcPr>
          <w:p w14:paraId="4E851D0D">
            <w:pPr>
              <w:pStyle w:val="935"/>
              <w:spacing w:before="65" w:line="307" w:lineRule="auto"/>
              <w:ind w:left="111" w:right="108" w:hanging="9"/>
              <w:rPr>
                <w:rFonts w:hint="eastAsia"/>
                <w:color w:val="auto"/>
                <w:highlight w:val="none"/>
              </w:rPr>
            </w:pPr>
            <w:r>
              <w:rPr>
                <w:color w:val="auto"/>
                <w:spacing w:val="3"/>
                <w:highlight w:val="none"/>
              </w:rPr>
              <w:t>A100304</w:t>
            </w:r>
            <w:r>
              <w:rPr>
                <w:color w:val="auto"/>
                <w:spacing w:val="35"/>
                <w:highlight w:val="none"/>
              </w:rPr>
              <w:t xml:space="preserve"> </w:t>
            </w:r>
            <w:r>
              <w:rPr>
                <w:color w:val="auto"/>
                <w:spacing w:val="3"/>
                <w:highlight w:val="none"/>
              </w:rPr>
              <w:t>纤维增</w:t>
            </w:r>
            <w:r>
              <w:rPr>
                <w:color w:val="auto"/>
                <w:spacing w:val="-2"/>
                <w:highlight w:val="none"/>
              </w:rPr>
              <w:t>强水泥制品</w:t>
            </w:r>
          </w:p>
        </w:tc>
        <w:tc>
          <w:tcPr>
            <w:tcW w:w="2672" w:type="dxa"/>
          </w:tcPr>
          <w:p w14:paraId="63B86DB0">
            <w:pPr>
              <w:pStyle w:val="935"/>
              <w:spacing w:before="66" w:line="219" w:lineRule="auto"/>
              <w:ind w:left="103"/>
              <w:rPr>
                <w:rFonts w:hint="eastAsia"/>
                <w:color w:val="auto"/>
                <w:highlight w:val="none"/>
              </w:rPr>
            </w:pPr>
            <w:r>
              <w:rPr>
                <w:color w:val="auto"/>
                <w:spacing w:val="-1"/>
                <w:highlight w:val="none"/>
              </w:rPr>
              <w:t>A10030402</w:t>
            </w:r>
            <w:r>
              <w:rPr>
                <w:color w:val="auto"/>
                <w:spacing w:val="-28"/>
                <w:highlight w:val="none"/>
              </w:rPr>
              <w:t xml:space="preserve"> </w:t>
            </w:r>
            <w:r>
              <w:rPr>
                <w:color w:val="auto"/>
                <w:spacing w:val="-1"/>
                <w:highlight w:val="none"/>
              </w:rPr>
              <w:t>纤维增强硅酸钙板</w:t>
            </w:r>
          </w:p>
        </w:tc>
        <w:tc>
          <w:tcPr>
            <w:tcW w:w="2248" w:type="dxa"/>
          </w:tcPr>
          <w:p w14:paraId="3554DD58">
            <w:pPr>
              <w:rPr>
                <w:rFonts w:ascii="Arial"/>
                <w:color w:val="auto"/>
                <w:highlight w:val="none"/>
              </w:rPr>
            </w:pPr>
          </w:p>
        </w:tc>
        <w:tc>
          <w:tcPr>
            <w:tcW w:w="3543" w:type="dxa"/>
          </w:tcPr>
          <w:p w14:paraId="13BC3BBC">
            <w:pPr>
              <w:pStyle w:val="935"/>
              <w:spacing w:before="66" w:line="219" w:lineRule="auto"/>
              <w:ind w:left="109"/>
              <w:rPr>
                <w:rFonts w:hint="eastAsia"/>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5594C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048DFE15">
            <w:pPr>
              <w:rPr>
                <w:rFonts w:ascii="Arial"/>
                <w:color w:val="auto"/>
                <w:highlight w:val="none"/>
              </w:rPr>
            </w:pPr>
          </w:p>
        </w:tc>
        <w:tc>
          <w:tcPr>
            <w:tcW w:w="1542" w:type="dxa"/>
            <w:vMerge w:val="continue"/>
            <w:tcBorders>
              <w:top w:val="nil"/>
            </w:tcBorders>
          </w:tcPr>
          <w:p w14:paraId="56591331">
            <w:pPr>
              <w:rPr>
                <w:rFonts w:ascii="Arial"/>
                <w:color w:val="auto"/>
                <w:highlight w:val="none"/>
              </w:rPr>
            </w:pPr>
          </w:p>
        </w:tc>
        <w:tc>
          <w:tcPr>
            <w:tcW w:w="2672" w:type="dxa"/>
          </w:tcPr>
          <w:p w14:paraId="3242150B">
            <w:pPr>
              <w:pStyle w:val="935"/>
              <w:spacing w:before="66" w:line="220" w:lineRule="auto"/>
              <w:ind w:left="103"/>
              <w:rPr>
                <w:rFonts w:hint="eastAsia"/>
                <w:color w:val="auto"/>
                <w:highlight w:val="none"/>
              </w:rPr>
            </w:pPr>
            <w:r>
              <w:rPr>
                <w:color w:val="auto"/>
                <w:spacing w:val="-1"/>
                <w:highlight w:val="none"/>
              </w:rPr>
              <w:t>A10030403</w:t>
            </w:r>
            <w:r>
              <w:rPr>
                <w:color w:val="auto"/>
                <w:spacing w:val="-45"/>
                <w:highlight w:val="none"/>
              </w:rPr>
              <w:t xml:space="preserve"> </w:t>
            </w:r>
            <w:r>
              <w:rPr>
                <w:color w:val="auto"/>
                <w:spacing w:val="-1"/>
                <w:highlight w:val="none"/>
              </w:rPr>
              <w:t>无石棉纤维水泥制品</w:t>
            </w:r>
          </w:p>
        </w:tc>
        <w:tc>
          <w:tcPr>
            <w:tcW w:w="2248" w:type="dxa"/>
          </w:tcPr>
          <w:p w14:paraId="2C2E2376">
            <w:pPr>
              <w:rPr>
                <w:rFonts w:ascii="Arial"/>
                <w:color w:val="auto"/>
                <w:highlight w:val="none"/>
              </w:rPr>
            </w:pPr>
          </w:p>
        </w:tc>
        <w:tc>
          <w:tcPr>
            <w:tcW w:w="3543" w:type="dxa"/>
          </w:tcPr>
          <w:p w14:paraId="01131EE4">
            <w:pPr>
              <w:pStyle w:val="935"/>
              <w:spacing w:before="66" w:line="219" w:lineRule="auto"/>
              <w:ind w:left="109"/>
              <w:rPr>
                <w:rFonts w:hint="eastAsia"/>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41FC1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488C06E1">
            <w:pPr>
              <w:pStyle w:val="935"/>
              <w:spacing w:before="95" w:line="183" w:lineRule="auto"/>
              <w:ind w:left="118"/>
              <w:rPr>
                <w:rFonts w:hint="eastAsia"/>
                <w:color w:val="auto"/>
                <w:highlight w:val="none"/>
              </w:rPr>
            </w:pPr>
            <w:r>
              <w:rPr>
                <w:color w:val="auto"/>
                <w:spacing w:val="-5"/>
                <w:highlight w:val="none"/>
              </w:rPr>
              <w:t>37</w:t>
            </w:r>
          </w:p>
        </w:tc>
        <w:tc>
          <w:tcPr>
            <w:tcW w:w="1542" w:type="dxa"/>
            <w:vMerge w:val="restart"/>
            <w:tcBorders>
              <w:bottom w:val="nil"/>
            </w:tcBorders>
          </w:tcPr>
          <w:p w14:paraId="3EF0B4CA">
            <w:pPr>
              <w:pStyle w:val="935"/>
              <w:spacing w:before="67" w:line="306" w:lineRule="auto"/>
              <w:ind w:left="109" w:right="108" w:hanging="7"/>
              <w:rPr>
                <w:rFonts w:hint="eastAsia"/>
                <w:color w:val="auto"/>
                <w:highlight w:val="none"/>
              </w:rPr>
            </w:pPr>
            <w:r>
              <w:rPr>
                <w:color w:val="auto"/>
                <w:spacing w:val="3"/>
                <w:highlight w:val="none"/>
              </w:rPr>
              <w:t>A100305</w:t>
            </w:r>
            <w:r>
              <w:rPr>
                <w:color w:val="auto"/>
                <w:spacing w:val="34"/>
                <w:highlight w:val="none"/>
              </w:rPr>
              <w:t xml:space="preserve"> </w:t>
            </w:r>
            <w:r>
              <w:rPr>
                <w:color w:val="auto"/>
                <w:spacing w:val="3"/>
                <w:highlight w:val="none"/>
              </w:rPr>
              <w:t>轻质建</w:t>
            </w:r>
            <w:r>
              <w:rPr>
                <w:color w:val="auto"/>
                <w:spacing w:val="-2"/>
                <w:highlight w:val="none"/>
              </w:rPr>
              <w:t>筑材料及制品</w:t>
            </w:r>
          </w:p>
        </w:tc>
        <w:tc>
          <w:tcPr>
            <w:tcW w:w="2672" w:type="dxa"/>
          </w:tcPr>
          <w:p w14:paraId="33547510">
            <w:pPr>
              <w:pStyle w:val="935"/>
              <w:spacing w:before="67" w:line="219" w:lineRule="auto"/>
              <w:ind w:left="103"/>
              <w:rPr>
                <w:rFonts w:hint="eastAsia"/>
                <w:color w:val="auto"/>
                <w:highlight w:val="none"/>
              </w:rPr>
            </w:pPr>
            <w:r>
              <w:rPr>
                <w:color w:val="auto"/>
                <w:spacing w:val="-1"/>
                <w:highlight w:val="none"/>
              </w:rPr>
              <w:t>A10030501</w:t>
            </w:r>
            <w:r>
              <w:rPr>
                <w:color w:val="auto"/>
                <w:spacing w:val="-32"/>
                <w:highlight w:val="none"/>
              </w:rPr>
              <w:t xml:space="preserve"> </w:t>
            </w:r>
            <w:r>
              <w:rPr>
                <w:color w:val="auto"/>
                <w:spacing w:val="-1"/>
                <w:highlight w:val="none"/>
              </w:rPr>
              <w:t>石膏板</w:t>
            </w:r>
          </w:p>
        </w:tc>
        <w:tc>
          <w:tcPr>
            <w:tcW w:w="2248" w:type="dxa"/>
          </w:tcPr>
          <w:p w14:paraId="4A1BABD2">
            <w:pPr>
              <w:rPr>
                <w:rFonts w:ascii="Arial"/>
                <w:color w:val="auto"/>
                <w:highlight w:val="none"/>
              </w:rPr>
            </w:pPr>
          </w:p>
        </w:tc>
        <w:tc>
          <w:tcPr>
            <w:tcW w:w="3543" w:type="dxa"/>
          </w:tcPr>
          <w:p w14:paraId="229B7C4B">
            <w:pPr>
              <w:pStyle w:val="935"/>
              <w:spacing w:before="66" w:line="219" w:lineRule="auto"/>
              <w:ind w:left="109"/>
              <w:rPr>
                <w:rFonts w:hint="eastAsia"/>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74D56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83" w:type="dxa"/>
            <w:vMerge w:val="continue"/>
            <w:tcBorders>
              <w:top w:val="nil"/>
            </w:tcBorders>
          </w:tcPr>
          <w:p w14:paraId="00005E7F">
            <w:pPr>
              <w:rPr>
                <w:rFonts w:ascii="Arial"/>
                <w:color w:val="auto"/>
                <w:highlight w:val="none"/>
              </w:rPr>
            </w:pPr>
          </w:p>
        </w:tc>
        <w:tc>
          <w:tcPr>
            <w:tcW w:w="1542" w:type="dxa"/>
            <w:vMerge w:val="continue"/>
            <w:tcBorders>
              <w:top w:val="nil"/>
            </w:tcBorders>
          </w:tcPr>
          <w:p w14:paraId="2935E775">
            <w:pPr>
              <w:rPr>
                <w:rFonts w:ascii="Arial"/>
                <w:color w:val="auto"/>
                <w:highlight w:val="none"/>
              </w:rPr>
            </w:pPr>
          </w:p>
        </w:tc>
        <w:tc>
          <w:tcPr>
            <w:tcW w:w="2672" w:type="dxa"/>
          </w:tcPr>
          <w:p w14:paraId="13FD4BA0">
            <w:pPr>
              <w:pStyle w:val="935"/>
              <w:spacing w:before="66" w:line="219" w:lineRule="auto"/>
              <w:ind w:left="103"/>
              <w:rPr>
                <w:rFonts w:hint="eastAsia"/>
                <w:color w:val="auto"/>
                <w:highlight w:val="none"/>
              </w:rPr>
            </w:pPr>
            <w:r>
              <w:rPr>
                <w:color w:val="auto"/>
                <w:spacing w:val="-1"/>
                <w:highlight w:val="none"/>
              </w:rPr>
              <w:t>A10030503</w:t>
            </w:r>
            <w:r>
              <w:rPr>
                <w:color w:val="auto"/>
                <w:spacing w:val="-30"/>
                <w:highlight w:val="none"/>
              </w:rPr>
              <w:t xml:space="preserve"> </w:t>
            </w:r>
            <w:r>
              <w:rPr>
                <w:color w:val="auto"/>
                <w:spacing w:val="-1"/>
                <w:highlight w:val="none"/>
              </w:rPr>
              <w:t>轻质隔墙条板</w:t>
            </w:r>
          </w:p>
        </w:tc>
        <w:tc>
          <w:tcPr>
            <w:tcW w:w="2248" w:type="dxa"/>
          </w:tcPr>
          <w:p w14:paraId="774AEB66">
            <w:pPr>
              <w:rPr>
                <w:rFonts w:ascii="Arial"/>
                <w:color w:val="auto"/>
                <w:highlight w:val="none"/>
              </w:rPr>
            </w:pPr>
          </w:p>
        </w:tc>
        <w:tc>
          <w:tcPr>
            <w:tcW w:w="3543" w:type="dxa"/>
          </w:tcPr>
          <w:p w14:paraId="1035A3B1">
            <w:pPr>
              <w:pStyle w:val="935"/>
              <w:spacing w:before="66" w:line="219" w:lineRule="auto"/>
              <w:ind w:left="109"/>
              <w:rPr>
                <w:rFonts w:hint="eastAsia"/>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6D7F2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9AAE71B">
            <w:pPr>
              <w:pStyle w:val="935"/>
              <w:spacing w:before="95" w:line="183" w:lineRule="auto"/>
              <w:ind w:left="118"/>
              <w:rPr>
                <w:rFonts w:hint="eastAsia"/>
                <w:color w:val="auto"/>
                <w:highlight w:val="none"/>
              </w:rPr>
            </w:pPr>
            <w:r>
              <w:rPr>
                <w:color w:val="auto"/>
                <w:spacing w:val="-5"/>
                <w:highlight w:val="none"/>
              </w:rPr>
              <w:t>38</w:t>
            </w:r>
          </w:p>
        </w:tc>
        <w:tc>
          <w:tcPr>
            <w:tcW w:w="1542" w:type="dxa"/>
            <w:vMerge w:val="restart"/>
            <w:tcBorders>
              <w:bottom w:val="nil"/>
            </w:tcBorders>
          </w:tcPr>
          <w:p w14:paraId="6C70CC73">
            <w:pPr>
              <w:pStyle w:val="935"/>
              <w:spacing w:before="66" w:line="307" w:lineRule="auto"/>
              <w:ind w:left="111" w:right="108" w:hanging="9"/>
              <w:rPr>
                <w:rFonts w:hint="eastAsia"/>
                <w:color w:val="auto"/>
                <w:highlight w:val="none"/>
              </w:rPr>
            </w:pPr>
            <w:r>
              <w:rPr>
                <w:color w:val="auto"/>
                <w:spacing w:val="-1"/>
                <w:highlight w:val="none"/>
              </w:rPr>
              <w:t>A100307</w:t>
            </w:r>
            <w:r>
              <w:rPr>
                <w:color w:val="auto"/>
                <w:spacing w:val="36"/>
                <w:highlight w:val="none"/>
              </w:rPr>
              <w:t xml:space="preserve"> </w:t>
            </w:r>
            <w:r>
              <w:rPr>
                <w:color w:val="auto"/>
                <w:spacing w:val="-1"/>
                <w:highlight w:val="none"/>
              </w:rPr>
              <w:t>建筑</w:t>
            </w:r>
            <w:r>
              <w:rPr>
                <w:color w:val="auto"/>
                <w:spacing w:val="-52"/>
                <w:highlight w:val="none"/>
              </w:rPr>
              <w:t xml:space="preserve"> </w:t>
            </w:r>
            <w:r>
              <w:rPr>
                <w:color w:val="auto"/>
                <w:spacing w:val="-1"/>
                <w:highlight w:val="none"/>
              </w:rPr>
              <w:t>陶</w:t>
            </w:r>
            <w:r>
              <w:rPr>
                <w:color w:val="auto"/>
                <w:highlight w:val="none"/>
              </w:rPr>
              <w:t xml:space="preserve"> </w:t>
            </w:r>
            <w:r>
              <w:rPr>
                <w:color w:val="auto"/>
                <w:spacing w:val="-3"/>
                <w:highlight w:val="none"/>
              </w:rPr>
              <w:t>瓷制品</w:t>
            </w:r>
          </w:p>
        </w:tc>
        <w:tc>
          <w:tcPr>
            <w:tcW w:w="2672" w:type="dxa"/>
          </w:tcPr>
          <w:p w14:paraId="3E604938">
            <w:pPr>
              <w:pStyle w:val="935"/>
              <w:spacing w:before="66" w:line="221" w:lineRule="auto"/>
              <w:ind w:left="103"/>
              <w:rPr>
                <w:rFonts w:hint="eastAsia"/>
                <w:color w:val="auto"/>
                <w:highlight w:val="none"/>
              </w:rPr>
            </w:pPr>
            <w:r>
              <w:rPr>
                <w:color w:val="auto"/>
                <w:spacing w:val="-1"/>
                <w:highlight w:val="none"/>
              </w:rPr>
              <w:t>A10030701</w:t>
            </w:r>
            <w:r>
              <w:rPr>
                <w:color w:val="auto"/>
                <w:spacing w:val="-30"/>
                <w:highlight w:val="none"/>
              </w:rPr>
              <w:t xml:space="preserve"> </w:t>
            </w:r>
            <w:r>
              <w:rPr>
                <w:color w:val="auto"/>
                <w:spacing w:val="-1"/>
                <w:highlight w:val="none"/>
              </w:rPr>
              <w:t>瓷质砖</w:t>
            </w:r>
          </w:p>
        </w:tc>
        <w:tc>
          <w:tcPr>
            <w:tcW w:w="2248" w:type="dxa"/>
          </w:tcPr>
          <w:p w14:paraId="0EE5C37C">
            <w:pPr>
              <w:rPr>
                <w:rFonts w:ascii="Arial"/>
                <w:color w:val="auto"/>
                <w:highlight w:val="none"/>
              </w:rPr>
            </w:pPr>
          </w:p>
        </w:tc>
        <w:tc>
          <w:tcPr>
            <w:tcW w:w="3543" w:type="dxa"/>
          </w:tcPr>
          <w:p w14:paraId="1F89333B">
            <w:pPr>
              <w:pStyle w:val="935"/>
              <w:spacing w:before="66" w:line="219" w:lineRule="auto"/>
              <w:ind w:left="109"/>
              <w:rPr>
                <w:rFonts w:hint="eastAsia"/>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1704C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2150454">
            <w:pPr>
              <w:rPr>
                <w:rFonts w:ascii="Arial"/>
                <w:color w:val="auto"/>
                <w:highlight w:val="none"/>
              </w:rPr>
            </w:pPr>
          </w:p>
        </w:tc>
        <w:tc>
          <w:tcPr>
            <w:tcW w:w="1542" w:type="dxa"/>
            <w:vMerge w:val="continue"/>
            <w:tcBorders>
              <w:top w:val="nil"/>
              <w:bottom w:val="nil"/>
            </w:tcBorders>
          </w:tcPr>
          <w:p w14:paraId="3B53EE8C">
            <w:pPr>
              <w:rPr>
                <w:rFonts w:ascii="Arial"/>
                <w:color w:val="auto"/>
                <w:highlight w:val="none"/>
              </w:rPr>
            </w:pPr>
          </w:p>
        </w:tc>
        <w:tc>
          <w:tcPr>
            <w:tcW w:w="2672" w:type="dxa"/>
          </w:tcPr>
          <w:p w14:paraId="1DF33725">
            <w:pPr>
              <w:pStyle w:val="935"/>
              <w:spacing w:before="66" w:line="221" w:lineRule="auto"/>
              <w:ind w:left="103"/>
              <w:rPr>
                <w:rFonts w:hint="eastAsia"/>
                <w:color w:val="auto"/>
                <w:highlight w:val="none"/>
              </w:rPr>
            </w:pPr>
            <w:r>
              <w:rPr>
                <w:color w:val="auto"/>
                <w:highlight w:val="none"/>
              </w:rPr>
              <w:t>A10030704 炻质砖</w:t>
            </w:r>
          </w:p>
        </w:tc>
        <w:tc>
          <w:tcPr>
            <w:tcW w:w="2248" w:type="dxa"/>
          </w:tcPr>
          <w:p w14:paraId="16974875">
            <w:pPr>
              <w:rPr>
                <w:rFonts w:ascii="Arial"/>
                <w:color w:val="auto"/>
                <w:highlight w:val="none"/>
              </w:rPr>
            </w:pPr>
          </w:p>
        </w:tc>
        <w:tc>
          <w:tcPr>
            <w:tcW w:w="3543" w:type="dxa"/>
          </w:tcPr>
          <w:p w14:paraId="44C364F4">
            <w:pPr>
              <w:pStyle w:val="935"/>
              <w:spacing w:before="66" w:line="219" w:lineRule="auto"/>
              <w:ind w:left="109"/>
              <w:rPr>
                <w:rFonts w:hint="eastAsia"/>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4A1D9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CE6BC87">
            <w:pPr>
              <w:rPr>
                <w:rFonts w:ascii="Arial"/>
                <w:color w:val="auto"/>
                <w:highlight w:val="none"/>
              </w:rPr>
            </w:pPr>
          </w:p>
        </w:tc>
        <w:tc>
          <w:tcPr>
            <w:tcW w:w="1542" w:type="dxa"/>
            <w:vMerge w:val="continue"/>
            <w:tcBorders>
              <w:top w:val="nil"/>
              <w:bottom w:val="nil"/>
            </w:tcBorders>
          </w:tcPr>
          <w:p w14:paraId="2ADB5A24">
            <w:pPr>
              <w:rPr>
                <w:rFonts w:ascii="Arial"/>
                <w:color w:val="auto"/>
                <w:highlight w:val="none"/>
              </w:rPr>
            </w:pPr>
          </w:p>
        </w:tc>
        <w:tc>
          <w:tcPr>
            <w:tcW w:w="2672" w:type="dxa"/>
          </w:tcPr>
          <w:p w14:paraId="3C1DDB6A">
            <w:pPr>
              <w:pStyle w:val="935"/>
              <w:spacing w:before="66" w:line="221" w:lineRule="auto"/>
              <w:ind w:left="103"/>
              <w:rPr>
                <w:rFonts w:hint="eastAsia"/>
                <w:color w:val="auto"/>
                <w:highlight w:val="none"/>
              </w:rPr>
            </w:pPr>
            <w:r>
              <w:rPr>
                <w:color w:val="auto"/>
                <w:spacing w:val="-2"/>
                <w:highlight w:val="none"/>
              </w:rPr>
              <w:t>A10030705</w:t>
            </w:r>
            <w:r>
              <w:rPr>
                <w:color w:val="auto"/>
                <w:spacing w:val="-17"/>
                <w:highlight w:val="none"/>
              </w:rPr>
              <w:t xml:space="preserve"> </w:t>
            </w:r>
            <w:r>
              <w:rPr>
                <w:color w:val="auto"/>
                <w:spacing w:val="-2"/>
                <w:highlight w:val="none"/>
              </w:rPr>
              <w:t>陶质砖</w:t>
            </w:r>
          </w:p>
        </w:tc>
        <w:tc>
          <w:tcPr>
            <w:tcW w:w="2248" w:type="dxa"/>
          </w:tcPr>
          <w:p w14:paraId="60773E28">
            <w:pPr>
              <w:rPr>
                <w:rFonts w:ascii="Arial"/>
                <w:color w:val="auto"/>
                <w:highlight w:val="none"/>
              </w:rPr>
            </w:pPr>
          </w:p>
        </w:tc>
        <w:tc>
          <w:tcPr>
            <w:tcW w:w="3543" w:type="dxa"/>
          </w:tcPr>
          <w:p w14:paraId="59987DC4">
            <w:pPr>
              <w:pStyle w:val="935"/>
              <w:spacing w:before="66" w:line="219" w:lineRule="auto"/>
              <w:ind w:left="109"/>
              <w:rPr>
                <w:rFonts w:hint="eastAsia"/>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7D039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6D4318A6">
            <w:pPr>
              <w:rPr>
                <w:rFonts w:ascii="Arial"/>
                <w:color w:val="auto"/>
                <w:highlight w:val="none"/>
              </w:rPr>
            </w:pPr>
          </w:p>
        </w:tc>
        <w:tc>
          <w:tcPr>
            <w:tcW w:w="1542" w:type="dxa"/>
            <w:vMerge w:val="continue"/>
            <w:tcBorders>
              <w:top w:val="nil"/>
            </w:tcBorders>
          </w:tcPr>
          <w:p w14:paraId="4215906A">
            <w:pPr>
              <w:rPr>
                <w:rFonts w:ascii="Arial"/>
                <w:color w:val="auto"/>
                <w:highlight w:val="none"/>
              </w:rPr>
            </w:pPr>
          </w:p>
        </w:tc>
        <w:tc>
          <w:tcPr>
            <w:tcW w:w="2672" w:type="dxa"/>
          </w:tcPr>
          <w:p w14:paraId="505212F1">
            <w:pPr>
              <w:pStyle w:val="935"/>
              <w:spacing w:before="66" w:line="221" w:lineRule="auto"/>
              <w:ind w:left="103"/>
              <w:rPr>
                <w:rFonts w:hint="eastAsia"/>
                <w:color w:val="auto"/>
                <w:highlight w:val="none"/>
              </w:rPr>
            </w:pPr>
            <w:r>
              <w:rPr>
                <w:color w:val="auto"/>
                <w:highlight w:val="none"/>
              </w:rPr>
              <w:t>A10030799 其他建筑陶瓷制品</w:t>
            </w:r>
          </w:p>
        </w:tc>
        <w:tc>
          <w:tcPr>
            <w:tcW w:w="2248" w:type="dxa"/>
          </w:tcPr>
          <w:p w14:paraId="77AD789F">
            <w:pPr>
              <w:rPr>
                <w:rFonts w:ascii="Arial"/>
                <w:color w:val="auto"/>
                <w:highlight w:val="none"/>
              </w:rPr>
            </w:pPr>
          </w:p>
        </w:tc>
        <w:tc>
          <w:tcPr>
            <w:tcW w:w="3543" w:type="dxa"/>
          </w:tcPr>
          <w:p w14:paraId="54F95A21">
            <w:pPr>
              <w:pStyle w:val="935"/>
              <w:spacing w:before="66" w:line="219" w:lineRule="auto"/>
              <w:ind w:left="109"/>
              <w:rPr>
                <w:rFonts w:hint="eastAsia"/>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07B93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0D351AB4">
            <w:pPr>
              <w:pStyle w:val="935"/>
              <w:spacing w:before="95" w:line="183" w:lineRule="auto"/>
              <w:ind w:left="118"/>
              <w:rPr>
                <w:rFonts w:hint="eastAsia"/>
                <w:color w:val="auto"/>
                <w:highlight w:val="none"/>
              </w:rPr>
            </w:pPr>
            <w:r>
              <w:rPr>
                <w:color w:val="auto"/>
                <w:spacing w:val="-5"/>
                <w:highlight w:val="none"/>
              </w:rPr>
              <w:t>39</w:t>
            </w:r>
          </w:p>
        </w:tc>
        <w:tc>
          <w:tcPr>
            <w:tcW w:w="1542" w:type="dxa"/>
            <w:vMerge w:val="restart"/>
            <w:tcBorders>
              <w:bottom w:val="nil"/>
            </w:tcBorders>
          </w:tcPr>
          <w:p w14:paraId="494E290E">
            <w:pPr>
              <w:pStyle w:val="935"/>
              <w:spacing w:before="66" w:line="306" w:lineRule="auto"/>
              <w:ind w:left="109" w:right="108" w:hanging="7"/>
              <w:rPr>
                <w:rFonts w:hint="eastAsia"/>
                <w:color w:val="auto"/>
                <w:highlight w:val="none"/>
              </w:rPr>
            </w:pPr>
            <w:r>
              <w:rPr>
                <w:color w:val="auto"/>
                <w:spacing w:val="-1"/>
                <w:highlight w:val="none"/>
              </w:rPr>
              <w:t>A100309</w:t>
            </w:r>
            <w:r>
              <w:rPr>
                <w:color w:val="auto"/>
                <w:spacing w:val="34"/>
                <w:w w:val="101"/>
                <w:highlight w:val="none"/>
              </w:rPr>
              <w:t xml:space="preserve"> </w:t>
            </w:r>
            <w:r>
              <w:rPr>
                <w:color w:val="auto"/>
                <w:spacing w:val="-1"/>
                <w:highlight w:val="none"/>
              </w:rPr>
              <w:t>建筑</w:t>
            </w:r>
            <w:r>
              <w:rPr>
                <w:color w:val="auto"/>
                <w:spacing w:val="-51"/>
                <w:highlight w:val="none"/>
              </w:rPr>
              <w:t xml:space="preserve"> </w:t>
            </w:r>
            <w:r>
              <w:rPr>
                <w:color w:val="auto"/>
                <w:spacing w:val="-1"/>
                <w:highlight w:val="none"/>
              </w:rPr>
              <w:t>防</w:t>
            </w:r>
            <w:r>
              <w:rPr>
                <w:color w:val="auto"/>
                <w:highlight w:val="none"/>
              </w:rPr>
              <w:t xml:space="preserve"> </w:t>
            </w:r>
            <w:r>
              <w:rPr>
                <w:color w:val="auto"/>
                <w:spacing w:val="-2"/>
                <w:highlight w:val="none"/>
              </w:rPr>
              <w:t>水卷材及制品</w:t>
            </w:r>
          </w:p>
        </w:tc>
        <w:tc>
          <w:tcPr>
            <w:tcW w:w="2672" w:type="dxa"/>
          </w:tcPr>
          <w:p w14:paraId="5689EABB">
            <w:pPr>
              <w:pStyle w:val="935"/>
              <w:spacing w:before="66" w:line="283" w:lineRule="auto"/>
              <w:ind w:left="110" w:right="107" w:hanging="7"/>
              <w:rPr>
                <w:rFonts w:hint="eastAsia"/>
                <w:color w:val="auto"/>
                <w:highlight w:val="none"/>
              </w:rPr>
            </w:pPr>
            <w:r>
              <w:rPr>
                <w:color w:val="auto"/>
                <w:spacing w:val="-1"/>
                <w:highlight w:val="none"/>
              </w:rPr>
              <w:t>A10030901</w:t>
            </w:r>
            <w:r>
              <w:rPr>
                <w:color w:val="auto"/>
                <w:spacing w:val="-47"/>
                <w:highlight w:val="none"/>
              </w:rPr>
              <w:t xml:space="preserve"> </w:t>
            </w:r>
            <w:r>
              <w:rPr>
                <w:color w:val="auto"/>
                <w:spacing w:val="-1"/>
                <w:highlight w:val="none"/>
              </w:rPr>
              <w:t>沥青和改性沥青防水</w:t>
            </w:r>
            <w:r>
              <w:rPr>
                <w:color w:val="auto"/>
                <w:highlight w:val="none"/>
              </w:rPr>
              <w:t xml:space="preserve"> </w:t>
            </w:r>
            <w:r>
              <w:rPr>
                <w:color w:val="auto"/>
                <w:spacing w:val="-3"/>
                <w:highlight w:val="none"/>
              </w:rPr>
              <w:t>卷材</w:t>
            </w:r>
          </w:p>
        </w:tc>
        <w:tc>
          <w:tcPr>
            <w:tcW w:w="2248" w:type="dxa"/>
          </w:tcPr>
          <w:p w14:paraId="03FEF050">
            <w:pPr>
              <w:rPr>
                <w:rFonts w:ascii="Arial"/>
                <w:color w:val="auto"/>
                <w:highlight w:val="none"/>
              </w:rPr>
            </w:pPr>
          </w:p>
        </w:tc>
        <w:tc>
          <w:tcPr>
            <w:tcW w:w="3543" w:type="dxa"/>
          </w:tcPr>
          <w:p w14:paraId="6655E183">
            <w:pPr>
              <w:pStyle w:val="935"/>
              <w:spacing w:before="66" w:line="219" w:lineRule="auto"/>
              <w:ind w:left="109"/>
              <w:rPr>
                <w:rFonts w:hint="eastAsia"/>
                <w:color w:val="auto"/>
                <w:highlight w:val="none"/>
              </w:rPr>
            </w:pPr>
            <w:r>
              <w:rPr>
                <w:color w:val="auto"/>
                <w:spacing w:val="-2"/>
                <w:highlight w:val="none"/>
              </w:rPr>
              <w:t>HJ455</w:t>
            </w:r>
            <w:r>
              <w:rPr>
                <w:color w:val="auto"/>
                <w:spacing w:val="-25"/>
                <w:highlight w:val="none"/>
              </w:rPr>
              <w:t xml:space="preserve"> </w:t>
            </w:r>
            <w:r>
              <w:rPr>
                <w:color w:val="auto"/>
                <w:spacing w:val="-2"/>
                <w:highlight w:val="none"/>
              </w:rPr>
              <w:t>防水卷材</w:t>
            </w:r>
          </w:p>
        </w:tc>
      </w:tr>
      <w:tr w14:paraId="6E11F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68911BCD">
            <w:pPr>
              <w:rPr>
                <w:rFonts w:ascii="Arial"/>
                <w:color w:val="auto"/>
                <w:highlight w:val="none"/>
              </w:rPr>
            </w:pPr>
          </w:p>
        </w:tc>
        <w:tc>
          <w:tcPr>
            <w:tcW w:w="1542" w:type="dxa"/>
            <w:vMerge w:val="continue"/>
            <w:tcBorders>
              <w:top w:val="nil"/>
              <w:bottom w:val="nil"/>
            </w:tcBorders>
          </w:tcPr>
          <w:p w14:paraId="21E480EF">
            <w:pPr>
              <w:rPr>
                <w:rFonts w:ascii="Arial"/>
                <w:color w:val="auto"/>
                <w:highlight w:val="none"/>
              </w:rPr>
            </w:pPr>
          </w:p>
        </w:tc>
        <w:tc>
          <w:tcPr>
            <w:tcW w:w="2672" w:type="dxa"/>
          </w:tcPr>
          <w:p w14:paraId="56331528">
            <w:pPr>
              <w:pStyle w:val="935"/>
              <w:spacing w:before="67" w:line="219" w:lineRule="auto"/>
              <w:ind w:left="103"/>
              <w:rPr>
                <w:rFonts w:hint="eastAsia"/>
                <w:color w:val="auto"/>
                <w:highlight w:val="none"/>
              </w:rPr>
            </w:pPr>
            <w:r>
              <w:rPr>
                <w:color w:val="auto"/>
                <w:spacing w:val="-2"/>
                <w:highlight w:val="none"/>
              </w:rPr>
              <w:t>A10030903</w:t>
            </w:r>
            <w:r>
              <w:rPr>
                <w:color w:val="auto"/>
                <w:spacing w:val="36"/>
                <w:highlight w:val="none"/>
              </w:rPr>
              <w:t xml:space="preserve"> </w:t>
            </w:r>
            <w:r>
              <w:rPr>
                <w:color w:val="auto"/>
                <w:spacing w:val="-2"/>
                <w:highlight w:val="none"/>
              </w:rPr>
              <w:t>自粘防水卷材</w:t>
            </w:r>
          </w:p>
        </w:tc>
        <w:tc>
          <w:tcPr>
            <w:tcW w:w="2248" w:type="dxa"/>
          </w:tcPr>
          <w:p w14:paraId="00BF928D">
            <w:pPr>
              <w:rPr>
                <w:rFonts w:ascii="Arial"/>
                <w:color w:val="auto"/>
                <w:highlight w:val="none"/>
              </w:rPr>
            </w:pPr>
          </w:p>
        </w:tc>
        <w:tc>
          <w:tcPr>
            <w:tcW w:w="3543" w:type="dxa"/>
          </w:tcPr>
          <w:p w14:paraId="5065D7BB">
            <w:pPr>
              <w:pStyle w:val="935"/>
              <w:spacing w:before="66" w:line="219" w:lineRule="auto"/>
              <w:ind w:left="109"/>
              <w:rPr>
                <w:rFonts w:hint="eastAsia"/>
                <w:color w:val="auto"/>
                <w:highlight w:val="none"/>
              </w:rPr>
            </w:pPr>
            <w:r>
              <w:rPr>
                <w:color w:val="auto"/>
                <w:spacing w:val="-2"/>
                <w:highlight w:val="none"/>
              </w:rPr>
              <w:t>HJ455</w:t>
            </w:r>
            <w:r>
              <w:rPr>
                <w:color w:val="auto"/>
                <w:spacing w:val="-25"/>
                <w:highlight w:val="none"/>
              </w:rPr>
              <w:t xml:space="preserve"> </w:t>
            </w:r>
            <w:r>
              <w:rPr>
                <w:color w:val="auto"/>
                <w:spacing w:val="-2"/>
                <w:highlight w:val="none"/>
              </w:rPr>
              <w:t>防水卷材</w:t>
            </w:r>
          </w:p>
        </w:tc>
      </w:tr>
      <w:tr w14:paraId="6D91B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tcBorders>
          </w:tcPr>
          <w:p w14:paraId="4233220D">
            <w:pPr>
              <w:rPr>
                <w:rFonts w:ascii="Arial"/>
                <w:color w:val="auto"/>
                <w:highlight w:val="none"/>
              </w:rPr>
            </w:pPr>
          </w:p>
        </w:tc>
        <w:tc>
          <w:tcPr>
            <w:tcW w:w="1542" w:type="dxa"/>
            <w:vMerge w:val="continue"/>
            <w:tcBorders>
              <w:top w:val="nil"/>
            </w:tcBorders>
          </w:tcPr>
          <w:p w14:paraId="3EAE1687">
            <w:pPr>
              <w:rPr>
                <w:rFonts w:ascii="Arial"/>
                <w:color w:val="auto"/>
                <w:highlight w:val="none"/>
              </w:rPr>
            </w:pPr>
          </w:p>
        </w:tc>
        <w:tc>
          <w:tcPr>
            <w:tcW w:w="2672" w:type="dxa"/>
          </w:tcPr>
          <w:p w14:paraId="37A30FA9">
            <w:pPr>
              <w:pStyle w:val="935"/>
              <w:spacing w:before="66" w:line="283" w:lineRule="auto"/>
              <w:ind w:left="108" w:right="102" w:hanging="5"/>
              <w:rPr>
                <w:rFonts w:hint="eastAsia"/>
                <w:color w:val="auto"/>
                <w:highlight w:val="none"/>
              </w:rPr>
            </w:pPr>
            <w:r>
              <w:rPr>
                <w:color w:val="auto"/>
                <w:spacing w:val="-2"/>
                <w:highlight w:val="none"/>
              </w:rPr>
              <w:t>A10030906</w:t>
            </w:r>
            <w:r>
              <w:rPr>
                <w:color w:val="auto"/>
                <w:spacing w:val="-24"/>
                <w:highlight w:val="none"/>
              </w:rPr>
              <w:t xml:space="preserve"> </w:t>
            </w:r>
            <w:r>
              <w:rPr>
                <w:color w:val="auto"/>
                <w:spacing w:val="-2"/>
                <w:highlight w:val="none"/>
              </w:rPr>
              <w:t>高分子防水卷（片）</w:t>
            </w:r>
            <w:r>
              <w:rPr>
                <w:color w:val="auto"/>
                <w:highlight w:val="none"/>
              </w:rPr>
              <w:t xml:space="preserve"> 材</w:t>
            </w:r>
          </w:p>
        </w:tc>
        <w:tc>
          <w:tcPr>
            <w:tcW w:w="2248" w:type="dxa"/>
          </w:tcPr>
          <w:p w14:paraId="059C9F57">
            <w:pPr>
              <w:rPr>
                <w:rFonts w:ascii="Arial"/>
                <w:color w:val="auto"/>
                <w:highlight w:val="none"/>
              </w:rPr>
            </w:pPr>
          </w:p>
        </w:tc>
        <w:tc>
          <w:tcPr>
            <w:tcW w:w="3543" w:type="dxa"/>
          </w:tcPr>
          <w:p w14:paraId="64997105">
            <w:pPr>
              <w:pStyle w:val="935"/>
              <w:spacing w:before="66" w:line="219" w:lineRule="auto"/>
              <w:ind w:left="109"/>
              <w:rPr>
                <w:rFonts w:hint="eastAsia"/>
                <w:color w:val="auto"/>
                <w:highlight w:val="none"/>
              </w:rPr>
            </w:pPr>
            <w:r>
              <w:rPr>
                <w:color w:val="auto"/>
                <w:spacing w:val="-2"/>
                <w:highlight w:val="none"/>
              </w:rPr>
              <w:t>HJ455</w:t>
            </w:r>
            <w:r>
              <w:rPr>
                <w:color w:val="auto"/>
                <w:spacing w:val="-25"/>
                <w:highlight w:val="none"/>
              </w:rPr>
              <w:t xml:space="preserve"> </w:t>
            </w:r>
            <w:r>
              <w:rPr>
                <w:color w:val="auto"/>
                <w:spacing w:val="-2"/>
                <w:highlight w:val="none"/>
              </w:rPr>
              <w:t>防水卷材</w:t>
            </w:r>
          </w:p>
        </w:tc>
      </w:tr>
      <w:tr w14:paraId="713F6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094B7A58">
            <w:pPr>
              <w:pStyle w:val="935"/>
              <w:spacing w:before="95" w:line="183" w:lineRule="auto"/>
              <w:ind w:left="114"/>
              <w:rPr>
                <w:rFonts w:hint="eastAsia"/>
                <w:color w:val="auto"/>
                <w:highlight w:val="none"/>
              </w:rPr>
            </w:pPr>
            <w:r>
              <w:rPr>
                <w:color w:val="auto"/>
                <w:spacing w:val="-3"/>
                <w:highlight w:val="none"/>
              </w:rPr>
              <w:t>40</w:t>
            </w:r>
          </w:p>
        </w:tc>
        <w:tc>
          <w:tcPr>
            <w:tcW w:w="1542" w:type="dxa"/>
            <w:vMerge w:val="restart"/>
            <w:tcBorders>
              <w:bottom w:val="nil"/>
            </w:tcBorders>
          </w:tcPr>
          <w:p w14:paraId="2FA12B41">
            <w:pPr>
              <w:pStyle w:val="935"/>
              <w:spacing w:before="68" w:line="311" w:lineRule="auto"/>
              <w:ind w:left="106" w:right="106" w:hanging="4"/>
              <w:rPr>
                <w:rFonts w:hint="eastAsia"/>
                <w:color w:val="auto"/>
                <w:highlight w:val="none"/>
              </w:rPr>
            </w:pPr>
            <w:r>
              <w:rPr>
                <w:color w:val="auto"/>
                <w:spacing w:val="-8"/>
                <w:highlight w:val="none"/>
              </w:rPr>
              <w:t>A100310</w:t>
            </w:r>
            <w:r>
              <w:rPr>
                <w:color w:val="auto"/>
                <w:spacing w:val="-25"/>
                <w:highlight w:val="none"/>
              </w:rPr>
              <w:t xml:space="preserve"> </w:t>
            </w:r>
            <w:r>
              <w:rPr>
                <w:color w:val="auto"/>
                <w:spacing w:val="-8"/>
                <w:highlight w:val="none"/>
              </w:rPr>
              <w:t>隔热、隔</w:t>
            </w:r>
            <w:r>
              <w:rPr>
                <w:color w:val="auto"/>
                <w:highlight w:val="none"/>
              </w:rPr>
              <w:t xml:space="preserve"> </w:t>
            </w:r>
            <w:r>
              <w:rPr>
                <w:color w:val="auto"/>
                <w:spacing w:val="9"/>
                <w:highlight w:val="none"/>
              </w:rPr>
              <w:t>音人造矿物材料</w:t>
            </w:r>
            <w:r>
              <w:rPr>
                <w:color w:val="auto"/>
                <w:spacing w:val="-2"/>
                <w:highlight w:val="none"/>
              </w:rPr>
              <w:t>及其制品</w:t>
            </w:r>
          </w:p>
        </w:tc>
        <w:tc>
          <w:tcPr>
            <w:tcW w:w="2672" w:type="dxa"/>
          </w:tcPr>
          <w:p w14:paraId="550539AC">
            <w:pPr>
              <w:pStyle w:val="935"/>
              <w:spacing w:before="68" w:line="282" w:lineRule="auto"/>
              <w:ind w:left="108" w:right="107" w:hanging="5"/>
              <w:rPr>
                <w:rFonts w:hint="eastAsia"/>
                <w:color w:val="auto"/>
                <w:highlight w:val="none"/>
                <w:lang w:eastAsia="zh-CN"/>
              </w:rPr>
            </w:pPr>
            <w:r>
              <w:rPr>
                <w:color w:val="auto"/>
                <w:spacing w:val="6"/>
                <w:highlight w:val="none"/>
                <w:lang w:eastAsia="zh-CN"/>
              </w:rPr>
              <w:t>A10031001 矿物绝热和吸声材</w:t>
            </w:r>
            <w:r>
              <w:rPr>
                <w:color w:val="auto"/>
                <w:spacing w:val="7"/>
                <w:highlight w:val="none"/>
                <w:lang w:eastAsia="zh-CN"/>
              </w:rPr>
              <w:t xml:space="preserve"> </w:t>
            </w:r>
            <w:r>
              <w:rPr>
                <w:color w:val="auto"/>
                <w:highlight w:val="none"/>
                <w:lang w:eastAsia="zh-CN"/>
              </w:rPr>
              <w:t>料</w:t>
            </w:r>
          </w:p>
        </w:tc>
        <w:tc>
          <w:tcPr>
            <w:tcW w:w="2248" w:type="dxa"/>
          </w:tcPr>
          <w:p w14:paraId="44826C40">
            <w:pPr>
              <w:rPr>
                <w:rFonts w:ascii="Arial"/>
                <w:color w:val="auto"/>
                <w:highlight w:val="none"/>
              </w:rPr>
            </w:pPr>
          </w:p>
        </w:tc>
        <w:tc>
          <w:tcPr>
            <w:tcW w:w="3543" w:type="dxa"/>
          </w:tcPr>
          <w:p w14:paraId="5A7FBB40">
            <w:pPr>
              <w:pStyle w:val="935"/>
              <w:spacing w:before="67" w:line="219" w:lineRule="auto"/>
              <w:ind w:left="109"/>
              <w:rPr>
                <w:rFonts w:hint="eastAsia"/>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5F27D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28029C45">
            <w:pPr>
              <w:rPr>
                <w:rFonts w:ascii="Arial"/>
                <w:color w:val="auto"/>
                <w:highlight w:val="none"/>
              </w:rPr>
            </w:pPr>
          </w:p>
        </w:tc>
        <w:tc>
          <w:tcPr>
            <w:tcW w:w="1542" w:type="dxa"/>
            <w:vMerge w:val="continue"/>
            <w:tcBorders>
              <w:top w:val="nil"/>
            </w:tcBorders>
          </w:tcPr>
          <w:p w14:paraId="0731CB87">
            <w:pPr>
              <w:rPr>
                <w:rFonts w:ascii="Arial"/>
                <w:color w:val="auto"/>
                <w:highlight w:val="none"/>
              </w:rPr>
            </w:pPr>
          </w:p>
        </w:tc>
        <w:tc>
          <w:tcPr>
            <w:tcW w:w="2672" w:type="dxa"/>
          </w:tcPr>
          <w:p w14:paraId="1C599FF6">
            <w:pPr>
              <w:pStyle w:val="935"/>
              <w:spacing w:before="68" w:line="219" w:lineRule="auto"/>
              <w:ind w:left="103"/>
              <w:rPr>
                <w:rFonts w:hint="eastAsia"/>
                <w:color w:val="auto"/>
                <w:highlight w:val="none"/>
              </w:rPr>
            </w:pPr>
            <w:r>
              <w:rPr>
                <w:color w:val="auto"/>
                <w:spacing w:val="-1"/>
                <w:highlight w:val="none"/>
              </w:rPr>
              <w:t>A10031002</w:t>
            </w:r>
            <w:r>
              <w:rPr>
                <w:color w:val="auto"/>
                <w:spacing w:val="-30"/>
                <w:highlight w:val="none"/>
              </w:rPr>
              <w:t xml:space="preserve"> </w:t>
            </w:r>
            <w:r>
              <w:rPr>
                <w:color w:val="auto"/>
                <w:spacing w:val="-1"/>
                <w:highlight w:val="none"/>
              </w:rPr>
              <w:t>矿物材料制品</w:t>
            </w:r>
          </w:p>
        </w:tc>
        <w:tc>
          <w:tcPr>
            <w:tcW w:w="2248" w:type="dxa"/>
          </w:tcPr>
          <w:p w14:paraId="355A5066">
            <w:pPr>
              <w:rPr>
                <w:rFonts w:ascii="Arial"/>
                <w:color w:val="auto"/>
                <w:highlight w:val="none"/>
              </w:rPr>
            </w:pPr>
          </w:p>
        </w:tc>
        <w:tc>
          <w:tcPr>
            <w:tcW w:w="3543" w:type="dxa"/>
          </w:tcPr>
          <w:p w14:paraId="64CB1D16">
            <w:pPr>
              <w:pStyle w:val="935"/>
              <w:spacing w:before="67" w:line="219" w:lineRule="auto"/>
              <w:ind w:left="109"/>
              <w:rPr>
                <w:rFonts w:hint="eastAsia"/>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1FFE74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15C3357F">
            <w:pPr>
              <w:pStyle w:val="935"/>
              <w:spacing w:before="95" w:line="184" w:lineRule="auto"/>
              <w:ind w:left="114"/>
              <w:rPr>
                <w:rFonts w:hint="eastAsia"/>
                <w:color w:val="auto"/>
                <w:highlight w:val="none"/>
              </w:rPr>
            </w:pPr>
            <w:r>
              <w:rPr>
                <w:color w:val="auto"/>
                <w:spacing w:val="-3"/>
                <w:highlight w:val="none"/>
              </w:rPr>
              <w:t>41</w:t>
            </w:r>
          </w:p>
        </w:tc>
        <w:tc>
          <w:tcPr>
            <w:tcW w:w="1542" w:type="dxa"/>
          </w:tcPr>
          <w:p w14:paraId="7CE7F710">
            <w:pPr>
              <w:pStyle w:val="935"/>
              <w:spacing w:before="68" w:line="282" w:lineRule="auto"/>
              <w:ind w:left="109" w:right="108" w:hanging="7"/>
              <w:rPr>
                <w:rFonts w:hint="eastAsia"/>
                <w:color w:val="auto"/>
                <w:highlight w:val="none"/>
              </w:rPr>
            </w:pPr>
            <w:r>
              <w:rPr>
                <w:color w:val="auto"/>
                <w:spacing w:val="3"/>
                <w:highlight w:val="none"/>
              </w:rPr>
              <w:t>A100601</w:t>
            </w:r>
            <w:r>
              <w:rPr>
                <w:color w:val="auto"/>
                <w:spacing w:val="34"/>
                <w:highlight w:val="none"/>
              </w:rPr>
              <w:t xml:space="preserve"> </w:t>
            </w:r>
            <w:r>
              <w:rPr>
                <w:color w:val="auto"/>
                <w:spacing w:val="3"/>
                <w:highlight w:val="none"/>
              </w:rPr>
              <w:t>功能性</w:t>
            </w:r>
            <w:r>
              <w:rPr>
                <w:color w:val="auto"/>
                <w:highlight w:val="none"/>
              </w:rPr>
              <w:t xml:space="preserve"> </w:t>
            </w:r>
            <w:r>
              <w:rPr>
                <w:color w:val="auto"/>
                <w:spacing w:val="-2"/>
                <w:highlight w:val="none"/>
              </w:rPr>
              <w:t>建筑涂料</w:t>
            </w:r>
          </w:p>
        </w:tc>
        <w:tc>
          <w:tcPr>
            <w:tcW w:w="2672" w:type="dxa"/>
          </w:tcPr>
          <w:p w14:paraId="69FE2E46">
            <w:pPr>
              <w:rPr>
                <w:rFonts w:ascii="Arial"/>
                <w:color w:val="auto"/>
                <w:highlight w:val="none"/>
              </w:rPr>
            </w:pPr>
          </w:p>
        </w:tc>
        <w:tc>
          <w:tcPr>
            <w:tcW w:w="2248" w:type="dxa"/>
          </w:tcPr>
          <w:p w14:paraId="5742313C">
            <w:pPr>
              <w:rPr>
                <w:rFonts w:ascii="Arial"/>
                <w:color w:val="auto"/>
                <w:highlight w:val="none"/>
              </w:rPr>
            </w:pPr>
          </w:p>
        </w:tc>
        <w:tc>
          <w:tcPr>
            <w:tcW w:w="3543" w:type="dxa"/>
          </w:tcPr>
          <w:p w14:paraId="2167A3AA">
            <w:pPr>
              <w:pStyle w:val="935"/>
              <w:spacing w:before="67" w:line="219" w:lineRule="auto"/>
              <w:ind w:left="109"/>
              <w:rPr>
                <w:rFonts w:hint="eastAsia"/>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33454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7FCAC746">
            <w:pPr>
              <w:pStyle w:val="935"/>
              <w:spacing w:before="97" w:line="183" w:lineRule="auto"/>
              <w:ind w:left="114"/>
              <w:rPr>
                <w:rFonts w:hint="eastAsia"/>
                <w:color w:val="auto"/>
                <w:highlight w:val="none"/>
              </w:rPr>
            </w:pPr>
            <w:r>
              <w:rPr>
                <w:color w:val="auto"/>
                <w:spacing w:val="-3"/>
                <w:highlight w:val="none"/>
              </w:rPr>
              <w:t>42</w:t>
            </w:r>
          </w:p>
        </w:tc>
        <w:tc>
          <w:tcPr>
            <w:tcW w:w="1542" w:type="dxa"/>
          </w:tcPr>
          <w:p w14:paraId="214BB826">
            <w:pPr>
              <w:pStyle w:val="935"/>
              <w:spacing w:before="69" w:line="284" w:lineRule="auto"/>
              <w:ind w:left="109" w:right="106" w:firstLine="84"/>
              <w:rPr>
                <w:rFonts w:hint="eastAsia"/>
                <w:color w:val="auto"/>
                <w:highlight w:val="none"/>
              </w:rPr>
            </w:pPr>
            <w:r>
              <w:rPr>
                <w:color w:val="auto"/>
                <w:spacing w:val="-1"/>
                <w:highlight w:val="none"/>
              </w:rPr>
              <w:t>A100399</w:t>
            </w:r>
            <w:r>
              <w:rPr>
                <w:color w:val="auto"/>
                <w:spacing w:val="-15"/>
                <w:highlight w:val="none"/>
              </w:rPr>
              <w:t xml:space="preserve"> </w:t>
            </w:r>
            <w:r>
              <w:rPr>
                <w:color w:val="auto"/>
                <w:spacing w:val="-1"/>
                <w:highlight w:val="none"/>
              </w:rPr>
              <w:t>其他非</w:t>
            </w:r>
            <w:r>
              <w:rPr>
                <w:color w:val="auto"/>
                <w:highlight w:val="none"/>
              </w:rPr>
              <w:t xml:space="preserve"> </w:t>
            </w:r>
            <w:r>
              <w:rPr>
                <w:color w:val="auto"/>
                <w:spacing w:val="-2"/>
                <w:highlight w:val="none"/>
              </w:rPr>
              <w:t>金属矿物制品</w:t>
            </w:r>
          </w:p>
        </w:tc>
        <w:tc>
          <w:tcPr>
            <w:tcW w:w="2672" w:type="dxa"/>
          </w:tcPr>
          <w:p w14:paraId="70E45D0C">
            <w:pPr>
              <w:pStyle w:val="935"/>
              <w:spacing w:before="68" w:line="219" w:lineRule="auto"/>
              <w:ind w:left="103"/>
              <w:rPr>
                <w:rFonts w:hint="eastAsia"/>
                <w:color w:val="auto"/>
                <w:highlight w:val="none"/>
              </w:rPr>
            </w:pPr>
            <w:r>
              <w:rPr>
                <w:color w:val="auto"/>
                <w:spacing w:val="-1"/>
                <w:highlight w:val="none"/>
              </w:rPr>
              <w:t>A10039901</w:t>
            </w:r>
            <w:r>
              <w:rPr>
                <w:color w:val="auto"/>
                <w:spacing w:val="-45"/>
                <w:highlight w:val="none"/>
              </w:rPr>
              <w:t xml:space="preserve"> </w:t>
            </w:r>
            <w:r>
              <w:rPr>
                <w:color w:val="auto"/>
                <w:spacing w:val="-1"/>
                <w:highlight w:val="none"/>
              </w:rPr>
              <w:t>其他非金属建筑材料</w:t>
            </w:r>
          </w:p>
        </w:tc>
        <w:tc>
          <w:tcPr>
            <w:tcW w:w="2248" w:type="dxa"/>
          </w:tcPr>
          <w:p w14:paraId="03D28DFF">
            <w:pPr>
              <w:rPr>
                <w:rFonts w:ascii="Arial"/>
                <w:color w:val="auto"/>
                <w:highlight w:val="none"/>
              </w:rPr>
            </w:pPr>
          </w:p>
        </w:tc>
        <w:tc>
          <w:tcPr>
            <w:tcW w:w="3543" w:type="dxa"/>
          </w:tcPr>
          <w:p w14:paraId="3F9E3432">
            <w:pPr>
              <w:pStyle w:val="935"/>
              <w:spacing w:before="68" w:line="219" w:lineRule="auto"/>
              <w:ind w:left="109"/>
              <w:rPr>
                <w:rFonts w:hint="eastAsia"/>
                <w:color w:val="auto"/>
                <w:highlight w:val="none"/>
              </w:rPr>
            </w:pPr>
            <w:r>
              <w:rPr>
                <w:color w:val="auto"/>
                <w:spacing w:val="-2"/>
                <w:highlight w:val="none"/>
              </w:rPr>
              <w:t>HJ456</w:t>
            </w:r>
            <w:r>
              <w:rPr>
                <w:color w:val="auto"/>
                <w:spacing w:val="-23"/>
                <w:highlight w:val="none"/>
              </w:rPr>
              <w:t xml:space="preserve"> </w:t>
            </w:r>
            <w:r>
              <w:rPr>
                <w:color w:val="auto"/>
                <w:spacing w:val="-2"/>
                <w:highlight w:val="none"/>
              </w:rPr>
              <w:t>刚性防水材料</w:t>
            </w:r>
          </w:p>
        </w:tc>
      </w:tr>
      <w:tr w14:paraId="2AA60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vMerge w:val="restart"/>
            <w:tcBorders>
              <w:bottom w:val="nil"/>
            </w:tcBorders>
          </w:tcPr>
          <w:p w14:paraId="0343D6B8">
            <w:pPr>
              <w:pStyle w:val="935"/>
              <w:spacing w:before="96" w:line="183" w:lineRule="auto"/>
              <w:ind w:left="114"/>
              <w:rPr>
                <w:rFonts w:hint="eastAsia"/>
                <w:color w:val="auto"/>
                <w:highlight w:val="none"/>
              </w:rPr>
            </w:pPr>
            <w:r>
              <w:rPr>
                <w:color w:val="auto"/>
                <w:spacing w:val="-3"/>
                <w:highlight w:val="none"/>
              </w:rPr>
              <w:t>43</w:t>
            </w:r>
          </w:p>
        </w:tc>
        <w:tc>
          <w:tcPr>
            <w:tcW w:w="1542" w:type="dxa"/>
            <w:vMerge w:val="restart"/>
            <w:tcBorders>
              <w:bottom w:val="nil"/>
            </w:tcBorders>
          </w:tcPr>
          <w:p w14:paraId="5C910165">
            <w:pPr>
              <w:pStyle w:val="935"/>
              <w:spacing w:before="68" w:line="307" w:lineRule="auto"/>
              <w:ind w:left="107" w:right="108" w:hanging="5"/>
              <w:rPr>
                <w:rFonts w:hint="eastAsia"/>
                <w:color w:val="auto"/>
                <w:highlight w:val="none"/>
              </w:rPr>
            </w:pPr>
            <w:r>
              <w:rPr>
                <w:color w:val="auto"/>
                <w:spacing w:val="3"/>
                <w:highlight w:val="none"/>
              </w:rPr>
              <w:t>A100602</w:t>
            </w:r>
            <w:r>
              <w:rPr>
                <w:color w:val="auto"/>
                <w:spacing w:val="34"/>
                <w:highlight w:val="none"/>
              </w:rPr>
              <w:t xml:space="preserve"> </w:t>
            </w:r>
            <w:r>
              <w:rPr>
                <w:color w:val="auto"/>
                <w:spacing w:val="3"/>
                <w:highlight w:val="none"/>
              </w:rPr>
              <w:t>墙面涂</w:t>
            </w:r>
            <w:r>
              <w:rPr>
                <w:color w:val="auto"/>
                <w:highlight w:val="none"/>
              </w:rPr>
              <w:t xml:space="preserve"> 料</w:t>
            </w:r>
          </w:p>
        </w:tc>
        <w:tc>
          <w:tcPr>
            <w:tcW w:w="2672" w:type="dxa"/>
          </w:tcPr>
          <w:p w14:paraId="41EF7482">
            <w:pPr>
              <w:pStyle w:val="935"/>
              <w:spacing w:before="69" w:line="284" w:lineRule="auto"/>
              <w:ind w:left="108" w:right="107" w:hanging="5"/>
              <w:rPr>
                <w:rFonts w:hint="eastAsia"/>
                <w:color w:val="auto"/>
                <w:highlight w:val="none"/>
              </w:rPr>
            </w:pPr>
            <w:r>
              <w:rPr>
                <w:color w:val="auto"/>
                <w:spacing w:val="-1"/>
                <w:highlight w:val="none"/>
              </w:rPr>
              <w:t>A10060202</w:t>
            </w:r>
            <w:r>
              <w:rPr>
                <w:color w:val="auto"/>
                <w:spacing w:val="-47"/>
                <w:highlight w:val="none"/>
              </w:rPr>
              <w:t xml:space="preserve"> </w:t>
            </w:r>
            <w:r>
              <w:rPr>
                <w:color w:val="auto"/>
                <w:spacing w:val="-1"/>
                <w:highlight w:val="none"/>
              </w:rPr>
              <w:t>合成树脂乳液内墙涂</w:t>
            </w:r>
            <w:r>
              <w:rPr>
                <w:color w:val="auto"/>
                <w:highlight w:val="none"/>
              </w:rPr>
              <w:t xml:space="preserve"> 料</w:t>
            </w:r>
          </w:p>
        </w:tc>
        <w:tc>
          <w:tcPr>
            <w:tcW w:w="2248" w:type="dxa"/>
          </w:tcPr>
          <w:p w14:paraId="1A557087">
            <w:pPr>
              <w:rPr>
                <w:rFonts w:ascii="Arial"/>
                <w:color w:val="auto"/>
                <w:highlight w:val="none"/>
              </w:rPr>
            </w:pPr>
          </w:p>
        </w:tc>
        <w:tc>
          <w:tcPr>
            <w:tcW w:w="3543" w:type="dxa"/>
          </w:tcPr>
          <w:p w14:paraId="5ACAA197">
            <w:pPr>
              <w:pStyle w:val="935"/>
              <w:spacing w:before="67" w:line="219" w:lineRule="auto"/>
              <w:ind w:left="109"/>
              <w:rPr>
                <w:rFonts w:hint="eastAsia"/>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687CE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bottom w:val="nil"/>
            </w:tcBorders>
          </w:tcPr>
          <w:p w14:paraId="3D7529D1">
            <w:pPr>
              <w:rPr>
                <w:rFonts w:ascii="Arial"/>
                <w:color w:val="auto"/>
                <w:highlight w:val="none"/>
              </w:rPr>
            </w:pPr>
          </w:p>
        </w:tc>
        <w:tc>
          <w:tcPr>
            <w:tcW w:w="1542" w:type="dxa"/>
            <w:vMerge w:val="continue"/>
            <w:tcBorders>
              <w:top w:val="nil"/>
              <w:bottom w:val="nil"/>
            </w:tcBorders>
          </w:tcPr>
          <w:p w14:paraId="52D21483">
            <w:pPr>
              <w:rPr>
                <w:rFonts w:ascii="Arial"/>
                <w:color w:val="auto"/>
                <w:highlight w:val="none"/>
              </w:rPr>
            </w:pPr>
          </w:p>
        </w:tc>
        <w:tc>
          <w:tcPr>
            <w:tcW w:w="2672" w:type="dxa"/>
          </w:tcPr>
          <w:p w14:paraId="6069BA68">
            <w:pPr>
              <w:pStyle w:val="935"/>
              <w:spacing w:before="64" w:line="284" w:lineRule="auto"/>
              <w:ind w:left="108" w:right="107" w:hanging="5"/>
              <w:rPr>
                <w:rFonts w:hint="eastAsia"/>
                <w:color w:val="auto"/>
                <w:highlight w:val="none"/>
              </w:rPr>
            </w:pPr>
            <w:r>
              <w:rPr>
                <w:color w:val="auto"/>
                <w:spacing w:val="-1"/>
                <w:highlight w:val="none"/>
              </w:rPr>
              <w:t>A10060203</w:t>
            </w:r>
            <w:r>
              <w:rPr>
                <w:color w:val="auto"/>
                <w:spacing w:val="-47"/>
                <w:highlight w:val="none"/>
              </w:rPr>
              <w:t xml:space="preserve"> </w:t>
            </w:r>
            <w:r>
              <w:rPr>
                <w:color w:val="auto"/>
                <w:spacing w:val="-1"/>
                <w:highlight w:val="none"/>
              </w:rPr>
              <w:t>合成树脂乳液外墙涂</w:t>
            </w:r>
            <w:r>
              <w:rPr>
                <w:color w:val="auto"/>
                <w:highlight w:val="none"/>
              </w:rPr>
              <w:t xml:space="preserve"> 料</w:t>
            </w:r>
          </w:p>
        </w:tc>
        <w:tc>
          <w:tcPr>
            <w:tcW w:w="2248" w:type="dxa"/>
          </w:tcPr>
          <w:p w14:paraId="5321194C">
            <w:pPr>
              <w:rPr>
                <w:rFonts w:ascii="Arial"/>
                <w:color w:val="auto"/>
                <w:highlight w:val="none"/>
              </w:rPr>
            </w:pPr>
          </w:p>
        </w:tc>
        <w:tc>
          <w:tcPr>
            <w:tcW w:w="3543" w:type="dxa"/>
          </w:tcPr>
          <w:p w14:paraId="37D45991">
            <w:pPr>
              <w:pStyle w:val="935"/>
              <w:spacing w:before="63" w:line="219" w:lineRule="auto"/>
              <w:ind w:left="109"/>
              <w:rPr>
                <w:rFonts w:hint="eastAsia"/>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731D9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tcBorders>
          </w:tcPr>
          <w:p w14:paraId="1B567BC8">
            <w:pPr>
              <w:rPr>
                <w:rFonts w:ascii="Arial"/>
                <w:color w:val="auto"/>
                <w:highlight w:val="none"/>
              </w:rPr>
            </w:pPr>
          </w:p>
        </w:tc>
        <w:tc>
          <w:tcPr>
            <w:tcW w:w="1542" w:type="dxa"/>
            <w:vMerge w:val="continue"/>
            <w:tcBorders>
              <w:top w:val="nil"/>
            </w:tcBorders>
          </w:tcPr>
          <w:p w14:paraId="5FD7731C">
            <w:pPr>
              <w:rPr>
                <w:rFonts w:ascii="Arial"/>
                <w:color w:val="auto"/>
                <w:highlight w:val="none"/>
              </w:rPr>
            </w:pPr>
          </w:p>
        </w:tc>
        <w:tc>
          <w:tcPr>
            <w:tcW w:w="2672" w:type="dxa"/>
          </w:tcPr>
          <w:p w14:paraId="6767CFA3">
            <w:pPr>
              <w:pStyle w:val="935"/>
              <w:spacing w:before="64" w:line="221" w:lineRule="auto"/>
              <w:ind w:left="103"/>
              <w:rPr>
                <w:rFonts w:hint="eastAsia"/>
                <w:color w:val="auto"/>
                <w:highlight w:val="none"/>
              </w:rPr>
            </w:pPr>
            <w:r>
              <w:rPr>
                <w:color w:val="auto"/>
                <w:spacing w:val="-1"/>
                <w:highlight w:val="none"/>
              </w:rPr>
              <w:t>A10060299</w:t>
            </w:r>
            <w:r>
              <w:rPr>
                <w:color w:val="auto"/>
                <w:spacing w:val="-30"/>
                <w:highlight w:val="none"/>
              </w:rPr>
              <w:t xml:space="preserve"> </w:t>
            </w:r>
            <w:r>
              <w:rPr>
                <w:color w:val="auto"/>
                <w:spacing w:val="-1"/>
                <w:highlight w:val="none"/>
              </w:rPr>
              <w:t>其他墙面涂料</w:t>
            </w:r>
          </w:p>
        </w:tc>
        <w:tc>
          <w:tcPr>
            <w:tcW w:w="2248" w:type="dxa"/>
          </w:tcPr>
          <w:p w14:paraId="14959196">
            <w:pPr>
              <w:rPr>
                <w:rFonts w:ascii="Arial"/>
                <w:color w:val="auto"/>
                <w:highlight w:val="none"/>
              </w:rPr>
            </w:pPr>
          </w:p>
        </w:tc>
        <w:tc>
          <w:tcPr>
            <w:tcW w:w="3543" w:type="dxa"/>
          </w:tcPr>
          <w:p w14:paraId="48FED426">
            <w:pPr>
              <w:pStyle w:val="935"/>
              <w:spacing w:before="64" w:line="219" w:lineRule="auto"/>
              <w:ind w:left="109"/>
              <w:rPr>
                <w:rFonts w:hint="eastAsia"/>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0F19F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5197ED8B">
            <w:pPr>
              <w:pStyle w:val="935"/>
              <w:spacing w:before="93" w:line="183" w:lineRule="auto"/>
              <w:ind w:left="114"/>
              <w:rPr>
                <w:rFonts w:hint="eastAsia"/>
                <w:color w:val="auto"/>
                <w:highlight w:val="none"/>
              </w:rPr>
            </w:pPr>
            <w:r>
              <w:rPr>
                <w:color w:val="auto"/>
                <w:spacing w:val="-3"/>
                <w:highlight w:val="none"/>
              </w:rPr>
              <w:t>44</w:t>
            </w:r>
          </w:p>
        </w:tc>
        <w:tc>
          <w:tcPr>
            <w:tcW w:w="1542" w:type="dxa"/>
          </w:tcPr>
          <w:p w14:paraId="4C80C024">
            <w:pPr>
              <w:pStyle w:val="935"/>
              <w:spacing w:before="66" w:line="283" w:lineRule="auto"/>
              <w:ind w:left="107" w:right="108" w:hanging="5"/>
              <w:rPr>
                <w:rFonts w:hint="eastAsia"/>
                <w:color w:val="auto"/>
                <w:highlight w:val="none"/>
              </w:rPr>
            </w:pPr>
            <w:r>
              <w:rPr>
                <w:color w:val="auto"/>
                <w:spacing w:val="2"/>
                <w:highlight w:val="none"/>
              </w:rPr>
              <w:t>A100604</w:t>
            </w:r>
            <w:r>
              <w:rPr>
                <w:color w:val="auto"/>
                <w:spacing w:val="44"/>
                <w:highlight w:val="none"/>
              </w:rPr>
              <w:t xml:space="preserve"> </w:t>
            </w:r>
            <w:r>
              <w:rPr>
                <w:color w:val="auto"/>
                <w:spacing w:val="2"/>
                <w:highlight w:val="none"/>
              </w:rPr>
              <w:t>防水涂</w:t>
            </w:r>
            <w:r>
              <w:rPr>
                <w:color w:val="auto"/>
                <w:highlight w:val="none"/>
              </w:rPr>
              <w:t xml:space="preserve"> 料</w:t>
            </w:r>
          </w:p>
        </w:tc>
        <w:tc>
          <w:tcPr>
            <w:tcW w:w="2672" w:type="dxa"/>
          </w:tcPr>
          <w:p w14:paraId="02580C55">
            <w:pPr>
              <w:pStyle w:val="935"/>
              <w:spacing w:before="65" w:line="220" w:lineRule="auto"/>
              <w:ind w:left="103"/>
              <w:rPr>
                <w:rFonts w:hint="eastAsia"/>
                <w:color w:val="auto"/>
                <w:highlight w:val="none"/>
              </w:rPr>
            </w:pPr>
            <w:r>
              <w:rPr>
                <w:color w:val="auto"/>
                <w:spacing w:val="-1"/>
                <w:highlight w:val="none"/>
              </w:rPr>
              <w:t>A10060499</w:t>
            </w:r>
            <w:r>
              <w:rPr>
                <w:color w:val="auto"/>
                <w:spacing w:val="-30"/>
                <w:highlight w:val="none"/>
              </w:rPr>
              <w:t xml:space="preserve"> </w:t>
            </w:r>
            <w:r>
              <w:rPr>
                <w:color w:val="auto"/>
                <w:spacing w:val="-1"/>
                <w:highlight w:val="none"/>
              </w:rPr>
              <w:t>其他防水涂料</w:t>
            </w:r>
          </w:p>
        </w:tc>
        <w:tc>
          <w:tcPr>
            <w:tcW w:w="2248" w:type="dxa"/>
          </w:tcPr>
          <w:p w14:paraId="06DDD7E6">
            <w:pPr>
              <w:rPr>
                <w:rFonts w:ascii="Arial"/>
                <w:color w:val="auto"/>
                <w:highlight w:val="none"/>
              </w:rPr>
            </w:pPr>
          </w:p>
        </w:tc>
        <w:tc>
          <w:tcPr>
            <w:tcW w:w="3543" w:type="dxa"/>
          </w:tcPr>
          <w:p w14:paraId="07B03CD2">
            <w:pPr>
              <w:pStyle w:val="935"/>
              <w:spacing w:before="65" w:line="219" w:lineRule="auto"/>
              <w:ind w:left="109"/>
              <w:rPr>
                <w:rFonts w:hint="eastAsia"/>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4B1A9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7284ACEA">
            <w:pPr>
              <w:pStyle w:val="935"/>
              <w:spacing w:before="94" w:line="183" w:lineRule="auto"/>
              <w:ind w:left="114"/>
              <w:rPr>
                <w:rFonts w:hint="eastAsia"/>
                <w:color w:val="auto"/>
                <w:highlight w:val="none"/>
              </w:rPr>
            </w:pPr>
            <w:r>
              <w:rPr>
                <w:color w:val="auto"/>
                <w:spacing w:val="-3"/>
                <w:highlight w:val="none"/>
              </w:rPr>
              <w:t>45</w:t>
            </w:r>
          </w:p>
        </w:tc>
        <w:tc>
          <w:tcPr>
            <w:tcW w:w="1542" w:type="dxa"/>
          </w:tcPr>
          <w:p w14:paraId="66EA8005">
            <w:pPr>
              <w:pStyle w:val="935"/>
              <w:spacing w:before="66" w:line="283" w:lineRule="auto"/>
              <w:ind w:left="109" w:right="108" w:hanging="7"/>
              <w:rPr>
                <w:rFonts w:hint="eastAsia"/>
                <w:color w:val="auto"/>
                <w:highlight w:val="none"/>
              </w:rPr>
            </w:pPr>
            <w:r>
              <w:rPr>
                <w:color w:val="auto"/>
                <w:spacing w:val="3"/>
                <w:highlight w:val="none"/>
              </w:rPr>
              <w:t>A100699</w:t>
            </w:r>
            <w:r>
              <w:rPr>
                <w:color w:val="auto"/>
                <w:spacing w:val="34"/>
                <w:highlight w:val="none"/>
              </w:rPr>
              <w:t xml:space="preserve"> </w:t>
            </w:r>
            <w:r>
              <w:rPr>
                <w:color w:val="auto"/>
                <w:spacing w:val="3"/>
                <w:highlight w:val="none"/>
              </w:rPr>
              <w:t>其他建</w:t>
            </w:r>
            <w:r>
              <w:rPr>
                <w:color w:val="auto"/>
                <w:spacing w:val="-2"/>
                <w:highlight w:val="none"/>
              </w:rPr>
              <w:t>筑涂料</w:t>
            </w:r>
          </w:p>
        </w:tc>
        <w:tc>
          <w:tcPr>
            <w:tcW w:w="2672" w:type="dxa"/>
          </w:tcPr>
          <w:p w14:paraId="4D3E3920">
            <w:pPr>
              <w:rPr>
                <w:rFonts w:ascii="Arial"/>
                <w:color w:val="auto"/>
                <w:highlight w:val="none"/>
              </w:rPr>
            </w:pPr>
          </w:p>
        </w:tc>
        <w:tc>
          <w:tcPr>
            <w:tcW w:w="2248" w:type="dxa"/>
          </w:tcPr>
          <w:p w14:paraId="67225D62">
            <w:pPr>
              <w:rPr>
                <w:rFonts w:ascii="Arial"/>
                <w:color w:val="auto"/>
                <w:highlight w:val="none"/>
              </w:rPr>
            </w:pPr>
          </w:p>
        </w:tc>
        <w:tc>
          <w:tcPr>
            <w:tcW w:w="3543" w:type="dxa"/>
          </w:tcPr>
          <w:p w14:paraId="2C6573DC">
            <w:pPr>
              <w:pStyle w:val="935"/>
              <w:spacing w:before="65" w:line="219" w:lineRule="auto"/>
              <w:ind w:left="109"/>
              <w:rPr>
                <w:rFonts w:hint="eastAsia"/>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59801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83" w:type="dxa"/>
          </w:tcPr>
          <w:p w14:paraId="553B2FD5">
            <w:pPr>
              <w:pStyle w:val="935"/>
              <w:spacing w:before="95" w:line="183" w:lineRule="auto"/>
              <w:ind w:left="114"/>
              <w:rPr>
                <w:rFonts w:hint="eastAsia"/>
                <w:color w:val="auto"/>
                <w:highlight w:val="none"/>
              </w:rPr>
            </w:pPr>
            <w:r>
              <w:rPr>
                <w:color w:val="auto"/>
                <w:spacing w:val="-3"/>
                <w:highlight w:val="none"/>
              </w:rPr>
              <w:t>46</w:t>
            </w:r>
          </w:p>
        </w:tc>
        <w:tc>
          <w:tcPr>
            <w:tcW w:w="1542" w:type="dxa"/>
          </w:tcPr>
          <w:p w14:paraId="5AA6DA3D">
            <w:pPr>
              <w:pStyle w:val="935"/>
              <w:spacing w:before="66" w:line="222" w:lineRule="auto"/>
              <w:ind w:left="102"/>
              <w:rPr>
                <w:rFonts w:hint="eastAsia"/>
                <w:color w:val="auto"/>
                <w:highlight w:val="none"/>
              </w:rPr>
            </w:pPr>
            <w:r>
              <w:rPr>
                <w:color w:val="auto"/>
                <w:spacing w:val="-8"/>
                <w:highlight w:val="none"/>
              </w:rPr>
              <w:t>A100701</w:t>
            </w:r>
            <w:r>
              <w:rPr>
                <w:color w:val="auto"/>
                <w:spacing w:val="-12"/>
                <w:highlight w:val="none"/>
              </w:rPr>
              <w:t xml:space="preserve"> </w:t>
            </w:r>
            <w:r>
              <w:rPr>
                <w:color w:val="auto"/>
                <w:spacing w:val="-8"/>
                <w:highlight w:val="none"/>
              </w:rPr>
              <w:t>门、门槛</w:t>
            </w:r>
          </w:p>
        </w:tc>
        <w:tc>
          <w:tcPr>
            <w:tcW w:w="2672" w:type="dxa"/>
          </w:tcPr>
          <w:p w14:paraId="4E0F4A86">
            <w:pPr>
              <w:rPr>
                <w:rFonts w:ascii="Arial"/>
                <w:color w:val="auto"/>
                <w:highlight w:val="none"/>
              </w:rPr>
            </w:pPr>
          </w:p>
        </w:tc>
        <w:tc>
          <w:tcPr>
            <w:tcW w:w="2248" w:type="dxa"/>
          </w:tcPr>
          <w:p w14:paraId="3BAAD3E4">
            <w:pPr>
              <w:rPr>
                <w:rFonts w:ascii="Arial"/>
                <w:color w:val="auto"/>
                <w:highlight w:val="none"/>
              </w:rPr>
            </w:pPr>
          </w:p>
        </w:tc>
        <w:tc>
          <w:tcPr>
            <w:tcW w:w="3543" w:type="dxa"/>
          </w:tcPr>
          <w:p w14:paraId="238FAA2C">
            <w:pPr>
              <w:pStyle w:val="935"/>
              <w:spacing w:before="66" w:line="219" w:lineRule="auto"/>
              <w:ind w:left="109"/>
              <w:rPr>
                <w:rFonts w:hint="eastAsia"/>
                <w:color w:val="auto"/>
                <w:highlight w:val="none"/>
                <w:lang w:eastAsia="zh-CN"/>
              </w:rPr>
            </w:pPr>
            <w:r>
              <w:rPr>
                <w:color w:val="auto"/>
                <w:spacing w:val="-1"/>
                <w:highlight w:val="none"/>
                <w:lang w:eastAsia="zh-CN"/>
              </w:rPr>
              <w:t>HJ/T 237</w:t>
            </w:r>
            <w:r>
              <w:rPr>
                <w:color w:val="auto"/>
                <w:spacing w:val="-32"/>
                <w:highlight w:val="none"/>
                <w:lang w:eastAsia="zh-CN"/>
              </w:rPr>
              <w:t xml:space="preserve"> </w:t>
            </w:r>
            <w:r>
              <w:rPr>
                <w:color w:val="auto"/>
                <w:spacing w:val="-1"/>
                <w:highlight w:val="none"/>
                <w:lang w:eastAsia="zh-CN"/>
              </w:rPr>
              <w:t>塑料门窗/HJ459</w:t>
            </w:r>
            <w:r>
              <w:rPr>
                <w:color w:val="auto"/>
                <w:spacing w:val="-37"/>
                <w:highlight w:val="none"/>
                <w:lang w:eastAsia="zh-CN"/>
              </w:rPr>
              <w:t xml:space="preserve"> </w:t>
            </w:r>
            <w:r>
              <w:rPr>
                <w:color w:val="auto"/>
                <w:spacing w:val="-1"/>
                <w:highlight w:val="none"/>
                <w:lang w:eastAsia="zh-CN"/>
              </w:rPr>
              <w:t>木</w:t>
            </w:r>
            <w:r>
              <w:rPr>
                <w:color w:val="auto"/>
                <w:spacing w:val="-2"/>
                <w:highlight w:val="none"/>
                <w:lang w:eastAsia="zh-CN"/>
              </w:rPr>
              <w:t>质门和钢质门</w:t>
            </w:r>
          </w:p>
        </w:tc>
      </w:tr>
      <w:tr w14:paraId="75F98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21744F53">
            <w:pPr>
              <w:pStyle w:val="935"/>
              <w:spacing w:before="95" w:line="183" w:lineRule="auto"/>
              <w:ind w:left="114"/>
              <w:rPr>
                <w:rFonts w:hint="eastAsia"/>
                <w:color w:val="auto"/>
                <w:highlight w:val="none"/>
              </w:rPr>
            </w:pPr>
            <w:r>
              <w:rPr>
                <w:color w:val="auto"/>
                <w:spacing w:val="-3"/>
                <w:highlight w:val="none"/>
              </w:rPr>
              <w:t>47</w:t>
            </w:r>
          </w:p>
        </w:tc>
        <w:tc>
          <w:tcPr>
            <w:tcW w:w="1542" w:type="dxa"/>
          </w:tcPr>
          <w:p w14:paraId="0613E9E3">
            <w:pPr>
              <w:pStyle w:val="935"/>
              <w:spacing w:before="66" w:line="221" w:lineRule="auto"/>
              <w:ind w:left="102"/>
              <w:rPr>
                <w:rFonts w:hint="eastAsia"/>
                <w:color w:val="auto"/>
                <w:highlight w:val="none"/>
              </w:rPr>
            </w:pPr>
            <w:r>
              <w:rPr>
                <w:color w:val="auto"/>
                <w:spacing w:val="-1"/>
                <w:highlight w:val="none"/>
              </w:rPr>
              <w:t>A100702</w:t>
            </w:r>
            <w:r>
              <w:rPr>
                <w:color w:val="auto"/>
                <w:spacing w:val="-24"/>
                <w:highlight w:val="none"/>
              </w:rPr>
              <w:t xml:space="preserve"> </w:t>
            </w:r>
            <w:r>
              <w:rPr>
                <w:color w:val="auto"/>
                <w:spacing w:val="-1"/>
                <w:highlight w:val="none"/>
              </w:rPr>
              <w:t>窗</w:t>
            </w:r>
          </w:p>
        </w:tc>
        <w:tc>
          <w:tcPr>
            <w:tcW w:w="2672" w:type="dxa"/>
          </w:tcPr>
          <w:p w14:paraId="45006EEC">
            <w:pPr>
              <w:rPr>
                <w:rFonts w:ascii="Arial"/>
                <w:color w:val="auto"/>
                <w:highlight w:val="none"/>
              </w:rPr>
            </w:pPr>
          </w:p>
        </w:tc>
        <w:tc>
          <w:tcPr>
            <w:tcW w:w="2248" w:type="dxa"/>
          </w:tcPr>
          <w:p w14:paraId="3CAC3C2F">
            <w:pPr>
              <w:rPr>
                <w:rFonts w:ascii="Arial"/>
                <w:color w:val="auto"/>
                <w:highlight w:val="none"/>
              </w:rPr>
            </w:pPr>
          </w:p>
        </w:tc>
        <w:tc>
          <w:tcPr>
            <w:tcW w:w="3543" w:type="dxa"/>
          </w:tcPr>
          <w:p w14:paraId="368DB8DB">
            <w:pPr>
              <w:pStyle w:val="935"/>
              <w:spacing w:before="66" w:line="219" w:lineRule="auto"/>
              <w:ind w:left="109"/>
              <w:rPr>
                <w:rFonts w:hint="eastAsia"/>
                <w:color w:val="auto"/>
                <w:highlight w:val="none"/>
              </w:rPr>
            </w:pPr>
            <w:r>
              <w:rPr>
                <w:color w:val="auto"/>
                <w:spacing w:val="-1"/>
                <w:highlight w:val="none"/>
              </w:rPr>
              <w:t>HJ/T237</w:t>
            </w:r>
            <w:r>
              <w:rPr>
                <w:color w:val="auto"/>
                <w:spacing w:val="-33"/>
                <w:highlight w:val="none"/>
              </w:rPr>
              <w:t xml:space="preserve"> </w:t>
            </w:r>
            <w:r>
              <w:rPr>
                <w:color w:val="auto"/>
                <w:spacing w:val="-1"/>
                <w:highlight w:val="none"/>
              </w:rPr>
              <w:t>塑料门窗</w:t>
            </w:r>
          </w:p>
        </w:tc>
      </w:tr>
      <w:tr w14:paraId="7F616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83" w:type="dxa"/>
          </w:tcPr>
          <w:p w14:paraId="006F0F04">
            <w:pPr>
              <w:pStyle w:val="935"/>
              <w:spacing w:before="98" w:line="183" w:lineRule="auto"/>
              <w:ind w:left="114"/>
              <w:rPr>
                <w:rFonts w:hint="eastAsia"/>
                <w:color w:val="auto"/>
                <w:highlight w:val="none"/>
              </w:rPr>
            </w:pPr>
            <w:r>
              <w:rPr>
                <w:color w:val="auto"/>
                <w:spacing w:val="-3"/>
                <w:highlight w:val="none"/>
              </w:rPr>
              <w:t>48</w:t>
            </w:r>
          </w:p>
        </w:tc>
        <w:tc>
          <w:tcPr>
            <w:tcW w:w="1542" w:type="dxa"/>
          </w:tcPr>
          <w:p w14:paraId="3F9FB5BD">
            <w:pPr>
              <w:pStyle w:val="935"/>
              <w:spacing w:before="70" w:line="282" w:lineRule="auto"/>
              <w:ind w:left="109" w:right="106" w:hanging="7"/>
              <w:rPr>
                <w:rFonts w:hint="eastAsia"/>
                <w:color w:val="auto"/>
                <w:highlight w:val="none"/>
              </w:rPr>
            </w:pPr>
            <w:r>
              <w:rPr>
                <w:color w:val="auto"/>
                <w:spacing w:val="-8"/>
                <w:highlight w:val="none"/>
              </w:rPr>
              <w:t>A170108</w:t>
            </w:r>
            <w:r>
              <w:rPr>
                <w:color w:val="auto"/>
                <w:spacing w:val="-25"/>
                <w:highlight w:val="none"/>
              </w:rPr>
              <w:t xml:space="preserve"> </w:t>
            </w:r>
            <w:r>
              <w:rPr>
                <w:color w:val="auto"/>
                <w:spacing w:val="-8"/>
                <w:highlight w:val="none"/>
              </w:rPr>
              <w:t>涂料（建</w:t>
            </w:r>
            <w:r>
              <w:rPr>
                <w:color w:val="auto"/>
                <w:highlight w:val="none"/>
              </w:rPr>
              <w:t xml:space="preserve"> </w:t>
            </w:r>
            <w:r>
              <w:rPr>
                <w:color w:val="auto"/>
                <w:spacing w:val="-2"/>
                <w:highlight w:val="none"/>
              </w:rPr>
              <w:t>筑涂料除外）</w:t>
            </w:r>
          </w:p>
        </w:tc>
        <w:tc>
          <w:tcPr>
            <w:tcW w:w="2672" w:type="dxa"/>
          </w:tcPr>
          <w:p w14:paraId="6D0BF0B8">
            <w:pPr>
              <w:rPr>
                <w:rFonts w:ascii="Arial"/>
                <w:color w:val="auto"/>
                <w:highlight w:val="none"/>
              </w:rPr>
            </w:pPr>
          </w:p>
        </w:tc>
        <w:tc>
          <w:tcPr>
            <w:tcW w:w="2248" w:type="dxa"/>
          </w:tcPr>
          <w:p w14:paraId="7E1EBF12">
            <w:pPr>
              <w:rPr>
                <w:rFonts w:ascii="Arial"/>
                <w:color w:val="auto"/>
                <w:highlight w:val="none"/>
              </w:rPr>
            </w:pPr>
          </w:p>
        </w:tc>
        <w:tc>
          <w:tcPr>
            <w:tcW w:w="3543" w:type="dxa"/>
          </w:tcPr>
          <w:p w14:paraId="7C951C08">
            <w:pPr>
              <w:pStyle w:val="935"/>
              <w:spacing w:before="69" w:line="219" w:lineRule="auto"/>
              <w:ind w:left="109"/>
              <w:rPr>
                <w:rFonts w:hint="eastAsia"/>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4C212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55CF83D0">
            <w:pPr>
              <w:pStyle w:val="935"/>
              <w:spacing w:before="96" w:line="183" w:lineRule="auto"/>
              <w:ind w:left="114"/>
              <w:rPr>
                <w:rFonts w:hint="eastAsia"/>
                <w:color w:val="auto"/>
                <w:highlight w:val="none"/>
              </w:rPr>
            </w:pPr>
            <w:r>
              <w:rPr>
                <w:color w:val="auto"/>
                <w:spacing w:val="-3"/>
                <w:highlight w:val="none"/>
              </w:rPr>
              <w:t>49</w:t>
            </w:r>
          </w:p>
        </w:tc>
        <w:tc>
          <w:tcPr>
            <w:tcW w:w="1542" w:type="dxa"/>
          </w:tcPr>
          <w:p w14:paraId="1500B32F">
            <w:pPr>
              <w:pStyle w:val="935"/>
              <w:spacing w:before="68" w:line="282" w:lineRule="auto"/>
              <w:ind w:left="109" w:right="108" w:hanging="7"/>
              <w:rPr>
                <w:rFonts w:hint="eastAsia"/>
                <w:color w:val="auto"/>
                <w:highlight w:val="none"/>
              </w:rPr>
            </w:pPr>
            <w:r>
              <w:rPr>
                <w:color w:val="auto"/>
                <w:spacing w:val="3"/>
                <w:highlight w:val="none"/>
              </w:rPr>
              <w:t>A170112</w:t>
            </w:r>
            <w:r>
              <w:rPr>
                <w:color w:val="auto"/>
                <w:spacing w:val="34"/>
                <w:highlight w:val="none"/>
              </w:rPr>
              <w:t xml:space="preserve"> </w:t>
            </w:r>
            <w:r>
              <w:rPr>
                <w:color w:val="auto"/>
                <w:spacing w:val="3"/>
                <w:highlight w:val="none"/>
              </w:rPr>
              <w:t>密封用</w:t>
            </w:r>
            <w:r>
              <w:rPr>
                <w:color w:val="auto"/>
                <w:highlight w:val="none"/>
              </w:rPr>
              <w:t xml:space="preserve"> </w:t>
            </w:r>
            <w:r>
              <w:rPr>
                <w:color w:val="auto"/>
                <w:spacing w:val="-2"/>
                <w:highlight w:val="none"/>
              </w:rPr>
              <w:t>填料及类似品</w:t>
            </w:r>
          </w:p>
        </w:tc>
        <w:tc>
          <w:tcPr>
            <w:tcW w:w="2672" w:type="dxa"/>
          </w:tcPr>
          <w:p w14:paraId="56E6C5C6">
            <w:pPr>
              <w:rPr>
                <w:rFonts w:ascii="Arial"/>
                <w:color w:val="auto"/>
                <w:highlight w:val="none"/>
              </w:rPr>
            </w:pPr>
          </w:p>
        </w:tc>
        <w:tc>
          <w:tcPr>
            <w:tcW w:w="2248" w:type="dxa"/>
          </w:tcPr>
          <w:p w14:paraId="6E3E2381">
            <w:pPr>
              <w:rPr>
                <w:rFonts w:ascii="Arial"/>
                <w:color w:val="auto"/>
                <w:highlight w:val="none"/>
              </w:rPr>
            </w:pPr>
          </w:p>
        </w:tc>
        <w:tc>
          <w:tcPr>
            <w:tcW w:w="3543" w:type="dxa"/>
          </w:tcPr>
          <w:p w14:paraId="60E4FF40">
            <w:pPr>
              <w:pStyle w:val="935"/>
              <w:spacing w:before="67" w:line="219" w:lineRule="auto"/>
              <w:ind w:left="109"/>
              <w:rPr>
                <w:rFonts w:hint="eastAsia"/>
                <w:color w:val="auto"/>
                <w:highlight w:val="none"/>
              </w:rPr>
            </w:pPr>
            <w:r>
              <w:rPr>
                <w:color w:val="auto"/>
                <w:spacing w:val="-1"/>
                <w:highlight w:val="none"/>
              </w:rPr>
              <w:t>HJ2541</w:t>
            </w:r>
            <w:r>
              <w:rPr>
                <w:color w:val="auto"/>
                <w:spacing w:val="-35"/>
                <w:highlight w:val="none"/>
              </w:rPr>
              <w:t xml:space="preserve"> </w:t>
            </w:r>
            <w:r>
              <w:rPr>
                <w:color w:val="auto"/>
                <w:spacing w:val="-1"/>
                <w:highlight w:val="none"/>
              </w:rPr>
              <w:t>胶粘剂</w:t>
            </w:r>
          </w:p>
        </w:tc>
      </w:tr>
      <w:tr w14:paraId="197AE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3039D7EB">
            <w:pPr>
              <w:pStyle w:val="935"/>
              <w:spacing w:before="97" w:line="183" w:lineRule="auto"/>
              <w:ind w:left="118"/>
              <w:rPr>
                <w:rFonts w:hint="eastAsia"/>
                <w:color w:val="auto"/>
                <w:highlight w:val="none"/>
              </w:rPr>
            </w:pPr>
            <w:r>
              <w:rPr>
                <w:color w:val="auto"/>
                <w:spacing w:val="-5"/>
                <w:highlight w:val="none"/>
              </w:rPr>
              <w:t>50</w:t>
            </w:r>
          </w:p>
        </w:tc>
        <w:tc>
          <w:tcPr>
            <w:tcW w:w="1542" w:type="dxa"/>
          </w:tcPr>
          <w:p w14:paraId="361D2D43">
            <w:pPr>
              <w:pStyle w:val="935"/>
              <w:spacing w:before="69" w:line="284" w:lineRule="auto"/>
              <w:ind w:left="122" w:right="108" w:hanging="20"/>
              <w:rPr>
                <w:rFonts w:hint="eastAsia"/>
                <w:color w:val="auto"/>
                <w:highlight w:val="none"/>
              </w:rPr>
            </w:pPr>
            <w:r>
              <w:rPr>
                <w:color w:val="auto"/>
                <w:spacing w:val="3"/>
                <w:highlight w:val="none"/>
              </w:rPr>
              <w:t>A180201</w:t>
            </w:r>
            <w:r>
              <w:rPr>
                <w:color w:val="auto"/>
                <w:spacing w:val="34"/>
                <w:highlight w:val="none"/>
              </w:rPr>
              <w:t xml:space="preserve"> </w:t>
            </w:r>
            <w:r>
              <w:rPr>
                <w:color w:val="auto"/>
                <w:spacing w:val="3"/>
                <w:highlight w:val="none"/>
              </w:rPr>
              <w:t>塑料制</w:t>
            </w:r>
            <w:r>
              <w:rPr>
                <w:color w:val="auto"/>
                <w:highlight w:val="none"/>
              </w:rPr>
              <w:t xml:space="preserve"> 品</w:t>
            </w:r>
          </w:p>
        </w:tc>
        <w:tc>
          <w:tcPr>
            <w:tcW w:w="2672" w:type="dxa"/>
          </w:tcPr>
          <w:p w14:paraId="185E237B">
            <w:pPr>
              <w:rPr>
                <w:rFonts w:ascii="Arial"/>
                <w:color w:val="auto"/>
                <w:highlight w:val="none"/>
              </w:rPr>
            </w:pPr>
          </w:p>
        </w:tc>
        <w:tc>
          <w:tcPr>
            <w:tcW w:w="2248" w:type="dxa"/>
          </w:tcPr>
          <w:p w14:paraId="6E83EBBD">
            <w:pPr>
              <w:rPr>
                <w:rFonts w:ascii="Arial"/>
                <w:color w:val="auto"/>
                <w:highlight w:val="none"/>
              </w:rPr>
            </w:pPr>
          </w:p>
        </w:tc>
        <w:tc>
          <w:tcPr>
            <w:tcW w:w="3543" w:type="dxa"/>
          </w:tcPr>
          <w:p w14:paraId="55F7AB7E">
            <w:pPr>
              <w:pStyle w:val="935"/>
              <w:spacing w:before="69" w:line="284" w:lineRule="auto"/>
              <w:ind w:left="113" w:right="104" w:hanging="4"/>
              <w:rPr>
                <w:rFonts w:hint="eastAsia"/>
                <w:color w:val="auto"/>
                <w:highlight w:val="none"/>
              </w:rPr>
            </w:pPr>
            <w:r>
              <w:rPr>
                <w:color w:val="auto"/>
                <w:highlight w:val="none"/>
              </w:rPr>
              <w:t>HJ/T226 建筑用塑料管材/HJ/</w:t>
            </w:r>
            <w:r>
              <w:rPr>
                <w:color w:val="auto"/>
                <w:spacing w:val="-1"/>
                <w:highlight w:val="none"/>
              </w:rPr>
              <w:t>T231 再生塑</w:t>
            </w:r>
            <w:r>
              <w:rPr>
                <w:color w:val="auto"/>
                <w:highlight w:val="none"/>
              </w:rPr>
              <w:t xml:space="preserve"> </w:t>
            </w:r>
            <w:r>
              <w:rPr>
                <w:color w:val="auto"/>
                <w:spacing w:val="-2"/>
                <w:highlight w:val="none"/>
              </w:rPr>
              <w:t>料制品</w:t>
            </w:r>
          </w:p>
        </w:tc>
      </w:tr>
    </w:tbl>
    <w:p w14:paraId="1B26F36E">
      <w:pPr>
        <w:spacing w:line="91" w:lineRule="auto"/>
        <w:rPr>
          <w:rFonts w:ascii="Arial"/>
          <w:color w:val="auto"/>
          <w:sz w:val="2"/>
          <w:highlight w:val="none"/>
        </w:rPr>
      </w:pPr>
    </w:p>
    <w:p w14:paraId="40558F77">
      <w:pPr>
        <w:rPr>
          <w:rFonts w:hint="eastAsia" w:ascii="仿宋" w:hAnsi="仿宋" w:eastAsia="仿宋" w:cs="仿宋"/>
          <w:color w:val="auto"/>
          <w:spacing w:val="-1"/>
          <w:sz w:val="24"/>
          <w:highlight w:val="none"/>
        </w:rPr>
      </w:pPr>
      <w:r>
        <w:rPr>
          <w:rFonts w:ascii="仿宋" w:hAnsi="仿宋" w:eastAsia="仿宋" w:cs="仿宋"/>
          <w:color w:val="auto"/>
          <w:spacing w:val="-1"/>
          <w:sz w:val="24"/>
          <w:highlight w:val="none"/>
        </w:rPr>
        <w:t>注：环境标志产品认证应依据相关标准的最新版本</w:t>
      </w:r>
      <w:r>
        <w:rPr>
          <w:rFonts w:hint="eastAsia" w:ascii="仿宋" w:hAnsi="仿宋" w:eastAsia="仿宋" w:cs="仿宋"/>
          <w:color w:val="auto"/>
          <w:spacing w:val="-1"/>
          <w:sz w:val="24"/>
          <w:highlight w:val="none"/>
        </w:rPr>
        <w:t>。</w:t>
      </w:r>
    </w:p>
    <w:p w14:paraId="2D7E7260">
      <w:pPr>
        <w:adjustRightInd w:val="0"/>
        <w:spacing w:line="400" w:lineRule="exact"/>
        <w:ind w:firstLine="422" w:firstLineChars="200"/>
        <w:jc w:val="left"/>
        <w:textAlignment w:val="baseline"/>
        <w:rPr>
          <w:rFonts w:hint="eastAsia" w:hAnsi="宋体"/>
          <w:b/>
          <w:bCs/>
          <w:color w:val="auto"/>
          <w:highlight w:val="none"/>
        </w:rPr>
      </w:pPr>
    </w:p>
    <w:p w14:paraId="56A87D5F">
      <w:pPr>
        <w:adjustRightInd w:val="0"/>
        <w:spacing w:line="400" w:lineRule="exact"/>
        <w:ind w:firstLine="422" w:firstLineChars="200"/>
        <w:jc w:val="left"/>
        <w:textAlignment w:val="baseline"/>
        <w:rPr>
          <w:rFonts w:hint="eastAsia" w:hAnsi="宋体"/>
          <w:b/>
          <w:bCs/>
          <w:color w:val="auto"/>
          <w:highlight w:val="none"/>
        </w:rPr>
        <w:sectPr>
          <w:pgSz w:w="11906" w:h="16838"/>
          <w:pgMar w:top="1440" w:right="566" w:bottom="1440" w:left="851" w:header="851" w:footer="992" w:gutter="0"/>
          <w:cols w:space="720" w:num="1"/>
          <w:docGrid w:linePitch="312" w:charSpace="0"/>
        </w:sectPr>
      </w:pPr>
    </w:p>
    <w:p w14:paraId="2C5EE9AD">
      <w:pPr>
        <w:rPr>
          <w:b/>
          <w:color w:val="auto"/>
          <w:sz w:val="24"/>
          <w:highlight w:val="none"/>
        </w:rPr>
      </w:pPr>
    </w:p>
    <w:p w14:paraId="78192693">
      <w:pPr>
        <w:rPr>
          <w:b/>
          <w:color w:val="auto"/>
          <w:sz w:val="24"/>
          <w:highlight w:val="none"/>
        </w:rPr>
      </w:pPr>
    </w:p>
    <w:p w14:paraId="5D5613DA">
      <w:pPr>
        <w:rPr>
          <w:b/>
          <w:color w:val="auto"/>
          <w:sz w:val="24"/>
          <w:highlight w:val="none"/>
        </w:rPr>
      </w:pPr>
    </w:p>
    <w:p w14:paraId="56254924">
      <w:pPr>
        <w:rPr>
          <w:b/>
          <w:color w:val="auto"/>
          <w:sz w:val="24"/>
          <w:highlight w:val="none"/>
        </w:rPr>
      </w:pPr>
    </w:p>
    <w:p w14:paraId="54E75D33">
      <w:pPr>
        <w:rPr>
          <w:b/>
          <w:color w:val="auto"/>
          <w:sz w:val="24"/>
          <w:highlight w:val="none"/>
        </w:rPr>
      </w:pPr>
    </w:p>
    <w:p w14:paraId="4E40DE30">
      <w:pPr>
        <w:rPr>
          <w:b/>
          <w:color w:val="auto"/>
          <w:sz w:val="24"/>
          <w:highlight w:val="none"/>
        </w:rPr>
      </w:pPr>
    </w:p>
    <w:p w14:paraId="30143F0A">
      <w:pPr>
        <w:rPr>
          <w:b/>
          <w:color w:val="auto"/>
          <w:sz w:val="24"/>
          <w:highlight w:val="none"/>
        </w:rPr>
      </w:pPr>
    </w:p>
    <w:p w14:paraId="0F5D2763">
      <w:pPr>
        <w:rPr>
          <w:b/>
          <w:color w:val="auto"/>
          <w:sz w:val="24"/>
          <w:highlight w:val="none"/>
        </w:rPr>
      </w:pPr>
    </w:p>
    <w:p w14:paraId="01B29D11">
      <w:pPr>
        <w:rPr>
          <w:b/>
          <w:color w:val="auto"/>
          <w:sz w:val="24"/>
          <w:highlight w:val="none"/>
        </w:rPr>
      </w:pPr>
    </w:p>
    <w:p w14:paraId="635F5DAA">
      <w:pPr>
        <w:rPr>
          <w:b/>
          <w:color w:val="auto"/>
          <w:sz w:val="24"/>
          <w:highlight w:val="none"/>
        </w:rPr>
      </w:pPr>
    </w:p>
    <w:p w14:paraId="128FE2ED">
      <w:pPr>
        <w:rPr>
          <w:b/>
          <w:color w:val="auto"/>
          <w:sz w:val="24"/>
          <w:highlight w:val="none"/>
        </w:rPr>
      </w:pPr>
    </w:p>
    <w:p w14:paraId="5252A83A">
      <w:pPr>
        <w:rPr>
          <w:b/>
          <w:color w:val="auto"/>
          <w:sz w:val="24"/>
          <w:highlight w:val="none"/>
        </w:rPr>
      </w:pPr>
    </w:p>
    <w:p w14:paraId="3EBD6CB2">
      <w:pPr>
        <w:rPr>
          <w:b/>
          <w:color w:val="auto"/>
          <w:sz w:val="24"/>
          <w:highlight w:val="none"/>
        </w:rPr>
      </w:pPr>
    </w:p>
    <w:p w14:paraId="28FD4186">
      <w:pPr>
        <w:rPr>
          <w:b/>
          <w:color w:val="auto"/>
          <w:sz w:val="24"/>
          <w:highlight w:val="none"/>
        </w:rPr>
      </w:pPr>
    </w:p>
    <w:p w14:paraId="68084E99">
      <w:pPr>
        <w:rPr>
          <w:b/>
          <w:color w:val="auto"/>
          <w:sz w:val="24"/>
          <w:highlight w:val="none"/>
        </w:rPr>
      </w:pPr>
    </w:p>
    <w:p w14:paraId="1EBB6B86">
      <w:pPr>
        <w:rPr>
          <w:b/>
          <w:color w:val="auto"/>
          <w:sz w:val="24"/>
          <w:highlight w:val="none"/>
        </w:rPr>
      </w:pPr>
    </w:p>
    <w:p w14:paraId="7D478378">
      <w:pPr>
        <w:rPr>
          <w:b/>
          <w:color w:val="auto"/>
          <w:sz w:val="24"/>
          <w:highlight w:val="none"/>
        </w:rPr>
      </w:pPr>
    </w:p>
    <w:p w14:paraId="75B7E1E3">
      <w:pPr>
        <w:rPr>
          <w:b/>
          <w:color w:val="auto"/>
          <w:sz w:val="24"/>
          <w:highlight w:val="none"/>
        </w:rPr>
      </w:pPr>
    </w:p>
    <w:p w14:paraId="3381128B">
      <w:pPr>
        <w:rPr>
          <w:b/>
          <w:color w:val="auto"/>
          <w:sz w:val="24"/>
          <w:highlight w:val="none"/>
        </w:rPr>
      </w:pPr>
    </w:p>
    <w:p w14:paraId="12F15BBC">
      <w:pPr>
        <w:rPr>
          <w:b/>
          <w:color w:val="auto"/>
          <w:sz w:val="24"/>
          <w:highlight w:val="none"/>
        </w:rPr>
      </w:pPr>
    </w:p>
    <w:p w14:paraId="15B99CFF">
      <w:pPr>
        <w:pStyle w:val="4"/>
        <w:jc w:val="center"/>
        <w:rPr>
          <w:rFonts w:ascii="仿宋_GB2312" w:eastAsia="仿宋_GB2312"/>
          <w:b w:val="0"/>
          <w:bCs w:val="0"/>
          <w:color w:val="auto"/>
          <w:sz w:val="32"/>
          <w:szCs w:val="32"/>
          <w:highlight w:val="none"/>
        </w:rPr>
      </w:pPr>
      <w:bookmarkStart w:id="77" w:name="_Toc497578453"/>
      <w:bookmarkStart w:id="78" w:name="_Toc21458"/>
      <w:bookmarkStart w:id="79" w:name="_Toc4843"/>
      <w:r>
        <w:rPr>
          <w:rFonts w:hint="eastAsia"/>
          <w:color w:val="auto"/>
          <w:sz w:val="30"/>
          <w:szCs w:val="30"/>
          <w:highlight w:val="none"/>
        </w:rPr>
        <w:t>第五章 合同主要条款格式及广西壮族自治区政府采购项目合同验收书格式</w:t>
      </w:r>
      <w:bookmarkEnd w:id="77"/>
      <w:bookmarkEnd w:id="78"/>
      <w:bookmarkEnd w:id="79"/>
    </w:p>
    <w:p w14:paraId="0CC8A075">
      <w:pPr>
        <w:snapToGrid w:val="0"/>
        <w:jc w:val="center"/>
        <w:rPr>
          <w:rFonts w:hint="eastAsia" w:ascii="仿宋_GB2312" w:hAnsi="华文中宋" w:eastAsia="仿宋_GB2312"/>
          <w:bCs/>
          <w:color w:val="auto"/>
          <w:sz w:val="32"/>
          <w:szCs w:val="32"/>
          <w:highlight w:val="none"/>
        </w:rPr>
      </w:pPr>
    </w:p>
    <w:p w14:paraId="07C0565D">
      <w:pPr>
        <w:snapToGrid w:val="0"/>
        <w:jc w:val="center"/>
        <w:rPr>
          <w:rFonts w:hint="eastAsia" w:ascii="仿宋_GB2312" w:hAnsi="华文中宋" w:eastAsia="仿宋_GB2312"/>
          <w:bCs/>
          <w:color w:val="auto"/>
          <w:sz w:val="32"/>
          <w:szCs w:val="32"/>
          <w:highlight w:val="none"/>
        </w:rPr>
      </w:pPr>
    </w:p>
    <w:p w14:paraId="78BDE78D">
      <w:pPr>
        <w:snapToGrid w:val="0"/>
        <w:jc w:val="center"/>
        <w:rPr>
          <w:rFonts w:hint="eastAsia" w:ascii="仿宋_GB2312" w:hAnsi="华文中宋" w:eastAsia="仿宋_GB2312"/>
          <w:bCs/>
          <w:color w:val="auto"/>
          <w:sz w:val="32"/>
          <w:szCs w:val="32"/>
          <w:highlight w:val="none"/>
        </w:rPr>
      </w:pPr>
    </w:p>
    <w:p w14:paraId="28690E26">
      <w:pPr>
        <w:snapToGrid w:val="0"/>
        <w:jc w:val="center"/>
        <w:rPr>
          <w:rFonts w:hint="eastAsia" w:ascii="仿宋_GB2312" w:hAnsi="华文中宋" w:eastAsia="仿宋_GB2312"/>
          <w:bCs/>
          <w:color w:val="auto"/>
          <w:sz w:val="32"/>
          <w:szCs w:val="32"/>
          <w:highlight w:val="none"/>
        </w:rPr>
      </w:pPr>
    </w:p>
    <w:p w14:paraId="6150A071">
      <w:pPr>
        <w:snapToGrid w:val="0"/>
        <w:jc w:val="center"/>
        <w:rPr>
          <w:rFonts w:hint="eastAsia" w:ascii="仿宋_GB2312" w:hAnsi="华文中宋" w:eastAsia="仿宋_GB2312"/>
          <w:bCs/>
          <w:color w:val="auto"/>
          <w:sz w:val="32"/>
          <w:szCs w:val="32"/>
          <w:highlight w:val="none"/>
        </w:rPr>
      </w:pPr>
    </w:p>
    <w:p w14:paraId="6D280AAE">
      <w:pPr>
        <w:snapToGrid w:val="0"/>
        <w:jc w:val="center"/>
        <w:rPr>
          <w:rFonts w:hint="eastAsia" w:ascii="仿宋_GB2312" w:hAnsi="华文中宋" w:eastAsia="仿宋_GB2312"/>
          <w:bCs/>
          <w:color w:val="auto"/>
          <w:sz w:val="32"/>
          <w:szCs w:val="32"/>
          <w:highlight w:val="none"/>
        </w:rPr>
      </w:pPr>
    </w:p>
    <w:p w14:paraId="342EAA2D">
      <w:pPr>
        <w:snapToGrid w:val="0"/>
        <w:jc w:val="center"/>
        <w:rPr>
          <w:rFonts w:hint="eastAsia" w:ascii="仿宋_GB2312" w:hAnsi="华文中宋" w:eastAsia="仿宋_GB2312"/>
          <w:bCs/>
          <w:color w:val="auto"/>
          <w:sz w:val="32"/>
          <w:szCs w:val="32"/>
          <w:highlight w:val="none"/>
        </w:rPr>
      </w:pPr>
    </w:p>
    <w:p w14:paraId="7D4348A6">
      <w:pPr>
        <w:snapToGrid w:val="0"/>
        <w:rPr>
          <w:rFonts w:hint="eastAsia" w:ascii="仿宋_GB2312" w:hAnsi="华文中宋" w:eastAsia="仿宋_GB2312"/>
          <w:bCs/>
          <w:color w:val="auto"/>
          <w:sz w:val="32"/>
          <w:szCs w:val="32"/>
          <w:highlight w:val="none"/>
        </w:rPr>
      </w:pPr>
    </w:p>
    <w:p w14:paraId="19471360">
      <w:pPr>
        <w:snapToGrid w:val="0"/>
        <w:rPr>
          <w:rFonts w:hint="eastAsia" w:ascii="仿宋_GB2312" w:hAnsi="华文中宋" w:eastAsia="仿宋_GB2312"/>
          <w:bCs/>
          <w:color w:val="auto"/>
          <w:sz w:val="32"/>
          <w:szCs w:val="32"/>
          <w:highlight w:val="none"/>
        </w:rPr>
      </w:pPr>
    </w:p>
    <w:p w14:paraId="21CD68A8">
      <w:pPr>
        <w:snapToGrid w:val="0"/>
        <w:jc w:val="left"/>
        <w:rPr>
          <w:rFonts w:ascii="仿宋_GB2312" w:eastAsia="仿宋_GB2312"/>
          <w:b/>
          <w:color w:val="auto"/>
          <w:sz w:val="24"/>
          <w:highlight w:val="none"/>
        </w:rPr>
      </w:pPr>
      <w:r>
        <w:rPr>
          <w:rFonts w:hint="eastAsia" w:ascii="仿宋_GB2312" w:eastAsia="仿宋_GB2312"/>
          <w:b/>
          <w:color w:val="auto"/>
          <w:sz w:val="24"/>
          <w:highlight w:val="none"/>
        </w:rPr>
        <w:br w:type="page"/>
      </w:r>
      <w:bookmarkStart w:id="80" w:name="_Hlk93681122"/>
    </w:p>
    <w:p w14:paraId="6034B05F">
      <w:pPr>
        <w:snapToGrid w:val="0"/>
        <w:ind w:firstLine="482" w:firstLineChars="200"/>
        <w:jc w:val="left"/>
        <w:rPr>
          <w:rFonts w:ascii="仿宋_GB2312" w:eastAsia="仿宋_GB2312"/>
          <w:b/>
          <w:color w:val="auto"/>
          <w:sz w:val="24"/>
          <w:highlight w:val="none"/>
        </w:rPr>
      </w:pPr>
      <w:r>
        <w:rPr>
          <w:rFonts w:hint="eastAsia" w:ascii="仿宋_GB2312" w:eastAsia="仿宋_GB2312"/>
          <w:b/>
          <w:color w:val="auto"/>
          <w:sz w:val="24"/>
          <w:highlight w:val="none"/>
        </w:rPr>
        <w:t>合同使用说明：本合同</w:t>
      </w:r>
      <w:r>
        <w:rPr>
          <w:rFonts w:ascii="仿宋_GB2312" w:eastAsia="仿宋_GB2312"/>
          <w:b/>
          <w:color w:val="auto"/>
          <w:sz w:val="24"/>
          <w:highlight w:val="none"/>
        </w:rPr>
        <w:t>非中小企业</w:t>
      </w:r>
      <w:r>
        <w:rPr>
          <w:rFonts w:hint="eastAsia" w:ascii="仿宋_GB2312" w:eastAsia="仿宋_GB2312"/>
          <w:b/>
          <w:color w:val="auto"/>
          <w:sz w:val="24"/>
          <w:highlight w:val="none"/>
        </w:rPr>
        <w:t>预留合同。</w:t>
      </w:r>
    </w:p>
    <w:p w14:paraId="605F2751">
      <w:pPr>
        <w:pStyle w:val="26"/>
        <w:spacing w:line="400" w:lineRule="exact"/>
        <w:jc w:val="left"/>
        <w:rPr>
          <w:b/>
          <w:color w:val="auto"/>
          <w:sz w:val="32"/>
          <w:highlight w:val="none"/>
        </w:rPr>
      </w:pPr>
    </w:p>
    <w:p w14:paraId="3D744377">
      <w:pPr>
        <w:snapToGrid w:val="0"/>
        <w:jc w:val="center"/>
        <w:rPr>
          <w:rFonts w:hint="eastAsia" w:ascii="仿宋_GB2312" w:hAnsi="宋体" w:eastAsia="仿宋_GB2312"/>
          <w:b/>
          <w:bCs/>
          <w:color w:val="auto"/>
          <w:sz w:val="44"/>
          <w:szCs w:val="44"/>
          <w:highlight w:val="none"/>
        </w:rPr>
      </w:pPr>
      <w:r>
        <w:rPr>
          <w:rFonts w:hint="eastAsia" w:ascii="仿宋_GB2312" w:hAnsi="宋体" w:eastAsia="仿宋_GB2312"/>
          <w:b/>
          <w:bCs/>
          <w:color w:val="auto"/>
          <w:sz w:val="44"/>
          <w:szCs w:val="44"/>
          <w:highlight w:val="none"/>
        </w:rPr>
        <w:t>政府采购合同</w:t>
      </w:r>
    </w:p>
    <w:p w14:paraId="304CFB6E">
      <w:pPr>
        <w:snapToGrid w:val="0"/>
        <w:jc w:val="center"/>
        <w:rPr>
          <w:rFonts w:hint="eastAsia" w:ascii="仿宋_GB2312" w:hAnsi="宋体" w:eastAsia="仿宋_GB2312"/>
          <w:b/>
          <w:bCs/>
          <w:color w:val="auto"/>
          <w:sz w:val="36"/>
          <w:szCs w:val="36"/>
          <w:highlight w:val="none"/>
        </w:rPr>
      </w:pPr>
      <w:r>
        <w:rPr>
          <w:rFonts w:hint="eastAsia" w:ascii="仿宋_GB2312" w:hAnsi="宋体" w:eastAsia="仿宋_GB2312"/>
          <w:b/>
          <w:bCs/>
          <w:color w:val="auto"/>
          <w:sz w:val="36"/>
          <w:szCs w:val="36"/>
          <w:highlight w:val="none"/>
        </w:rPr>
        <w:t>（一般货物类）</w:t>
      </w:r>
    </w:p>
    <w:p w14:paraId="14568494">
      <w:pPr>
        <w:wordWrap w:val="0"/>
        <w:snapToGrid w:val="0"/>
        <w:jc w:val="right"/>
        <w:rPr>
          <w:rFonts w:hint="eastAsia" w:ascii="仿宋_GB2312" w:hAnsi="宋体" w:eastAsia="仿宋_GB2312"/>
          <w:bCs/>
          <w:color w:val="auto"/>
          <w:sz w:val="24"/>
          <w:highlight w:val="none"/>
          <w:u w:val="single"/>
        </w:rPr>
      </w:pPr>
      <w:r>
        <w:rPr>
          <w:rFonts w:hint="eastAsia" w:ascii="仿宋_GB2312" w:hAnsi="宋体" w:eastAsia="仿宋_GB2312"/>
          <w:bCs/>
          <w:color w:val="auto"/>
          <w:sz w:val="24"/>
          <w:highlight w:val="none"/>
        </w:rPr>
        <w:t xml:space="preserve">合同编号：            </w:t>
      </w:r>
    </w:p>
    <w:p w14:paraId="5628DE88">
      <w:pPr>
        <w:snapToGrid w:val="0"/>
        <w:rPr>
          <w:rFonts w:hint="eastAsia" w:ascii="仿宋_GB2312" w:hAnsi="宋体" w:eastAsia="仿宋_GB2312"/>
          <w:color w:val="auto"/>
          <w:sz w:val="24"/>
          <w:highlight w:val="none"/>
        </w:rPr>
      </w:pPr>
    </w:p>
    <w:p w14:paraId="78EDED28">
      <w:pPr>
        <w:snapToGrid w:val="0"/>
        <w:spacing w:line="320" w:lineRule="exact"/>
        <w:ind w:right="-470" w:rightChars="-224"/>
        <w:rPr>
          <w:rFonts w:hint="eastAsia" w:ascii="仿宋_GB2312" w:hAnsi="宋体" w:eastAsia="仿宋_GB2312"/>
          <w:color w:val="auto"/>
          <w:sz w:val="24"/>
          <w:highlight w:val="none"/>
          <w:u w:val="single"/>
        </w:rPr>
      </w:pPr>
      <w:r>
        <w:rPr>
          <w:rFonts w:hint="eastAsia" w:ascii="仿宋_GB2312" w:hAnsi="宋体" w:eastAsia="仿宋_GB2312"/>
          <w:color w:val="auto"/>
          <w:sz w:val="24"/>
          <w:highlight w:val="none"/>
        </w:rPr>
        <w:t>采购单位（甲方）：</w:t>
      </w:r>
      <w:r>
        <w:rPr>
          <w:rFonts w:hint="eastAsia" w:ascii="仿宋_GB2312" w:hAnsi="宋体" w:eastAsia="仿宋_GB2312"/>
          <w:color w:val="auto"/>
          <w:sz w:val="24"/>
          <w:highlight w:val="none"/>
          <w:u w:val="single"/>
        </w:rPr>
        <w:t xml:space="preserve">                   </w:t>
      </w:r>
      <w:r>
        <w:rPr>
          <w:rFonts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采购计划表编号：</w:t>
      </w:r>
      <w:r>
        <w:rPr>
          <w:rFonts w:hint="eastAsia" w:ascii="仿宋_GB2312" w:hAnsi="宋体" w:eastAsia="仿宋_GB2312"/>
          <w:color w:val="auto"/>
          <w:sz w:val="24"/>
          <w:highlight w:val="none"/>
          <w:u w:val="single"/>
        </w:rPr>
        <w:t xml:space="preserve">  </w:t>
      </w:r>
      <w:r>
        <w:rPr>
          <w:rFonts w:ascii="仿宋_GB2312" w:hAnsi="宋体" w:eastAsia="仿宋_GB2312"/>
          <w:color w:val="auto"/>
          <w:sz w:val="24"/>
          <w:highlight w:val="none"/>
          <w:u w:val="single"/>
        </w:rPr>
        <w:t xml:space="preserve">             </w:t>
      </w:r>
    </w:p>
    <w:p w14:paraId="5AB00AFF">
      <w:pPr>
        <w:snapToGrid w:val="0"/>
        <w:spacing w:line="320" w:lineRule="exact"/>
        <w:ind w:right="-470" w:rightChars="-224"/>
        <w:rPr>
          <w:rFonts w:hint="eastAsia" w:ascii="仿宋_GB2312" w:hAnsi="宋体" w:eastAsia="仿宋_GB2312"/>
          <w:color w:val="auto"/>
          <w:sz w:val="24"/>
          <w:highlight w:val="none"/>
          <w:u w:val="single"/>
        </w:rPr>
      </w:pPr>
      <w:r>
        <w:rPr>
          <w:rFonts w:hint="eastAsia" w:ascii="仿宋_GB2312" w:hAnsi="宋体" w:eastAsia="仿宋_GB2312"/>
          <w:color w:val="auto"/>
          <w:sz w:val="24"/>
          <w:highlight w:val="none"/>
        </w:rPr>
        <w:t>供 应 商（乙方）：</w:t>
      </w:r>
      <w:r>
        <w:rPr>
          <w:rFonts w:hint="eastAsia" w:ascii="仿宋_GB2312" w:hAnsi="宋体" w:eastAsia="仿宋_GB2312"/>
          <w:color w:val="auto"/>
          <w:sz w:val="24"/>
          <w:highlight w:val="none"/>
          <w:u w:val="single"/>
        </w:rPr>
        <w:t xml:space="preserve">                      </w:t>
      </w:r>
      <w:r>
        <w:rPr>
          <w:rFonts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项目名称及编号</w:t>
      </w:r>
      <w:r>
        <w:rPr>
          <w:rFonts w:hint="eastAsia" w:ascii="仿宋_GB2312" w:hAnsi="宋体" w:eastAsia="仿宋_GB2312"/>
          <w:color w:val="auto"/>
          <w:spacing w:val="-20"/>
          <w:sz w:val="24"/>
          <w:highlight w:val="none"/>
        </w:rPr>
        <w:t>：</w:t>
      </w:r>
      <w:r>
        <w:rPr>
          <w:rFonts w:hint="eastAsia" w:ascii="仿宋_GB2312" w:hAnsi="宋体" w:eastAsia="仿宋_GB2312"/>
          <w:color w:val="auto"/>
          <w:sz w:val="24"/>
          <w:highlight w:val="none"/>
          <w:u w:val="single"/>
        </w:rPr>
        <w:t xml:space="preserve">                   </w:t>
      </w:r>
      <w:r>
        <w:rPr>
          <w:rFonts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 xml:space="preserve">     </w:t>
      </w:r>
    </w:p>
    <w:p w14:paraId="2EA2AF08">
      <w:pPr>
        <w:snapToGrid w:val="0"/>
        <w:spacing w:line="320" w:lineRule="exact"/>
        <w:ind w:right="-470" w:rightChars="-224"/>
        <w:rPr>
          <w:rFonts w:hint="eastAsia" w:ascii="仿宋_GB2312" w:hAnsi="宋体" w:eastAsia="仿宋_GB2312"/>
          <w:color w:val="auto"/>
          <w:sz w:val="24"/>
          <w:highlight w:val="none"/>
          <w:u w:val="single"/>
        </w:rPr>
      </w:pPr>
      <w:r>
        <w:rPr>
          <w:rFonts w:hint="eastAsia" w:ascii="仿宋_GB2312" w:hAnsi="宋体" w:eastAsia="仿宋_GB2312"/>
          <w:color w:val="auto"/>
          <w:sz w:val="24"/>
          <w:highlight w:val="none"/>
        </w:rPr>
        <w:t>签  订  地  点 ：</w:t>
      </w:r>
      <w:r>
        <w:rPr>
          <w:rFonts w:hint="eastAsia" w:ascii="仿宋_GB2312" w:hAnsi="宋体" w:eastAsia="仿宋_GB2312"/>
          <w:color w:val="auto"/>
          <w:sz w:val="24"/>
          <w:highlight w:val="none"/>
          <w:u w:val="single"/>
        </w:rPr>
        <w:t xml:space="preserve">                      </w:t>
      </w:r>
      <w:r>
        <w:rPr>
          <w:rFonts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pacing w:val="38"/>
          <w:sz w:val="24"/>
          <w:highlight w:val="none"/>
        </w:rPr>
        <w:t>签订时间：</w:t>
      </w:r>
      <w:r>
        <w:rPr>
          <w:rFonts w:hint="eastAsia" w:ascii="仿宋_GB2312" w:hAnsi="宋体" w:eastAsia="仿宋_GB2312"/>
          <w:color w:val="auto"/>
          <w:sz w:val="24"/>
          <w:highlight w:val="none"/>
          <w:u w:val="single"/>
        </w:rPr>
        <w:t xml:space="preserve">     年   月   日   </w:t>
      </w:r>
    </w:p>
    <w:p w14:paraId="322189F1">
      <w:pPr>
        <w:snapToGrid w:val="0"/>
        <w:spacing w:line="32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根据《中华人民共和国政府采购法》、《中华人民共和国民法典》等法律、法规规定，按照招标文件规定条款和中标人投标文件和承诺，甲乙双方签订本合同。</w:t>
      </w:r>
    </w:p>
    <w:p w14:paraId="4BB5B9B1">
      <w:pPr>
        <w:snapToGrid w:val="0"/>
        <w:spacing w:line="320" w:lineRule="exact"/>
        <w:ind w:right="-470" w:rightChars="-224" w:firstLine="482" w:firstLineChars="200"/>
        <w:rPr>
          <w:rFonts w:hint="eastAsia" w:ascii="仿宋_GB2312" w:hAnsi="宋体" w:eastAsia="仿宋_GB2312"/>
          <w:b/>
          <w:color w:val="auto"/>
          <w:sz w:val="24"/>
          <w:highlight w:val="none"/>
        </w:rPr>
      </w:pPr>
      <w:r>
        <w:rPr>
          <w:rFonts w:hint="eastAsia" w:ascii="仿宋_GB2312" w:eastAsia="仿宋_GB2312"/>
          <w:b/>
          <w:color w:val="auto"/>
          <w:sz w:val="24"/>
          <w:highlight w:val="none"/>
        </w:rPr>
        <w:t xml:space="preserve"> </w:t>
      </w:r>
      <w:r>
        <w:rPr>
          <w:rFonts w:hint="eastAsia" w:ascii="仿宋_GB2312" w:hAnsi="宋体" w:eastAsia="仿宋_GB2312"/>
          <w:b/>
          <w:color w:val="auto"/>
          <w:sz w:val="24"/>
          <w:highlight w:val="none"/>
        </w:rPr>
        <w:t>第一条　合同标的</w:t>
      </w:r>
    </w:p>
    <w:p w14:paraId="15A19EA9">
      <w:pPr>
        <w:snapToGrid w:val="0"/>
        <w:spacing w:line="32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1.供货一览表</w:t>
      </w:r>
    </w:p>
    <w:tbl>
      <w:tblPr>
        <w:tblStyle w:val="48"/>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14:paraId="5853C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14:paraId="74506753">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序号</w:t>
            </w:r>
          </w:p>
        </w:tc>
        <w:tc>
          <w:tcPr>
            <w:tcW w:w="1207" w:type="dxa"/>
            <w:vAlign w:val="center"/>
          </w:tcPr>
          <w:p w14:paraId="4B98C241">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产品名称</w:t>
            </w:r>
          </w:p>
        </w:tc>
        <w:tc>
          <w:tcPr>
            <w:tcW w:w="1134" w:type="dxa"/>
            <w:vAlign w:val="center"/>
          </w:tcPr>
          <w:p w14:paraId="3E610F0E">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商标品牌</w:t>
            </w:r>
          </w:p>
        </w:tc>
        <w:tc>
          <w:tcPr>
            <w:tcW w:w="1037" w:type="dxa"/>
            <w:vAlign w:val="center"/>
          </w:tcPr>
          <w:p w14:paraId="2C8B64F4">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规格型号</w:t>
            </w:r>
          </w:p>
        </w:tc>
        <w:tc>
          <w:tcPr>
            <w:tcW w:w="1161" w:type="dxa"/>
            <w:vAlign w:val="center"/>
          </w:tcPr>
          <w:p w14:paraId="7AACA873">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生产厂家</w:t>
            </w:r>
          </w:p>
        </w:tc>
        <w:tc>
          <w:tcPr>
            <w:tcW w:w="903" w:type="dxa"/>
            <w:vAlign w:val="center"/>
          </w:tcPr>
          <w:p w14:paraId="4CC72C60">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数量</w:t>
            </w:r>
          </w:p>
        </w:tc>
        <w:tc>
          <w:tcPr>
            <w:tcW w:w="892" w:type="dxa"/>
            <w:vAlign w:val="center"/>
          </w:tcPr>
          <w:p w14:paraId="0FFE4E99">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单位</w:t>
            </w:r>
          </w:p>
        </w:tc>
        <w:tc>
          <w:tcPr>
            <w:tcW w:w="1422" w:type="dxa"/>
            <w:vAlign w:val="center"/>
          </w:tcPr>
          <w:p w14:paraId="2A19F064">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单价（元）</w:t>
            </w:r>
          </w:p>
        </w:tc>
        <w:tc>
          <w:tcPr>
            <w:tcW w:w="1418" w:type="dxa"/>
            <w:vAlign w:val="center"/>
          </w:tcPr>
          <w:p w14:paraId="4027F7A2">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金额（元）</w:t>
            </w:r>
          </w:p>
        </w:tc>
      </w:tr>
      <w:tr w14:paraId="7B158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2187E4D9">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w:t>
            </w:r>
          </w:p>
        </w:tc>
        <w:tc>
          <w:tcPr>
            <w:tcW w:w="1207" w:type="dxa"/>
            <w:vAlign w:val="center"/>
          </w:tcPr>
          <w:p w14:paraId="75632B1A">
            <w:pPr>
              <w:snapToGrid w:val="0"/>
              <w:spacing w:line="320" w:lineRule="exact"/>
              <w:jc w:val="center"/>
              <w:rPr>
                <w:rFonts w:hint="eastAsia" w:ascii="仿宋_GB2312" w:hAnsi="宋体" w:eastAsia="仿宋_GB2312"/>
                <w:color w:val="auto"/>
                <w:sz w:val="24"/>
                <w:highlight w:val="none"/>
              </w:rPr>
            </w:pPr>
          </w:p>
        </w:tc>
        <w:tc>
          <w:tcPr>
            <w:tcW w:w="1134" w:type="dxa"/>
            <w:vAlign w:val="center"/>
          </w:tcPr>
          <w:p w14:paraId="78796F37">
            <w:pPr>
              <w:snapToGrid w:val="0"/>
              <w:spacing w:line="320" w:lineRule="exact"/>
              <w:jc w:val="center"/>
              <w:rPr>
                <w:rFonts w:hint="eastAsia" w:ascii="仿宋_GB2312" w:hAnsi="宋体" w:eastAsia="仿宋_GB2312"/>
                <w:color w:val="auto"/>
                <w:sz w:val="24"/>
                <w:highlight w:val="none"/>
              </w:rPr>
            </w:pPr>
          </w:p>
        </w:tc>
        <w:tc>
          <w:tcPr>
            <w:tcW w:w="1037" w:type="dxa"/>
            <w:vAlign w:val="center"/>
          </w:tcPr>
          <w:p w14:paraId="65AC8B09">
            <w:pPr>
              <w:snapToGrid w:val="0"/>
              <w:spacing w:line="320" w:lineRule="exact"/>
              <w:jc w:val="center"/>
              <w:rPr>
                <w:rFonts w:hint="eastAsia" w:ascii="仿宋_GB2312" w:hAnsi="宋体" w:eastAsia="仿宋_GB2312"/>
                <w:color w:val="auto"/>
                <w:sz w:val="24"/>
                <w:highlight w:val="none"/>
              </w:rPr>
            </w:pPr>
          </w:p>
        </w:tc>
        <w:tc>
          <w:tcPr>
            <w:tcW w:w="1161" w:type="dxa"/>
            <w:vAlign w:val="center"/>
          </w:tcPr>
          <w:p w14:paraId="275ED46D">
            <w:pPr>
              <w:snapToGrid w:val="0"/>
              <w:spacing w:line="320" w:lineRule="exact"/>
              <w:jc w:val="center"/>
              <w:rPr>
                <w:rFonts w:hint="eastAsia" w:ascii="仿宋_GB2312" w:hAnsi="宋体" w:eastAsia="仿宋_GB2312"/>
                <w:color w:val="auto"/>
                <w:sz w:val="24"/>
                <w:highlight w:val="none"/>
              </w:rPr>
            </w:pPr>
          </w:p>
        </w:tc>
        <w:tc>
          <w:tcPr>
            <w:tcW w:w="903" w:type="dxa"/>
            <w:vAlign w:val="center"/>
          </w:tcPr>
          <w:p w14:paraId="7C08329C">
            <w:pPr>
              <w:snapToGrid w:val="0"/>
              <w:spacing w:line="320" w:lineRule="exact"/>
              <w:jc w:val="center"/>
              <w:rPr>
                <w:rFonts w:hint="eastAsia" w:ascii="仿宋_GB2312" w:hAnsi="宋体" w:eastAsia="仿宋_GB2312"/>
                <w:color w:val="auto"/>
                <w:sz w:val="24"/>
                <w:highlight w:val="none"/>
              </w:rPr>
            </w:pPr>
          </w:p>
        </w:tc>
        <w:tc>
          <w:tcPr>
            <w:tcW w:w="892" w:type="dxa"/>
            <w:vAlign w:val="center"/>
          </w:tcPr>
          <w:p w14:paraId="618A82C8">
            <w:pPr>
              <w:snapToGrid w:val="0"/>
              <w:spacing w:line="320" w:lineRule="exact"/>
              <w:jc w:val="center"/>
              <w:rPr>
                <w:rFonts w:hint="eastAsia" w:ascii="仿宋_GB2312" w:hAnsi="宋体" w:eastAsia="仿宋_GB2312"/>
                <w:color w:val="auto"/>
                <w:sz w:val="24"/>
                <w:highlight w:val="none"/>
              </w:rPr>
            </w:pPr>
          </w:p>
        </w:tc>
        <w:tc>
          <w:tcPr>
            <w:tcW w:w="1422" w:type="dxa"/>
            <w:vAlign w:val="center"/>
          </w:tcPr>
          <w:p w14:paraId="19C81317">
            <w:pPr>
              <w:snapToGrid w:val="0"/>
              <w:spacing w:line="320" w:lineRule="exact"/>
              <w:jc w:val="center"/>
              <w:rPr>
                <w:rFonts w:hint="eastAsia" w:ascii="仿宋_GB2312" w:hAnsi="宋体" w:eastAsia="仿宋_GB2312"/>
                <w:color w:val="auto"/>
                <w:sz w:val="24"/>
                <w:highlight w:val="none"/>
              </w:rPr>
            </w:pPr>
          </w:p>
        </w:tc>
        <w:tc>
          <w:tcPr>
            <w:tcW w:w="1418" w:type="dxa"/>
            <w:vAlign w:val="center"/>
          </w:tcPr>
          <w:p w14:paraId="2B912A6E">
            <w:pPr>
              <w:snapToGrid w:val="0"/>
              <w:spacing w:line="320" w:lineRule="exact"/>
              <w:jc w:val="center"/>
              <w:rPr>
                <w:rFonts w:hint="eastAsia" w:ascii="仿宋_GB2312" w:hAnsi="宋体" w:eastAsia="仿宋_GB2312"/>
                <w:color w:val="auto"/>
                <w:sz w:val="24"/>
                <w:highlight w:val="none"/>
              </w:rPr>
            </w:pPr>
          </w:p>
        </w:tc>
      </w:tr>
      <w:tr w14:paraId="12916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03C143EE">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w:t>
            </w:r>
          </w:p>
        </w:tc>
        <w:tc>
          <w:tcPr>
            <w:tcW w:w="1207" w:type="dxa"/>
            <w:vAlign w:val="center"/>
          </w:tcPr>
          <w:p w14:paraId="2857A3DB">
            <w:pPr>
              <w:snapToGrid w:val="0"/>
              <w:spacing w:line="320" w:lineRule="exact"/>
              <w:jc w:val="center"/>
              <w:rPr>
                <w:rFonts w:hint="eastAsia" w:ascii="仿宋_GB2312" w:hAnsi="宋体" w:eastAsia="仿宋_GB2312"/>
                <w:color w:val="auto"/>
                <w:sz w:val="24"/>
                <w:highlight w:val="none"/>
              </w:rPr>
            </w:pPr>
          </w:p>
        </w:tc>
        <w:tc>
          <w:tcPr>
            <w:tcW w:w="1134" w:type="dxa"/>
            <w:vAlign w:val="center"/>
          </w:tcPr>
          <w:p w14:paraId="4535CA58">
            <w:pPr>
              <w:snapToGrid w:val="0"/>
              <w:spacing w:line="320" w:lineRule="exact"/>
              <w:jc w:val="center"/>
              <w:rPr>
                <w:rFonts w:hint="eastAsia" w:ascii="仿宋_GB2312" w:hAnsi="宋体" w:eastAsia="仿宋_GB2312"/>
                <w:color w:val="auto"/>
                <w:sz w:val="24"/>
                <w:highlight w:val="none"/>
              </w:rPr>
            </w:pPr>
          </w:p>
        </w:tc>
        <w:tc>
          <w:tcPr>
            <w:tcW w:w="1037" w:type="dxa"/>
            <w:vAlign w:val="center"/>
          </w:tcPr>
          <w:p w14:paraId="3BA07E3E">
            <w:pPr>
              <w:snapToGrid w:val="0"/>
              <w:spacing w:line="320" w:lineRule="exact"/>
              <w:jc w:val="center"/>
              <w:rPr>
                <w:rFonts w:hint="eastAsia" w:ascii="仿宋_GB2312" w:hAnsi="宋体" w:eastAsia="仿宋_GB2312"/>
                <w:color w:val="auto"/>
                <w:sz w:val="24"/>
                <w:highlight w:val="none"/>
              </w:rPr>
            </w:pPr>
          </w:p>
        </w:tc>
        <w:tc>
          <w:tcPr>
            <w:tcW w:w="1161" w:type="dxa"/>
            <w:vAlign w:val="center"/>
          </w:tcPr>
          <w:p w14:paraId="1717D60F">
            <w:pPr>
              <w:snapToGrid w:val="0"/>
              <w:spacing w:line="320" w:lineRule="exact"/>
              <w:jc w:val="center"/>
              <w:rPr>
                <w:rFonts w:hint="eastAsia" w:ascii="仿宋_GB2312" w:hAnsi="宋体" w:eastAsia="仿宋_GB2312"/>
                <w:color w:val="auto"/>
                <w:sz w:val="24"/>
                <w:highlight w:val="none"/>
              </w:rPr>
            </w:pPr>
          </w:p>
        </w:tc>
        <w:tc>
          <w:tcPr>
            <w:tcW w:w="903" w:type="dxa"/>
            <w:vAlign w:val="center"/>
          </w:tcPr>
          <w:p w14:paraId="087BC682">
            <w:pPr>
              <w:snapToGrid w:val="0"/>
              <w:spacing w:line="320" w:lineRule="exact"/>
              <w:jc w:val="center"/>
              <w:rPr>
                <w:rFonts w:hint="eastAsia" w:ascii="仿宋_GB2312" w:hAnsi="宋体" w:eastAsia="仿宋_GB2312"/>
                <w:color w:val="auto"/>
                <w:sz w:val="24"/>
                <w:highlight w:val="none"/>
              </w:rPr>
            </w:pPr>
          </w:p>
        </w:tc>
        <w:tc>
          <w:tcPr>
            <w:tcW w:w="892" w:type="dxa"/>
            <w:vAlign w:val="center"/>
          </w:tcPr>
          <w:p w14:paraId="0F7B2087">
            <w:pPr>
              <w:snapToGrid w:val="0"/>
              <w:spacing w:line="320" w:lineRule="exact"/>
              <w:jc w:val="center"/>
              <w:rPr>
                <w:rFonts w:hint="eastAsia" w:ascii="仿宋_GB2312" w:hAnsi="宋体" w:eastAsia="仿宋_GB2312"/>
                <w:color w:val="auto"/>
                <w:sz w:val="24"/>
                <w:highlight w:val="none"/>
              </w:rPr>
            </w:pPr>
          </w:p>
        </w:tc>
        <w:tc>
          <w:tcPr>
            <w:tcW w:w="1422" w:type="dxa"/>
            <w:vAlign w:val="center"/>
          </w:tcPr>
          <w:p w14:paraId="019B9079">
            <w:pPr>
              <w:snapToGrid w:val="0"/>
              <w:spacing w:line="320" w:lineRule="exact"/>
              <w:jc w:val="center"/>
              <w:rPr>
                <w:rFonts w:hint="eastAsia" w:ascii="仿宋_GB2312" w:hAnsi="宋体" w:eastAsia="仿宋_GB2312"/>
                <w:color w:val="auto"/>
                <w:sz w:val="24"/>
                <w:highlight w:val="none"/>
              </w:rPr>
            </w:pPr>
          </w:p>
        </w:tc>
        <w:tc>
          <w:tcPr>
            <w:tcW w:w="1418" w:type="dxa"/>
            <w:vAlign w:val="center"/>
          </w:tcPr>
          <w:p w14:paraId="480212A0">
            <w:pPr>
              <w:snapToGrid w:val="0"/>
              <w:spacing w:line="320" w:lineRule="exact"/>
              <w:jc w:val="center"/>
              <w:rPr>
                <w:rFonts w:hint="eastAsia" w:ascii="仿宋_GB2312" w:hAnsi="宋体" w:eastAsia="仿宋_GB2312"/>
                <w:color w:val="auto"/>
                <w:sz w:val="24"/>
                <w:highlight w:val="none"/>
              </w:rPr>
            </w:pPr>
          </w:p>
        </w:tc>
      </w:tr>
      <w:tr w14:paraId="3E0C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6EEE1CEE">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w:t>
            </w:r>
          </w:p>
        </w:tc>
        <w:tc>
          <w:tcPr>
            <w:tcW w:w="1207" w:type="dxa"/>
            <w:vAlign w:val="center"/>
          </w:tcPr>
          <w:p w14:paraId="3FD8D816">
            <w:pPr>
              <w:snapToGrid w:val="0"/>
              <w:spacing w:line="320" w:lineRule="exact"/>
              <w:jc w:val="center"/>
              <w:rPr>
                <w:rFonts w:hint="eastAsia" w:ascii="仿宋_GB2312" w:hAnsi="宋体" w:eastAsia="仿宋_GB2312"/>
                <w:color w:val="auto"/>
                <w:sz w:val="24"/>
                <w:highlight w:val="none"/>
              </w:rPr>
            </w:pPr>
          </w:p>
        </w:tc>
        <w:tc>
          <w:tcPr>
            <w:tcW w:w="1134" w:type="dxa"/>
            <w:vAlign w:val="center"/>
          </w:tcPr>
          <w:p w14:paraId="7CE6A71E">
            <w:pPr>
              <w:snapToGrid w:val="0"/>
              <w:spacing w:line="320" w:lineRule="exact"/>
              <w:jc w:val="center"/>
              <w:rPr>
                <w:rFonts w:hint="eastAsia" w:ascii="仿宋_GB2312" w:hAnsi="宋体" w:eastAsia="仿宋_GB2312"/>
                <w:color w:val="auto"/>
                <w:sz w:val="24"/>
                <w:highlight w:val="none"/>
              </w:rPr>
            </w:pPr>
          </w:p>
        </w:tc>
        <w:tc>
          <w:tcPr>
            <w:tcW w:w="1037" w:type="dxa"/>
            <w:vAlign w:val="center"/>
          </w:tcPr>
          <w:p w14:paraId="37A63604">
            <w:pPr>
              <w:snapToGrid w:val="0"/>
              <w:spacing w:line="320" w:lineRule="exact"/>
              <w:jc w:val="center"/>
              <w:rPr>
                <w:rFonts w:hint="eastAsia" w:ascii="仿宋_GB2312" w:hAnsi="宋体" w:eastAsia="仿宋_GB2312"/>
                <w:color w:val="auto"/>
                <w:sz w:val="24"/>
                <w:highlight w:val="none"/>
              </w:rPr>
            </w:pPr>
          </w:p>
        </w:tc>
        <w:tc>
          <w:tcPr>
            <w:tcW w:w="1161" w:type="dxa"/>
            <w:vAlign w:val="center"/>
          </w:tcPr>
          <w:p w14:paraId="7E7304B3">
            <w:pPr>
              <w:snapToGrid w:val="0"/>
              <w:spacing w:line="320" w:lineRule="exact"/>
              <w:jc w:val="center"/>
              <w:rPr>
                <w:rFonts w:hint="eastAsia" w:ascii="仿宋_GB2312" w:hAnsi="宋体" w:eastAsia="仿宋_GB2312"/>
                <w:color w:val="auto"/>
                <w:sz w:val="24"/>
                <w:highlight w:val="none"/>
              </w:rPr>
            </w:pPr>
          </w:p>
        </w:tc>
        <w:tc>
          <w:tcPr>
            <w:tcW w:w="903" w:type="dxa"/>
            <w:vAlign w:val="center"/>
          </w:tcPr>
          <w:p w14:paraId="1D8851A6">
            <w:pPr>
              <w:snapToGrid w:val="0"/>
              <w:spacing w:line="320" w:lineRule="exact"/>
              <w:jc w:val="center"/>
              <w:rPr>
                <w:rFonts w:hint="eastAsia" w:ascii="仿宋_GB2312" w:hAnsi="宋体" w:eastAsia="仿宋_GB2312"/>
                <w:color w:val="auto"/>
                <w:sz w:val="24"/>
                <w:highlight w:val="none"/>
              </w:rPr>
            </w:pPr>
          </w:p>
        </w:tc>
        <w:tc>
          <w:tcPr>
            <w:tcW w:w="892" w:type="dxa"/>
            <w:vAlign w:val="center"/>
          </w:tcPr>
          <w:p w14:paraId="11B10248">
            <w:pPr>
              <w:snapToGrid w:val="0"/>
              <w:spacing w:line="320" w:lineRule="exact"/>
              <w:jc w:val="center"/>
              <w:rPr>
                <w:rFonts w:hint="eastAsia" w:ascii="仿宋_GB2312" w:hAnsi="宋体" w:eastAsia="仿宋_GB2312"/>
                <w:color w:val="auto"/>
                <w:sz w:val="24"/>
                <w:highlight w:val="none"/>
              </w:rPr>
            </w:pPr>
          </w:p>
        </w:tc>
        <w:tc>
          <w:tcPr>
            <w:tcW w:w="1422" w:type="dxa"/>
            <w:vAlign w:val="center"/>
          </w:tcPr>
          <w:p w14:paraId="4EB147BE">
            <w:pPr>
              <w:snapToGrid w:val="0"/>
              <w:spacing w:line="320" w:lineRule="exact"/>
              <w:jc w:val="center"/>
              <w:rPr>
                <w:rFonts w:hint="eastAsia" w:ascii="仿宋_GB2312" w:hAnsi="宋体" w:eastAsia="仿宋_GB2312"/>
                <w:color w:val="auto"/>
                <w:sz w:val="24"/>
                <w:highlight w:val="none"/>
              </w:rPr>
            </w:pPr>
          </w:p>
        </w:tc>
        <w:tc>
          <w:tcPr>
            <w:tcW w:w="1418" w:type="dxa"/>
            <w:vAlign w:val="center"/>
          </w:tcPr>
          <w:p w14:paraId="021A17B9">
            <w:pPr>
              <w:snapToGrid w:val="0"/>
              <w:spacing w:line="320" w:lineRule="exact"/>
              <w:jc w:val="center"/>
              <w:rPr>
                <w:rFonts w:hint="eastAsia" w:ascii="仿宋_GB2312" w:hAnsi="宋体" w:eastAsia="仿宋_GB2312"/>
                <w:color w:val="auto"/>
                <w:sz w:val="24"/>
                <w:highlight w:val="none"/>
              </w:rPr>
            </w:pPr>
          </w:p>
        </w:tc>
      </w:tr>
      <w:tr w14:paraId="72F85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0AB73D5D">
            <w:pPr>
              <w:snapToGrid w:val="0"/>
              <w:spacing w:line="320" w:lineRule="exact"/>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N</w:t>
            </w:r>
          </w:p>
        </w:tc>
        <w:tc>
          <w:tcPr>
            <w:tcW w:w="1207" w:type="dxa"/>
            <w:vAlign w:val="center"/>
          </w:tcPr>
          <w:p w14:paraId="32B9DF4B">
            <w:pPr>
              <w:snapToGrid w:val="0"/>
              <w:spacing w:line="320" w:lineRule="exact"/>
              <w:jc w:val="center"/>
              <w:rPr>
                <w:rFonts w:hint="eastAsia" w:ascii="仿宋_GB2312" w:hAnsi="宋体" w:eastAsia="仿宋_GB2312"/>
                <w:color w:val="auto"/>
                <w:sz w:val="24"/>
                <w:highlight w:val="none"/>
              </w:rPr>
            </w:pPr>
          </w:p>
        </w:tc>
        <w:tc>
          <w:tcPr>
            <w:tcW w:w="1134" w:type="dxa"/>
            <w:vAlign w:val="center"/>
          </w:tcPr>
          <w:p w14:paraId="1FB8172A">
            <w:pPr>
              <w:snapToGrid w:val="0"/>
              <w:spacing w:line="320" w:lineRule="exact"/>
              <w:jc w:val="center"/>
              <w:rPr>
                <w:rFonts w:hint="eastAsia" w:ascii="仿宋_GB2312" w:hAnsi="宋体" w:eastAsia="仿宋_GB2312"/>
                <w:color w:val="auto"/>
                <w:sz w:val="24"/>
                <w:highlight w:val="none"/>
              </w:rPr>
            </w:pPr>
          </w:p>
        </w:tc>
        <w:tc>
          <w:tcPr>
            <w:tcW w:w="1037" w:type="dxa"/>
            <w:vAlign w:val="center"/>
          </w:tcPr>
          <w:p w14:paraId="745D74B4">
            <w:pPr>
              <w:snapToGrid w:val="0"/>
              <w:spacing w:line="320" w:lineRule="exact"/>
              <w:jc w:val="center"/>
              <w:rPr>
                <w:rFonts w:hint="eastAsia" w:ascii="仿宋_GB2312" w:hAnsi="宋体" w:eastAsia="仿宋_GB2312"/>
                <w:color w:val="auto"/>
                <w:sz w:val="24"/>
                <w:highlight w:val="none"/>
              </w:rPr>
            </w:pPr>
          </w:p>
        </w:tc>
        <w:tc>
          <w:tcPr>
            <w:tcW w:w="1161" w:type="dxa"/>
            <w:vAlign w:val="center"/>
          </w:tcPr>
          <w:p w14:paraId="40532469">
            <w:pPr>
              <w:snapToGrid w:val="0"/>
              <w:spacing w:line="320" w:lineRule="exact"/>
              <w:jc w:val="center"/>
              <w:rPr>
                <w:rFonts w:hint="eastAsia" w:ascii="仿宋_GB2312" w:hAnsi="宋体" w:eastAsia="仿宋_GB2312"/>
                <w:color w:val="auto"/>
                <w:sz w:val="24"/>
                <w:highlight w:val="none"/>
              </w:rPr>
            </w:pPr>
          </w:p>
        </w:tc>
        <w:tc>
          <w:tcPr>
            <w:tcW w:w="903" w:type="dxa"/>
            <w:vAlign w:val="center"/>
          </w:tcPr>
          <w:p w14:paraId="50A8B645">
            <w:pPr>
              <w:snapToGrid w:val="0"/>
              <w:spacing w:line="320" w:lineRule="exact"/>
              <w:jc w:val="center"/>
              <w:rPr>
                <w:rFonts w:hint="eastAsia" w:ascii="仿宋_GB2312" w:hAnsi="宋体" w:eastAsia="仿宋_GB2312"/>
                <w:color w:val="auto"/>
                <w:sz w:val="24"/>
                <w:highlight w:val="none"/>
              </w:rPr>
            </w:pPr>
          </w:p>
        </w:tc>
        <w:tc>
          <w:tcPr>
            <w:tcW w:w="892" w:type="dxa"/>
            <w:vAlign w:val="center"/>
          </w:tcPr>
          <w:p w14:paraId="73656502">
            <w:pPr>
              <w:snapToGrid w:val="0"/>
              <w:spacing w:line="320" w:lineRule="exact"/>
              <w:jc w:val="center"/>
              <w:rPr>
                <w:rFonts w:hint="eastAsia" w:ascii="仿宋_GB2312" w:hAnsi="宋体" w:eastAsia="仿宋_GB2312"/>
                <w:color w:val="auto"/>
                <w:sz w:val="24"/>
                <w:highlight w:val="none"/>
              </w:rPr>
            </w:pPr>
          </w:p>
        </w:tc>
        <w:tc>
          <w:tcPr>
            <w:tcW w:w="1422" w:type="dxa"/>
            <w:vAlign w:val="center"/>
          </w:tcPr>
          <w:p w14:paraId="13E0E5CE">
            <w:pPr>
              <w:snapToGrid w:val="0"/>
              <w:spacing w:line="320" w:lineRule="exact"/>
              <w:jc w:val="center"/>
              <w:rPr>
                <w:rFonts w:hint="eastAsia" w:ascii="仿宋_GB2312" w:hAnsi="宋体" w:eastAsia="仿宋_GB2312"/>
                <w:color w:val="auto"/>
                <w:sz w:val="24"/>
                <w:highlight w:val="none"/>
              </w:rPr>
            </w:pPr>
          </w:p>
        </w:tc>
        <w:tc>
          <w:tcPr>
            <w:tcW w:w="1418" w:type="dxa"/>
            <w:vAlign w:val="center"/>
          </w:tcPr>
          <w:p w14:paraId="35DCCEDA">
            <w:pPr>
              <w:snapToGrid w:val="0"/>
              <w:spacing w:line="320" w:lineRule="exact"/>
              <w:jc w:val="center"/>
              <w:rPr>
                <w:rFonts w:hint="eastAsia" w:ascii="仿宋_GB2312" w:hAnsi="宋体" w:eastAsia="仿宋_GB2312"/>
                <w:color w:val="auto"/>
                <w:sz w:val="24"/>
                <w:highlight w:val="none"/>
              </w:rPr>
            </w:pPr>
          </w:p>
        </w:tc>
      </w:tr>
      <w:tr w14:paraId="12EBC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14:paraId="3B67A9D9">
            <w:pPr>
              <w:snapToGrid w:val="0"/>
              <w:spacing w:line="320" w:lineRule="exac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人民币合计金额（大写） ：                         （小写）：¥</w:t>
            </w:r>
            <w:r>
              <w:rPr>
                <w:rFonts w:hint="eastAsia" w:ascii="仿宋_GB2312" w:hAnsi="宋体" w:eastAsia="仿宋_GB2312"/>
                <w:color w:val="auto"/>
                <w:sz w:val="24"/>
                <w:highlight w:val="none"/>
                <w:u w:val="single"/>
              </w:rPr>
              <w:t xml:space="preserve">               </w:t>
            </w:r>
          </w:p>
        </w:tc>
      </w:tr>
    </w:tbl>
    <w:p w14:paraId="7AE961B4">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合同合计金额包括货物价款，标准附件、备品备件、专用工具、包装、运输、装卸、保险、税金、办理免税手续相关费用、货到就位以及安装、调试、培训、保修等一切税金和费用。如招投标文件对其另有规定的，从其规定。</w:t>
      </w:r>
    </w:p>
    <w:p w14:paraId="66562F8C">
      <w:pPr>
        <w:snapToGrid w:val="0"/>
        <w:spacing w:line="360" w:lineRule="exact"/>
        <w:ind w:right="-330" w:rightChars="-157"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第二条　质量保证</w:t>
      </w:r>
    </w:p>
    <w:p w14:paraId="136B0320">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1.乙方所提供的货物型号、技术规格、技术参数等质量必须与招投标文件和承诺相一致。乙方提供的节能和环保产品必须是列入政府采购清单的产品。</w:t>
      </w:r>
    </w:p>
    <w:p w14:paraId="0B63A05F">
      <w:pPr>
        <w:snapToGrid w:val="0"/>
        <w:spacing w:line="360" w:lineRule="exact"/>
        <w:ind w:right="-330" w:rightChars="-157" w:firstLine="480" w:firstLineChars="200"/>
        <w:rPr>
          <w:rFonts w:hint="eastAsia" w:ascii="仿宋_GB2312" w:hAnsi="宋体" w:eastAsia="仿宋_GB2312"/>
          <w:color w:val="auto"/>
          <w:sz w:val="24"/>
          <w:highlight w:val="none"/>
          <w:u w:val="single"/>
        </w:rPr>
      </w:pPr>
      <w:r>
        <w:rPr>
          <w:rFonts w:hint="eastAsia" w:ascii="仿宋_GB2312" w:hAnsi="宋体" w:eastAsia="仿宋_GB2312"/>
          <w:color w:val="auto"/>
          <w:sz w:val="24"/>
          <w:highlight w:val="none"/>
        </w:rPr>
        <w:t>2.乙方所提供的货物必须是全新、未使用的原装产品，且在正常安装、使用和保养条件下，其使用寿命期内各项指标均达到质量要求。</w:t>
      </w:r>
    </w:p>
    <w:p w14:paraId="080C0367">
      <w:pPr>
        <w:snapToGrid w:val="0"/>
        <w:spacing w:line="360" w:lineRule="exact"/>
        <w:ind w:right="-330" w:rightChars="-157"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第三条　权利保证</w:t>
      </w:r>
    </w:p>
    <w:p w14:paraId="4FEB444F">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1.乙方应保证所提供货物在使用时不会侵犯任何第三方的专利权、商标权、工业设计权或其他权利。</w:t>
      </w:r>
    </w:p>
    <w:p w14:paraId="0FA865E4">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2.乙方应按招标文件规定的时间向甲方提供使用货物的有关技术资料。</w:t>
      </w:r>
    </w:p>
    <w:p w14:paraId="4A59917A">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92ED141">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4.乙方保证所交付的货物的所有权完全属于乙方且无任何抵押、查封等产权瑕疵。</w:t>
      </w:r>
    </w:p>
    <w:p w14:paraId="441EA5F2">
      <w:pPr>
        <w:snapToGrid w:val="0"/>
        <w:spacing w:line="360" w:lineRule="exact"/>
        <w:ind w:right="-330" w:rightChars="-157"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第四条　包装和运输</w:t>
      </w:r>
    </w:p>
    <w:p w14:paraId="66D10E00">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1.乙方提供的货物均应按招投标文件要求的包装材料、包装标准、包装方式进行包装，每一包装单元内应附详细的装箱单和质量合格证。</w:t>
      </w:r>
    </w:p>
    <w:p w14:paraId="7D131513">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2.货物的运输方式：</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w:t>
      </w:r>
    </w:p>
    <w:p w14:paraId="601C7C80">
      <w:pPr>
        <w:snapToGrid w:val="0"/>
        <w:spacing w:line="360" w:lineRule="exact"/>
        <w:ind w:right="-330" w:rightChars="-157" w:firstLine="480" w:firstLineChars="200"/>
        <w:rPr>
          <w:rFonts w:hint="eastAsia" w:ascii="仿宋_GB2312" w:hAnsi="宋体" w:eastAsia="仿宋_GB2312"/>
          <w:color w:val="auto"/>
          <w:sz w:val="24"/>
          <w:highlight w:val="none"/>
          <w:u w:val="single"/>
        </w:rPr>
      </w:pPr>
      <w:r>
        <w:rPr>
          <w:rFonts w:hint="eastAsia" w:ascii="仿宋_GB2312" w:hAnsi="宋体" w:eastAsia="仿宋_GB2312"/>
          <w:color w:val="auto"/>
          <w:sz w:val="24"/>
          <w:highlight w:val="none"/>
        </w:rPr>
        <w:t>3.乙方负责货物运输，货物运输合理损耗及计算方法：</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w:t>
      </w:r>
    </w:p>
    <w:p w14:paraId="3FE12B6B">
      <w:pPr>
        <w:snapToGrid w:val="0"/>
        <w:spacing w:line="360" w:lineRule="exact"/>
        <w:ind w:right="-330" w:rightChars="-157"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第五条　交付和验收</w:t>
      </w:r>
    </w:p>
    <w:p w14:paraId="3C4B7772">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1.交货时间：</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、地点：</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w:t>
      </w:r>
    </w:p>
    <w:p w14:paraId="36322682">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2.乙方提供不符合招投标文件和本合同规定的货物，甲方有权拒绝接受。</w:t>
      </w:r>
    </w:p>
    <w:p w14:paraId="3CFC17C0">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3.乙方应将所提供货物的装箱清单、用户手册、原厂保修卡、随机资料、工具和备品、备件等交付给甲方，如有缺失应及时补齐，否则视为逾期交货。</w:t>
      </w:r>
    </w:p>
    <w:p w14:paraId="2E280861">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4.甲方应当在到货（安装、调试完）后七个工作日内进行验收，逾期不验收的，乙方可视同验收合格。验收合格后由甲乙双方签署货物验收单并加盖采购单位公章，甲乙双方各执一份。</w:t>
      </w:r>
    </w:p>
    <w:p w14:paraId="50D62CBB">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437EE451">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6.甲方对验收有异议的，在验收后五个工作日内以书面形式向乙方提出，乙方应自收到甲方书面异议后</w:t>
      </w:r>
      <w:r>
        <w:rPr>
          <w:rFonts w:hint="eastAsia" w:ascii="仿宋_GB2312" w:hAnsi="仿宋" w:eastAsia="仿宋_GB2312"/>
          <w:color w:val="auto"/>
          <w:sz w:val="24"/>
          <w:highlight w:val="none"/>
          <w:u w:val="single"/>
        </w:rPr>
        <w:t>五</w:t>
      </w:r>
      <w:r>
        <w:rPr>
          <w:rFonts w:hint="eastAsia" w:ascii="仿宋_GB2312" w:hAnsi="宋体" w:eastAsia="仿宋_GB2312"/>
          <w:color w:val="auto"/>
          <w:sz w:val="24"/>
          <w:highlight w:val="none"/>
        </w:rPr>
        <w:t>日内及时予以解决。</w:t>
      </w:r>
    </w:p>
    <w:p w14:paraId="7609BDDB">
      <w:pPr>
        <w:snapToGrid w:val="0"/>
        <w:spacing w:line="360" w:lineRule="exact"/>
        <w:ind w:right="-330" w:rightChars="-157"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第六条　安装和培训</w:t>
      </w:r>
    </w:p>
    <w:p w14:paraId="6EC570DE">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1.甲方应提供必要安装条件（如场地、电源、水源等）。</w:t>
      </w:r>
    </w:p>
    <w:p w14:paraId="2787EDA9">
      <w:pPr>
        <w:snapToGrid w:val="0"/>
        <w:spacing w:line="360" w:lineRule="exact"/>
        <w:ind w:right="-330" w:rightChars="-157" w:firstLine="480" w:firstLineChars="200"/>
        <w:rPr>
          <w:rFonts w:hint="eastAsia" w:ascii="仿宋_GB2312" w:hAnsi="宋体" w:eastAsia="仿宋_GB2312"/>
          <w:color w:val="auto"/>
          <w:sz w:val="24"/>
          <w:highlight w:val="none"/>
          <w:u w:val="single"/>
        </w:rPr>
      </w:pPr>
      <w:r>
        <w:rPr>
          <w:rFonts w:hint="eastAsia" w:ascii="仿宋_GB2312" w:hAnsi="宋体" w:eastAsia="仿宋_GB2312"/>
          <w:color w:val="auto"/>
          <w:sz w:val="24"/>
          <w:highlight w:val="none"/>
        </w:rPr>
        <w:t>2.乙方负责甲方有关人员的培训。培训时间、地点：</w:t>
      </w:r>
      <w:r>
        <w:rPr>
          <w:rFonts w:hint="eastAsia" w:ascii="仿宋_GB2312" w:hAnsi="宋体" w:eastAsia="仿宋_GB2312"/>
          <w:color w:val="auto"/>
          <w:sz w:val="24"/>
          <w:highlight w:val="none"/>
          <w:u w:val="single"/>
        </w:rPr>
        <w:t>与甲方商议</w:t>
      </w:r>
      <w:r>
        <w:rPr>
          <w:rFonts w:hint="eastAsia" w:ascii="仿宋_GB2312" w:hAnsi="宋体" w:eastAsia="仿宋_GB2312"/>
          <w:color w:val="auto"/>
          <w:sz w:val="24"/>
          <w:highlight w:val="none"/>
        </w:rPr>
        <w:t>。</w:t>
      </w:r>
    </w:p>
    <w:p w14:paraId="24B52D5C">
      <w:pPr>
        <w:snapToGrid w:val="0"/>
        <w:spacing w:line="360" w:lineRule="exact"/>
        <w:ind w:right="-330" w:rightChars="-157"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第七条  售后服务</w:t>
      </w:r>
    </w:p>
    <w:p w14:paraId="5599E867">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1.乙方应按照国家有关法律法规和“三包”规定以及招投标文件和本合同所附的《服务承诺》，为甲方提供售后服务。</w:t>
      </w:r>
    </w:p>
    <w:p w14:paraId="0C75AA49">
      <w:pPr>
        <w:snapToGrid w:val="0"/>
        <w:spacing w:line="360" w:lineRule="exact"/>
        <w:ind w:right="-330" w:rightChars="-157" w:firstLine="480" w:firstLineChars="200"/>
        <w:rPr>
          <w:rFonts w:hint="eastAsia" w:ascii="仿宋_GB2312" w:hAnsi="宋体" w:eastAsia="仿宋_GB2312"/>
          <w:color w:val="auto"/>
          <w:sz w:val="24"/>
          <w:highlight w:val="none"/>
          <w:u w:val="single"/>
        </w:rPr>
      </w:pPr>
      <w:r>
        <w:rPr>
          <w:rFonts w:hint="eastAsia" w:ascii="仿宋_GB2312" w:hAnsi="宋体" w:eastAsia="仿宋_GB2312"/>
          <w:color w:val="auto"/>
          <w:sz w:val="24"/>
          <w:highlight w:val="none"/>
        </w:rPr>
        <w:t>2.货物保修期：</w:t>
      </w:r>
      <w:r>
        <w:rPr>
          <w:rFonts w:hint="eastAsia" w:ascii="仿宋_GB2312" w:hAnsi="宋体" w:eastAsia="仿宋_GB2312"/>
          <w:color w:val="auto"/>
          <w:sz w:val="24"/>
          <w:highlight w:val="none"/>
          <w:u w:val="single"/>
        </w:rPr>
        <w:t>详见投标文件及合同附件。</w:t>
      </w:r>
    </w:p>
    <w:p w14:paraId="19127775">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3.乙方提供的服务承诺和售后服务及保修期责任等其它具体约定事项。（见合同附件）</w:t>
      </w:r>
    </w:p>
    <w:p w14:paraId="747D7B2C">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4.售后服务、保修时间从项目整体验收合格之日起计算。</w:t>
      </w:r>
    </w:p>
    <w:p w14:paraId="0CEB459E">
      <w:pPr>
        <w:snapToGrid w:val="0"/>
        <w:spacing w:line="360" w:lineRule="exact"/>
        <w:ind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第八条　付款方式</w:t>
      </w:r>
    </w:p>
    <w:p w14:paraId="38DA70FA">
      <w:pPr>
        <w:snapToGrid w:val="0"/>
        <w:spacing w:line="36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1.当采购数量与实际使用数量不一致时，乙方应根据实际使用量供货，合同的最终结算金额按实际使用量乘以成交单价进行计算。</w:t>
      </w:r>
    </w:p>
    <w:p w14:paraId="2F2CF19A">
      <w:pPr>
        <w:snapToGrid w:val="0"/>
        <w:spacing w:line="36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2.资金性质：财政性资金。</w:t>
      </w:r>
    </w:p>
    <w:p w14:paraId="6A3D5F0F">
      <w:pPr>
        <w:snapToGrid w:val="0"/>
        <w:spacing w:line="36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3.付款方式：财政性资金按财政国库集中支付规定程序办理。</w:t>
      </w:r>
      <w:r>
        <w:rPr>
          <w:rFonts w:hint="eastAsia" w:ascii="仿宋_GB2312" w:hAnsi="宋体" w:eastAsia="仿宋_GB2312"/>
          <w:color w:val="auto"/>
          <w:sz w:val="24"/>
          <w:highlight w:val="none"/>
          <w:u w:val="single"/>
          <w:lang w:val="en-US" w:eastAsia="zh-CN"/>
        </w:rPr>
        <w:t xml:space="preserve">                 </w:t>
      </w:r>
      <w:r>
        <w:rPr>
          <w:rFonts w:hint="eastAsia" w:ascii="仿宋_GB2312" w:hAnsi="宋体" w:eastAsia="仿宋_GB2312"/>
          <w:color w:val="auto"/>
          <w:sz w:val="24"/>
          <w:highlight w:val="none"/>
        </w:rPr>
        <w:t>。</w:t>
      </w:r>
    </w:p>
    <w:p w14:paraId="4F74B28B">
      <w:pPr>
        <w:snapToGrid w:val="0"/>
        <w:spacing w:line="276" w:lineRule="auto"/>
        <w:ind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第九条  税费</w:t>
      </w:r>
    </w:p>
    <w:p w14:paraId="4AF24E25">
      <w:pPr>
        <w:snapToGrid w:val="0"/>
        <w:spacing w:line="276" w:lineRule="auto"/>
        <w:ind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本合同执行中相关的一切税费均由乙方负担。</w:t>
      </w:r>
    </w:p>
    <w:p w14:paraId="4CACBE80">
      <w:pPr>
        <w:snapToGrid w:val="0"/>
        <w:spacing w:line="276" w:lineRule="auto"/>
        <w:ind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第十条  质量保证及售后服务</w:t>
      </w:r>
    </w:p>
    <w:p w14:paraId="1A152545">
      <w:pPr>
        <w:snapToGrid w:val="0"/>
        <w:spacing w:line="276" w:lineRule="auto"/>
        <w:ind w:right="-470" w:rightChars="-224" w:firstLine="480" w:firstLineChars="200"/>
        <w:rPr>
          <w:rFonts w:hint="eastAsia" w:ascii="仿宋_GB2312" w:hAnsi="宋体" w:eastAsia="仿宋_GB2312" w:cs="Courier New"/>
          <w:color w:val="auto"/>
          <w:sz w:val="24"/>
          <w:highlight w:val="none"/>
        </w:rPr>
      </w:pPr>
      <w:r>
        <w:rPr>
          <w:rFonts w:hint="eastAsia" w:ascii="仿宋_GB2312" w:hAnsi="宋体" w:eastAsia="仿宋_GB2312" w:cs="Courier New"/>
          <w:color w:val="auto"/>
          <w:sz w:val="24"/>
          <w:highlight w:val="none"/>
        </w:rPr>
        <w:t>1.乙方应按招标文件规定的货物性能、技术要求、质量标准向甲方提供未经使用的全新产品。不符合要求的，根据实际情况，经双方协商，可按以下办法处理：</w:t>
      </w:r>
    </w:p>
    <w:p w14:paraId="384389B4">
      <w:pPr>
        <w:snapToGrid w:val="0"/>
        <w:spacing w:line="276" w:lineRule="auto"/>
        <w:ind w:right="-470" w:rightChars="-224" w:firstLine="480" w:firstLineChars="200"/>
        <w:rPr>
          <w:rFonts w:hint="eastAsia" w:ascii="仿宋_GB2312" w:hAnsi="宋体" w:eastAsia="仿宋_GB2312" w:cs="Courier New"/>
          <w:color w:val="auto"/>
          <w:sz w:val="24"/>
          <w:highlight w:val="none"/>
        </w:rPr>
      </w:pPr>
      <w:r>
        <w:rPr>
          <w:rFonts w:hint="eastAsia" w:ascii="仿宋_GB2312" w:hAnsi="宋体" w:eastAsia="仿宋_GB2312" w:cs="Courier New"/>
          <w:color w:val="auto"/>
          <w:sz w:val="24"/>
          <w:highlight w:val="none"/>
        </w:rPr>
        <w:t>⑴更换：由乙方承担所发生的全部费用。</w:t>
      </w:r>
    </w:p>
    <w:p w14:paraId="12069CBA">
      <w:pPr>
        <w:snapToGrid w:val="0"/>
        <w:spacing w:line="276" w:lineRule="auto"/>
        <w:ind w:right="-470" w:rightChars="-224" w:firstLine="480" w:firstLineChars="200"/>
        <w:rPr>
          <w:rFonts w:hint="eastAsia" w:ascii="仿宋_GB2312" w:hAnsi="宋体" w:eastAsia="仿宋_GB2312" w:cs="Courier New"/>
          <w:color w:val="auto"/>
          <w:sz w:val="24"/>
          <w:highlight w:val="none"/>
        </w:rPr>
      </w:pPr>
      <w:r>
        <w:rPr>
          <w:rFonts w:hint="eastAsia" w:ascii="仿宋_GB2312" w:hAnsi="宋体" w:eastAsia="仿宋_GB2312" w:cs="Courier New"/>
          <w:color w:val="auto"/>
          <w:sz w:val="24"/>
          <w:highlight w:val="none"/>
        </w:rPr>
        <w:t>⑵贬值处理：由甲乙双方合议定价。</w:t>
      </w:r>
    </w:p>
    <w:p w14:paraId="22B75959">
      <w:pPr>
        <w:snapToGrid w:val="0"/>
        <w:spacing w:line="276" w:lineRule="auto"/>
        <w:ind w:right="-470" w:rightChars="-224" w:firstLine="480" w:firstLineChars="200"/>
        <w:rPr>
          <w:rFonts w:hint="eastAsia" w:ascii="仿宋_GB2312" w:hAnsi="宋体" w:eastAsia="仿宋_GB2312" w:cs="Courier New"/>
          <w:color w:val="auto"/>
          <w:sz w:val="24"/>
          <w:highlight w:val="none"/>
        </w:rPr>
      </w:pPr>
      <w:r>
        <w:rPr>
          <w:rFonts w:hint="eastAsia" w:ascii="仿宋_GB2312" w:hAnsi="宋体" w:eastAsia="仿宋_GB2312" w:cs="Courier New"/>
          <w:color w:val="auto"/>
          <w:sz w:val="24"/>
          <w:highlight w:val="none"/>
        </w:rPr>
        <w:t>⑶退货处理：乙方应退还甲方支付的合同款，同时应承担该货物的直接费用（运输、保险、检验、货款利息及银行手续费等）。</w:t>
      </w:r>
    </w:p>
    <w:p w14:paraId="6EEB73A3">
      <w:pPr>
        <w:snapToGrid w:val="0"/>
        <w:spacing w:line="276" w:lineRule="auto"/>
        <w:ind w:right="-470" w:rightChars="-224" w:firstLine="480" w:firstLineChars="200"/>
        <w:rPr>
          <w:rFonts w:hint="eastAsia" w:ascii="仿宋_GB2312" w:hAnsi="宋体" w:eastAsia="仿宋_GB2312" w:cs="Courier New"/>
          <w:color w:val="auto"/>
          <w:sz w:val="24"/>
          <w:highlight w:val="none"/>
        </w:rPr>
      </w:pPr>
      <w:r>
        <w:rPr>
          <w:rFonts w:hint="eastAsia" w:ascii="仿宋_GB2312" w:hAnsi="宋体" w:eastAsia="仿宋_GB2312" w:cs="Courier New"/>
          <w:color w:val="auto"/>
          <w:sz w:val="24"/>
          <w:highlight w:val="none"/>
        </w:rPr>
        <w:t>2.如在使用过程中发生质量问题，乙方在接到甲方通知后在</w:t>
      </w:r>
      <w:r>
        <w:rPr>
          <w:rFonts w:hint="eastAsia" w:ascii="仿宋_GB2312" w:hAnsi="宋体" w:eastAsia="仿宋_GB2312" w:cs="Courier New"/>
          <w:color w:val="auto"/>
          <w:sz w:val="24"/>
          <w:highlight w:val="none"/>
          <w:u w:val="single"/>
        </w:rPr>
        <w:t xml:space="preserve">    </w:t>
      </w:r>
      <w:r>
        <w:rPr>
          <w:rFonts w:hint="eastAsia" w:ascii="仿宋_GB2312" w:hAnsi="宋体" w:eastAsia="仿宋_GB2312" w:cs="Courier New"/>
          <w:color w:val="auto"/>
          <w:sz w:val="24"/>
          <w:highlight w:val="none"/>
        </w:rPr>
        <w:t>小时内到达甲方现场。</w:t>
      </w:r>
    </w:p>
    <w:p w14:paraId="59C018EB">
      <w:pPr>
        <w:snapToGrid w:val="0"/>
        <w:spacing w:line="276" w:lineRule="auto"/>
        <w:ind w:right="-470" w:rightChars="-224" w:firstLine="480" w:firstLineChars="200"/>
        <w:rPr>
          <w:rFonts w:hint="eastAsia" w:ascii="仿宋_GB2312" w:hAnsi="宋体" w:eastAsia="仿宋_GB2312" w:cs="Courier New"/>
          <w:color w:val="auto"/>
          <w:sz w:val="24"/>
          <w:highlight w:val="none"/>
        </w:rPr>
      </w:pPr>
      <w:r>
        <w:rPr>
          <w:rFonts w:hint="eastAsia" w:ascii="仿宋_GB2312" w:hAnsi="宋体" w:eastAsia="仿宋_GB2312" w:cs="Courier New"/>
          <w:color w:val="auto"/>
          <w:sz w:val="24"/>
          <w:highlight w:val="none"/>
        </w:rPr>
        <w:t>3.在质保期内，乙方应对货物出现的质量及安全问题负责处理解决并承担一切费用。</w:t>
      </w:r>
    </w:p>
    <w:p w14:paraId="3988CE02">
      <w:pPr>
        <w:snapToGrid w:val="0"/>
        <w:spacing w:line="276" w:lineRule="auto"/>
        <w:ind w:right="-470" w:rightChars="-224" w:firstLine="480" w:firstLineChars="200"/>
        <w:rPr>
          <w:rFonts w:hint="eastAsia" w:ascii="仿宋_GB2312" w:hAnsi="宋体" w:eastAsia="仿宋_GB2312" w:cs="Courier New"/>
          <w:color w:val="auto"/>
          <w:sz w:val="24"/>
          <w:highlight w:val="none"/>
        </w:rPr>
      </w:pPr>
      <w:r>
        <w:rPr>
          <w:rFonts w:hint="eastAsia" w:ascii="仿宋_GB2312" w:hAnsi="宋体" w:eastAsia="仿宋_GB2312" w:cs="Courier New"/>
          <w:color w:val="auto"/>
          <w:sz w:val="24"/>
          <w:highlight w:val="none"/>
        </w:rPr>
        <w:t>4.上述的货物免费保修期为</w:t>
      </w:r>
      <w:r>
        <w:rPr>
          <w:rFonts w:hint="eastAsia" w:ascii="仿宋_GB2312" w:hAnsi="宋体" w:eastAsia="仿宋_GB2312" w:cs="Courier New"/>
          <w:color w:val="auto"/>
          <w:sz w:val="24"/>
          <w:highlight w:val="none"/>
          <w:u w:val="single"/>
        </w:rPr>
        <w:t xml:space="preserve">     </w:t>
      </w:r>
      <w:r>
        <w:rPr>
          <w:rFonts w:hint="eastAsia" w:ascii="仿宋_GB2312" w:hAnsi="宋体" w:eastAsia="仿宋_GB2312" w:cs="Courier New"/>
          <w:color w:val="auto"/>
          <w:sz w:val="24"/>
          <w:highlight w:val="none"/>
        </w:rPr>
        <w:t>年，因人为因素出现的故障不在免费保修范围内。超过保修期的机器设备，终生维修，维修时只收部件成本费。</w:t>
      </w:r>
    </w:p>
    <w:p w14:paraId="5053E603">
      <w:pPr>
        <w:snapToGrid w:val="0"/>
        <w:spacing w:line="360" w:lineRule="exact"/>
        <w:ind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第十一条  调试和验收</w:t>
      </w:r>
    </w:p>
    <w:p w14:paraId="3DABDF46">
      <w:pPr>
        <w:snapToGrid w:val="0"/>
        <w:spacing w:line="360" w:lineRule="exact"/>
        <w:ind w:right="-611" w:rightChars="-291" w:firstLine="480"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05A166A3">
      <w:pPr>
        <w:snapToGrid w:val="0"/>
        <w:spacing w:line="360" w:lineRule="exact"/>
        <w:ind w:right="-611" w:rightChars="-291"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2.乙方交货前应对产品作出全面检查和对验收文件进行整理，并列出清单，作为甲方收货验收和使用的技术条件依据，检验的结果应随货物交甲方。</w:t>
      </w:r>
    </w:p>
    <w:p w14:paraId="1BEB2567">
      <w:pPr>
        <w:snapToGrid w:val="0"/>
        <w:spacing w:line="360" w:lineRule="exact"/>
        <w:ind w:right="-611" w:rightChars="-291"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3.甲方对乙方提供的货物在使用前进行调试时，乙方需负责安装并培训甲方的使用操作人员，并协助甲方一起调试，直到符合技术要求，甲方才做最终验收。</w:t>
      </w:r>
    </w:p>
    <w:p w14:paraId="27069E03">
      <w:pPr>
        <w:snapToGrid w:val="0"/>
        <w:spacing w:line="360" w:lineRule="exact"/>
        <w:ind w:right="-611" w:rightChars="-291"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4.对技术复杂的货物，甲方应请国家认可的专业检测机构参与初步验收及最终验收，并由其出具质量检测报告。</w:t>
      </w:r>
    </w:p>
    <w:p w14:paraId="43E89868">
      <w:pPr>
        <w:snapToGrid w:val="0"/>
        <w:spacing w:line="360" w:lineRule="exact"/>
        <w:ind w:right="-611" w:rightChars="-291"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5.验收时乙方必须在现场，验收完毕后作出验收结果报告；验收费用由乙方负责。</w:t>
      </w:r>
    </w:p>
    <w:p w14:paraId="4D2B93EA">
      <w:pPr>
        <w:snapToGrid w:val="0"/>
        <w:spacing w:line="360" w:lineRule="exact"/>
        <w:ind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第十二条  货物包装、发运及运输</w:t>
      </w:r>
    </w:p>
    <w:p w14:paraId="1BD65273">
      <w:pPr>
        <w:snapToGrid w:val="0"/>
        <w:spacing w:line="360" w:lineRule="exact"/>
        <w:ind w:right="-611" w:rightChars="-291"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1.乙方应在货物发运前对其进行满足运输距离、防潮、防震、防锈和防破损装卸等要求包装，以保证货物安全运达甲方指定地点。</w:t>
      </w:r>
    </w:p>
    <w:p w14:paraId="0825C279">
      <w:pPr>
        <w:snapToGrid w:val="0"/>
        <w:spacing w:line="360" w:lineRule="exact"/>
        <w:ind w:right="-611" w:rightChars="-291"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2.使用说明书、质量检验证明书、随配附件和工具以及清单一并附于货物内。</w:t>
      </w:r>
    </w:p>
    <w:p w14:paraId="2BA25461">
      <w:pPr>
        <w:snapToGrid w:val="0"/>
        <w:spacing w:line="360" w:lineRule="exact"/>
        <w:ind w:right="-611" w:rightChars="-291"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3.乙方在货物发运手续办理完毕后二十四小时内或货到甲方四十八小时前通知甲方，以准备接货。</w:t>
      </w:r>
    </w:p>
    <w:p w14:paraId="0D8BDE77">
      <w:pPr>
        <w:snapToGrid w:val="0"/>
        <w:spacing w:line="360" w:lineRule="exact"/>
        <w:ind w:right="-611" w:rightChars="-291"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4.货物在交付甲方前发生的风险均由乙方负责。</w:t>
      </w:r>
    </w:p>
    <w:p w14:paraId="49E22ACF">
      <w:pPr>
        <w:snapToGrid w:val="0"/>
        <w:spacing w:line="360" w:lineRule="exact"/>
        <w:ind w:right="-611" w:rightChars="-291"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5.货物在规定的交付期限内由乙方送达甲方指定的地点视为交付，乙方同时需通知甲方货物已送达。</w:t>
      </w:r>
    </w:p>
    <w:p w14:paraId="04912E28">
      <w:pPr>
        <w:snapToGrid w:val="0"/>
        <w:spacing w:line="360" w:lineRule="exact"/>
        <w:ind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第十三条 违约责任</w:t>
      </w:r>
    </w:p>
    <w:p w14:paraId="50A457AC">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14:paraId="4BC44297">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2.乙方提供的货物如侵犯了第三方合法权益而引发的任何纠纷或诉讼，均由乙方负责交涉并承担全部责任。</w:t>
      </w:r>
    </w:p>
    <w:p w14:paraId="433B8448">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3.因包装、运输引起的货物损坏，按质量不合格处理。</w:t>
      </w:r>
    </w:p>
    <w:p w14:paraId="5D4E876F">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4.甲方无故延期接收货物、乙方逾期交货的，每天向对方偿付违约货款额3‰违约金，但违约金累计不得超过违约货款额</w:t>
      </w:r>
      <w:r>
        <w:rPr>
          <w:rFonts w:hint="eastAsia" w:ascii="仿宋_GB2312" w:hAnsi="宋体" w:eastAsia="仿宋_GB2312"/>
          <w:color w:val="auto"/>
          <w:sz w:val="24"/>
          <w:highlight w:val="none"/>
          <w:u w:val="single"/>
        </w:rPr>
        <w:t>5%</w:t>
      </w:r>
      <w:r>
        <w:rPr>
          <w:rFonts w:hint="eastAsia" w:ascii="仿宋_GB2312" w:hAnsi="宋体" w:eastAsia="仿宋_GB2312"/>
          <w:color w:val="auto"/>
          <w:sz w:val="24"/>
          <w:highlight w:val="none"/>
        </w:rPr>
        <w:t xml:space="preserve">，超过 </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天对方有权解除合同，违约方承担因此给对方造成的经济损失；甲方延期付货款的，每天向乙方偿付延期货款额3‰滞纳金，但滞纳金累计不得超过延期货款额</w:t>
      </w:r>
      <w:r>
        <w:rPr>
          <w:rFonts w:hint="eastAsia" w:ascii="仿宋_GB2312" w:hAnsi="宋体" w:eastAsia="仿宋_GB2312"/>
          <w:color w:val="auto"/>
          <w:sz w:val="24"/>
          <w:highlight w:val="none"/>
          <w:u w:val="single"/>
        </w:rPr>
        <w:t>5%</w:t>
      </w:r>
      <w:r>
        <w:rPr>
          <w:rFonts w:hint="eastAsia" w:ascii="仿宋_GB2312" w:hAnsi="宋体" w:eastAsia="仿宋_GB2312"/>
          <w:color w:val="auto"/>
          <w:sz w:val="24"/>
          <w:highlight w:val="none"/>
        </w:rPr>
        <w:t>。</w:t>
      </w:r>
    </w:p>
    <w:p w14:paraId="28AE9FE4">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5.乙方未按本合同和投标文件中规定的服务承诺提供售后服务的，乙方应按本合同合计金额5%向甲方支付违约金。</w:t>
      </w:r>
    </w:p>
    <w:p w14:paraId="4E38BD40">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6.乙方提供的货物在质量保证期内，因设计、工艺或材料的缺陷和其它质量原因造成的问题，由乙方负责，费用从未付款项中扣除，不足另补。</w:t>
      </w:r>
    </w:p>
    <w:p w14:paraId="71C12EC4">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7.其它违约行为按违约货款额5%收取违约金并赔偿经济损失。</w:t>
      </w:r>
    </w:p>
    <w:p w14:paraId="1B2C1256">
      <w:pPr>
        <w:snapToGrid w:val="0"/>
        <w:spacing w:line="360" w:lineRule="exact"/>
        <w:ind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第十四条 不可抗力事件处理</w:t>
      </w:r>
    </w:p>
    <w:p w14:paraId="04C82DE9">
      <w:pPr>
        <w:snapToGrid w:val="0"/>
        <w:spacing w:line="36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1.在合同有效期内，任何一方因不可抗力事件导致不能履行合同，则合同履行期可延长，其延长期与不可抗力影响期相同。</w:t>
      </w:r>
    </w:p>
    <w:p w14:paraId="0E95EDC2">
      <w:pPr>
        <w:snapToGrid w:val="0"/>
        <w:spacing w:line="36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2.不可抗力事件发生后，应立即通知对方，并寄送有关权威机构出具的证明。</w:t>
      </w:r>
    </w:p>
    <w:p w14:paraId="28CEE21A">
      <w:pPr>
        <w:snapToGrid w:val="0"/>
        <w:spacing w:line="36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3.不可抗力事件延续一百二十天以上，双方应通过友好协商，确定是否继续履行合同。</w:t>
      </w:r>
    </w:p>
    <w:p w14:paraId="23C4C2E2">
      <w:pPr>
        <w:snapToGrid w:val="0"/>
        <w:spacing w:line="360" w:lineRule="exact"/>
        <w:ind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第十五条  合同争议解决</w:t>
      </w:r>
    </w:p>
    <w:p w14:paraId="4E751DDC">
      <w:pPr>
        <w:snapToGrid w:val="0"/>
        <w:spacing w:line="36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1.因货物质量问题发生争议的，应邀请国家认可的质量检测机构对货物质量进行鉴定。货物符合标准的，鉴定费由甲方承担；货物不符合标准的，鉴定费由乙方承担。</w:t>
      </w:r>
    </w:p>
    <w:p w14:paraId="7E075EE1">
      <w:pPr>
        <w:snapToGrid w:val="0"/>
        <w:spacing w:line="36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2.因履行本合同引起的或与本合同有关的争议，甲乙双方应首先通过友好协商解决，如果协商不能解决，可向甲方所在地的人民法院提起诉讼。</w:t>
      </w:r>
    </w:p>
    <w:p w14:paraId="7BCFD565">
      <w:pPr>
        <w:snapToGrid w:val="0"/>
        <w:spacing w:line="36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3.诉讼期间，本合同继续履行。</w:t>
      </w:r>
    </w:p>
    <w:p w14:paraId="6F3A870A">
      <w:pPr>
        <w:snapToGrid w:val="0"/>
        <w:spacing w:line="360" w:lineRule="exact"/>
        <w:ind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第十六条  合同生效及其它</w:t>
      </w:r>
    </w:p>
    <w:p w14:paraId="335B7482">
      <w:pPr>
        <w:snapToGrid w:val="0"/>
        <w:spacing w:line="36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1.合同经双方法定代表人或授权代表签字并加盖单位公章后生效。</w:t>
      </w:r>
    </w:p>
    <w:p w14:paraId="23EA295A">
      <w:pPr>
        <w:snapToGrid w:val="0"/>
        <w:spacing w:line="360" w:lineRule="exact"/>
        <w:ind w:right="-470" w:rightChars="-224"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2.本合同未尽事宜，遵照《</w:t>
      </w:r>
      <w:r>
        <w:rPr>
          <w:rFonts w:hint="eastAsia" w:ascii="仿宋_GB2312" w:eastAsia="仿宋_GB2312"/>
          <w:color w:val="auto"/>
          <w:sz w:val="24"/>
          <w:highlight w:val="none"/>
        </w:rPr>
        <w:t>中华人民共和国民法典</w:t>
      </w:r>
      <w:r>
        <w:rPr>
          <w:rFonts w:hint="eastAsia" w:ascii="仿宋_GB2312" w:hAnsi="宋体" w:eastAsia="仿宋_GB2312"/>
          <w:color w:val="auto"/>
          <w:sz w:val="24"/>
          <w:highlight w:val="none"/>
        </w:rPr>
        <w:t>》有关条文执行。</w:t>
      </w:r>
    </w:p>
    <w:p w14:paraId="69412F3E">
      <w:pPr>
        <w:snapToGrid w:val="0"/>
        <w:spacing w:line="360" w:lineRule="exact"/>
        <w:ind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第十七条　合同的变更、终止与转让</w:t>
      </w:r>
    </w:p>
    <w:p w14:paraId="04BE5DA8">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1.除《中华人民共和国政府采购法》第五十条规定的情形外，本合同一经签订，甲乙双方不得擅自变更、中止或终止。</w:t>
      </w:r>
    </w:p>
    <w:p w14:paraId="161B9A60">
      <w:pPr>
        <w:snapToGrid w:val="0"/>
        <w:spacing w:line="360" w:lineRule="exact"/>
        <w:ind w:right="-330" w:rightChars="-157"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2.乙方不得擅自转让（无进口资格的供应商委托进口货物除外）其应履行的合同义务。</w:t>
      </w:r>
    </w:p>
    <w:p w14:paraId="3BFE0C06">
      <w:pPr>
        <w:snapToGrid w:val="0"/>
        <w:spacing w:line="360" w:lineRule="exact"/>
        <w:ind w:firstLine="482" w:firstLineChars="200"/>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第十八条　签订本合同依据</w:t>
      </w:r>
    </w:p>
    <w:p w14:paraId="1C201008">
      <w:pPr>
        <w:snapToGrid w:val="0"/>
        <w:spacing w:line="360" w:lineRule="exact"/>
        <w:ind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1.政府采购招标文件；</w:t>
      </w:r>
    </w:p>
    <w:p w14:paraId="1513D22F">
      <w:pPr>
        <w:snapToGrid w:val="0"/>
        <w:spacing w:line="360" w:lineRule="exact"/>
        <w:ind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2.乙方提供的采购投标（或应答）文件；</w:t>
      </w:r>
    </w:p>
    <w:p w14:paraId="34730F4B">
      <w:pPr>
        <w:snapToGrid w:val="0"/>
        <w:spacing w:line="360" w:lineRule="exact"/>
        <w:ind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3.投标承诺书；</w:t>
      </w:r>
    </w:p>
    <w:p w14:paraId="3D1E8F41">
      <w:pPr>
        <w:snapToGrid w:val="0"/>
        <w:spacing w:line="360" w:lineRule="exact"/>
        <w:ind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4.中标或成交通知书。</w:t>
      </w:r>
    </w:p>
    <w:p w14:paraId="586A96BD">
      <w:pPr>
        <w:snapToGrid w:val="0"/>
        <w:spacing w:line="360" w:lineRule="exact"/>
        <w:ind w:right="-754" w:rightChars="-359" w:firstLine="482" w:firstLineChars="200"/>
        <w:rPr>
          <w:rFonts w:hint="eastAsia" w:ascii="仿宋_GB2312" w:hAnsi="宋体" w:eastAsia="仿宋_GB2312"/>
          <w:color w:val="auto"/>
          <w:sz w:val="24"/>
          <w:highlight w:val="none"/>
        </w:rPr>
      </w:pPr>
      <w:r>
        <w:rPr>
          <w:rFonts w:hint="eastAsia" w:ascii="仿宋_GB2312" w:hAnsi="宋体" w:eastAsia="仿宋_GB2312"/>
          <w:b/>
          <w:color w:val="auto"/>
          <w:sz w:val="24"/>
          <w:highlight w:val="none"/>
        </w:rPr>
        <w:t>第十九条</w:t>
      </w:r>
      <w:r>
        <w:rPr>
          <w:rFonts w:hint="eastAsia" w:ascii="楷体_GB2312" w:hAnsi="宋体" w:eastAsia="楷体_GB2312"/>
          <w:b/>
          <w:color w:val="auto"/>
          <w:szCs w:val="21"/>
          <w:highlight w:val="none"/>
        </w:rPr>
        <w:t>　</w:t>
      </w:r>
      <w:r>
        <w:rPr>
          <w:rFonts w:hint="eastAsia" w:ascii="仿宋_GB2312" w:hAnsi="宋体" w:eastAsia="仿宋_GB2312"/>
          <w:color w:val="auto"/>
          <w:sz w:val="24"/>
          <w:highlight w:val="none"/>
        </w:rPr>
        <w:t>本合同一式</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份，具有同等法律效力，采购代理机构</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份，甲方</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份，乙方</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4DB8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0C25C09B">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 xml:space="preserve">甲方（章）           </w:t>
            </w:r>
          </w:p>
          <w:p w14:paraId="1F5ABC06">
            <w:pPr>
              <w:snapToGrid w:val="0"/>
              <w:spacing w:line="320" w:lineRule="exact"/>
              <w:ind w:firstLine="480" w:firstLineChars="200"/>
              <w:rPr>
                <w:rFonts w:ascii="仿宋_GB2312" w:eastAsia="仿宋_GB2312"/>
                <w:color w:val="auto"/>
                <w:sz w:val="24"/>
                <w:highlight w:val="none"/>
              </w:rPr>
            </w:pPr>
          </w:p>
          <w:p w14:paraId="76EBF11E">
            <w:pPr>
              <w:snapToGrid w:val="0"/>
              <w:spacing w:line="320" w:lineRule="exact"/>
              <w:ind w:firstLine="480" w:firstLineChars="200"/>
              <w:jc w:val="right"/>
              <w:rPr>
                <w:rFonts w:ascii="仿宋_GB2312" w:eastAsia="仿宋_GB2312"/>
                <w:color w:val="auto"/>
                <w:sz w:val="24"/>
                <w:highlight w:val="none"/>
              </w:rPr>
            </w:pPr>
            <w:r>
              <w:rPr>
                <w:rFonts w:hint="eastAsia" w:ascii="仿宋_GB2312" w:eastAsia="仿宋_GB2312"/>
                <w:color w:val="auto"/>
                <w:sz w:val="24"/>
                <w:highlight w:val="none"/>
              </w:rPr>
              <w:t>年   月   日</w:t>
            </w:r>
          </w:p>
        </w:tc>
        <w:tc>
          <w:tcPr>
            <w:tcW w:w="4690" w:type="dxa"/>
            <w:vAlign w:val="center"/>
          </w:tcPr>
          <w:p w14:paraId="548DFBEA">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 xml:space="preserve">乙方（章）              </w:t>
            </w:r>
          </w:p>
          <w:p w14:paraId="66062F20">
            <w:pPr>
              <w:snapToGrid w:val="0"/>
              <w:spacing w:line="320" w:lineRule="exact"/>
              <w:ind w:firstLine="480" w:firstLineChars="200"/>
              <w:rPr>
                <w:rFonts w:ascii="仿宋_GB2312" w:eastAsia="仿宋_GB2312"/>
                <w:color w:val="auto"/>
                <w:sz w:val="24"/>
                <w:highlight w:val="none"/>
              </w:rPr>
            </w:pPr>
          </w:p>
          <w:p w14:paraId="164AC6C7">
            <w:pPr>
              <w:snapToGrid w:val="0"/>
              <w:spacing w:line="320" w:lineRule="exact"/>
              <w:ind w:firstLine="480" w:firstLineChars="200"/>
              <w:jc w:val="right"/>
              <w:rPr>
                <w:rFonts w:ascii="仿宋_GB2312" w:eastAsia="仿宋_GB2312"/>
                <w:color w:val="auto"/>
                <w:sz w:val="24"/>
                <w:highlight w:val="none"/>
              </w:rPr>
            </w:pPr>
            <w:r>
              <w:rPr>
                <w:rFonts w:hint="eastAsia" w:ascii="仿宋_GB2312" w:eastAsia="仿宋_GB2312"/>
                <w:color w:val="auto"/>
                <w:sz w:val="24"/>
                <w:highlight w:val="none"/>
              </w:rPr>
              <w:t xml:space="preserve"> 年   月   日</w:t>
            </w:r>
          </w:p>
        </w:tc>
      </w:tr>
      <w:tr w14:paraId="47ED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3B013E6D">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单位地址：</w:t>
            </w:r>
          </w:p>
        </w:tc>
        <w:tc>
          <w:tcPr>
            <w:tcW w:w="4690" w:type="dxa"/>
            <w:vAlign w:val="center"/>
          </w:tcPr>
          <w:p w14:paraId="39C4A4A7">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单位地址：</w:t>
            </w:r>
          </w:p>
        </w:tc>
      </w:tr>
      <w:tr w14:paraId="08300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7C2E0A4D">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法定代表人：</w:t>
            </w:r>
          </w:p>
        </w:tc>
        <w:tc>
          <w:tcPr>
            <w:tcW w:w="4690" w:type="dxa"/>
            <w:vAlign w:val="center"/>
          </w:tcPr>
          <w:p w14:paraId="0D4E195F">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法定代表人：</w:t>
            </w:r>
          </w:p>
        </w:tc>
      </w:tr>
      <w:tr w14:paraId="4559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365BA2A6">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委托代理人：</w:t>
            </w:r>
          </w:p>
        </w:tc>
        <w:tc>
          <w:tcPr>
            <w:tcW w:w="4690" w:type="dxa"/>
            <w:vAlign w:val="center"/>
          </w:tcPr>
          <w:p w14:paraId="747B9D95">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委托代理人：</w:t>
            </w:r>
          </w:p>
        </w:tc>
      </w:tr>
      <w:tr w14:paraId="441D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0E7E4D27">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电    话：</w:t>
            </w:r>
          </w:p>
        </w:tc>
        <w:tc>
          <w:tcPr>
            <w:tcW w:w="4690" w:type="dxa"/>
            <w:vAlign w:val="center"/>
          </w:tcPr>
          <w:p w14:paraId="1E6281E0">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电    话：</w:t>
            </w:r>
          </w:p>
        </w:tc>
      </w:tr>
      <w:tr w14:paraId="7C01D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2D0A3579">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电子邮箱：</w:t>
            </w:r>
          </w:p>
        </w:tc>
        <w:tc>
          <w:tcPr>
            <w:tcW w:w="4690" w:type="dxa"/>
            <w:vAlign w:val="center"/>
          </w:tcPr>
          <w:p w14:paraId="7BB22351">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电子邮箱：</w:t>
            </w:r>
          </w:p>
        </w:tc>
      </w:tr>
      <w:tr w14:paraId="01BF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6E58425E">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开户银行：</w:t>
            </w:r>
          </w:p>
        </w:tc>
        <w:tc>
          <w:tcPr>
            <w:tcW w:w="4690" w:type="dxa"/>
            <w:vAlign w:val="center"/>
          </w:tcPr>
          <w:p w14:paraId="4AF70676">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开户银行：</w:t>
            </w:r>
          </w:p>
        </w:tc>
      </w:tr>
      <w:tr w14:paraId="7C3A3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31BD1BD8">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账    号：</w:t>
            </w:r>
          </w:p>
        </w:tc>
        <w:tc>
          <w:tcPr>
            <w:tcW w:w="4690" w:type="dxa"/>
            <w:vAlign w:val="center"/>
          </w:tcPr>
          <w:p w14:paraId="3EE1EC7C">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账    号：</w:t>
            </w:r>
          </w:p>
        </w:tc>
      </w:tr>
      <w:tr w14:paraId="10C9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609D0057">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邮政编码：</w:t>
            </w:r>
          </w:p>
        </w:tc>
        <w:tc>
          <w:tcPr>
            <w:tcW w:w="4690" w:type="dxa"/>
            <w:vAlign w:val="center"/>
          </w:tcPr>
          <w:p w14:paraId="0222EC24">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邮政编码：</w:t>
            </w:r>
          </w:p>
        </w:tc>
      </w:tr>
      <w:tr w14:paraId="43E6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291A46B4">
            <w:pPr>
              <w:snapToGrid w:val="0"/>
              <w:spacing w:line="320" w:lineRule="exact"/>
              <w:rPr>
                <w:rFonts w:ascii="仿宋_GB2312" w:eastAsia="仿宋_GB2312"/>
                <w:color w:val="auto"/>
                <w:sz w:val="24"/>
                <w:highlight w:val="none"/>
              </w:rPr>
            </w:pPr>
            <w:r>
              <w:rPr>
                <w:rFonts w:hint="eastAsia" w:ascii="仿宋_GB2312" w:eastAsia="仿宋_GB2312"/>
                <w:color w:val="auto"/>
                <w:sz w:val="24"/>
                <w:highlight w:val="none"/>
              </w:rPr>
              <w:t>经办人：</w:t>
            </w:r>
          </w:p>
          <w:p w14:paraId="70172B59">
            <w:pPr>
              <w:snapToGrid w:val="0"/>
              <w:spacing w:line="320" w:lineRule="exact"/>
              <w:ind w:firstLine="480" w:firstLineChars="200"/>
              <w:jc w:val="right"/>
              <w:rPr>
                <w:rFonts w:ascii="仿宋_GB2312" w:eastAsia="仿宋_GB2312"/>
                <w:color w:val="auto"/>
                <w:sz w:val="24"/>
                <w:highlight w:val="none"/>
              </w:rPr>
            </w:pPr>
            <w:r>
              <w:rPr>
                <w:rFonts w:hint="eastAsia" w:ascii="仿宋_GB2312" w:eastAsia="仿宋_GB2312"/>
                <w:color w:val="auto"/>
                <w:sz w:val="24"/>
                <w:highlight w:val="none"/>
              </w:rPr>
              <w:t>年    月    日</w:t>
            </w:r>
          </w:p>
        </w:tc>
      </w:tr>
    </w:tbl>
    <w:p w14:paraId="0CF38B47">
      <w:pPr>
        <w:spacing w:line="360" w:lineRule="exact"/>
        <w:ind w:left="420" w:leftChars="200" w:firstLine="360" w:firstLineChars="150"/>
        <w:jc w:val="left"/>
        <w:rPr>
          <w:rFonts w:ascii="仿宋_GB2312" w:eastAsia="仿宋_GB2312"/>
          <w:color w:val="auto"/>
          <w:sz w:val="24"/>
          <w:highlight w:val="none"/>
        </w:rPr>
      </w:pPr>
    </w:p>
    <w:p w14:paraId="105CCD31">
      <w:pPr>
        <w:snapToGrid w:val="0"/>
        <w:jc w:val="center"/>
        <w:rPr>
          <w:rFonts w:hint="eastAsia" w:ascii="仿宋_GB2312" w:eastAsia="仿宋_GB2312"/>
          <w:b/>
          <w:color w:val="auto"/>
          <w:sz w:val="28"/>
          <w:szCs w:val="28"/>
          <w:highlight w:val="none"/>
        </w:rPr>
      </w:pPr>
    </w:p>
    <w:p w14:paraId="77139157">
      <w:pPr>
        <w:snapToGrid w:val="0"/>
        <w:jc w:val="center"/>
        <w:rPr>
          <w:rFonts w:hint="eastAsia" w:ascii="仿宋_GB2312" w:eastAsia="仿宋_GB2312"/>
          <w:b/>
          <w:color w:val="auto"/>
          <w:sz w:val="28"/>
          <w:szCs w:val="28"/>
          <w:highlight w:val="none"/>
        </w:rPr>
      </w:pPr>
    </w:p>
    <w:p w14:paraId="7D658264">
      <w:pPr>
        <w:snapToGrid w:val="0"/>
        <w:jc w:val="center"/>
        <w:rPr>
          <w:rFonts w:hint="eastAsia" w:ascii="仿宋_GB2312" w:eastAsia="仿宋_GB2312"/>
          <w:b/>
          <w:color w:val="auto"/>
          <w:sz w:val="28"/>
          <w:szCs w:val="28"/>
          <w:highlight w:val="none"/>
        </w:rPr>
      </w:pPr>
    </w:p>
    <w:p w14:paraId="31EFE5EF">
      <w:pPr>
        <w:snapToGrid w:val="0"/>
        <w:jc w:val="center"/>
        <w:rPr>
          <w:rFonts w:hint="eastAsia" w:ascii="仿宋_GB2312" w:eastAsia="仿宋_GB2312"/>
          <w:b/>
          <w:color w:val="auto"/>
          <w:sz w:val="28"/>
          <w:szCs w:val="28"/>
          <w:highlight w:val="none"/>
        </w:rPr>
      </w:pPr>
    </w:p>
    <w:p w14:paraId="5EF6527A">
      <w:pPr>
        <w:snapToGrid w:val="0"/>
        <w:jc w:val="center"/>
        <w:rPr>
          <w:rFonts w:hint="eastAsia" w:ascii="仿宋_GB2312" w:eastAsia="仿宋_GB2312"/>
          <w:b/>
          <w:color w:val="auto"/>
          <w:sz w:val="28"/>
          <w:szCs w:val="28"/>
          <w:highlight w:val="none"/>
        </w:rPr>
      </w:pPr>
    </w:p>
    <w:p w14:paraId="61D24451">
      <w:pPr>
        <w:snapToGrid w:val="0"/>
        <w:jc w:val="center"/>
        <w:rPr>
          <w:rFonts w:hint="eastAsia" w:ascii="仿宋_GB2312" w:eastAsia="仿宋_GB2312"/>
          <w:b/>
          <w:color w:val="auto"/>
          <w:sz w:val="28"/>
          <w:szCs w:val="28"/>
          <w:highlight w:val="none"/>
        </w:rPr>
      </w:pPr>
    </w:p>
    <w:p w14:paraId="7621CA8D">
      <w:pPr>
        <w:snapToGrid w:val="0"/>
        <w:jc w:val="center"/>
        <w:rPr>
          <w:rFonts w:hint="eastAsia" w:ascii="仿宋_GB2312" w:eastAsia="仿宋_GB2312"/>
          <w:b/>
          <w:color w:val="auto"/>
          <w:sz w:val="28"/>
          <w:szCs w:val="28"/>
          <w:highlight w:val="none"/>
        </w:rPr>
      </w:pPr>
    </w:p>
    <w:p w14:paraId="51DCC03F">
      <w:pPr>
        <w:snapToGrid w:val="0"/>
        <w:jc w:val="center"/>
        <w:rPr>
          <w:rFonts w:hint="eastAsia" w:ascii="仿宋_GB2312" w:eastAsia="仿宋_GB2312"/>
          <w:b/>
          <w:color w:val="auto"/>
          <w:sz w:val="28"/>
          <w:szCs w:val="28"/>
          <w:highlight w:val="none"/>
        </w:rPr>
      </w:pPr>
    </w:p>
    <w:p w14:paraId="376AEB8A">
      <w:pPr>
        <w:snapToGrid w:val="0"/>
        <w:jc w:val="center"/>
        <w:rPr>
          <w:rFonts w:hint="eastAsia" w:ascii="仿宋_GB2312" w:eastAsia="仿宋_GB2312"/>
          <w:b/>
          <w:color w:val="auto"/>
          <w:sz w:val="28"/>
          <w:szCs w:val="28"/>
          <w:highlight w:val="none"/>
        </w:rPr>
      </w:pPr>
    </w:p>
    <w:p w14:paraId="2AA4B668">
      <w:pPr>
        <w:snapToGrid w:val="0"/>
        <w:jc w:val="center"/>
        <w:rPr>
          <w:rFonts w:hint="eastAsia" w:ascii="仿宋_GB2312" w:eastAsia="仿宋_GB2312"/>
          <w:b/>
          <w:color w:val="auto"/>
          <w:sz w:val="28"/>
          <w:szCs w:val="28"/>
          <w:highlight w:val="none"/>
        </w:rPr>
      </w:pPr>
    </w:p>
    <w:p w14:paraId="32F4244E">
      <w:pPr>
        <w:snapToGrid w:val="0"/>
        <w:jc w:val="center"/>
        <w:rPr>
          <w:rFonts w:hint="eastAsia" w:ascii="仿宋_GB2312" w:eastAsia="仿宋_GB2312"/>
          <w:b/>
          <w:color w:val="auto"/>
          <w:sz w:val="28"/>
          <w:szCs w:val="28"/>
          <w:highlight w:val="none"/>
        </w:rPr>
      </w:pPr>
    </w:p>
    <w:p w14:paraId="61C06468">
      <w:pPr>
        <w:snapToGrid w:val="0"/>
        <w:jc w:val="center"/>
        <w:rPr>
          <w:rFonts w:hint="eastAsia" w:ascii="仿宋_GB2312" w:eastAsia="仿宋_GB2312"/>
          <w:b/>
          <w:color w:val="auto"/>
          <w:sz w:val="28"/>
          <w:szCs w:val="28"/>
          <w:highlight w:val="none"/>
        </w:rPr>
      </w:pPr>
    </w:p>
    <w:p w14:paraId="1530D14A">
      <w:pPr>
        <w:snapToGrid w:val="0"/>
        <w:jc w:val="center"/>
        <w:rPr>
          <w:rFonts w:hint="eastAsia" w:ascii="仿宋_GB2312" w:eastAsia="仿宋_GB2312"/>
          <w:b/>
          <w:color w:val="auto"/>
          <w:sz w:val="28"/>
          <w:szCs w:val="28"/>
          <w:highlight w:val="none"/>
        </w:rPr>
      </w:pPr>
    </w:p>
    <w:p w14:paraId="1769B254">
      <w:pPr>
        <w:snapToGrid w:val="0"/>
        <w:jc w:val="center"/>
        <w:rPr>
          <w:rFonts w:hint="eastAsia" w:ascii="仿宋_GB2312" w:eastAsia="仿宋_GB2312"/>
          <w:b/>
          <w:color w:val="auto"/>
          <w:sz w:val="28"/>
          <w:szCs w:val="28"/>
          <w:highlight w:val="none"/>
        </w:rPr>
      </w:pPr>
    </w:p>
    <w:p w14:paraId="2547422F">
      <w:pPr>
        <w:snapToGrid w:val="0"/>
        <w:jc w:val="center"/>
        <w:rPr>
          <w:rFonts w:hint="eastAsia" w:ascii="仿宋_GB2312" w:eastAsia="仿宋_GB2312"/>
          <w:b/>
          <w:color w:val="auto"/>
          <w:sz w:val="28"/>
          <w:szCs w:val="28"/>
          <w:highlight w:val="none"/>
        </w:rPr>
      </w:pPr>
    </w:p>
    <w:p w14:paraId="3CA1A6E1">
      <w:pPr>
        <w:snapToGrid w:val="0"/>
        <w:jc w:val="center"/>
        <w:rPr>
          <w:rFonts w:hint="eastAsia" w:ascii="仿宋_GB2312" w:eastAsia="仿宋_GB2312"/>
          <w:b/>
          <w:color w:val="auto"/>
          <w:sz w:val="28"/>
          <w:szCs w:val="28"/>
          <w:highlight w:val="none"/>
        </w:rPr>
      </w:pPr>
    </w:p>
    <w:p w14:paraId="0D5349D5">
      <w:pPr>
        <w:snapToGrid w:val="0"/>
        <w:jc w:val="center"/>
        <w:rPr>
          <w:rFonts w:hint="eastAsia" w:ascii="仿宋_GB2312" w:eastAsia="仿宋_GB2312"/>
          <w:b/>
          <w:color w:val="auto"/>
          <w:sz w:val="28"/>
          <w:szCs w:val="28"/>
          <w:highlight w:val="none"/>
        </w:rPr>
      </w:pPr>
    </w:p>
    <w:p w14:paraId="52CAA304">
      <w:pPr>
        <w:snapToGrid w:val="0"/>
        <w:jc w:val="center"/>
        <w:rPr>
          <w:rFonts w:hint="eastAsia" w:ascii="仿宋_GB2312" w:eastAsia="仿宋_GB2312"/>
          <w:b/>
          <w:color w:val="auto"/>
          <w:sz w:val="28"/>
          <w:szCs w:val="28"/>
          <w:highlight w:val="none"/>
        </w:rPr>
      </w:pPr>
    </w:p>
    <w:p w14:paraId="51A6C346">
      <w:pPr>
        <w:snapToGrid w:val="0"/>
        <w:jc w:val="center"/>
        <w:rPr>
          <w:rFonts w:hint="eastAsia" w:ascii="仿宋_GB2312" w:eastAsia="仿宋_GB2312"/>
          <w:b/>
          <w:color w:val="auto"/>
          <w:sz w:val="28"/>
          <w:szCs w:val="28"/>
          <w:highlight w:val="none"/>
        </w:rPr>
      </w:pPr>
    </w:p>
    <w:p w14:paraId="7632DE48">
      <w:pPr>
        <w:snapToGrid w:val="0"/>
        <w:jc w:val="center"/>
        <w:rPr>
          <w:rFonts w:ascii="仿宋_GB2312" w:eastAsia="仿宋_GB2312"/>
          <w:b/>
          <w:color w:val="auto"/>
          <w:sz w:val="28"/>
          <w:szCs w:val="28"/>
          <w:highlight w:val="none"/>
        </w:rPr>
      </w:pPr>
      <w:r>
        <w:rPr>
          <w:rFonts w:hint="eastAsia" w:ascii="仿宋_GB2312" w:eastAsia="仿宋_GB2312"/>
          <w:b/>
          <w:color w:val="auto"/>
          <w:sz w:val="28"/>
          <w:szCs w:val="28"/>
          <w:highlight w:val="none"/>
        </w:rPr>
        <w:t>合 同 附 件</w:t>
      </w:r>
    </w:p>
    <w:p w14:paraId="188678E7">
      <w:pPr>
        <w:snapToGrid w:val="0"/>
        <w:ind w:firstLine="240" w:firstLineChars="100"/>
        <w:rPr>
          <w:rFonts w:ascii="仿宋_GB2312" w:eastAsia="仿宋_GB2312"/>
          <w:b/>
          <w:color w:val="auto"/>
          <w:sz w:val="24"/>
          <w:highlight w:val="none"/>
        </w:rPr>
      </w:pPr>
      <w:r>
        <w:rPr>
          <w:rFonts w:hint="eastAsia" w:ascii="仿宋_GB2312" w:eastAsia="仿宋_GB2312"/>
          <w:color w:val="auto"/>
          <w:sz w:val="24"/>
          <w:highlight w:val="none"/>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14:paraId="2AAB6E68">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79D8FC6C">
            <w:pPr>
              <w:snapToGrid w:val="0"/>
              <w:rPr>
                <w:rFonts w:ascii="仿宋_GB2312" w:eastAsia="仿宋_GB2312"/>
                <w:color w:val="auto"/>
                <w:sz w:val="24"/>
                <w:highlight w:val="none"/>
              </w:rPr>
            </w:pPr>
            <w:r>
              <w:rPr>
                <w:rFonts w:hint="eastAsia" w:ascii="仿宋_GB2312" w:eastAsia="仿宋_GB2312"/>
                <w:color w:val="auto"/>
                <w:sz w:val="24"/>
                <w:highlight w:val="none"/>
              </w:rPr>
              <w:t>1</w:t>
            </w:r>
            <w:r>
              <w:rPr>
                <w:rFonts w:hint="eastAsia" w:ascii="仿宋_GB2312" w:hAnsi="宋体" w:eastAsia="仿宋_GB2312"/>
                <w:color w:val="auto"/>
                <w:sz w:val="24"/>
                <w:highlight w:val="none"/>
              </w:rPr>
              <w:t>.</w:t>
            </w:r>
            <w:r>
              <w:rPr>
                <w:rFonts w:hint="eastAsia" w:ascii="仿宋_GB2312" w:eastAsia="仿宋_GB2312"/>
                <w:color w:val="auto"/>
                <w:sz w:val="24"/>
                <w:highlight w:val="none"/>
              </w:rPr>
              <w:t>供应商承诺具体事项：</w:t>
            </w:r>
          </w:p>
          <w:p w14:paraId="1458B884">
            <w:pPr>
              <w:snapToGrid w:val="0"/>
              <w:spacing w:line="276" w:lineRule="auto"/>
              <w:rPr>
                <w:rFonts w:ascii="仿宋_GB2312" w:eastAsia="仿宋_GB2312"/>
                <w:color w:val="auto"/>
                <w:sz w:val="24"/>
                <w:highlight w:val="none"/>
              </w:rPr>
            </w:pPr>
            <w:r>
              <w:rPr>
                <w:rFonts w:hint="eastAsia" w:ascii="仿宋_GB2312" w:eastAsia="仿宋_GB2312"/>
                <w:color w:val="auto"/>
                <w:sz w:val="24"/>
                <w:highlight w:val="none"/>
              </w:rPr>
              <w:t xml:space="preserve">    </w:t>
            </w:r>
          </w:p>
        </w:tc>
      </w:tr>
      <w:tr w14:paraId="13AE95BF">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0DB74614">
            <w:pPr>
              <w:snapToGrid w:val="0"/>
              <w:rPr>
                <w:rFonts w:ascii="仿宋_GB2312" w:eastAsia="仿宋_GB2312"/>
                <w:color w:val="auto"/>
                <w:sz w:val="24"/>
                <w:highlight w:val="none"/>
              </w:rPr>
            </w:pPr>
            <w:r>
              <w:rPr>
                <w:rFonts w:hint="eastAsia" w:ascii="仿宋_GB2312" w:eastAsia="仿宋_GB2312"/>
                <w:color w:val="auto"/>
                <w:sz w:val="24"/>
                <w:highlight w:val="none"/>
              </w:rPr>
              <w:t>2</w:t>
            </w:r>
            <w:r>
              <w:rPr>
                <w:rFonts w:hint="eastAsia" w:ascii="仿宋_GB2312" w:hAnsi="宋体" w:eastAsia="仿宋_GB2312"/>
                <w:color w:val="auto"/>
                <w:sz w:val="24"/>
                <w:highlight w:val="none"/>
              </w:rPr>
              <w:t>.</w:t>
            </w:r>
            <w:r>
              <w:rPr>
                <w:rFonts w:hint="eastAsia" w:ascii="仿宋_GB2312" w:eastAsia="仿宋_GB2312"/>
                <w:color w:val="auto"/>
                <w:sz w:val="24"/>
                <w:highlight w:val="none"/>
              </w:rPr>
              <w:t>售后服务具体事项：</w:t>
            </w:r>
          </w:p>
          <w:p w14:paraId="4B082CE1">
            <w:pPr>
              <w:snapToGrid w:val="0"/>
              <w:spacing w:line="276" w:lineRule="auto"/>
              <w:rPr>
                <w:rFonts w:ascii="仿宋_GB2312" w:eastAsia="仿宋_GB2312"/>
                <w:color w:val="auto"/>
                <w:sz w:val="24"/>
                <w:highlight w:val="none"/>
              </w:rPr>
            </w:pPr>
            <w:r>
              <w:rPr>
                <w:rFonts w:hint="eastAsia" w:ascii="仿宋_GB2312" w:eastAsia="仿宋_GB2312"/>
                <w:color w:val="auto"/>
                <w:sz w:val="24"/>
                <w:highlight w:val="none"/>
              </w:rPr>
              <w:t xml:space="preserve">    </w:t>
            </w:r>
          </w:p>
        </w:tc>
      </w:tr>
      <w:tr w14:paraId="1FABC598">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14:paraId="2BB38A58">
            <w:pPr>
              <w:snapToGrid w:val="0"/>
              <w:rPr>
                <w:rFonts w:ascii="仿宋_GB2312" w:eastAsia="仿宋_GB2312"/>
                <w:color w:val="auto"/>
                <w:sz w:val="24"/>
                <w:highlight w:val="none"/>
              </w:rPr>
            </w:pPr>
            <w:r>
              <w:rPr>
                <w:rFonts w:hint="eastAsia" w:ascii="仿宋_GB2312" w:eastAsia="仿宋_GB2312"/>
                <w:color w:val="auto"/>
                <w:sz w:val="24"/>
                <w:highlight w:val="none"/>
              </w:rPr>
              <w:t>3</w:t>
            </w:r>
            <w:r>
              <w:rPr>
                <w:rFonts w:hint="eastAsia" w:ascii="仿宋_GB2312" w:hAnsi="宋体" w:eastAsia="仿宋_GB2312"/>
                <w:color w:val="auto"/>
                <w:sz w:val="24"/>
                <w:highlight w:val="none"/>
              </w:rPr>
              <w:t>.</w:t>
            </w:r>
            <w:r>
              <w:rPr>
                <w:rFonts w:hint="eastAsia" w:ascii="仿宋_GB2312" w:eastAsia="仿宋_GB2312"/>
                <w:color w:val="auto"/>
                <w:sz w:val="24"/>
                <w:highlight w:val="none"/>
              </w:rPr>
              <w:t>保修期责任：</w:t>
            </w:r>
          </w:p>
          <w:p w14:paraId="21CF1029">
            <w:pPr>
              <w:snapToGrid w:val="0"/>
              <w:spacing w:line="276" w:lineRule="auto"/>
              <w:rPr>
                <w:rFonts w:ascii="仿宋_GB2312" w:eastAsia="仿宋_GB2312"/>
                <w:color w:val="auto"/>
                <w:sz w:val="24"/>
                <w:highlight w:val="none"/>
              </w:rPr>
            </w:pPr>
            <w:r>
              <w:rPr>
                <w:rFonts w:hint="eastAsia" w:ascii="仿宋_GB2312" w:eastAsia="仿宋_GB2312"/>
                <w:color w:val="auto"/>
                <w:sz w:val="24"/>
                <w:highlight w:val="none"/>
              </w:rPr>
              <w:t xml:space="preserve">    </w:t>
            </w:r>
          </w:p>
        </w:tc>
      </w:tr>
      <w:tr w14:paraId="50A0EC89">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1BC823C0">
            <w:pPr>
              <w:snapToGrid w:val="0"/>
              <w:rPr>
                <w:rFonts w:ascii="仿宋_GB2312" w:eastAsia="仿宋_GB2312"/>
                <w:color w:val="auto"/>
                <w:sz w:val="24"/>
                <w:highlight w:val="none"/>
              </w:rPr>
            </w:pPr>
            <w:r>
              <w:rPr>
                <w:rFonts w:hint="eastAsia" w:ascii="仿宋_GB2312" w:eastAsia="仿宋_GB2312"/>
                <w:color w:val="auto"/>
                <w:sz w:val="24"/>
                <w:highlight w:val="none"/>
              </w:rPr>
              <w:t>4</w:t>
            </w:r>
            <w:r>
              <w:rPr>
                <w:rFonts w:hint="eastAsia" w:ascii="仿宋_GB2312" w:hAnsi="宋体" w:eastAsia="仿宋_GB2312"/>
                <w:color w:val="auto"/>
                <w:sz w:val="24"/>
                <w:highlight w:val="none"/>
              </w:rPr>
              <w:t>.</w:t>
            </w:r>
            <w:r>
              <w:rPr>
                <w:rFonts w:hint="eastAsia" w:ascii="仿宋_GB2312" w:eastAsia="仿宋_GB2312"/>
                <w:color w:val="auto"/>
                <w:sz w:val="24"/>
                <w:highlight w:val="none"/>
              </w:rPr>
              <w:t>其他具体事项：</w:t>
            </w:r>
          </w:p>
          <w:p w14:paraId="681033D2">
            <w:pPr>
              <w:snapToGrid w:val="0"/>
              <w:rPr>
                <w:rFonts w:ascii="仿宋_GB2312" w:eastAsia="仿宋_GB2312"/>
                <w:color w:val="auto"/>
                <w:sz w:val="24"/>
                <w:highlight w:val="none"/>
              </w:rPr>
            </w:pPr>
          </w:p>
        </w:tc>
      </w:tr>
      <w:tr w14:paraId="5A1F6FB7">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489F172A">
            <w:pPr>
              <w:snapToGrid w:val="0"/>
              <w:spacing w:line="276" w:lineRule="auto"/>
              <w:rPr>
                <w:rFonts w:ascii="仿宋_GB2312" w:eastAsia="仿宋_GB2312"/>
                <w:color w:val="auto"/>
                <w:sz w:val="24"/>
                <w:highlight w:val="none"/>
              </w:rPr>
            </w:pPr>
            <w:r>
              <w:rPr>
                <w:rFonts w:hint="eastAsia" w:ascii="仿宋_GB2312" w:eastAsia="仿宋_GB2312"/>
                <w:color w:val="auto"/>
                <w:sz w:val="24"/>
                <w:highlight w:val="none"/>
              </w:rPr>
              <w:t>甲方（章）</w:t>
            </w:r>
          </w:p>
          <w:p w14:paraId="1A488678">
            <w:pPr>
              <w:snapToGrid w:val="0"/>
              <w:spacing w:line="276" w:lineRule="auto"/>
              <w:ind w:firstLine="480" w:firstLineChars="200"/>
              <w:rPr>
                <w:rFonts w:ascii="仿宋_GB2312" w:eastAsia="仿宋_GB2312"/>
                <w:color w:val="auto"/>
                <w:sz w:val="24"/>
                <w:highlight w:val="none"/>
              </w:rPr>
            </w:pPr>
          </w:p>
          <w:p w14:paraId="6B5B65C2">
            <w:pPr>
              <w:snapToGrid w:val="0"/>
              <w:spacing w:line="276" w:lineRule="auto"/>
              <w:ind w:firstLine="480" w:firstLineChars="200"/>
              <w:rPr>
                <w:rFonts w:ascii="仿宋_GB2312" w:eastAsia="仿宋_GB2312"/>
                <w:color w:val="auto"/>
                <w:sz w:val="24"/>
                <w:highlight w:val="none"/>
              </w:rPr>
            </w:pPr>
          </w:p>
          <w:p w14:paraId="2C5BBE36">
            <w:pPr>
              <w:snapToGrid w:val="0"/>
              <w:spacing w:line="276" w:lineRule="auto"/>
              <w:ind w:firstLine="480" w:firstLineChars="200"/>
              <w:rPr>
                <w:rFonts w:ascii="仿宋_GB2312" w:eastAsia="仿宋_GB2312"/>
                <w:color w:val="auto"/>
                <w:sz w:val="24"/>
                <w:highlight w:val="none"/>
              </w:rPr>
            </w:pPr>
          </w:p>
          <w:p w14:paraId="569CE579">
            <w:pPr>
              <w:snapToGrid w:val="0"/>
              <w:spacing w:line="276" w:lineRule="auto"/>
              <w:ind w:firstLine="480" w:firstLineChars="200"/>
              <w:rPr>
                <w:rFonts w:ascii="仿宋_GB2312" w:eastAsia="仿宋_GB2312"/>
                <w:color w:val="auto"/>
                <w:sz w:val="24"/>
                <w:highlight w:val="none"/>
              </w:rPr>
            </w:pPr>
          </w:p>
          <w:p w14:paraId="5C1C3436">
            <w:pPr>
              <w:snapToGrid w:val="0"/>
              <w:spacing w:line="276" w:lineRule="auto"/>
              <w:ind w:firstLine="480" w:firstLineChars="200"/>
              <w:rPr>
                <w:rFonts w:ascii="仿宋_GB2312" w:eastAsia="仿宋_GB2312"/>
                <w:color w:val="auto"/>
                <w:sz w:val="24"/>
                <w:highlight w:val="none"/>
              </w:rPr>
            </w:pPr>
          </w:p>
          <w:p w14:paraId="410BF2FA">
            <w:pPr>
              <w:snapToGrid w:val="0"/>
              <w:spacing w:line="276" w:lineRule="auto"/>
              <w:ind w:firstLine="480" w:firstLineChars="200"/>
              <w:rPr>
                <w:rFonts w:ascii="仿宋_GB2312" w:eastAsia="仿宋_GB2312"/>
                <w:color w:val="auto"/>
                <w:sz w:val="24"/>
                <w:highlight w:val="none"/>
              </w:rPr>
            </w:pPr>
          </w:p>
          <w:p w14:paraId="0275483A">
            <w:pPr>
              <w:snapToGrid w:val="0"/>
              <w:spacing w:line="276" w:lineRule="auto"/>
              <w:ind w:firstLine="480" w:firstLineChars="200"/>
              <w:rPr>
                <w:rFonts w:ascii="仿宋_GB2312" w:eastAsia="仿宋_GB2312"/>
                <w:color w:val="auto"/>
                <w:sz w:val="24"/>
                <w:highlight w:val="none"/>
              </w:rPr>
            </w:pPr>
            <w:r>
              <w:rPr>
                <w:rFonts w:hint="eastAsia" w:ascii="仿宋_GB2312" w:eastAsia="仿宋_GB2312"/>
                <w:color w:val="auto"/>
                <w:sz w:val="24"/>
                <w:highlight w:val="none"/>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68607FA8">
            <w:pPr>
              <w:snapToGrid w:val="0"/>
              <w:spacing w:line="276" w:lineRule="auto"/>
              <w:rPr>
                <w:rFonts w:ascii="仿宋_GB2312" w:eastAsia="仿宋_GB2312"/>
                <w:color w:val="auto"/>
                <w:sz w:val="24"/>
                <w:highlight w:val="none"/>
              </w:rPr>
            </w:pPr>
            <w:r>
              <w:rPr>
                <w:rFonts w:hint="eastAsia" w:ascii="仿宋_GB2312" w:eastAsia="仿宋_GB2312"/>
                <w:color w:val="auto"/>
                <w:sz w:val="24"/>
                <w:highlight w:val="none"/>
              </w:rPr>
              <w:t>乙方（章）</w:t>
            </w:r>
          </w:p>
          <w:p w14:paraId="590E3EC7">
            <w:pPr>
              <w:snapToGrid w:val="0"/>
              <w:spacing w:line="276" w:lineRule="auto"/>
              <w:ind w:firstLine="480" w:firstLineChars="200"/>
              <w:rPr>
                <w:rFonts w:ascii="仿宋_GB2312" w:eastAsia="仿宋_GB2312"/>
                <w:color w:val="auto"/>
                <w:sz w:val="24"/>
                <w:highlight w:val="none"/>
              </w:rPr>
            </w:pPr>
          </w:p>
          <w:p w14:paraId="128B349C">
            <w:pPr>
              <w:snapToGrid w:val="0"/>
              <w:spacing w:line="276" w:lineRule="auto"/>
              <w:ind w:firstLine="480" w:firstLineChars="200"/>
              <w:rPr>
                <w:rFonts w:ascii="仿宋_GB2312" w:eastAsia="仿宋_GB2312"/>
                <w:color w:val="auto"/>
                <w:sz w:val="24"/>
                <w:highlight w:val="none"/>
              </w:rPr>
            </w:pPr>
          </w:p>
          <w:p w14:paraId="016DEFC3">
            <w:pPr>
              <w:snapToGrid w:val="0"/>
              <w:spacing w:line="276" w:lineRule="auto"/>
              <w:ind w:firstLine="480" w:firstLineChars="200"/>
              <w:rPr>
                <w:rFonts w:ascii="仿宋_GB2312" w:eastAsia="仿宋_GB2312"/>
                <w:color w:val="auto"/>
                <w:sz w:val="24"/>
                <w:highlight w:val="none"/>
              </w:rPr>
            </w:pPr>
          </w:p>
          <w:p w14:paraId="7193A9F5">
            <w:pPr>
              <w:snapToGrid w:val="0"/>
              <w:spacing w:line="276" w:lineRule="auto"/>
              <w:ind w:firstLine="480" w:firstLineChars="200"/>
              <w:rPr>
                <w:rFonts w:ascii="仿宋_GB2312" w:eastAsia="仿宋_GB2312"/>
                <w:color w:val="auto"/>
                <w:sz w:val="24"/>
                <w:highlight w:val="none"/>
              </w:rPr>
            </w:pPr>
          </w:p>
          <w:p w14:paraId="48EC1CF5">
            <w:pPr>
              <w:snapToGrid w:val="0"/>
              <w:spacing w:line="276" w:lineRule="auto"/>
              <w:ind w:firstLine="480" w:firstLineChars="200"/>
              <w:rPr>
                <w:rFonts w:ascii="仿宋_GB2312" w:eastAsia="仿宋_GB2312"/>
                <w:color w:val="auto"/>
                <w:sz w:val="24"/>
                <w:highlight w:val="none"/>
              </w:rPr>
            </w:pPr>
          </w:p>
          <w:p w14:paraId="251FB940">
            <w:pPr>
              <w:snapToGrid w:val="0"/>
              <w:spacing w:line="276" w:lineRule="auto"/>
              <w:ind w:firstLine="480" w:firstLineChars="200"/>
              <w:rPr>
                <w:rFonts w:ascii="仿宋_GB2312" w:eastAsia="仿宋_GB2312"/>
                <w:color w:val="auto"/>
                <w:sz w:val="24"/>
                <w:highlight w:val="none"/>
              </w:rPr>
            </w:pPr>
          </w:p>
          <w:p w14:paraId="4D128259">
            <w:pPr>
              <w:snapToGrid w:val="0"/>
              <w:spacing w:line="276" w:lineRule="auto"/>
              <w:ind w:firstLine="480" w:firstLineChars="200"/>
              <w:rPr>
                <w:rFonts w:ascii="仿宋_GB2312" w:eastAsia="仿宋_GB2312"/>
                <w:color w:val="auto"/>
                <w:sz w:val="24"/>
                <w:highlight w:val="none"/>
              </w:rPr>
            </w:pPr>
            <w:r>
              <w:rPr>
                <w:rFonts w:hint="eastAsia" w:ascii="仿宋_GB2312" w:eastAsia="仿宋_GB2312"/>
                <w:color w:val="auto"/>
                <w:sz w:val="24"/>
                <w:highlight w:val="none"/>
              </w:rPr>
              <w:t xml:space="preserve">                年   月   日</w:t>
            </w:r>
          </w:p>
        </w:tc>
      </w:tr>
    </w:tbl>
    <w:p w14:paraId="030DA217">
      <w:pPr>
        <w:snapToGrid w:val="0"/>
        <w:ind w:firstLine="480" w:firstLineChars="200"/>
        <w:rPr>
          <w:rFonts w:ascii="仿宋_GB2312" w:eastAsia="仿宋_GB2312"/>
          <w:color w:val="auto"/>
          <w:sz w:val="24"/>
          <w:highlight w:val="none"/>
        </w:rPr>
        <w:sectPr>
          <w:pgSz w:w="11906" w:h="16838"/>
          <w:pgMar w:top="1440" w:right="1440" w:bottom="1440" w:left="1440" w:header="851" w:footer="992" w:gutter="0"/>
          <w:cols w:space="720" w:num="1"/>
          <w:docGrid w:linePitch="312" w:charSpace="0"/>
        </w:sectPr>
      </w:pPr>
      <w:r>
        <w:rPr>
          <w:rFonts w:hint="eastAsia" w:ascii="仿宋_GB2312" w:eastAsia="仿宋_GB2312"/>
          <w:color w:val="auto"/>
          <w:sz w:val="24"/>
          <w:highlight w:val="none"/>
        </w:rPr>
        <w:t>注：售后服务事项填不下时可另加附页</w:t>
      </w:r>
    </w:p>
    <w:p w14:paraId="3D100155">
      <w:pPr>
        <w:spacing w:line="276" w:lineRule="auto"/>
        <w:jc w:val="center"/>
        <w:rPr>
          <w:rFonts w:hint="eastAsia" w:ascii="仿宋_GB2312" w:hAnsi="华文中宋" w:eastAsia="仿宋_GB2312"/>
          <w:bCs/>
          <w:color w:val="auto"/>
          <w:sz w:val="32"/>
          <w:szCs w:val="32"/>
          <w:highlight w:val="none"/>
        </w:rPr>
      </w:pPr>
    </w:p>
    <w:p w14:paraId="0A74AE69">
      <w:pPr>
        <w:spacing w:before="120" w:beforeLines="50" w:after="480" w:afterLines="200" w:line="340" w:lineRule="exact"/>
        <w:jc w:val="center"/>
        <w:rPr>
          <w:b/>
          <w:color w:val="auto"/>
          <w:kern w:val="0"/>
          <w:sz w:val="32"/>
          <w:szCs w:val="32"/>
          <w:highlight w:val="none"/>
        </w:rPr>
      </w:pPr>
      <w:r>
        <w:rPr>
          <w:rFonts w:hint="eastAsia"/>
          <w:b/>
          <w:bCs/>
          <w:color w:val="auto"/>
          <w:kern w:val="0"/>
          <w:sz w:val="32"/>
          <w:szCs w:val="32"/>
          <w:highlight w:val="none"/>
        </w:rPr>
        <w:t>广西壮族自治区政府采购项目</w:t>
      </w:r>
      <w:r>
        <w:rPr>
          <w:rFonts w:hint="eastAsia"/>
          <w:b/>
          <w:color w:val="auto"/>
          <w:kern w:val="0"/>
          <w:sz w:val="32"/>
          <w:szCs w:val="32"/>
          <w:highlight w:val="none"/>
        </w:rPr>
        <w:t>合同验收书（格式）</w:t>
      </w:r>
    </w:p>
    <w:p w14:paraId="3953A193">
      <w:pPr>
        <w:spacing w:line="340" w:lineRule="exact"/>
        <w:ind w:firstLine="420" w:firstLineChars="200"/>
        <w:rPr>
          <w:rFonts w:ascii="仿宋_GB2312" w:eastAsia="仿宋_GB2312"/>
          <w:color w:val="auto"/>
          <w:kern w:val="0"/>
          <w:szCs w:val="21"/>
          <w:highlight w:val="none"/>
        </w:rPr>
      </w:pPr>
      <w:r>
        <w:rPr>
          <w:rFonts w:hint="eastAsia" w:ascii="仿宋_GB2312" w:eastAsia="仿宋_GB2312"/>
          <w:color w:val="auto"/>
          <w:kern w:val="0"/>
          <w:szCs w:val="21"/>
          <w:highlight w:val="none"/>
        </w:rPr>
        <w:t>根据政府采购项目（采购合同编号：</w:t>
      </w:r>
      <w:r>
        <w:rPr>
          <w:rFonts w:hint="eastAsia" w:ascii="仿宋_GB2312" w:eastAsia="仿宋_GB2312"/>
          <w:color w:val="auto"/>
          <w:kern w:val="0"/>
          <w:szCs w:val="21"/>
          <w:highlight w:val="none"/>
        </w:rPr>
        <w:softHyphen/>
      </w:r>
      <w:r>
        <w:rPr>
          <w:rFonts w:hint="eastAsia" w:eastAsia="仿宋_GB2312"/>
          <w:color w:val="auto"/>
          <w:kern w:val="0"/>
          <w:szCs w:val="21"/>
          <w:highlight w:val="none"/>
        </w:rPr>
        <w:t>   </w:t>
      </w:r>
      <w:r>
        <w:rPr>
          <w:rFonts w:hint="eastAsia" w:ascii="仿宋_GB2312" w:eastAsia="仿宋_GB2312"/>
          <w:color w:val="auto"/>
          <w:kern w:val="0"/>
          <w:szCs w:val="21"/>
          <w:highlight w:val="none"/>
        </w:rPr>
        <w:t>）的约定，我单位对</w:t>
      </w:r>
      <w:r>
        <w:rPr>
          <w:rFonts w:hint="eastAsia" w:ascii="仿宋_GB2312" w:eastAsia="仿宋_GB2312"/>
          <w:color w:val="auto"/>
          <w:kern w:val="0"/>
          <w:szCs w:val="21"/>
          <w:highlight w:val="none"/>
          <w:u w:val="single"/>
        </w:rPr>
        <w:t>（ 项目名称 ）</w:t>
      </w:r>
      <w:r>
        <w:rPr>
          <w:rFonts w:hint="eastAsia" w:ascii="仿宋_GB2312" w:eastAsia="仿宋_GB2312"/>
          <w:color w:val="auto"/>
          <w:kern w:val="0"/>
          <w:szCs w:val="21"/>
          <w:highlight w:val="none"/>
        </w:rPr>
        <w:t>政府采购项目中标供应商</w:t>
      </w:r>
      <w:r>
        <w:rPr>
          <w:rFonts w:hint="eastAsia" w:ascii="仿宋_GB2312" w:eastAsia="仿宋_GB2312"/>
          <w:color w:val="auto"/>
          <w:kern w:val="0"/>
          <w:szCs w:val="21"/>
          <w:highlight w:val="none"/>
          <w:u w:val="single"/>
        </w:rPr>
        <w:t>（ 公司名称 ）</w:t>
      </w:r>
      <w:r>
        <w:rPr>
          <w:rFonts w:hint="eastAsia" w:ascii="仿宋_GB2312" w:eastAsia="仿宋_GB2312"/>
          <w:color w:val="auto"/>
          <w:kern w:val="0"/>
          <w:szCs w:val="21"/>
          <w:highlight w:val="none"/>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1227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14:paraId="586A5D6A">
            <w:pPr>
              <w:spacing w:line="340" w:lineRule="exact"/>
              <w:jc w:val="center"/>
              <w:rPr>
                <w:rFonts w:ascii="仿宋_GB2312" w:eastAsia="仿宋_GB2312"/>
                <w:b/>
                <w:color w:val="auto"/>
                <w:szCs w:val="21"/>
                <w:highlight w:val="none"/>
              </w:rPr>
            </w:pPr>
            <w:r>
              <w:rPr>
                <w:rFonts w:hint="eastAsia" w:ascii="仿宋_GB2312" w:eastAsia="仿宋_GB2312"/>
                <w:color w:val="auto"/>
                <w:kern w:val="0"/>
                <w:szCs w:val="21"/>
                <w:highlight w:val="none"/>
              </w:rPr>
              <w:t>验收方式：</w:t>
            </w:r>
          </w:p>
        </w:tc>
        <w:tc>
          <w:tcPr>
            <w:tcW w:w="6118" w:type="dxa"/>
            <w:gridSpan w:val="5"/>
            <w:tcBorders>
              <w:top w:val="single" w:color="auto" w:sz="4" w:space="0"/>
              <w:left w:val="single" w:color="auto" w:sz="4" w:space="0"/>
              <w:bottom w:val="single" w:color="auto" w:sz="4" w:space="0"/>
              <w:right w:val="single" w:color="auto" w:sz="4" w:space="0"/>
            </w:tcBorders>
          </w:tcPr>
          <w:p w14:paraId="038EA39F">
            <w:pPr>
              <w:spacing w:line="340" w:lineRule="exact"/>
              <w:jc w:val="center"/>
              <w:rPr>
                <w:rFonts w:ascii="仿宋_GB2312" w:eastAsia="仿宋_GB2312"/>
                <w:b/>
                <w:color w:val="auto"/>
                <w:szCs w:val="21"/>
                <w:highlight w:val="none"/>
              </w:rPr>
            </w:pPr>
            <w:r>
              <w:rPr>
                <w:rFonts w:hint="eastAsia" w:ascii="仿宋_GB2312" w:eastAsia="仿宋_GB2312"/>
                <w:color w:val="auto"/>
                <w:kern w:val="0"/>
                <w:szCs w:val="21"/>
                <w:highlight w:val="none"/>
              </w:rPr>
              <w:t>□自行验收</w:t>
            </w:r>
            <w:r>
              <w:rPr>
                <w:rFonts w:eastAsia="仿宋_GB2312"/>
                <w:color w:val="auto"/>
                <w:kern w:val="0"/>
                <w:szCs w:val="21"/>
                <w:highlight w:val="none"/>
              </w:rPr>
              <w:t>    </w:t>
            </w:r>
            <w:r>
              <w:rPr>
                <w:rFonts w:hint="eastAsia" w:ascii="仿宋_GB2312" w:eastAsia="仿宋_GB2312"/>
                <w:color w:val="auto"/>
                <w:kern w:val="0"/>
                <w:szCs w:val="21"/>
                <w:highlight w:val="none"/>
              </w:rPr>
              <w:t>□委托验收</w:t>
            </w:r>
          </w:p>
        </w:tc>
      </w:tr>
      <w:tr w14:paraId="02047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1AB41095">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r>
              <w:rPr>
                <w:rFonts w:hint="eastAsia" w:ascii="仿宋_GB2312" w:eastAsia="仿宋_GB2312"/>
                <w:color w:val="auto"/>
                <w:kern w:val="0"/>
                <w:szCs w:val="21"/>
                <w:highlight w:val="none"/>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08ECF042">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r>
              <w:rPr>
                <w:rFonts w:hint="eastAsia" w:ascii="仿宋_GB2312" w:eastAsia="仿宋_GB2312"/>
                <w:color w:val="auto"/>
                <w:kern w:val="0"/>
                <w:szCs w:val="21"/>
                <w:highlight w:val="none"/>
              </w:rPr>
              <w:t>名</w:t>
            </w:r>
            <w:r>
              <w:rPr>
                <w:rFonts w:eastAsia="仿宋_GB2312"/>
                <w:color w:val="auto"/>
                <w:kern w:val="0"/>
                <w:szCs w:val="21"/>
                <w:highlight w:val="none"/>
              </w:rPr>
              <w:t> </w:t>
            </w:r>
            <w:r>
              <w:rPr>
                <w:rFonts w:hint="eastAsia" w:ascii="仿宋_GB2312" w:eastAsia="仿宋_GB2312"/>
                <w:color w:val="auto"/>
                <w:kern w:val="0"/>
                <w:szCs w:val="21"/>
                <w:highlight w:val="none"/>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04C9DC70">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r>
              <w:rPr>
                <w:rFonts w:hint="eastAsia" w:ascii="仿宋_GB2312" w:eastAsia="仿宋_GB2312"/>
                <w:color w:val="auto"/>
                <w:kern w:val="0"/>
                <w:szCs w:val="21"/>
                <w:highlight w:val="none"/>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14:paraId="4F1A5A9A">
            <w:pPr>
              <w:widowControl/>
              <w:snapToGrid w:val="0"/>
              <w:spacing w:before="100" w:beforeAutospacing="1" w:after="100" w:afterAutospacing="1" w:line="320" w:lineRule="atLeast"/>
              <w:jc w:val="center"/>
              <w:rPr>
                <w:rFonts w:ascii="仿宋_GB2312" w:eastAsia="仿宋_GB2312"/>
                <w:color w:val="auto"/>
                <w:kern w:val="0"/>
                <w:szCs w:val="21"/>
                <w:highlight w:val="none"/>
              </w:rPr>
            </w:pPr>
            <w:r>
              <w:rPr>
                <w:rFonts w:hint="eastAsia" w:ascii="仿宋_GB2312" w:eastAsia="仿宋_GB2312"/>
                <w:color w:val="auto"/>
                <w:kern w:val="0"/>
                <w:szCs w:val="21"/>
                <w:highlight w:val="none"/>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41129C57">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r>
              <w:rPr>
                <w:rFonts w:hint="eastAsia" w:ascii="仿宋_GB2312" w:eastAsia="仿宋_GB2312"/>
                <w:color w:val="auto"/>
                <w:kern w:val="0"/>
                <w:szCs w:val="21"/>
                <w:highlight w:val="none"/>
              </w:rPr>
              <w:t>金</w:t>
            </w:r>
            <w:r>
              <w:rPr>
                <w:rFonts w:eastAsia="仿宋_GB2312"/>
                <w:color w:val="auto"/>
                <w:kern w:val="0"/>
                <w:szCs w:val="21"/>
                <w:highlight w:val="none"/>
              </w:rPr>
              <w:t> </w:t>
            </w:r>
            <w:r>
              <w:rPr>
                <w:rFonts w:hint="eastAsia" w:ascii="仿宋_GB2312" w:eastAsia="仿宋_GB2312"/>
                <w:color w:val="auto"/>
                <w:kern w:val="0"/>
                <w:szCs w:val="21"/>
                <w:highlight w:val="none"/>
              </w:rPr>
              <w:t>额</w:t>
            </w:r>
          </w:p>
        </w:tc>
      </w:tr>
      <w:tr w14:paraId="60DD8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00BB5FB9">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1984" w:type="dxa"/>
            <w:tcBorders>
              <w:top w:val="single" w:color="auto" w:sz="4" w:space="0"/>
              <w:left w:val="single" w:color="auto" w:sz="4" w:space="0"/>
              <w:bottom w:val="single" w:color="auto" w:sz="4" w:space="0"/>
              <w:right w:val="single" w:color="auto" w:sz="4" w:space="0"/>
            </w:tcBorders>
            <w:vAlign w:val="center"/>
          </w:tcPr>
          <w:p w14:paraId="2F53F934">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438C04D2">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1556" w:type="dxa"/>
            <w:tcBorders>
              <w:top w:val="single" w:color="auto" w:sz="4" w:space="0"/>
              <w:left w:val="single" w:color="auto" w:sz="4" w:space="0"/>
              <w:bottom w:val="single" w:color="auto" w:sz="4" w:space="0"/>
              <w:right w:val="single" w:color="auto" w:sz="4" w:space="0"/>
            </w:tcBorders>
            <w:vAlign w:val="center"/>
          </w:tcPr>
          <w:p w14:paraId="6DA1B72D">
            <w:pPr>
              <w:widowControl/>
              <w:snapToGrid w:val="0"/>
              <w:spacing w:before="100" w:beforeAutospacing="1" w:after="100" w:afterAutospacing="1" w:line="320" w:lineRule="atLeast"/>
              <w:jc w:val="center"/>
              <w:rPr>
                <w:rFonts w:ascii="仿宋_GB2312" w:eastAsia="仿宋_GB2312"/>
                <w:color w:val="auto"/>
                <w:kern w:val="0"/>
                <w:szCs w:val="21"/>
                <w:highlight w:val="none"/>
              </w:rPr>
            </w:pPr>
          </w:p>
        </w:tc>
        <w:tc>
          <w:tcPr>
            <w:tcW w:w="1487" w:type="dxa"/>
            <w:tcBorders>
              <w:top w:val="single" w:color="auto" w:sz="4" w:space="0"/>
              <w:left w:val="single" w:color="auto" w:sz="4" w:space="0"/>
              <w:bottom w:val="single" w:color="auto" w:sz="4" w:space="0"/>
              <w:right w:val="single" w:color="auto" w:sz="4" w:space="0"/>
            </w:tcBorders>
            <w:vAlign w:val="center"/>
          </w:tcPr>
          <w:p w14:paraId="6FFD3B6C">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r>
      <w:tr w14:paraId="26E68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2D372CED">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1984" w:type="dxa"/>
            <w:tcBorders>
              <w:top w:val="single" w:color="auto" w:sz="4" w:space="0"/>
              <w:left w:val="single" w:color="auto" w:sz="4" w:space="0"/>
              <w:bottom w:val="single" w:color="auto" w:sz="4" w:space="0"/>
              <w:right w:val="single" w:color="auto" w:sz="4" w:space="0"/>
            </w:tcBorders>
            <w:vAlign w:val="center"/>
          </w:tcPr>
          <w:p w14:paraId="38C3384B">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345377ED">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1556" w:type="dxa"/>
            <w:tcBorders>
              <w:top w:val="single" w:color="auto" w:sz="4" w:space="0"/>
              <w:left w:val="single" w:color="auto" w:sz="4" w:space="0"/>
              <w:bottom w:val="single" w:color="auto" w:sz="4" w:space="0"/>
              <w:right w:val="single" w:color="auto" w:sz="4" w:space="0"/>
            </w:tcBorders>
            <w:vAlign w:val="center"/>
          </w:tcPr>
          <w:p w14:paraId="012CA168">
            <w:pPr>
              <w:widowControl/>
              <w:snapToGrid w:val="0"/>
              <w:spacing w:before="100" w:beforeAutospacing="1" w:after="100" w:afterAutospacing="1" w:line="320" w:lineRule="atLeast"/>
              <w:jc w:val="center"/>
              <w:rPr>
                <w:rFonts w:ascii="仿宋_GB2312" w:eastAsia="仿宋_GB2312"/>
                <w:color w:val="auto"/>
                <w:kern w:val="0"/>
                <w:szCs w:val="21"/>
                <w:highlight w:val="none"/>
              </w:rPr>
            </w:pPr>
          </w:p>
        </w:tc>
        <w:tc>
          <w:tcPr>
            <w:tcW w:w="1487" w:type="dxa"/>
            <w:tcBorders>
              <w:top w:val="single" w:color="auto" w:sz="4" w:space="0"/>
              <w:left w:val="single" w:color="auto" w:sz="4" w:space="0"/>
              <w:bottom w:val="single" w:color="auto" w:sz="4" w:space="0"/>
              <w:right w:val="single" w:color="auto" w:sz="4" w:space="0"/>
            </w:tcBorders>
            <w:vAlign w:val="center"/>
          </w:tcPr>
          <w:p w14:paraId="2838D23F">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r>
      <w:tr w14:paraId="738A2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76072AB3">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1984" w:type="dxa"/>
            <w:tcBorders>
              <w:top w:val="single" w:color="auto" w:sz="4" w:space="0"/>
              <w:left w:val="single" w:color="auto" w:sz="4" w:space="0"/>
              <w:bottom w:val="single" w:color="auto" w:sz="4" w:space="0"/>
              <w:right w:val="single" w:color="auto" w:sz="4" w:space="0"/>
            </w:tcBorders>
            <w:vAlign w:val="center"/>
          </w:tcPr>
          <w:p w14:paraId="0BFE077C">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2B71D1E0">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1556" w:type="dxa"/>
            <w:tcBorders>
              <w:top w:val="single" w:color="auto" w:sz="4" w:space="0"/>
              <w:left w:val="single" w:color="auto" w:sz="4" w:space="0"/>
              <w:bottom w:val="single" w:color="auto" w:sz="4" w:space="0"/>
              <w:right w:val="single" w:color="auto" w:sz="4" w:space="0"/>
            </w:tcBorders>
            <w:vAlign w:val="center"/>
          </w:tcPr>
          <w:p w14:paraId="488D5032">
            <w:pPr>
              <w:widowControl/>
              <w:snapToGrid w:val="0"/>
              <w:spacing w:before="100" w:beforeAutospacing="1" w:after="100" w:afterAutospacing="1" w:line="320" w:lineRule="atLeast"/>
              <w:jc w:val="center"/>
              <w:rPr>
                <w:rFonts w:ascii="仿宋_GB2312" w:eastAsia="仿宋_GB2312"/>
                <w:color w:val="auto"/>
                <w:kern w:val="0"/>
                <w:szCs w:val="21"/>
                <w:highlight w:val="none"/>
              </w:rPr>
            </w:pPr>
          </w:p>
        </w:tc>
        <w:tc>
          <w:tcPr>
            <w:tcW w:w="1487" w:type="dxa"/>
            <w:tcBorders>
              <w:top w:val="single" w:color="auto" w:sz="4" w:space="0"/>
              <w:left w:val="single" w:color="auto" w:sz="4" w:space="0"/>
              <w:bottom w:val="single" w:color="auto" w:sz="4" w:space="0"/>
              <w:right w:val="single" w:color="auto" w:sz="4" w:space="0"/>
            </w:tcBorders>
            <w:vAlign w:val="center"/>
          </w:tcPr>
          <w:p w14:paraId="704A757D">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r>
      <w:tr w14:paraId="4513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14:paraId="164A6722">
            <w:pPr>
              <w:widowControl/>
              <w:snapToGrid w:val="0"/>
              <w:spacing w:before="100" w:beforeAutospacing="1" w:after="100" w:afterAutospacing="1" w:line="320" w:lineRule="atLeast"/>
              <w:ind w:firstLine="2"/>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合</w:t>
            </w:r>
            <w:r>
              <w:rPr>
                <w:rFonts w:eastAsia="仿宋_GB2312"/>
                <w:color w:val="auto"/>
                <w:kern w:val="0"/>
                <w:szCs w:val="21"/>
                <w:highlight w:val="none"/>
              </w:rPr>
              <w:t>  </w:t>
            </w:r>
            <w:r>
              <w:rPr>
                <w:rFonts w:hint="eastAsia" w:ascii="仿宋_GB2312" w:eastAsia="仿宋_GB2312"/>
                <w:color w:val="auto"/>
                <w:kern w:val="0"/>
                <w:szCs w:val="21"/>
                <w:highlight w:val="none"/>
              </w:rPr>
              <w:t>计</w:t>
            </w:r>
          </w:p>
        </w:tc>
        <w:tc>
          <w:tcPr>
            <w:tcW w:w="1556" w:type="dxa"/>
            <w:tcBorders>
              <w:top w:val="single" w:color="auto" w:sz="4" w:space="0"/>
              <w:left w:val="single" w:color="auto" w:sz="4" w:space="0"/>
              <w:bottom w:val="single" w:color="auto" w:sz="4" w:space="0"/>
              <w:right w:val="single" w:color="auto" w:sz="4" w:space="0"/>
            </w:tcBorders>
            <w:vAlign w:val="center"/>
          </w:tcPr>
          <w:p w14:paraId="3F632FEF">
            <w:pPr>
              <w:widowControl/>
              <w:snapToGrid w:val="0"/>
              <w:spacing w:before="100" w:beforeAutospacing="1" w:after="100" w:afterAutospacing="1" w:line="320" w:lineRule="atLeast"/>
              <w:jc w:val="center"/>
              <w:rPr>
                <w:rFonts w:ascii="仿宋_GB2312" w:eastAsia="仿宋_GB2312"/>
                <w:color w:val="auto"/>
                <w:kern w:val="0"/>
                <w:szCs w:val="21"/>
                <w:highlight w:val="none"/>
              </w:rPr>
            </w:pPr>
          </w:p>
        </w:tc>
        <w:tc>
          <w:tcPr>
            <w:tcW w:w="1487" w:type="dxa"/>
            <w:tcBorders>
              <w:top w:val="single" w:color="auto" w:sz="4" w:space="0"/>
              <w:left w:val="single" w:color="auto" w:sz="4" w:space="0"/>
              <w:bottom w:val="single" w:color="auto" w:sz="4" w:space="0"/>
              <w:right w:val="single" w:color="auto" w:sz="4" w:space="0"/>
            </w:tcBorders>
            <w:vAlign w:val="center"/>
          </w:tcPr>
          <w:p w14:paraId="5B32C096">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r>
      <w:tr w14:paraId="0E15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07421B17">
            <w:pPr>
              <w:widowControl/>
              <w:snapToGrid w:val="0"/>
              <w:spacing w:before="100" w:beforeAutospacing="1" w:after="100" w:afterAutospacing="1" w:line="320" w:lineRule="atLeast"/>
              <w:ind w:firstLine="2"/>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合计大写金额：</w:t>
            </w:r>
            <w:r>
              <w:rPr>
                <w:rFonts w:eastAsia="仿宋_GB2312"/>
                <w:color w:val="auto"/>
                <w:kern w:val="0"/>
                <w:szCs w:val="21"/>
                <w:highlight w:val="none"/>
              </w:rPr>
              <w:t> </w:t>
            </w:r>
            <w:r>
              <w:rPr>
                <w:rFonts w:hint="eastAsia" w:ascii="仿宋_GB2312" w:eastAsia="仿宋_GB2312"/>
                <w:color w:val="auto"/>
                <w:kern w:val="0"/>
                <w:szCs w:val="21"/>
                <w:highlight w:val="none"/>
              </w:rPr>
              <w:t xml:space="preserve"> </w:t>
            </w:r>
          </w:p>
        </w:tc>
      </w:tr>
      <w:tr w14:paraId="4382E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14:paraId="7BD15BE0">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r>
              <w:rPr>
                <w:rFonts w:hint="eastAsia" w:ascii="仿宋_GB2312" w:eastAsia="仿宋_GB2312"/>
                <w:color w:val="auto"/>
                <w:kern w:val="0"/>
                <w:szCs w:val="21"/>
                <w:highlight w:val="none"/>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29BE94BE">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c>
          <w:tcPr>
            <w:tcW w:w="2551" w:type="dxa"/>
            <w:tcBorders>
              <w:top w:val="single" w:color="auto" w:sz="4" w:space="0"/>
              <w:left w:val="single" w:color="auto" w:sz="4" w:space="0"/>
              <w:bottom w:val="single" w:color="auto" w:sz="4" w:space="0"/>
              <w:right w:val="single" w:color="auto" w:sz="4" w:space="0"/>
            </w:tcBorders>
            <w:vAlign w:val="center"/>
          </w:tcPr>
          <w:p w14:paraId="0F5CF3F3">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r>
              <w:rPr>
                <w:rFonts w:hint="eastAsia" w:ascii="仿宋_GB2312" w:eastAsia="仿宋_GB2312"/>
                <w:color w:val="auto"/>
                <w:kern w:val="0"/>
                <w:szCs w:val="21"/>
                <w:highlight w:val="none"/>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7C076A38">
            <w:pPr>
              <w:widowControl/>
              <w:snapToGrid w:val="0"/>
              <w:spacing w:before="100" w:beforeAutospacing="1" w:after="100" w:afterAutospacing="1" w:line="320" w:lineRule="atLeast"/>
              <w:ind w:firstLine="2"/>
              <w:jc w:val="center"/>
              <w:rPr>
                <w:rFonts w:ascii="仿宋_GB2312" w:eastAsia="仿宋_GB2312"/>
                <w:color w:val="auto"/>
                <w:kern w:val="0"/>
                <w:szCs w:val="21"/>
                <w:highlight w:val="none"/>
              </w:rPr>
            </w:pPr>
          </w:p>
        </w:tc>
      </w:tr>
      <w:tr w14:paraId="0E395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14:paraId="10185781">
            <w:pPr>
              <w:widowControl/>
              <w:snapToGrid w:val="0"/>
              <w:spacing w:before="100" w:beforeAutospacing="1" w:after="100" w:afterAutospacing="1" w:line="320" w:lineRule="atLeast"/>
              <w:ind w:firstLine="2"/>
              <w:jc w:val="left"/>
              <w:rPr>
                <w:rFonts w:ascii="仿宋_GB2312" w:eastAsia="仿宋_GB2312"/>
                <w:color w:val="auto"/>
                <w:kern w:val="0"/>
                <w:szCs w:val="21"/>
                <w:highlight w:val="none"/>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10E1BA0C">
            <w:pPr>
              <w:widowControl/>
              <w:snapToGrid w:val="0"/>
              <w:spacing w:before="100" w:beforeAutospacing="1" w:after="100" w:afterAutospacing="1" w:line="320" w:lineRule="atLeast"/>
              <w:ind w:firstLine="2"/>
              <w:jc w:val="left"/>
              <w:rPr>
                <w:rFonts w:ascii="仿宋_GB2312" w:eastAsia="仿宋_GB2312"/>
                <w:color w:val="auto"/>
                <w:kern w:val="0"/>
                <w:szCs w:val="21"/>
                <w:highlight w:val="none"/>
              </w:rPr>
            </w:pPr>
          </w:p>
        </w:tc>
        <w:tc>
          <w:tcPr>
            <w:tcW w:w="2551" w:type="dxa"/>
            <w:tcBorders>
              <w:top w:val="single" w:color="auto" w:sz="4" w:space="0"/>
              <w:left w:val="single" w:color="auto" w:sz="4" w:space="0"/>
              <w:bottom w:val="single" w:color="auto" w:sz="4" w:space="0"/>
              <w:right w:val="single" w:color="auto" w:sz="4" w:space="0"/>
            </w:tcBorders>
            <w:vAlign w:val="center"/>
          </w:tcPr>
          <w:p w14:paraId="3EAB0B18">
            <w:pPr>
              <w:widowControl/>
              <w:snapToGrid w:val="0"/>
              <w:spacing w:before="100" w:beforeAutospacing="1" w:after="100" w:afterAutospacing="1" w:line="320" w:lineRule="atLeast"/>
              <w:ind w:firstLine="2"/>
              <w:jc w:val="left"/>
              <w:rPr>
                <w:rFonts w:ascii="仿宋_GB2312" w:eastAsia="仿宋_GB2312"/>
                <w:color w:val="auto"/>
                <w:kern w:val="0"/>
                <w:szCs w:val="21"/>
                <w:highlight w:val="none"/>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42D55C0E">
            <w:pPr>
              <w:widowControl/>
              <w:snapToGrid w:val="0"/>
              <w:spacing w:before="100" w:beforeAutospacing="1" w:after="100" w:afterAutospacing="1" w:line="320" w:lineRule="atLeast"/>
              <w:ind w:firstLine="2"/>
              <w:jc w:val="left"/>
              <w:rPr>
                <w:rFonts w:ascii="仿宋_GB2312" w:eastAsia="仿宋_GB2312"/>
                <w:color w:val="auto"/>
                <w:kern w:val="0"/>
                <w:szCs w:val="21"/>
                <w:highlight w:val="none"/>
              </w:rPr>
            </w:pPr>
          </w:p>
        </w:tc>
      </w:tr>
      <w:tr w14:paraId="0455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14:paraId="48019288">
            <w:pPr>
              <w:widowControl/>
              <w:snapToGrid w:val="0"/>
              <w:spacing w:before="100" w:beforeAutospacing="1" w:after="100" w:afterAutospacing="1" w:line="320" w:lineRule="atLeast"/>
              <w:ind w:firstLine="2"/>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7F5F4132">
            <w:pPr>
              <w:widowControl/>
              <w:snapToGrid w:val="0"/>
              <w:spacing w:before="100" w:beforeAutospacing="1" w:after="100" w:afterAutospacing="1" w:line="320" w:lineRule="atLeast"/>
              <w:jc w:val="left"/>
              <w:rPr>
                <w:rFonts w:ascii="仿宋_GB2312" w:eastAsia="仿宋_GB2312"/>
                <w:color w:val="auto"/>
                <w:kern w:val="0"/>
                <w:szCs w:val="21"/>
                <w:highlight w:val="none"/>
              </w:rPr>
            </w:pPr>
            <w:r>
              <w:rPr>
                <w:rFonts w:hint="eastAsia" w:ascii="仿宋_GB2312" w:hAnsi="宋体" w:eastAsia="仿宋_GB2312" w:cs="宋体"/>
                <w:color w:val="auto"/>
                <w:kern w:val="0"/>
                <w:szCs w:val="21"/>
                <w:highlight w:val="none"/>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14:paraId="09A9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14:paraId="4FE8183E">
            <w:pPr>
              <w:widowControl/>
              <w:snapToGrid w:val="0"/>
              <w:spacing w:before="100" w:beforeAutospacing="1" w:after="100" w:afterAutospacing="1" w:line="320" w:lineRule="atLeast"/>
              <w:ind w:firstLine="2"/>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15F6E2E2">
            <w:pPr>
              <w:widowControl/>
              <w:snapToGrid w:val="0"/>
              <w:spacing w:before="100" w:beforeAutospacing="1" w:after="100" w:afterAutospacing="1" w:line="320" w:lineRule="atLeast"/>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验收结论性意见：</w:t>
            </w:r>
          </w:p>
          <w:p w14:paraId="3B6AC235">
            <w:pPr>
              <w:widowControl/>
              <w:snapToGrid w:val="0"/>
              <w:spacing w:before="100" w:beforeAutospacing="1" w:after="100" w:afterAutospacing="1" w:line="320" w:lineRule="atLeast"/>
              <w:jc w:val="left"/>
              <w:rPr>
                <w:rFonts w:ascii="仿宋_GB2312" w:eastAsia="仿宋_GB2312"/>
                <w:color w:val="auto"/>
                <w:kern w:val="0"/>
                <w:szCs w:val="21"/>
                <w:highlight w:val="none"/>
              </w:rPr>
            </w:pPr>
          </w:p>
        </w:tc>
      </w:tr>
      <w:tr w14:paraId="50586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14:paraId="3BBE730F">
            <w:pPr>
              <w:widowControl/>
              <w:jc w:val="left"/>
              <w:rPr>
                <w:rFonts w:ascii="仿宋_GB2312" w:eastAsia="仿宋_GB2312"/>
                <w:color w:val="auto"/>
                <w:kern w:val="0"/>
                <w:szCs w:val="21"/>
                <w:highlight w:val="none"/>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1450D2BB">
            <w:pPr>
              <w:widowControl/>
              <w:spacing w:before="100" w:beforeAutospacing="1" w:after="100" w:afterAutospacing="1" w:line="320" w:lineRule="atLeast"/>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有异议的意见和说明理由：</w:t>
            </w:r>
          </w:p>
          <w:p w14:paraId="7BB0FFF6">
            <w:pPr>
              <w:widowControl/>
              <w:snapToGrid w:val="0"/>
              <w:spacing w:before="100" w:beforeAutospacing="1" w:after="100" w:afterAutospacing="1" w:line="320" w:lineRule="atLeast"/>
              <w:jc w:val="center"/>
              <w:rPr>
                <w:rFonts w:ascii="仿宋_GB2312" w:eastAsia="仿宋_GB2312"/>
                <w:color w:val="auto"/>
                <w:kern w:val="0"/>
                <w:szCs w:val="21"/>
                <w:highlight w:val="none"/>
              </w:rPr>
            </w:pPr>
            <w:r>
              <w:rPr>
                <w:rFonts w:hint="eastAsia" w:ascii="仿宋_GB2312" w:eastAsia="仿宋_GB2312"/>
                <w:color w:val="auto"/>
                <w:kern w:val="0"/>
                <w:szCs w:val="21"/>
                <w:highlight w:val="none"/>
              </w:rPr>
              <w:t xml:space="preserve">            签字：</w:t>
            </w:r>
          </w:p>
        </w:tc>
      </w:tr>
      <w:tr w14:paraId="2F20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14:paraId="6B04B858">
            <w:pPr>
              <w:widowControl/>
              <w:snapToGrid w:val="0"/>
              <w:spacing w:before="100" w:beforeAutospacing="1" w:after="100" w:afterAutospacing="1" w:line="320" w:lineRule="atLeast"/>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验收小组成员签字：</w:t>
            </w:r>
          </w:p>
        </w:tc>
      </w:tr>
      <w:tr w14:paraId="4340F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1CF0A399">
            <w:pPr>
              <w:widowControl/>
              <w:spacing w:before="100" w:beforeAutospacing="1" w:after="100" w:afterAutospacing="1" w:line="320" w:lineRule="atLeast"/>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监督人员或其他相关人员签字：</w:t>
            </w:r>
          </w:p>
          <w:p w14:paraId="56C0F341">
            <w:pPr>
              <w:widowControl/>
              <w:spacing w:before="100" w:beforeAutospacing="1" w:after="100" w:afterAutospacing="1" w:line="320" w:lineRule="atLeast"/>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或受邀机构的意见（盖章）：</w:t>
            </w:r>
          </w:p>
        </w:tc>
      </w:tr>
      <w:tr w14:paraId="6224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2ECA69F7">
            <w:pPr>
              <w:widowControl/>
              <w:spacing w:before="100" w:beforeAutospacing="1" w:after="100" w:afterAutospacing="1" w:line="320" w:lineRule="atLeast"/>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 xml:space="preserve">中标供应商负责人签字或者盖章：               </w:t>
            </w:r>
            <w:r>
              <w:rPr>
                <w:rFonts w:eastAsia="仿宋_GB2312"/>
                <w:color w:val="auto"/>
                <w:kern w:val="0"/>
                <w:szCs w:val="21"/>
                <w:highlight w:val="none"/>
              </w:rPr>
              <w:t> </w:t>
            </w:r>
            <w:r>
              <w:rPr>
                <w:rFonts w:hint="eastAsia" w:ascii="仿宋_GB2312" w:eastAsia="仿宋_GB2312"/>
                <w:color w:val="auto"/>
                <w:kern w:val="0"/>
                <w:szCs w:val="21"/>
                <w:highlight w:val="none"/>
              </w:rPr>
              <w:t>采购人或受托机构的意见（盖章）：</w:t>
            </w:r>
          </w:p>
          <w:p w14:paraId="264FE580">
            <w:pPr>
              <w:widowControl/>
              <w:spacing w:before="100" w:beforeAutospacing="1" w:after="100" w:afterAutospacing="1" w:line="320" w:lineRule="atLeast"/>
              <w:jc w:val="left"/>
              <w:rPr>
                <w:rFonts w:ascii="仿宋_GB2312" w:eastAsia="仿宋_GB2312"/>
                <w:color w:val="auto"/>
                <w:kern w:val="0"/>
                <w:szCs w:val="21"/>
                <w:highlight w:val="none"/>
              </w:rPr>
            </w:pPr>
            <w:r>
              <w:rPr>
                <w:rFonts w:hint="eastAsia" w:ascii="仿宋_GB2312" w:eastAsia="仿宋_GB2312"/>
                <w:color w:val="auto"/>
                <w:kern w:val="0"/>
                <w:szCs w:val="21"/>
                <w:highlight w:val="none"/>
              </w:rPr>
              <w:t xml:space="preserve">联系电话： </w:t>
            </w:r>
            <w:r>
              <w:rPr>
                <w:rFonts w:eastAsia="仿宋_GB2312"/>
                <w:color w:val="auto"/>
                <w:kern w:val="0"/>
                <w:szCs w:val="21"/>
                <w:highlight w:val="none"/>
              </w:rPr>
              <w:t>  </w:t>
            </w:r>
            <w:r>
              <w:rPr>
                <w:rFonts w:hint="eastAsia" w:ascii="仿宋_GB2312" w:eastAsia="仿宋_GB2312"/>
                <w:color w:val="auto"/>
                <w:kern w:val="0"/>
                <w:szCs w:val="21"/>
                <w:highlight w:val="none"/>
              </w:rPr>
              <w:t xml:space="preserve">  </w:t>
            </w:r>
            <w:r>
              <w:rPr>
                <w:rFonts w:eastAsia="仿宋_GB2312"/>
                <w:color w:val="auto"/>
                <w:kern w:val="0"/>
                <w:szCs w:val="21"/>
                <w:highlight w:val="none"/>
              </w:rPr>
              <w:t>  </w:t>
            </w:r>
            <w:r>
              <w:rPr>
                <w:rFonts w:hint="eastAsia" w:ascii="仿宋_GB2312" w:eastAsia="仿宋_GB2312"/>
                <w:color w:val="auto"/>
                <w:kern w:val="0"/>
                <w:szCs w:val="21"/>
                <w:highlight w:val="none"/>
              </w:rPr>
              <w:t xml:space="preserve"> 年</w:t>
            </w:r>
            <w:r>
              <w:rPr>
                <w:rFonts w:eastAsia="仿宋_GB2312"/>
                <w:color w:val="auto"/>
                <w:kern w:val="0"/>
                <w:szCs w:val="21"/>
                <w:highlight w:val="none"/>
              </w:rPr>
              <w:t>  </w:t>
            </w:r>
            <w:r>
              <w:rPr>
                <w:rFonts w:hint="eastAsia" w:ascii="仿宋_GB2312" w:eastAsia="仿宋_GB2312"/>
                <w:color w:val="auto"/>
                <w:kern w:val="0"/>
                <w:szCs w:val="21"/>
                <w:highlight w:val="none"/>
              </w:rPr>
              <w:t xml:space="preserve"> 月</w:t>
            </w:r>
            <w:r>
              <w:rPr>
                <w:rFonts w:eastAsia="仿宋_GB2312"/>
                <w:color w:val="auto"/>
                <w:kern w:val="0"/>
                <w:szCs w:val="21"/>
                <w:highlight w:val="none"/>
              </w:rPr>
              <w:t>  </w:t>
            </w:r>
            <w:r>
              <w:rPr>
                <w:rFonts w:hint="eastAsia" w:ascii="仿宋_GB2312" w:eastAsia="仿宋_GB2312"/>
                <w:color w:val="auto"/>
                <w:kern w:val="0"/>
                <w:szCs w:val="21"/>
                <w:highlight w:val="none"/>
              </w:rPr>
              <w:t xml:space="preserve"> 日                     联系电话： </w:t>
            </w:r>
            <w:r>
              <w:rPr>
                <w:rFonts w:eastAsia="仿宋_GB2312"/>
                <w:color w:val="auto"/>
                <w:kern w:val="0"/>
                <w:szCs w:val="21"/>
                <w:highlight w:val="none"/>
              </w:rPr>
              <w:t>       </w:t>
            </w:r>
            <w:r>
              <w:rPr>
                <w:rFonts w:hint="eastAsia" w:ascii="仿宋_GB2312" w:eastAsia="仿宋_GB2312"/>
                <w:color w:val="auto"/>
                <w:kern w:val="0"/>
                <w:szCs w:val="21"/>
                <w:highlight w:val="none"/>
              </w:rPr>
              <w:t xml:space="preserve"> 年</w:t>
            </w:r>
            <w:r>
              <w:rPr>
                <w:rFonts w:eastAsia="仿宋_GB2312"/>
                <w:color w:val="auto"/>
                <w:kern w:val="0"/>
                <w:szCs w:val="21"/>
                <w:highlight w:val="none"/>
              </w:rPr>
              <w:t>  </w:t>
            </w:r>
            <w:r>
              <w:rPr>
                <w:rFonts w:hint="eastAsia" w:ascii="仿宋_GB2312" w:eastAsia="仿宋_GB2312"/>
                <w:color w:val="auto"/>
                <w:kern w:val="0"/>
                <w:szCs w:val="21"/>
                <w:highlight w:val="none"/>
              </w:rPr>
              <w:t xml:space="preserve"> 月</w:t>
            </w:r>
            <w:r>
              <w:rPr>
                <w:rFonts w:eastAsia="仿宋_GB2312"/>
                <w:color w:val="auto"/>
                <w:kern w:val="0"/>
                <w:szCs w:val="21"/>
                <w:highlight w:val="none"/>
              </w:rPr>
              <w:t>  </w:t>
            </w:r>
            <w:r>
              <w:rPr>
                <w:rFonts w:hint="eastAsia" w:ascii="仿宋_GB2312" w:eastAsia="仿宋_GB2312"/>
                <w:color w:val="auto"/>
                <w:kern w:val="0"/>
                <w:szCs w:val="21"/>
                <w:highlight w:val="none"/>
              </w:rPr>
              <w:t xml:space="preserve"> 日</w:t>
            </w:r>
          </w:p>
        </w:tc>
      </w:tr>
    </w:tbl>
    <w:p w14:paraId="1EC1DDEF">
      <w:pPr>
        <w:spacing w:line="276" w:lineRule="auto"/>
        <w:jc w:val="left"/>
        <w:rPr>
          <w:rFonts w:hint="eastAsia" w:ascii="仿宋_GB2312" w:hAnsi="华文中宋" w:eastAsia="仿宋_GB2312"/>
          <w:bCs/>
          <w:color w:val="auto"/>
          <w:szCs w:val="21"/>
          <w:highlight w:val="none"/>
        </w:rPr>
      </w:pPr>
    </w:p>
    <w:p w14:paraId="0E6BC9C8">
      <w:pPr>
        <w:spacing w:line="276" w:lineRule="auto"/>
        <w:jc w:val="left"/>
        <w:rPr>
          <w:rFonts w:hint="eastAsia" w:ascii="仿宋_GB2312" w:hAnsi="华文中宋" w:eastAsia="仿宋_GB2312"/>
          <w:b/>
          <w:bCs/>
          <w:color w:val="auto"/>
          <w:szCs w:val="21"/>
          <w:highlight w:val="none"/>
        </w:rPr>
      </w:pPr>
      <w:r>
        <w:rPr>
          <w:rFonts w:hint="eastAsia" w:ascii="仿宋_GB2312" w:hAnsi="华文中宋" w:eastAsia="仿宋_GB2312"/>
          <w:b/>
          <w:bCs/>
          <w:color w:val="auto"/>
          <w:szCs w:val="21"/>
          <w:highlight w:val="none"/>
        </w:rPr>
        <w:t>备注：本验收书一式三份（采购人一份、中标人一份、采购代理机构一份）</w:t>
      </w:r>
    </w:p>
    <w:bookmarkEnd w:id="80"/>
    <w:p w14:paraId="0E3676DC">
      <w:pPr>
        <w:snapToGrid w:val="0"/>
        <w:jc w:val="left"/>
        <w:rPr>
          <w:rFonts w:hint="eastAsia" w:ascii="仿宋_GB2312" w:hAnsi="华文中宋" w:eastAsia="仿宋_GB2312"/>
          <w:b/>
          <w:color w:val="auto"/>
          <w:szCs w:val="21"/>
          <w:highlight w:val="none"/>
        </w:rPr>
      </w:pPr>
    </w:p>
    <w:p w14:paraId="68E66C27">
      <w:pPr>
        <w:spacing w:line="276" w:lineRule="auto"/>
        <w:jc w:val="center"/>
        <w:rPr>
          <w:rFonts w:hint="eastAsia" w:ascii="仿宋_GB2312" w:hAnsi="华文中宋" w:eastAsia="仿宋_GB2312"/>
          <w:bCs/>
          <w:color w:val="auto"/>
          <w:sz w:val="32"/>
          <w:szCs w:val="32"/>
          <w:highlight w:val="none"/>
        </w:rPr>
      </w:pPr>
    </w:p>
    <w:p w14:paraId="6AD01318">
      <w:pPr>
        <w:spacing w:line="276" w:lineRule="auto"/>
        <w:jc w:val="center"/>
        <w:rPr>
          <w:rFonts w:hint="eastAsia" w:ascii="仿宋_GB2312" w:hAnsi="华文中宋" w:eastAsia="仿宋_GB2312"/>
          <w:bCs/>
          <w:color w:val="auto"/>
          <w:sz w:val="32"/>
          <w:szCs w:val="32"/>
          <w:highlight w:val="none"/>
        </w:rPr>
      </w:pPr>
    </w:p>
    <w:p w14:paraId="1E67423C">
      <w:pPr>
        <w:spacing w:line="276" w:lineRule="auto"/>
        <w:jc w:val="center"/>
        <w:rPr>
          <w:rFonts w:hint="eastAsia" w:ascii="仿宋_GB2312" w:hAnsi="华文中宋" w:eastAsia="仿宋_GB2312"/>
          <w:bCs/>
          <w:color w:val="auto"/>
          <w:sz w:val="32"/>
          <w:szCs w:val="32"/>
          <w:highlight w:val="none"/>
        </w:rPr>
      </w:pPr>
    </w:p>
    <w:p w14:paraId="03140DB8">
      <w:pPr>
        <w:spacing w:line="276" w:lineRule="auto"/>
        <w:jc w:val="center"/>
        <w:rPr>
          <w:rFonts w:hint="eastAsia" w:ascii="仿宋_GB2312" w:hAnsi="华文中宋" w:eastAsia="仿宋_GB2312"/>
          <w:bCs/>
          <w:color w:val="auto"/>
          <w:sz w:val="32"/>
          <w:szCs w:val="32"/>
          <w:highlight w:val="none"/>
        </w:rPr>
      </w:pPr>
    </w:p>
    <w:p w14:paraId="29DB7E08">
      <w:pPr>
        <w:spacing w:line="276" w:lineRule="auto"/>
        <w:jc w:val="center"/>
        <w:rPr>
          <w:rFonts w:hint="eastAsia" w:ascii="仿宋_GB2312" w:hAnsi="华文中宋" w:eastAsia="仿宋_GB2312"/>
          <w:bCs/>
          <w:color w:val="auto"/>
          <w:sz w:val="32"/>
          <w:szCs w:val="32"/>
          <w:highlight w:val="none"/>
        </w:rPr>
      </w:pPr>
    </w:p>
    <w:p w14:paraId="26BED4A2">
      <w:pPr>
        <w:spacing w:line="276" w:lineRule="auto"/>
        <w:jc w:val="center"/>
        <w:rPr>
          <w:rFonts w:hint="eastAsia" w:ascii="仿宋_GB2312" w:hAnsi="华文中宋" w:eastAsia="仿宋_GB2312"/>
          <w:bCs/>
          <w:color w:val="auto"/>
          <w:sz w:val="32"/>
          <w:szCs w:val="32"/>
          <w:highlight w:val="none"/>
        </w:rPr>
      </w:pPr>
    </w:p>
    <w:p w14:paraId="1EED2C09">
      <w:pPr>
        <w:spacing w:line="276" w:lineRule="auto"/>
        <w:jc w:val="center"/>
        <w:rPr>
          <w:rFonts w:hint="eastAsia" w:ascii="仿宋_GB2312" w:hAnsi="华文中宋" w:eastAsia="仿宋_GB2312"/>
          <w:bCs/>
          <w:color w:val="auto"/>
          <w:sz w:val="32"/>
          <w:szCs w:val="32"/>
          <w:highlight w:val="none"/>
        </w:rPr>
      </w:pPr>
    </w:p>
    <w:p w14:paraId="534C4BF5">
      <w:pPr>
        <w:spacing w:line="276" w:lineRule="auto"/>
        <w:jc w:val="center"/>
        <w:rPr>
          <w:rFonts w:hint="eastAsia" w:ascii="仿宋_GB2312" w:hAnsi="华文中宋" w:eastAsia="仿宋_GB2312"/>
          <w:bCs/>
          <w:color w:val="auto"/>
          <w:sz w:val="32"/>
          <w:szCs w:val="32"/>
          <w:highlight w:val="none"/>
        </w:rPr>
      </w:pPr>
    </w:p>
    <w:p w14:paraId="661DCE14">
      <w:pPr>
        <w:spacing w:line="276" w:lineRule="auto"/>
        <w:jc w:val="center"/>
        <w:rPr>
          <w:rFonts w:hint="eastAsia" w:ascii="仿宋_GB2312" w:hAnsi="华文中宋" w:eastAsia="仿宋_GB2312"/>
          <w:bCs/>
          <w:color w:val="auto"/>
          <w:sz w:val="32"/>
          <w:szCs w:val="32"/>
          <w:highlight w:val="none"/>
        </w:rPr>
      </w:pPr>
    </w:p>
    <w:p w14:paraId="40E352B6">
      <w:pPr>
        <w:spacing w:line="276" w:lineRule="auto"/>
        <w:jc w:val="center"/>
        <w:rPr>
          <w:rFonts w:hint="eastAsia" w:ascii="仿宋_GB2312" w:hAnsi="华文中宋" w:eastAsia="仿宋_GB2312"/>
          <w:bCs/>
          <w:color w:val="auto"/>
          <w:sz w:val="32"/>
          <w:szCs w:val="32"/>
          <w:highlight w:val="none"/>
        </w:rPr>
      </w:pPr>
    </w:p>
    <w:p w14:paraId="219015C7">
      <w:pPr>
        <w:pStyle w:val="4"/>
        <w:jc w:val="center"/>
        <w:rPr>
          <w:rFonts w:ascii="仿宋_GB2312" w:eastAsia="仿宋_GB2312"/>
          <w:color w:val="auto"/>
          <w:highlight w:val="none"/>
        </w:rPr>
      </w:pPr>
      <w:bookmarkStart w:id="81" w:name="_Toc504231525"/>
      <w:bookmarkStart w:id="82" w:name="_Toc504053343"/>
      <w:bookmarkStart w:id="83" w:name="_Toc16182"/>
      <w:bookmarkStart w:id="84" w:name="_Toc517113880"/>
      <w:bookmarkStart w:id="85" w:name="_Toc13344"/>
      <w:r>
        <w:rPr>
          <w:rFonts w:hint="eastAsia"/>
          <w:color w:val="auto"/>
          <w:sz w:val="32"/>
          <w:highlight w:val="none"/>
        </w:rPr>
        <w:t>第六章 投标文件格式</w:t>
      </w:r>
      <w:bookmarkEnd w:id="81"/>
      <w:bookmarkEnd w:id="82"/>
      <w:bookmarkEnd w:id="83"/>
      <w:bookmarkEnd w:id="84"/>
    </w:p>
    <w:p w14:paraId="2CDD3FFC">
      <w:pPr>
        <w:spacing w:line="276" w:lineRule="auto"/>
        <w:rPr>
          <w:rFonts w:ascii="仿宋_GB2312" w:eastAsia="仿宋_GB2312"/>
          <w:b/>
          <w:color w:val="auto"/>
          <w:sz w:val="44"/>
          <w:szCs w:val="44"/>
          <w:highlight w:val="none"/>
        </w:rPr>
        <w:sectPr>
          <w:footerReference r:id="rId8" w:type="default"/>
          <w:pgSz w:w="11906" w:h="16838"/>
          <w:pgMar w:top="1440" w:right="1440" w:bottom="1440" w:left="1440" w:header="851" w:footer="992" w:gutter="0"/>
          <w:cols w:space="720" w:num="1"/>
          <w:docGrid w:linePitch="312" w:charSpace="0"/>
        </w:sectPr>
      </w:pPr>
    </w:p>
    <w:p w14:paraId="4B4EE0F1">
      <w:pPr>
        <w:pageBreakBefore/>
        <w:spacing w:line="460" w:lineRule="exact"/>
        <w:jc w:val="center"/>
        <w:rPr>
          <w:rFonts w:hint="eastAsia" w:ascii="仿宋_GB2312" w:hAnsi="仿宋_GB2312" w:eastAsia="仿宋_GB2312" w:cs="仿宋_GB2312"/>
          <w:b/>
          <w:color w:val="auto"/>
          <w:sz w:val="36"/>
          <w:szCs w:val="36"/>
          <w:highlight w:val="none"/>
        </w:rPr>
      </w:pPr>
      <w:r>
        <w:rPr>
          <w:rFonts w:hint="eastAsia" w:ascii="仿宋_GB2312" w:hAnsi="仿宋_GB2312" w:eastAsia="仿宋_GB2312" w:cs="仿宋_GB2312"/>
          <w:b/>
          <w:color w:val="auto"/>
          <w:sz w:val="36"/>
          <w:szCs w:val="36"/>
          <w:highlight w:val="none"/>
        </w:rPr>
        <w:t>投标人提交电子投标文件须知</w:t>
      </w:r>
    </w:p>
    <w:p w14:paraId="2C185F55">
      <w:pPr>
        <w:adjustRightInd w:val="0"/>
        <w:snapToGrid w:val="0"/>
        <w:spacing w:line="460" w:lineRule="exact"/>
        <w:ind w:firstLine="480" w:firstLineChars="200"/>
        <w:jc w:val="left"/>
        <w:rPr>
          <w:rFonts w:hint="eastAsia" w:ascii="仿宋_GB2312" w:hAnsi="仿宋_GB2312" w:eastAsia="仿宋_GB2312" w:cs="仿宋_GB2312"/>
          <w:bCs/>
          <w:color w:val="auto"/>
          <w:sz w:val="24"/>
          <w:highlight w:val="none"/>
        </w:rPr>
      </w:pPr>
    </w:p>
    <w:p w14:paraId="3E0E1B4B">
      <w:pPr>
        <w:adjustRightInd w:val="0"/>
        <w:snapToGrid w:val="0"/>
        <w:spacing w:line="420" w:lineRule="exact"/>
        <w:ind w:firstLine="48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14:paraId="3E39D6CD">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一、投标人应保证全部声明和问题的回答是真实的和准确的。</w:t>
      </w:r>
    </w:p>
    <w:p w14:paraId="4BF2460C">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二、评标委员会将应用投标人提交的资料作出自己的判断。</w:t>
      </w:r>
    </w:p>
    <w:p w14:paraId="28761074">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三、投标人提交的材料将在一定期限内被保密保存，不予退还。</w:t>
      </w:r>
    </w:p>
    <w:p w14:paraId="546200AA">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四、电子投标文件编制格式及规范要求：</w:t>
      </w:r>
    </w:p>
    <w:p w14:paraId="4EC06162">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（一）投标文件应使用广西政府采购云平台客户端软件，并按照本公开招标文件和广西政府采购云平台要求编制并加密投标文件。未按规定加密的投标文件，广西政府采购云平台将拒收。</w:t>
      </w:r>
    </w:p>
    <w:p w14:paraId="4564CE75">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（二）投标文件制作并加密完成后应在广西政府采购云平台上传完成。</w:t>
      </w:r>
    </w:p>
    <w:p w14:paraId="475140E2">
      <w:pPr>
        <w:adjustRightInd w:val="0"/>
        <w:snapToGrid w:val="0"/>
        <w:spacing w:line="420" w:lineRule="exact"/>
        <w:ind w:firstLine="482" w:firstLineChars="200"/>
        <w:jc w:val="left"/>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（三）投标文件应使用CA证书进行电子签章。在签章时，投标人应注意CA电子签章的位置，如因CA电子签章遮挡重要、关键信息导致评标委员会作出对投标人不利评审的，后果由投标人负责。</w:t>
      </w:r>
    </w:p>
    <w:p w14:paraId="13330AE7">
      <w:pPr>
        <w:adjustRightInd w:val="0"/>
        <w:snapToGrid w:val="0"/>
        <w:spacing w:line="420" w:lineRule="exact"/>
        <w:ind w:firstLine="482" w:firstLineChars="200"/>
        <w:jc w:val="left"/>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（四）投标人应准确设置评审关联点。未设置或设置错误导致投标文件被误读、漏读或者查找不到相关内容的，是投标人的责任。</w:t>
      </w:r>
    </w:p>
    <w:p w14:paraId="2835E981">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（五）投标文件所提供的相关材料的尺寸和清晰度应该能够在电脑上被阅读、识别和判断。</w:t>
      </w:r>
    </w:p>
    <w:p w14:paraId="374BCC6F">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（六）投标文件内容无法阅读、识别和判断的，视为未提供。</w:t>
      </w:r>
    </w:p>
    <w:p w14:paraId="71EE9E9B">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（七）投标文件的容量大小须符合广西政府采购云平台规定。</w:t>
      </w:r>
    </w:p>
    <w:p w14:paraId="6A4789CE">
      <w:pPr>
        <w:adjustRightInd w:val="0"/>
        <w:snapToGrid w:val="0"/>
        <w:spacing w:line="42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五、投标人在使用广西政府采购云平台进行投标过程中遇到涉及平台使用的任何问题，可致电平台技术支持热线咨询，联系方式：</w:t>
      </w:r>
      <w:r>
        <w:rPr>
          <w:rFonts w:ascii="仿宋_GB2312" w:hAnsi="仿宋_GB2312" w:eastAsia="仿宋_GB2312" w:cs="仿宋_GB2312"/>
          <w:b/>
          <w:color w:val="auto"/>
          <w:sz w:val="24"/>
          <w:highlight w:val="none"/>
        </w:rPr>
        <w:t>95763</w:t>
      </w:r>
      <w:r>
        <w:rPr>
          <w:rFonts w:hint="eastAsia" w:ascii="仿宋_GB2312" w:hAnsi="仿宋_GB2312" w:eastAsia="仿宋_GB2312" w:cs="仿宋_GB2312"/>
          <w:b/>
          <w:color w:val="auto"/>
          <w:sz w:val="24"/>
          <w:highlight w:val="none"/>
        </w:rPr>
        <w:t>。</w:t>
      </w:r>
    </w:p>
    <w:p w14:paraId="557E9A72">
      <w:pPr>
        <w:snapToGrid w:val="0"/>
        <w:spacing w:line="420" w:lineRule="exact"/>
        <w:ind w:firstLine="482" w:firstLineChars="200"/>
        <w:jc w:val="left"/>
        <w:rPr>
          <w:rFonts w:hint="eastAsia" w:ascii="仿宋_GB2312" w:hAnsi="宋体" w:eastAsia="仿宋_GB2312"/>
          <w:b/>
          <w:bCs/>
          <w:color w:val="auto"/>
          <w:sz w:val="24"/>
          <w:highlight w:val="none"/>
        </w:rPr>
      </w:pPr>
      <w:r>
        <w:rPr>
          <w:rFonts w:hint="eastAsia" w:ascii="仿宋_GB2312" w:hAnsi="宋体" w:eastAsia="仿宋_GB2312"/>
          <w:b/>
          <w:bCs/>
          <w:color w:val="auto"/>
          <w:sz w:val="24"/>
          <w:highlight w:val="none"/>
        </w:rPr>
        <w:t>六、特别说明</w:t>
      </w:r>
    </w:p>
    <w:p w14:paraId="74F7F5DB">
      <w:pPr>
        <w:adjustRightInd w:val="0"/>
        <w:snapToGrid w:val="0"/>
        <w:spacing w:line="42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（一）投标文件中须加盖公章部分均采用投标人CA电子签章，否则视为投标无效。</w:t>
      </w:r>
    </w:p>
    <w:p w14:paraId="00E45451">
      <w:pPr>
        <w:adjustRightInd w:val="0"/>
        <w:snapToGrid w:val="0"/>
        <w:spacing w:line="42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（二）</w:t>
      </w:r>
      <w:r>
        <w:rPr>
          <w:rFonts w:hint="eastAsia" w:ascii="仿宋_GB2312" w:eastAsia="仿宋_GB2312"/>
          <w:b/>
          <w:bCs/>
          <w:color w:val="auto"/>
          <w:sz w:val="24"/>
          <w:highlight w:val="none"/>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color w:val="auto"/>
          <w:sz w:val="24"/>
          <w:highlight w:val="none"/>
        </w:rPr>
        <w:t>否则视为投标无效。</w:t>
      </w:r>
    </w:p>
    <w:p w14:paraId="12544E90">
      <w:pPr>
        <w:jc w:val="left"/>
        <w:rPr>
          <w:rFonts w:ascii="仿宋_GB2312" w:eastAsia="仿宋_GB2312"/>
          <w:b/>
          <w:bCs/>
          <w:color w:val="auto"/>
          <w:sz w:val="32"/>
          <w:szCs w:val="32"/>
          <w:highlight w:val="none"/>
        </w:rPr>
        <w:sectPr>
          <w:pgSz w:w="11906" w:h="16838"/>
          <w:pgMar w:top="1440" w:right="1274" w:bottom="1440" w:left="1440" w:header="851" w:footer="992" w:gutter="0"/>
          <w:cols w:space="720" w:num="1"/>
          <w:docGrid w:linePitch="312" w:charSpace="0"/>
        </w:sectPr>
      </w:pPr>
      <w:bookmarkStart w:id="86" w:name="_Hlk50566209"/>
    </w:p>
    <w:bookmarkEnd w:id="86"/>
    <w:p w14:paraId="33790EA9">
      <w:pPr>
        <w:adjustRightInd w:val="0"/>
        <w:snapToGrid w:val="0"/>
        <w:spacing w:line="460" w:lineRule="exact"/>
        <w:jc w:val="left"/>
        <w:rPr>
          <w:rFonts w:ascii="仿宋_GB2312" w:eastAsia="仿宋_GB2312"/>
          <w:b/>
          <w:color w:val="auto"/>
          <w:sz w:val="44"/>
          <w:szCs w:val="44"/>
          <w:highlight w:val="none"/>
        </w:rPr>
      </w:pPr>
    </w:p>
    <w:p w14:paraId="46343646">
      <w:pPr>
        <w:jc w:val="center"/>
        <w:rPr>
          <w:rFonts w:ascii="仿宋_GB2312" w:eastAsia="仿宋_GB2312"/>
          <w:b/>
          <w:color w:val="auto"/>
          <w:sz w:val="44"/>
          <w:szCs w:val="44"/>
          <w:highlight w:val="none"/>
        </w:rPr>
      </w:pPr>
    </w:p>
    <w:p w14:paraId="5C12E858">
      <w:pPr>
        <w:jc w:val="center"/>
        <w:rPr>
          <w:rFonts w:ascii="仿宋_GB2312" w:eastAsia="仿宋_GB2312"/>
          <w:b/>
          <w:color w:val="auto"/>
          <w:sz w:val="44"/>
          <w:szCs w:val="44"/>
          <w:highlight w:val="none"/>
        </w:rPr>
      </w:pPr>
    </w:p>
    <w:p w14:paraId="5C685015">
      <w:pPr>
        <w:jc w:val="center"/>
        <w:rPr>
          <w:rFonts w:ascii="仿宋_GB2312" w:eastAsia="仿宋_GB2312"/>
          <w:b/>
          <w:color w:val="auto"/>
          <w:sz w:val="44"/>
          <w:szCs w:val="44"/>
          <w:highlight w:val="none"/>
        </w:rPr>
      </w:pPr>
    </w:p>
    <w:p w14:paraId="28D526D9">
      <w:pPr>
        <w:jc w:val="center"/>
        <w:rPr>
          <w:rFonts w:ascii="仿宋_GB2312" w:eastAsia="仿宋_GB2312"/>
          <w:b/>
          <w:color w:val="auto"/>
          <w:sz w:val="44"/>
          <w:szCs w:val="44"/>
          <w:highlight w:val="none"/>
        </w:rPr>
      </w:pPr>
    </w:p>
    <w:p w14:paraId="144017EB">
      <w:pPr>
        <w:jc w:val="center"/>
        <w:rPr>
          <w:rFonts w:ascii="仿宋_GB2312" w:eastAsia="仿宋_GB2312"/>
          <w:b/>
          <w:color w:val="auto"/>
          <w:sz w:val="44"/>
          <w:szCs w:val="44"/>
          <w:highlight w:val="none"/>
        </w:rPr>
      </w:pPr>
    </w:p>
    <w:p w14:paraId="79E257FA">
      <w:pPr>
        <w:jc w:val="center"/>
        <w:rPr>
          <w:rFonts w:ascii="仿宋_GB2312" w:eastAsia="仿宋_GB2312"/>
          <w:b/>
          <w:color w:val="auto"/>
          <w:sz w:val="44"/>
          <w:szCs w:val="44"/>
          <w:highlight w:val="none"/>
        </w:rPr>
      </w:pPr>
    </w:p>
    <w:p w14:paraId="7B560834">
      <w:pPr>
        <w:jc w:val="center"/>
        <w:rPr>
          <w:rFonts w:ascii="仿宋_GB2312" w:eastAsia="仿宋_GB2312"/>
          <w:b/>
          <w:color w:val="auto"/>
          <w:sz w:val="44"/>
          <w:szCs w:val="44"/>
          <w:highlight w:val="none"/>
        </w:rPr>
      </w:pPr>
    </w:p>
    <w:p w14:paraId="2E85B2CB">
      <w:pPr>
        <w:jc w:val="center"/>
        <w:rPr>
          <w:rFonts w:ascii="仿宋_GB2312" w:eastAsia="仿宋_GB2312"/>
          <w:b/>
          <w:color w:val="auto"/>
          <w:sz w:val="44"/>
          <w:szCs w:val="44"/>
          <w:highlight w:val="none"/>
        </w:rPr>
      </w:pPr>
    </w:p>
    <w:p w14:paraId="5A28F1FB">
      <w:pPr>
        <w:jc w:val="center"/>
        <w:rPr>
          <w:rFonts w:ascii="仿宋_GB2312" w:eastAsia="仿宋_GB2312"/>
          <w:b/>
          <w:color w:val="auto"/>
          <w:sz w:val="44"/>
          <w:szCs w:val="44"/>
          <w:highlight w:val="none"/>
        </w:rPr>
      </w:pPr>
    </w:p>
    <w:p w14:paraId="6FD81B06">
      <w:pPr>
        <w:jc w:val="center"/>
        <w:rPr>
          <w:rFonts w:hint="eastAsia" w:ascii="仿宋_GB2312" w:hAnsi="宋体" w:eastAsia="仿宋_GB2312"/>
          <w:b/>
          <w:bCs/>
          <w:color w:val="auto"/>
          <w:sz w:val="72"/>
          <w:szCs w:val="72"/>
          <w:highlight w:val="none"/>
        </w:rPr>
      </w:pPr>
      <w:r>
        <w:rPr>
          <w:rFonts w:hint="eastAsia" w:ascii="仿宋_GB2312" w:hAnsi="宋体" w:eastAsia="仿宋_GB2312"/>
          <w:b/>
          <w:bCs/>
          <w:color w:val="auto"/>
          <w:sz w:val="56"/>
          <w:szCs w:val="56"/>
          <w:highlight w:val="none"/>
        </w:rPr>
        <w:t>一、资 格 文 件 格 式</w:t>
      </w:r>
    </w:p>
    <w:p w14:paraId="5091A426">
      <w:pPr>
        <w:snapToGrid w:val="0"/>
        <w:spacing w:before="50" w:after="120" w:afterLines="50" w:line="360" w:lineRule="exact"/>
        <w:jc w:val="left"/>
        <w:rPr>
          <w:rFonts w:ascii="仿宋_GB2312" w:eastAsia="仿宋_GB2312"/>
          <w:b/>
          <w:color w:val="auto"/>
          <w:sz w:val="44"/>
          <w:szCs w:val="44"/>
          <w:highlight w:val="none"/>
        </w:rPr>
      </w:pPr>
    </w:p>
    <w:p w14:paraId="7E532017">
      <w:pPr>
        <w:snapToGrid w:val="0"/>
        <w:spacing w:before="50" w:after="120" w:afterLines="50" w:line="360" w:lineRule="exact"/>
        <w:jc w:val="left"/>
        <w:rPr>
          <w:rFonts w:ascii="仿宋_GB2312" w:eastAsia="仿宋_GB2312"/>
          <w:b/>
          <w:color w:val="auto"/>
          <w:sz w:val="44"/>
          <w:szCs w:val="44"/>
          <w:highlight w:val="none"/>
        </w:rPr>
      </w:pPr>
    </w:p>
    <w:p w14:paraId="56030DD6">
      <w:pPr>
        <w:snapToGrid w:val="0"/>
        <w:spacing w:before="50" w:after="120" w:afterLines="50" w:line="360" w:lineRule="exact"/>
        <w:jc w:val="left"/>
        <w:rPr>
          <w:rFonts w:ascii="仿宋_GB2312" w:eastAsia="仿宋_GB2312"/>
          <w:b/>
          <w:color w:val="auto"/>
          <w:sz w:val="44"/>
          <w:szCs w:val="44"/>
          <w:highlight w:val="none"/>
        </w:rPr>
      </w:pPr>
    </w:p>
    <w:p w14:paraId="4E36B1C5">
      <w:pPr>
        <w:snapToGrid w:val="0"/>
        <w:spacing w:before="50" w:after="120" w:afterLines="50" w:line="360" w:lineRule="exact"/>
        <w:jc w:val="left"/>
        <w:rPr>
          <w:rFonts w:ascii="仿宋_GB2312" w:eastAsia="仿宋_GB2312"/>
          <w:b/>
          <w:color w:val="auto"/>
          <w:sz w:val="44"/>
          <w:szCs w:val="44"/>
          <w:highlight w:val="none"/>
        </w:rPr>
      </w:pPr>
    </w:p>
    <w:p w14:paraId="234EA30B">
      <w:pPr>
        <w:snapToGrid w:val="0"/>
        <w:spacing w:before="50" w:after="120" w:afterLines="50" w:line="360" w:lineRule="exact"/>
        <w:jc w:val="left"/>
        <w:rPr>
          <w:rFonts w:ascii="仿宋_GB2312" w:eastAsia="仿宋_GB2312"/>
          <w:b/>
          <w:color w:val="auto"/>
          <w:sz w:val="44"/>
          <w:szCs w:val="44"/>
          <w:highlight w:val="none"/>
        </w:rPr>
      </w:pPr>
    </w:p>
    <w:p w14:paraId="1AD1939F">
      <w:pPr>
        <w:snapToGrid w:val="0"/>
        <w:spacing w:before="50" w:after="120" w:afterLines="50" w:line="360" w:lineRule="exact"/>
        <w:jc w:val="left"/>
        <w:rPr>
          <w:rFonts w:ascii="仿宋_GB2312" w:eastAsia="仿宋_GB2312"/>
          <w:b/>
          <w:color w:val="auto"/>
          <w:sz w:val="44"/>
          <w:szCs w:val="44"/>
          <w:highlight w:val="none"/>
        </w:rPr>
      </w:pPr>
    </w:p>
    <w:p w14:paraId="7518FE32">
      <w:pPr>
        <w:snapToGrid w:val="0"/>
        <w:spacing w:before="50" w:after="120" w:afterLines="50" w:line="360" w:lineRule="exact"/>
        <w:jc w:val="left"/>
        <w:rPr>
          <w:rFonts w:ascii="仿宋_GB2312" w:eastAsia="仿宋_GB2312"/>
          <w:b/>
          <w:color w:val="auto"/>
          <w:sz w:val="44"/>
          <w:szCs w:val="44"/>
          <w:highlight w:val="none"/>
        </w:rPr>
      </w:pPr>
    </w:p>
    <w:p w14:paraId="5ADCB049">
      <w:pPr>
        <w:snapToGrid w:val="0"/>
        <w:spacing w:before="50" w:after="120" w:afterLines="50" w:line="360" w:lineRule="exact"/>
        <w:jc w:val="left"/>
        <w:rPr>
          <w:rFonts w:ascii="仿宋_GB2312" w:eastAsia="仿宋_GB2312"/>
          <w:b/>
          <w:color w:val="auto"/>
          <w:sz w:val="44"/>
          <w:szCs w:val="44"/>
          <w:highlight w:val="none"/>
        </w:rPr>
      </w:pPr>
    </w:p>
    <w:p w14:paraId="5F63BE8E">
      <w:pPr>
        <w:snapToGrid w:val="0"/>
        <w:spacing w:before="50" w:after="120" w:afterLines="50" w:line="360" w:lineRule="exact"/>
        <w:jc w:val="left"/>
        <w:rPr>
          <w:rFonts w:ascii="仿宋_GB2312" w:eastAsia="仿宋_GB2312"/>
          <w:b/>
          <w:color w:val="auto"/>
          <w:sz w:val="44"/>
          <w:szCs w:val="44"/>
          <w:highlight w:val="none"/>
        </w:rPr>
      </w:pPr>
    </w:p>
    <w:p w14:paraId="109225DB">
      <w:pPr>
        <w:snapToGrid w:val="0"/>
        <w:spacing w:before="50" w:after="120" w:afterLines="50" w:line="360" w:lineRule="exact"/>
        <w:jc w:val="left"/>
        <w:rPr>
          <w:rFonts w:ascii="仿宋_GB2312" w:eastAsia="仿宋_GB2312"/>
          <w:b/>
          <w:color w:val="auto"/>
          <w:sz w:val="44"/>
          <w:szCs w:val="44"/>
          <w:highlight w:val="none"/>
        </w:rPr>
      </w:pPr>
    </w:p>
    <w:p w14:paraId="51C2F4FC">
      <w:pPr>
        <w:snapToGrid w:val="0"/>
        <w:spacing w:before="50" w:after="120" w:afterLines="50" w:line="360" w:lineRule="exact"/>
        <w:jc w:val="left"/>
        <w:rPr>
          <w:rFonts w:ascii="仿宋_GB2312" w:eastAsia="仿宋_GB2312"/>
          <w:b/>
          <w:color w:val="auto"/>
          <w:sz w:val="44"/>
          <w:szCs w:val="44"/>
          <w:highlight w:val="none"/>
        </w:rPr>
      </w:pPr>
    </w:p>
    <w:p w14:paraId="3F3D4AC1">
      <w:pPr>
        <w:snapToGrid w:val="0"/>
        <w:spacing w:before="50" w:after="120" w:afterLines="50" w:line="360" w:lineRule="exact"/>
        <w:jc w:val="left"/>
        <w:rPr>
          <w:rFonts w:ascii="仿宋_GB2312" w:eastAsia="仿宋_GB2312"/>
          <w:b/>
          <w:color w:val="auto"/>
          <w:sz w:val="44"/>
          <w:szCs w:val="44"/>
          <w:highlight w:val="none"/>
        </w:rPr>
      </w:pPr>
    </w:p>
    <w:p w14:paraId="2D699479">
      <w:pPr>
        <w:snapToGrid w:val="0"/>
        <w:spacing w:before="50" w:after="120" w:afterLines="50" w:line="360" w:lineRule="exact"/>
        <w:jc w:val="left"/>
        <w:rPr>
          <w:rFonts w:ascii="仿宋_GB2312" w:eastAsia="仿宋_GB2312"/>
          <w:b/>
          <w:color w:val="auto"/>
          <w:sz w:val="44"/>
          <w:szCs w:val="44"/>
          <w:highlight w:val="none"/>
        </w:rPr>
      </w:pPr>
    </w:p>
    <w:p w14:paraId="4671AEF0">
      <w:pPr>
        <w:snapToGrid w:val="0"/>
        <w:spacing w:before="50" w:after="120" w:afterLines="50" w:line="360" w:lineRule="exact"/>
        <w:jc w:val="left"/>
        <w:rPr>
          <w:rFonts w:ascii="仿宋_GB2312" w:eastAsia="仿宋_GB2312"/>
          <w:b/>
          <w:color w:val="auto"/>
          <w:sz w:val="44"/>
          <w:szCs w:val="44"/>
          <w:highlight w:val="none"/>
        </w:rPr>
      </w:pPr>
    </w:p>
    <w:p w14:paraId="125103E2">
      <w:pPr>
        <w:snapToGrid w:val="0"/>
        <w:spacing w:before="50" w:after="120" w:afterLines="50" w:line="360" w:lineRule="exact"/>
        <w:jc w:val="left"/>
        <w:rPr>
          <w:rFonts w:ascii="仿宋_GB2312" w:eastAsia="仿宋_GB2312"/>
          <w:b/>
          <w:color w:val="auto"/>
          <w:sz w:val="44"/>
          <w:szCs w:val="44"/>
          <w:highlight w:val="none"/>
        </w:rPr>
      </w:pPr>
    </w:p>
    <w:p w14:paraId="490EAEA5">
      <w:pPr>
        <w:snapToGrid w:val="0"/>
        <w:spacing w:before="50" w:after="120" w:afterLines="50" w:line="360" w:lineRule="exact"/>
        <w:jc w:val="left"/>
        <w:rPr>
          <w:rFonts w:ascii="仿宋_GB2312" w:eastAsia="仿宋_GB2312"/>
          <w:b/>
          <w:color w:val="auto"/>
          <w:sz w:val="44"/>
          <w:szCs w:val="44"/>
          <w:highlight w:val="none"/>
        </w:rPr>
      </w:pPr>
    </w:p>
    <w:p w14:paraId="09D707AB">
      <w:pPr>
        <w:snapToGrid w:val="0"/>
        <w:spacing w:before="120" w:beforeLines="50" w:after="50"/>
        <w:outlineLvl w:val="1"/>
        <w:rPr>
          <w:rFonts w:ascii="仿宋_GB2312" w:eastAsia="仿宋_GB2312"/>
          <w:bCs/>
          <w:color w:val="auto"/>
          <w:sz w:val="30"/>
          <w:szCs w:val="30"/>
          <w:highlight w:val="none"/>
        </w:rPr>
        <w:sectPr>
          <w:pgSz w:w="11906" w:h="16838"/>
          <w:pgMar w:top="1440" w:right="1440" w:bottom="1440" w:left="1440" w:header="851" w:footer="992" w:gutter="0"/>
          <w:cols w:space="720" w:num="1"/>
          <w:docGrid w:linePitch="312" w:charSpace="0"/>
        </w:sectPr>
      </w:pPr>
    </w:p>
    <w:p w14:paraId="15996919">
      <w:pPr>
        <w:tabs>
          <w:tab w:val="left" w:pos="3870"/>
          <w:tab w:val="left" w:pos="4085"/>
        </w:tabs>
        <w:snapToGrid w:val="0"/>
        <w:spacing w:line="500" w:lineRule="exact"/>
        <w:jc w:val="left"/>
        <w:rPr>
          <w:rFonts w:ascii="仿宋_GB2312" w:eastAsia="仿宋_GB2312"/>
          <w:bCs/>
          <w:color w:val="auto"/>
          <w:highlight w:val="none"/>
        </w:rPr>
      </w:pPr>
      <w:r>
        <w:rPr>
          <w:rFonts w:hint="eastAsia" w:ascii="仿宋_GB2312" w:eastAsia="仿宋_GB2312"/>
          <w:b/>
          <w:bCs/>
          <w:color w:val="auto"/>
          <w:sz w:val="24"/>
          <w:highlight w:val="none"/>
        </w:rPr>
        <w:t>资格文件目录</w:t>
      </w:r>
      <w:r>
        <w:rPr>
          <w:rFonts w:hint="eastAsia" w:ascii="仿宋_GB2312" w:eastAsia="仿宋_GB2312"/>
          <w:b/>
          <w:color w:val="auto"/>
          <w:sz w:val="24"/>
          <w:highlight w:val="none"/>
        </w:rPr>
        <w:t>：</w:t>
      </w:r>
    </w:p>
    <w:p w14:paraId="3961ABF0">
      <w:pPr>
        <w:tabs>
          <w:tab w:val="left" w:pos="3870"/>
          <w:tab w:val="left" w:pos="4085"/>
        </w:tabs>
        <w:snapToGrid w:val="0"/>
        <w:spacing w:line="500" w:lineRule="exact"/>
        <w:jc w:val="center"/>
        <w:rPr>
          <w:rFonts w:ascii="仿宋_GB2312" w:eastAsia="仿宋_GB2312"/>
          <w:color w:val="auto"/>
          <w:sz w:val="44"/>
          <w:szCs w:val="44"/>
          <w:highlight w:val="none"/>
        </w:rPr>
      </w:pPr>
      <w:r>
        <w:rPr>
          <w:rFonts w:hint="eastAsia" w:ascii="仿宋_GB2312" w:eastAsia="仿宋_GB2312"/>
          <w:color w:val="auto"/>
          <w:sz w:val="44"/>
          <w:szCs w:val="44"/>
          <w:highlight w:val="none"/>
        </w:rPr>
        <w:t>目    录</w:t>
      </w:r>
    </w:p>
    <w:p w14:paraId="084A586C">
      <w:pPr>
        <w:pStyle w:val="350"/>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  （1）法定代表人身份证明书（</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64D6ACBD">
      <w:pPr>
        <w:pStyle w:val="350"/>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（2）法定代表人授权委托书（</w:t>
      </w:r>
      <w:r>
        <w:rPr>
          <w:rFonts w:hint="eastAsia" w:ascii="仿宋_GB2312" w:eastAsia="仿宋_GB2312"/>
          <w:b/>
          <w:bCs/>
          <w:color w:val="auto"/>
          <w:highlight w:val="none"/>
        </w:rPr>
        <w:t>委托代理时必须提供</w:t>
      </w:r>
      <w:r>
        <w:rPr>
          <w:rFonts w:hint="eastAsia" w:ascii="仿宋_GB2312" w:eastAsia="仿宋_GB2312"/>
          <w:color w:val="auto"/>
          <w:highlight w:val="none"/>
        </w:rPr>
        <w:t>）………………………………</w:t>
      </w:r>
    </w:p>
    <w:p w14:paraId="4E1CC1A9">
      <w:pPr>
        <w:pStyle w:val="350"/>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（3）投标人资格声明函（</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659E0C24">
      <w:pPr>
        <w:pStyle w:val="350"/>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（4）投标人有效主体资格证明（如营业执照、事业单位法人证书、执业许可证、自然人身份证等）（</w:t>
      </w:r>
      <w:r>
        <w:rPr>
          <w:rFonts w:hint="eastAsia" w:ascii="仿宋_GB2312" w:eastAsia="仿宋_GB2312"/>
          <w:b/>
          <w:bCs/>
          <w:color w:val="auto"/>
          <w:highlight w:val="none"/>
        </w:rPr>
        <w:t>必须提供</w:t>
      </w:r>
      <w:r>
        <w:rPr>
          <w:rFonts w:hint="eastAsia" w:ascii="仿宋_GB2312" w:eastAsia="仿宋_GB2312"/>
          <w:color w:val="auto"/>
          <w:highlight w:val="none"/>
        </w:rPr>
        <w:t>）……………………………………………………………</w:t>
      </w:r>
    </w:p>
    <w:bookmarkEnd w:id="85"/>
    <w:p w14:paraId="1E6A3D87">
      <w:pPr>
        <w:tabs>
          <w:tab w:val="left" w:pos="3870"/>
          <w:tab w:val="left" w:pos="4085"/>
        </w:tabs>
        <w:snapToGrid w:val="0"/>
        <w:spacing w:line="500" w:lineRule="exact"/>
        <w:ind w:firstLine="480" w:firstLineChars="200"/>
        <w:jc w:val="left"/>
        <w:rPr>
          <w:rFonts w:ascii="仿宋_GB2312" w:eastAsia="仿宋_GB2312"/>
          <w:color w:val="auto"/>
          <w:sz w:val="24"/>
          <w:highlight w:val="none"/>
        </w:rPr>
        <w:sectPr>
          <w:pgSz w:w="11906" w:h="16838"/>
          <w:pgMar w:top="1440" w:right="991" w:bottom="1440" w:left="1440" w:header="851" w:footer="992" w:gutter="0"/>
          <w:cols w:space="720" w:num="1"/>
          <w:docGrid w:linePitch="312" w:charSpace="0"/>
        </w:sectPr>
      </w:pPr>
    </w:p>
    <w:p w14:paraId="4900330F">
      <w:pPr>
        <w:pStyle w:val="74"/>
        <w:numPr>
          <w:ilvl w:val="0"/>
          <w:numId w:val="3"/>
        </w:numPr>
        <w:snapToGrid w:val="0"/>
        <w:spacing w:before="50" w:after="120" w:afterLines="50" w:line="360" w:lineRule="exact"/>
        <w:ind w:left="709" w:firstLineChars="0"/>
        <w:jc w:val="left"/>
        <w:rPr>
          <w:rFonts w:ascii="仿宋_GB2312" w:hAnsi="Courier New" w:eastAsia="仿宋_GB2312" w:cs="Courier New"/>
          <w:b/>
          <w:color w:val="auto"/>
          <w:sz w:val="24"/>
          <w:highlight w:val="none"/>
        </w:rPr>
      </w:pPr>
      <w:r>
        <w:rPr>
          <w:rFonts w:hint="eastAsia" w:ascii="仿宋_GB2312" w:hAnsi="Courier New" w:eastAsia="仿宋_GB2312" w:cs="Courier New"/>
          <w:b/>
          <w:color w:val="auto"/>
          <w:sz w:val="24"/>
          <w:highlight w:val="none"/>
        </w:rPr>
        <w:t>法定代表人身份证明书格式（必须提供）：</w:t>
      </w:r>
    </w:p>
    <w:p w14:paraId="6C356B49">
      <w:pPr>
        <w:pStyle w:val="26"/>
        <w:ind w:left="-10" w:firstLine="10" w:firstLineChars="3"/>
        <w:jc w:val="center"/>
        <w:rPr>
          <w:rFonts w:ascii="仿宋_GB2312" w:hAnsi="Times New Roman" w:eastAsia="仿宋_GB2312"/>
          <w:b/>
          <w:color w:val="auto"/>
          <w:sz w:val="32"/>
          <w:highlight w:val="none"/>
        </w:rPr>
      </w:pPr>
    </w:p>
    <w:p w14:paraId="5861C09F">
      <w:pPr>
        <w:pStyle w:val="26"/>
        <w:ind w:left="-10" w:firstLine="10" w:firstLineChars="3"/>
        <w:jc w:val="center"/>
        <w:rPr>
          <w:rFonts w:ascii="仿宋_GB2312" w:hAnsi="Times New Roman" w:eastAsia="仿宋_GB2312"/>
          <w:b/>
          <w:color w:val="auto"/>
          <w:sz w:val="32"/>
          <w:highlight w:val="none"/>
        </w:rPr>
      </w:pPr>
      <w:r>
        <w:rPr>
          <w:rFonts w:hint="eastAsia" w:ascii="仿宋_GB2312" w:hAnsi="Times New Roman" w:eastAsia="仿宋_GB2312"/>
          <w:b/>
          <w:color w:val="auto"/>
          <w:sz w:val="32"/>
          <w:highlight w:val="none"/>
        </w:rPr>
        <w:t>法定代表人身份证明书</w:t>
      </w:r>
    </w:p>
    <w:p w14:paraId="392787FA">
      <w:pPr>
        <w:pStyle w:val="26"/>
        <w:ind w:left="-10" w:firstLine="13" w:firstLineChars="3"/>
        <w:jc w:val="center"/>
        <w:rPr>
          <w:rFonts w:ascii="仿宋_GB2312" w:hAnsi="Times New Roman" w:eastAsia="仿宋_GB2312"/>
          <w:b/>
          <w:color w:val="auto"/>
          <w:sz w:val="44"/>
          <w:highlight w:val="none"/>
        </w:rPr>
      </w:pPr>
    </w:p>
    <w:p w14:paraId="3C985118">
      <w:pPr>
        <w:pStyle w:val="26"/>
        <w:spacing w:line="360" w:lineRule="exact"/>
        <w:ind w:firstLine="277"/>
        <w:rPr>
          <w:rFonts w:ascii="仿宋_GB2312" w:hAnsi="Times New Roman" w:eastAsia="仿宋_GB2312"/>
          <w:color w:val="auto"/>
          <w:highlight w:val="none"/>
          <w:u w:val="single"/>
        </w:rPr>
      </w:pPr>
      <w:r>
        <w:rPr>
          <w:rFonts w:hint="eastAsia" w:ascii="仿宋_GB2312" w:hAnsi="宋体" w:eastAsia="仿宋_GB2312"/>
          <w:color w:val="auto"/>
          <w:highlight w:val="none"/>
        </w:rPr>
        <w:t>单位名称：</w:t>
      </w:r>
      <w:r>
        <w:rPr>
          <w:rFonts w:hint="eastAsia" w:ascii="仿宋_GB2312" w:hAnsi="Times New Roman" w:eastAsia="仿宋_GB2312"/>
          <w:color w:val="auto"/>
          <w:highlight w:val="none"/>
          <w:u w:val="single"/>
        </w:rPr>
        <w:t xml:space="preserve">                         </w:t>
      </w:r>
    </w:p>
    <w:p w14:paraId="3A6BE64D">
      <w:pPr>
        <w:pStyle w:val="26"/>
        <w:spacing w:line="360" w:lineRule="exact"/>
        <w:ind w:firstLine="277"/>
        <w:rPr>
          <w:rFonts w:ascii="仿宋_GB2312" w:hAnsi="Times New Roman" w:eastAsia="仿宋_GB2312"/>
          <w:color w:val="auto"/>
          <w:highlight w:val="none"/>
        </w:rPr>
      </w:pPr>
      <w:r>
        <w:rPr>
          <w:rFonts w:hint="eastAsia" w:ascii="仿宋_GB2312" w:hAnsi="宋体" w:eastAsia="仿宋_GB2312"/>
          <w:color w:val="auto"/>
          <w:highlight w:val="none"/>
        </w:rPr>
        <w:t>单位性质：</w:t>
      </w:r>
      <w:r>
        <w:rPr>
          <w:rFonts w:hint="eastAsia" w:ascii="仿宋_GB2312" w:hAnsi="Times New Roman" w:eastAsia="仿宋_GB2312"/>
          <w:color w:val="auto"/>
          <w:highlight w:val="none"/>
          <w:u w:val="single"/>
        </w:rPr>
        <w:t xml:space="preserve">                         </w:t>
      </w:r>
    </w:p>
    <w:p w14:paraId="586EF6FB">
      <w:pPr>
        <w:pStyle w:val="26"/>
        <w:spacing w:line="360" w:lineRule="exact"/>
        <w:ind w:firstLine="277"/>
        <w:rPr>
          <w:rFonts w:ascii="仿宋_GB2312" w:hAnsi="Times New Roman" w:eastAsia="仿宋_GB2312"/>
          <w:color w:val="auto"/>
          <w:highlight w:val="none"/>
        </w:rPr>
      </w:pPr>
      <w:r>
        <w:rPr>
          <w:rFonts w:hint="eastAsia" w:ascii="仿宋_GB2312" w:hAnsi="宋体" w:eastAsia="仿宋_GB2312"/>
          <w:color w:val="auto"/>
          <w:highlight w:val="none"/>
        </w:rPr>
        <w:t>地</w:t>
      </w:r>
      <w:r>
        <w:rPr>
          <w:rFonts w:hint="eastAsia" w:ascii="仿宋_GB2312" w:hAnsi="Times New Roman" w:eastAsia="仿宋_GB2312"/>
          <w:color w:val="auto"/>
          <w:highlight w:val="none"/>
        </w:rPr>
        <w:t xml:space="preserve">    </w:t>
      </w:r>
      <w:r>
        <w:rPr>
          <w:rFonts w:hint="eastAsia" w:ascii="仿宋_GB2312" w:hAnsi="宋体" w:eastAsia="仿宋_GB2312"/>
          <w:color w:val="auto"/>
          <w:highlight w:val="none"/>
        </w:rPr>
        <w:t>址：</w:t>
      </w:r>
      <w:r>
        <w:rPr>
          <w:rFonts w:hint="eastAsia" w:ascii="仿宋_GB2312" w:hAnsi="Times New Roman" w:eastAsia="仿宋_GB2312"/>
          <w:color w:val="auto"/>
          <w:highlight w:val="none"/>
          <w:u w:val="single"/>
        </w:rPr>
        <w:t xml:space="preserve">                         </w:t>
      </w:r>
    </w:p>
    <w:p w14:paraId="3405E150">
      <w:pPr>
        <w:pStyle w:val="26"/>
        <w:spacing w:line="360" w:lineRule="exact"/>
        <w:ind w:firstLine="277"/>
        <w:rPr>
          <w:rFonts w:ascii="仿宋_GB2312" w:hAnsi="Times New Roman" w:eastAsia="仿宋_GB2312"/>
          <w:color w:val="auto"/>
          <w:highlight w:val="none"/>
        </w:rPr>
      </w:pPr>
      <w:r>
        <w:rPr>
          <w:rFonts w:hint="eastAsia" w:ascii="仿宋_GB2312" w:hAnsi="宋体" w:eastAsia="仿宋_GB2312"/>
          <w:color w:val="auto"/>
          <w:highlight w:val="none"/>
        </w:rPr>
        <w:t>成立时间：</w:t>
      </w:r>
      <w:r>
        <w:rPr>
          <w:rFonts w:hint="eastAsia" w:ascii="仿宋_GB2312" w:hAnsi="Times New Roman" w:eastAsia="仿宋_GB2312"/>
          <w:color w:val="auto"/>
          <w:highlight w:val="none"/>
          <w:u w:val="single"/>
        </w:rPr>
        <w:t xml:space="preserve">              </w:t>
      </w:r>
      <w:r>
        <w:rPr>
          <w:rFonts w:hint="eastAsia" w:ascii="仿宋_GB2312" w:hAnsi="宋体" w:eastAsia="仿宋_GB2312"/>
          <w:color w:val="auto"/>
          <w:highlight w:val="none"/>
        </w:rPr>
        <w:t>年</w:t>
      </w:r>
      <w:r>
        <w:rPr>
          <w:rFonts w:hint="eastAsia" w:ascii="仿宋_GB2312" w:hAnsi="Times New Roman" w:eastAsia="仿宋_GB2312"/>
          <w:color w:val="auto"/>
          <w:highlight w:val="none"/>
          <w:u w:val="single"/>
        </w:rPr>
        <w:t xml:space="preserve">   </w:t>
      </w:r>
      <w:r>
        <w:rPr>
          <w:rFonts w:hint="eastAsia" w:ascii="仿宋_GB2312" w:hAnsi="宋体" w:eastAsia="仿宋_GB2312"/>
          <w:color w:val="auto"/>
          <w:highlight w:val="none"/>
        </w:rPr>
        <w:t>月</w:t>
      </w:r>
      <w:r>
        <w:rPr>
          <w:rFonts w:hint="eastAsia" w:ascii="仿宋_GB2312" w:hAnsi="Times New Roman" w:eastAsia="仿宋_GB2312"/>
          <w:color w:val="auto"/>
          <w:highlight w:val="none"/>
          <w:u w:val="single"/>
        </w:rPr>
        <w:t xml:space="preserve">   </w:t>
      </w:r>
      <w:r>
        <w:rPr>
          <w:rFonts w:hint="eastAsia" w:ascii="仿宋_GB2312" w:hAnsi="宋体" w:eastAsia="仿宋_GB2312"/>
          <w:color w:val="auto"/>
          <w:highlight w:val="none"/>
        </w:rPr>
        <w:t>日</w:t>
      </w:r>
    </w:p>
    <w:p w14:paraId="60A183A4">
      <w:pPr>
        <w:pStyle w:val="26"/>
        <w:spacing w:line="360" w:lineRule="exact"/>
        <w:ind w:firstLine="277"/>
        <w:rPr>
          <w:rFonts w:ascii="仿宋_GB2312" w:hAnsi="Times New Roman" w:eastAsia="仿宋_GB2312"/>
          <w:color w:val="auto"/>
          <w:highlight w:val="none"/>
          <w:u w:val="single"/>
        </w:rPr>
      </w:pPr>
      <w:r>
        <w:rPr>
          <w:rFonts w:hint="eastAsia" w:ascii="仿宋_GB2312" w:hAnsi="宋体" w:eastAsia="仿宋_GB2312"/>
          <w:color w:val="auto"/>
          <w:highlight w:val="none"/>
        </w:rPr>
        <w:t>经营期限：</w:t>
      </w:r>
      <w:r>
        <w:rPr>
          <w:rFonts w:hint="eastAsia" w:ascii="仿宋_GB2312" w:hAnsi="Times New Roman" w:eastAsia="仿宋_GB2312"/>
          <w:color w:val="auto"/>
          <w:highlight w:val="none"/>
          <w:u w:val="single"/>
        </w:rPr>
        <w:t xml:space="preserve">                          </w:t>
      </w:r>
    </w:p>
    <w:p w14:paraId="2F4412A8">
      <w:pPr>
        <w:pStyle w:val="26"/>
        <w:spacing w:line="360" w:lineRule="exact"/>
        <w:ind w:firstLine="277"/>
        <w:rPr>
          <w:rFonts w:ascii="仿宋_GB2312" w:hAnsi="Times New Roman" w:eastAsia="仿宋_GB2312"/>
          <w:color w:val="auto"/>
          <w:highlight w:val="none"/>
        </w:rPr>
      </w:pPr>
      <w:r>
        <w:rPr>
          <w:rFonts w:hint="eastAsia" w:ascii="仿宋_GB2312" w:hAnsi="宋体" w:eastAsia="仿宋_GB2312"/>
          <w:color w:val="auto"/>
          <w:highlight w:val="none"/>
        </w:rPr>
        <w:t>姓名：</w:t>
      </w:r>
      <w:r>
        <w:rPr>
          <w:rFonts w:hint="eastAsia" w:ascii="仿宋_GB2312" w:hAnsi="Times New Roman" w:eastAsia="仿宋_GB2312"/>
          <w:color w:val="auto"/>
          <w:highlight w:val="none"/>
          <w:u w:val="single"/>
        </w:rPr>
        <w:t xml:space="preserve">       </w:t>
      </w:r>
      <w:r>
        <w:rPr>
          <w:rFonts w:hint="eastAsia" w:ascii="仿宋_GB2312" w:hAnsi="宋体" w:eastAsia="仿宋_GB2312"/>
          <w:color w:val="auto"/>
          <w:highlight w:val="none"/>
        </w:rPr>
        <w:t>性别：</w:t>
      </w:r>
      <w:r>
        <w:rPr>
          <w:rFonts w:hint="eastAsia" w:ascii="仿宋_GB2312" w:hAnsi="Times New Roman" w:eastAsia="仿宋_GB2312"/>
          <w:color w:val="auto"/>
          <w:highlight w:val="none"/>
          <w:u w:val="single"/>
        </w:rPr>
        <w:t xml:space="preserve">   </w:t>
      </w:r>
      <w:r>
        <w:rPr>
          <w:rFonts w:hint="eastAsia" w:ascii="仿宋_GB2312" w:hAnsi="宋体" w:eastAsia="仿宋_GB2312"/>
          <w:color w:val="auto"/>
          <w:highlight w:val="none"/>
        </w:rPr>
        <w:t>年龄：</w:t>
      </w:r>
      <w:r>
        <w:rPr>
          <w:rFonts w:hint="eastAsia" w:ascii="仿宋_GB2312" w:hAnsi="Times New Roman" w:eastAsia="仿宋_GB2312"/>
          <w:color w:val="auto"/>
          <w:highlight w:val="none"/>
          <w:u w:val="single"/>
        </w:rPr>
        <w:t xml:space="preserve">     </w:t>
      </w:r>
      <w:r>
        <w:rPr>
          <w:rFonts w:hint="eastAsia" w:ascii="仿宋_GB2312" w:hAnsi="宋体" w:eastAsia="仿宋_GB2312"/>
          <w:color w:val="auto"/>
          <w:highlight w:val="none"/>
        </w:rPr>
        <w:t>职务：</w:t>
      </w:r>
      <w:r>
        <w:rPr>
          <w:rFonts w:hint="eastAsia" w:ascii="仿宋_GB2312" w:hAnsi="Times New Roman" w:eastAsia="仿宋_GB2312"/>
          <w:color w:val="auto"/>
          <w:highlight w:val="none"/>
          <w:u w:val="single"/>
        </w:rPr>
        <w:t xml:space="preserve">       </w:t>
      </w:r>
    </w:p>
    <w:p w14:paraId="618C75F8">
      <w:pPr>
        <w:pStyle w:val="26"/>
        <w:spacing w:line="360" w:lineRule="exact"/>
        <w:ind w:firstLine="277"/>
        <w:rPr>
          <w:rFonts w:ascii="仿宋_GB2312" w:hAnsi="Times New Roman" w:eastAsia="仿宋_GB2312"/>
          <w:color w:val="auto"/>
          <w:highlight w:val="none"/>
        </w:rPr>
      </w:pPr>
      <w:r>
        <w:rPr>
          <w:rFonts w:hint="eastAsia" w:ascii="仿宋_GB2312" w:hAnsi="宋体" w:eastAsia="仿宋_GB2312"/>
          <w:color w:val="auto"/>
          <w:highlight w:val="none"/>
        </w:rPr>
        <w:t>系</w:t>
      </w:r>
      <w:r>
        <w:rPr>
          <w:rFonts w:hint="eastAsia" w:ascii="仿宋_GB2312" w:hAnsi="Times New Roman" w:eastAsia="仿宋_GB2312"/>
          <w:color w:val="auto"/>
          <w:highlight w:val="none"/>
          <w:u w:val="single"/>
        </w:rPr>
        <w:t xml:space="preserve">     </w:t>
      </w:r>
      <w:r>
        <w:rPr>
          <w:rFonts w:hint="eastAsia" w:ascii="仿宋_GB2312" w:hAnsi="宋体" w:eastAsia="仿宋_GB2312"/>
          <w:color w:val="auto"/>
          <w:highlight w:val="none"/>
          <w:u w:val="single"/>
        </w:rPr>
        <w:t>（投标人名称）</w:t>
      </w:r>
      <w:r>
        <w:rPr>
          <w:rFonts w:hint="eastAsia" w:ascii="仿宋_GB2312" w:hAnsi="Times New Roman" w:eastAsia="仿宋_GB2312"/>
          <w:color w:val="auto"/>
          <w:highlight w:val="none"/>
          <w:u w:val="single"/>
        </w:rPr>
        <w:t xml:space="preserve">  </w:t>
      </w:r>
      <w:r>
        <w:rPr>
          <w:rFonts w:hint="eastAsia" w:ascii="仿宋_GB2312" w:hAnsi="宋体" w:eastAsia="仿宋_GB2312"/>
          <w:color w:val="auto"/>
          <w:highlight w:val="none"/>
        </w:rPr>
        <w:t>的法定代表人。</w:t>
      </w:r>
    </w:p>
    <w:p w14:paraId="64969B1C">
      <w:pPr>
        <w:pStyle w:val="26"/>
        <w:spacing w:line="360" w:lineRule="exact"/>
        <w:ind w:firstLine="277"/>
        <w:rPr>
          <w:rFonts w:ascii="仿宋_GB2312" w:hAnsi="Times New Roman" w:eastAsia="仿宋_GB2312"/>
          <w:color w:val="auto"/>
          <w:highlight w:val="none"/>
        </w:rPr>
      </w:pPr>
      <w:r>
        <w:rPr>
          <w:rFonts w:hint="eastAsia" w:ascii="仿宋_GB2312" w:hAnsi="宋体" w:eastAsia="仿宋_GB2312"/>
          <w:color w:val="auto"/>
          <w:highlight w:val="none"/>
        </w:rPr>
        <w:t>特此证明。</w:t>
      </w:r>
    </w:p>
    <w:p w14:paraId="00C97038">
      <w:pPr>
        <w:pStyle w:val="26"/>
        <w:spacing w:line="360" w:lineRule="exact"/>
        <w:ind w:right="420" w:firstLine="5565" w:firstLineChars="2650"/>
        <w:rPr>
          <w:rFonts w:ascii="仿宋_GB2312" w:hAnsi="Times New Roman" w:eastAsia="仿宋_GB2312"/>
          <w:color w:val="auto"/>
          <w:highlight w:val="none"/>
        </w:rPr>
      </w:pPr>
      <w:r>
        <w:rPr>
          <w:rFonts w:hint="eastAsia" w:ascii="仿宋_GB2312" w:hAnsi="Times New Roman" w:eastAsia="仿宋_GB2312"/>
          <w:color w:val="auto"/>
          <w:highlight w:val="none"/>
        </w:rPr>
        <w:t>投标人（</w:t>
      </w:r>
      <w:r>
        <w:rPr>
          <w:rFonts w:hint="eastAsia" w:ascii="仿宋_GB2312" w:hAnsi="Times New Roman" w:eastAsia="仿宋_GB2312"/>
          <w:b/>
          <w:bCs/>
          <w:color w:val="auto"/>
          <w:highlight w:val="none"/>
        </w:rPr>
        <w:t>CA电子签章</w:t>
      </w:r>
      <w:r>
        <w:rPr>
          <w:rFonts w:hint="eastAsia" w:ascii="仿宋_GB2312" w:hAnsi="Times New Roman" w:eastAsia="仿宋_GB2312"/>
          <w:color w:val="auto"/>
          <w:highlight w:val="none"/>
        </w:rPr>
        <w:t>）：</w:t>
      </w:r>
      <w:r>
        <w:rPr>
          <w:rFonts w:hint="eastAsia" w:ascii="仿宋_GB2312" w:hAnsi="Times New Roman" w:eastAsia="仿宋_GB2312"/>
          <w:color w:val="auto"/>
          <w:highlight w:val="none"/>
          <w:u w:val="single"/>
        </w:rPr>
        <w:t xml:space="preserve">     </w:t>
      </w:r>
      <w:r>
        <w:rPr>
          <w:rFonts w:ascii="仿宋_GB2312" w:hAnsi="Times New Roman" w:eastAsia="仿宋_GB2312"/>
          <w:color w:val="auto"/>
          <w:highlight w:val="none"/>
          <w:u w:val="single"/>
        </w:rPr>
        <w:t xml:space="preserve">     </w:t>
      </w:r>
    </w:p>
    <w:p w14:paraId="4AE2CF2A">
      <w:pPr>
        <w:pStyle w:val="26"/>
        <w:spacing w:line="360" w:lineRule="exact"/>
        <w:ind w:firstLine="420"/>
        <w:jc w:val="center"/>
        <w:rPr>
          <w:rFonts w:ascii="仿宋_GB2312" w:hAnsi="Times New Roman" w:eastAsia="仿宋_GB2312"/>
          <w:color w:val="auto"/>
          <w:highlight w:val="none"/>
        </w:rPr>
      </w:pPr>
      <w:r>
        <w:rPr>
          <w:rFonts w:hint="eastAsia" w:ascii="仿宋_GB2312" w:hAnsi="Times New Roman" w:eastAsia="仿宋_GB2312"/>
          <w:color w:val="auto"/>
          <w:highlight w:val="none"/>
        </w:rPr>
        <w:t xml:space="preserve">                                                 </w:t>
      </w:r>
      <w:r>
        <w:rPr>
          <w:rFonts w:hint="eastAsia" w:ascii="仿宋_GB2312" w:hAnsi="宋体" w:eastAsia="仿宋_GB2312"/>
          <w:color w:val="auto"/>
          <w:highlight w:val="none"/>
        </w:rPr>
        <w:t>日期：       年   月   日</w:t>
      </w:r>
    </w:p>
    <w:p w14:paraId="7A324849">
      <w:pPr>
        <w:pStyle w:val="26"/>
        <w:spacing w:line="360" w:lineRule="exact"/>
        <w:rPr>
          <w:rFonts w:ascii="仿宋_GB2312" w:hAnsi="Times New Roman" w:eastAsia="仿宋_GB2312"/>
          <w:color w:val="auto"/>
          <w:highlight w:val="none"/>
        </w:rPr>
      </w:pPr>
      <w:r>
        <w:rPr>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color w:val="auto"/>
          <w:highlight w:val="none"/>
        </w:rPr>
        <w:t xml:space="preserve">                                                                                                                                                                                        </w:t>
      </w:r>
    </w:p>
    <w:p w14:paraId="760C0F81">
      <w:pPr>
        <w:pStyle w:val="26"/>
        <w:spacing w:line="480" w:lineRule="exact"/>
        <w:rPr>
          <w:rFonts w:ascii="仿宋_GB2312" w:hAnsi="Times New Roman" w:eastAsia="仿宋_GB2312"/>
          <w:color w:val="auto"/>
          <w:highlight w:val="none"/>
        </w:rPr>
      </w:pPr>
      <w:r>
        <w:rPr>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14:paraId="3A93AE9F">
                            <w:pPr>
                              <w:jc w:val="left"/>
                              <w:rPr>
                                <w:rFonts w:hint="eastAsia" w:ascii="仿宋_GB2312" w:hAnsi="仿宋_GB2312" w:eastAsia="仿宋_GB2312" w:cs="仿宋_GB2312"/>
                              </w:rPr>
                            </w:pPr>
                          </w:p>
                          <w:p w14:paraId="4E9EE267">
                            <w:pPr>
                              <w:jc w:val="left"/>
                              <w:rPr>
                                <w:rFonts w:hint="eastAsia" w:ascii="仿宋_GB2312" w:hAnsi="仿宋_GB2312" w:eastAsia="仿宋_GB2312" w:cs="仿宋_GB2312"/>
                              </w:rPr>
                            </w:pPr>
                          </w:p>
                          <w:p w14:paraId="40605EB0">
                            <w:pPr>
                              <w:jc w:val="left"/>
                              <w:rPr>
                                <w:rFonts w:hint="eastAsia" w:ascii="仿宋_GB2312" w:hAnsi="仿宋_GB2312" w:eastAsia="仿宋_GB2312" w:cs="仿宋_GB2312"/>
                              </w:rPr>
                            </w:pPr>
                          </w:p>
                          <w:p w14:paraId="4C1D5489">
                            <w:pPr>
                              <w:jc w:val="left"/>
                              <w:rPr>
                                <w:rFonts w:hint="eastAsia" w:ascii="仿宋_GB2312" w:hAnsi="仿宋_GB2312" w:eastAsia="仿宋_GB2312" w:cs="仿宋_GB2312"/>
                              </w:rPr>
                            </w:pPr>
                          </w:p>
                          <w:p w14:paraId="1C40FA5E">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3D19F86">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BE19413"/>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14:paraId="3A93AE9F">
                      <w:pPr>
                        <w:jc w:val="left"/>
                        <w:rPr>
                          <w:rFonts w:hint="eastAsia" w:ascii="仿宋_GB2312" w:hAnsi="仿宋_GB2312" w:eastAsia="仿宋_GB2312" w:cs="仿宋_GB2312"/>
                        </w:rPr>
                      </w:pPr>
                    </w:p>
                    <w:p w14:paraId="4E9EE267">
                      <w:pPr>
                        <w:jc w:val="left"/>
                        <w:rPr>
                          <w:rFonts w:hint="eastAsia" w:ascii="仿宋_GB2312" w:hAnsi="仿宋_GB2312" w:eastAsia="仿宋_GB2312" w:cs="仿宋_GB2312"/>
                        </w:rPr>
                      </w:pPr>
                    </w:p>
                    <w:p w14:paraId="40605EB0">
                      <w:pPr>
                        <w:jc w:val="left"/>
                        <w:rPr>
                          <w:rFonts w:hint="eastAsia" w:ascii="仿宋_GB2312" w:hAnsi="仿宋_GB2312" w:eastAsia="仿宋_GB2312" w:cs="仿宋_GB2312"/>
                        </w:rPr>
                      </w:pPr>
                    </w:p>
                    <w:p w14:paraId="4C1D5489">
                      <w:pPr>
                        <w:jc w:val="left"/>
                        <w:rPr>
                          <w:rFonts w:hint="eastAsia" w:ascii="仿宋_GB2312" w:hAnsi="仿宋_GB2312" w:eastAsia="仿宋_GB2312" w:cs="仿宋_GB2312"/>
                        </w:rPr>
                      </w:pPr>
                    </w:p>
                    <w:p w14:paraId="1C40FA5E">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3D19F86">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BE19413"/>
                  </w:txbxContent>
                </v:textbox>
              </v:rect>
            </w:pict>
          </mc:Fallback>
        </mc:AlternateContent>
      </w:r>
    </w:p>
    <w:p w14:paraId="47BBB2C9">
      <w:pPr>
        <w:pStyle w:val="26"/>
        <w:spacing w:line="480" w:lineRule="exact"/>
        <w:rPr>
          <w:rFonts w:ascii="仿宋_GB2312" w:hAnsi="Times New Roman" w:eastAsia="仿宋_GB2312"/>
          <w:color w:val="auto"/>
          <w:highlight w:val="none"/>
        </w:rPr>
      </w:pPr>
    </w:p>
    <w:p w14:paraId="06C6AAA8">
      <w:pPr>
        <w:pStyle w:val="26"/>
        <w:spacing w:line="480" w:lineRule="exact"/>
        <w:rPr>
          <w:rFonts w:ascii="仿宋_GB2312" w:hAnsi="Times New Roman" w:eastAsia="仿宋_GB2312"/>
          <w:color w:val="auto"/>
          <w:highlight w:val="none"/>
        </w:rPr>
      </w:pPr>
    </w:p>
    <w:p w14:paraId="0E8D9626">
      <w:pPr>
        <w:pStyle w:val="26"/>
        <w:spacing w:line="480" w:lineRule="exact"/>
        <w:rPr>
          <w:rFonts w:ascii="仿宋_GB2312" w:hAnsi="Times New Roman" w:eastAsia="仿宋_GB2312"/>
          <w:color w:val="auto"/>
          <w:highlight w:val="none"/>
        </w:rPr>
      </w:pPr>
    </w:p>
    <w:p w14:paraId="68C5DC3C">
      <w:pPr>
        <w:pStyle w:val="26"/>
        <w:spacing w:line="480" w:lineRule="exact"/>
        <w:rPr>
          <w:rFonts w:ascii="仿宋_GB2312" w:hAnsi="Times New Roman" w:eastAsia="仿宋_GB2312"/>
          <w:color w:val="auto"/>
          <w:highlight w:val="none"/>
        </w:rPr>
      </w:pPr>
    </w:p>
    <w:p w14:paraId="099EDEFD">
      <w:pPr>
        <w:pStyle w:val="26"/>
        <w:spacing w:line="240" w:lineRule="atLeast"/>
        <w:ind w:firstLine="6300" w:firstLineChars="3000"/>
        <w:rPr>
          <w:rFonts w:ascii="仿宋_GB2312" w:hAnsi="Times New Roman" w:eastAsia="仿宋_GB2312"/>
          <w:color w:val="auto"/>
          <w:highlight w:val="none"/>
        </w:rPr>
      </w:pPr>
    </w:p>
    <w:p w14:paraId="2EDD46AF">
      <w:pPr>
        <w:pStyle w:val="26"/>
        <w:spacing w:line="480" w:lineRule="exact"/>
        <w:rPr>
          <w:rFonts w:ascii="仿宋_GB2312" w:hAnsi="Times New Roman" w:eastAsia="仿宋_GB2312"/>
          <w:color w:val="auto"/>
          <w:highlight w:val="none"/>
        </w:rPr>
      </w:pPr>
    </w:p>
    <w:p w14:paraId="79ED78F1">
      <w:pPr>
        <w:pStyle w:val="26"/>
        <w:spacing w:line="240" w:lineRule="exact"/>
        <w:rPr>
          <w:rFonts w:ascii="仿宋_GB2312" w:hAnsi="Times New Roman" w:eastAsia="仿宋_GB2312"/>
          <w:color w:val="auto"/>
          <w:highlight w:val="none"/>
        </w:rPr>
      </w:pPr>
    </w:p>
    <w:p w14:paraId="5CDBAD87">
      <w:pPr>
        <w:pStyle w:val="26"/>
        <w:spacing w:line="240" w:lineRule="exact"/>
        <w:rPr>
          <w:rFonts w:ascii="仿宋_GB2312" w:hAnsi="Times New Roman" w:eastAsia="仿宋_GB2312"/>
          <w:color w:val="auto"/>
          <w:highlight w:val="none"/>
        </w:rPr>
      </w:pPr>
      <w:r>
        <w:rPr>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14:paraId="1B3A9046">
                            <w:pPr>
                              <w:jc w:val="left"/>
                              <w:rPr>
                                <w:rFonts w:hint="eastAsia" w:ascii="仿宋_GB2312" w:hAnsi="仿宋_GB2312" w:eastAsia="仿宋_GB2312" w:cs="仿宋_GB2312"/>
                              </w:rPr>
                            </w:pPr>
                          </w:p>
                          <w:p w14:paraId="30BD7B83">
                            <w:pPr>
                              <w:jc w:val="left"/>
                              <w:rPr>
                                <w:rFonts w:hint="eastAsia" w:ascii="仿宋_GB2312" w:hAnsi="仿宋_GB2312" w:eastAsia="仿宋_GB2312" w:cs="仿宋_GB2312"/>
                              </w:rPr>
                            </w:pPr>
                          </w:p>
                          <w:p w14:paraId="70381F43">
                            <w:pPr>
                              <w:jc w:val="left"/>
                              <w:rPr>
                                <w:rFonts w:hint="eastAsia" w:ascii="仿宋_GB2312" w:hAnsi="仿宋_GB2312" w:eastAsia="仿宋_GB2312" w:cs="仿宋_GB2312"/>
                              </w:rPr>
                            </w:pPr>
                          </w:p>
                          <w:p w14:paraId="341442E7">
                            <w:pPr>
                              <w:jc w:val="left"/>
                              <w:rPr>
                                <w:rFonts w:hint="eastAsia" w:ascii="仿宋_GB2312" w:hAnsi="仿宋_GB2312" w:eastAsia="仿宋_GB2312" w:cs="仿宋_GB2312"/>
                              </w:rPr>
                            </w:pPr>
                          </w:p>
                          <w:p w14:paraId="0857719C">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1DAE3169">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3EAA446A"/>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14:paraId="1B3A9046">
                      <w:pPr>
                        <w:jc w:val="left"/>
                        <w:rPr>
                          <w:rFonts w:hint="eastAsia" w:ascii="仿宋_GB2312" w:hAnsi="仿宋_GB2312" w:eastAsia="仿宋_GB2312" w:cs="仿宋_GB2312"/>
                        </w:rPr>
                      </w:pPr>
                    </w:p>
                    <w:p w14:paraId="30BD7B83">
                      <w:pPr>
                        <w:jc w:val="left"/>
                        <w:rPr>
                          <w:rFonts w:hint="eastAsia" w:ascii="仿宋_GB2312" w:hAnsi="仿宋_GB2312" w:eastAsia="仿宋_GB2312" w:cs="仿宋_GB2312"/>
                        </w:rPr>
                      </w:pPr>
                    </w:p>
                    <w:p w14:paraId="70381F43">
                      <w:pPr>
                        <w:jc w:val="left"/>
                        <w:rPr>
                          <w:rFonts w:hint="eastAsia" w:ascii="仿宋_GB2312" w:hAnsi="仿宋_GB2312" w:eastAsia="仿宋_GB2312" w:cs="仿宋_GB2312"/>
                        </w:rPr>
                      </w:pPr>
                    </w:p>
                    <w:p w14:paraId="341442E7">
                      <w:pPr>
                        <w:jc w:val="left"/>
                        <w:rPr>
                          <w:rFonts w:hint="eastAsia" w:ascii="仿宋_GB2312" w:hAnsi="仿宋_GB2312" w:eastAsia="仿宋_GB2312" w:cs="仿宋_GB2312"/>
                        </w:rPr>
                      </w:pPr>
                    </w:p>
                    <w:p w14:paraId="0857719C">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1DAE3169">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3EAA446A"/>
                  </w:txbxContent>
                </v:textbox>
              </v:rect>
            </w:pict>
          </mc:Fallback>
        </mc:AlternateContent>
      </w:r>
    </w:p>
    <w:p w14:paraId="729D0BA0">
      <w:pPr>
        <w:pStyle w:val="26"/>
        <w:spacing w:line="240" w:lineRule="exact"/>
        <w:rPr>
          <w:rFonts w:ascii="仿宋_GB2312" w:hAnsi="Times New Roman" w:eastAsia="仿宋_GB2312"/>
          <w:color w:val="auto"/>
          <w:highlight w:val="none"/>
        </w:rPr>
      </w:pPr>
    </w:p>
    <w:p w14:paraId="0DD3F56F">
      <w:pPr>
        <w:pStyle w:val="26"/>
        <w:spacing w:line="240" w:lineRule="exact"/>
        <w:rPr>
          <w:rFonts w:ascii="仿宋_GB2312" w:hAnsi="Times New Roman" w:eastAsia="仿宋_GB2312"/>
          <w:color w:val="auto"/>
          <w:sz w:val="44"/>
          <w:highlight w:val="none"/>
        </w:rPr>
      </w:pPr>
    </w:p>
    <w:p w14:paraId="177B63FD">
      <w:pPr>
        <w:pStyle w:val="26"/>
        <w:spacing w:line="240" w:lineRule="exact"/>
        <w:rPr>
          <w:rFonts w:ascii="仿宋_GB2312" w:hAnsi="Times New Roman" w:eastAsia="仿宋_GB2312"/>
          <w:color w:val="auto"/>
          <w:sz w:val="44"/>
          <w:highlight w:val="none"/>
        </w:rPr>
      </w:pPr>
    </w:p>
    <w:p w14:paraId="73B7B161">
      <w:pPr>
        <w:pStyle w:val="26"/>
        <w:spacing w:line="240" w:lineRule="exact"/>
        <w:rPr>
          <w:rFonts w:ascii="仿宋_GB2312" w:hAnsi="Times New Roman" w:eastAsia="仿宋_GB2312"/>
          <w:color w:val="auto"/>
          <w:sz w:val="44"/>
          <w:highlight w:val="none"/>
        </w:rPr>
      </w:pPr>
    </w:p>
    <w:p w14:paraId="691CD996">
      <w:pPr>
        <w:pStyle w:val="26"/>
        <w:spacing w:line="240" w:lineRule="exact"/>
        <w:rPr>
          <w:rFonts w:ascii="仿宋_GB2312" w:hAnsi="Times New Roman" w:eastAsia="仿宋_GB2312"/>
          <w:color w:val="auto"/>
          <w:sz w:val="44"/>
          <w:highlight w:val="none"/>
        </w:rPr>
      </w:pPr>
    </w:p>
    <w:p w14:paraId="12D4395E">
      <w:pPr>
        <w:jc w:val="center"/>
        <w:rPr>
          <w:rFonts w:ascii="仿宋_GB2312" w:eastAsia="仿宋_GB2312"/>
          <w:color w:val="auto"/>
          <w:highlight w:val="none"/>
        </w:rPr>
      </w:pPr>
    </w:p>
    <w:p w14:paraId="72A997DF">
      <w:pPr>
        <w:jc w:val="center"/>
        <w:rPr>
          <w:rFonts w:ascii="仿宋_GB2312" w:eastAsia="仿宋_GB2312"/>
          <w:color w:val="auto"/>
          <w:highlight w:val="none"/>
        </w:rPr>
      </w:pPr>
      <w:r>
        <w:rPr>
          <w:rFonts w:hint="eastAsia" w:ascii="仿宋_GB2312" w:eastAsia="仿宋_GB2312"/>
          <w:color w:val="auto"/>
          <w:highlight w:val="none"/>
        </w:rPr>
        <w:t xml:space="preserve">      </w:t>
      </w:r>
    </w:p>
    <w:p w14:paraId="6F344636">
      <w:pPr>
        <w:jc w:val="center"/>
        <w:rPr>
          <w:rFonts w:ascii="仿宋_GB2312" w:eastAsia="仿宋_GB2312"/>
          <w:color w:val="auto"/>
          <w:highlight w:val="none"/>
          <w:u w:val="single"/>
        </w:rPr>
      </w:pPr>
      <w:r>
        <w:rPr>
          <w:rFonts w:hint="eastAsia" w:ascii="仿宋_GB2312" w:eastAsia="仿宋_GB2312"/>
          <w:color w:val="auto"/>
          <w:highlight w:val="none"/>
        </w:rPr>
        <w:t xml:space="preserve">        </w:t>
      </w:r>
    </w:p>
    <w:p w14:paraId="43767DBA">
      <w:pPr>
        <w:pStyle w:val="26"/>
        <w:spacing w:line="240" w:lineRule="exact"/>
        <w:rPr>
          <w:rFonts w:ascii="仿宋_GB2312" w:hAnsi="Times New Roman" w:eastAsia="仿宋_GB2312"/>
          <w:color w:val="auto"/>
          <w:sz w:val="44"/>
          <w:highlight w:val="none"/>
        </w:rPr>
      </w:pPr>
    </w:p>
    <w:p w14:paraId="33C22901">
      <w:pPr>
        <w:pStyle w:val="26"/>
        <w:spacing w:line="240" w:lineRule="atLeast"/>
        <w:ind w:firstLine="6615" w:firstLineChars="3150"/>
        <w:rPr>
          <w:rFonts w:ascii="仿宋_GB2312" w:hAnsi="Times New Roman" w:eastAsia="仿宋_GB2312"/>
          <w:color w:val="auto"/>
          <w:highlight w:val="none"/>
        </w:rPr>
      </w:pPr>
    </w:p>
    <w:p w14:paraId="6079A499">
      <w:pPr>
        <w:pStyle w:val="26"/>
        <w:spacing w:line="240" w:lineRule="atLeast"/>
        <w:ind w:firstLine="6615" w:firstLineChars="3150"/>
        <w:rPr>
          <w:rFonts w:ascii="仿宋_GB2312" w:hAnsi="Times New Roman" w:eastAsia="仿宋_GB2312"/>
          <w:color w:val="auto"/>
          <w:highlight w:val="none"/>
        </w:rPr>
      </w:pPr>
    </w:p>
    <w:p w14:paraId="6E347CB1">
      <w:pPr>
        <w:pStyle w:val="26"/>
        <w:spacing w:line="240" w:lineRule="atLeast"/>
        <w:rPr>
          <w:rFonts w:ascii="仿宋_GB2312" w:hAnsi="Times New Roman" w:eastAsia="仿宋_GB2312"/>
          <w:color w:val="auto"/>
          <w:highlight w:val="none"/>
        </w:rPr>
      </w:pPr>
    </w:p>
    <w:p w14:paraId="48AC44AB">
      <w:pPr>
        <w:pStyle w:val="26"/>
        <w:spacing w:line="360" w:lineRule="exact"/>
        <w:ind w:firstLine="5460" w:firstLineChars="2600"/>
        <w:rPr>
          <w:rFonts w:ascii="Times New Roman" w:hAnsi="Times New Roman"/>
          <w:color w:val="auto"/>
          <w:highlight w:val="none"/>
          <w:u w:val="single"/>
        </w:rPr>
      </w:pPr>
      <w:r>
        <w:rPr>
          <w:rFonts w:hint="eastAsia" w:ascii="仿宋_GB2312" w:hAnsi="Times New Roman" w:eastAsia="仿宋_GB2312"/>
          <w:color w:val="auto"/>
          <w:highlight w:val="none"/>
        </w:rPr>
        <w:t>法定代表人</w:t>
      </w:r>
      <w:r>
        <w:rPr>
          <w:rFonts w:hint="eastAsia" w:ascii="仿宋_GB2312" w:eastAsia="仿宋_GB2312"/>
          <w:b/>
          <w:bCs/>
          <w:color w:val="auto"/>
          <w:highlight w:val="none"/>
        </w:rPr>
        <w:t>（签字）</w:t>
      </w:r>
      <w:r>
        <w:rPr>
          <w:rFonts w:hint="eastAsia" w:ascii="仿宋_GB2312" w:hAnsi="Times New Roman" w:eastAsia="仿宋_GB2312"/>
          <w:b/>
          <w:bCs/>
          <w:color w:val="auto"/>
          <w:highlight w:val="none"/>
        </w:rPr>
        <w:t>：</w:t>
      </w:r>
      <w:r>
        <w:rPr>
          <w:rFonts w:hint="eastAsia" w:ascii="仿宋_GB2312" w:hAnsi="Times New Roman" w:eastAsia="仿宋_GB2312"/>
          <w:color w:val="auto"/>
          <w:highlight w:val="none"/>
          <w:u w:val="single"/>
        </w:rPr>
        <w:t xml:space="preserve">      </w:t>
      </w:r>
      <w:r>
        <w:rPr>
          <w:rFonts w:ascii="Times New Roman" w:hAnsi="Times New Roman"/>
          <w:color w:val="auto"/>
          <w:highlight w:val="none"/>
          <w:u w:val="single"/>
        </w:rPr>
        <w:t xml:space="preserve">      </w:t>
      </w:r>
    </w:p>
    <w:p w14:paraId="13D33E4C">
      <w:pPr>
        <w:pStyle w:val="26"/>
        <w:spacing w:line="360" w:lineRule="exact"/>
        <w:rPr>
          <w:rFonts w:ascii="仿宋_GB2312" w:eastAsia="仿宋_GB2312"/>
          <w:b/>
          <w:color w:val="auto"/>
          <w:sz w:val="24"/>
          <w:highlight w:val="none"/>
        </w:rPr>
      </w:pPr>
    </w:p>
    <w:p w14:paraId="18AD5769">
      <w:pPr>
        <w:pStyle w:val="26"/>
        <w:spacing w:line="360" w:lineRule="exact"/>
        <w:ind w:firstLine="482" w:firstLineChars="200"/>
        <w:rPr>
          <w:rFonts w:ascii="Times New Roman" w:hAnsi="Times New Roman"/>
          <w:color w:val="auto"/>
          <w:highlight w:val="none"/>
        </w:rPr>
      </w:pPr>
      <w:r>
        <w:rPr>
          <w:rFonts w:hint="eastAsia" w:ascii="仿宋_GB2312" w:eastAsia="仿宋_GB2312"/>
          <w:b/>
          <w:color w:val="auto"/>
          <w:sz w:val="24"/>
          <w:highlight w:val="none"/>
        </w:rPr>
        <w:t>注：此项材料必须</w:t>
      </w:r>
      <w:r>
        <w:rPr>
          <w:rFonts w:hint="eastAsia" w:ascii="仿宋_GB2312" w:hAnsi="宋体" w:eastAsia="仿宋_GB2312"/>
          <w:b/>
          <w:bCs/>
          <w:color w:val="auto"/>
          <w:sz w:val="24"/>
          <w:highlight w:val="none"/>
        </w:rPr>
        <w:t>以PDF格式上传。</w:t>
      </w:r>
    </w:p>
    <w:p w14:paraId="3D1CC792">
      <w:pPr>
        <w:pStyle w:val="26"/>
        <w:spacing w:line="360" w:lineRule="exact"/>
        <w:ind w:firstLine="420" w:firstLineChars="200"/>
        <w:rPr>
          <w:rFonts w:ascii="Times New Roman" w:hAnsi="Times New Roman"/>
          <w:color w:val="auto"/>
          <w:highlight w:val="none"/>
        </w:rPr>
        <w:sectPr>
          <w:pgSz w:w="11906" w:h="16838"/>
          <w:pgMar w:top="1440" w:right="1440" w:bottom="1440" w:left="1440" w:header="851" w:footer="992" w:gutter="0"/>
          <w:cols w:space="720" w:num="1"/>
          <w:docGrid w:linePitch="312" w:charSpace="0"/>
        </w:sectPr>
      </w:pPr>
    </w:p>
    <w:p w14:paraId="0778F798">
      <w:pPr>
        <w:pStyle w:val="26"/>
        <w:spacing w:line="320" w:lineRule="exact"/>
        <w:rPr>
          <w:rFonts w:ascii="仿宋_GB2312" w:hAnsi="Times New Roman" w:eastAsia="仿宋_GB2312"/>
          <w:color w:val="auto"/>
          <w:spacing w:val="-4"/>
          <w:highlight w:val="none"/>
        </w:rPr>
      </w:pPr>
      <w:r>
        <w:rPr>
          <w:rFonts w:hint="eastAsia" w:ascii="仿宋_GB2312" w:eastAsia="仿宋_GB2312"/>
          <w:b/>
          <w:color w:val="auto"/>
          <w:sz w:val="24"/>
          <w:szCs w:val="24"/>
          <w:highlight w:val="none"/>
        </w:rPr>
        <w:t>（</w:t>
      </w:r>
      <w:r>
        <w:rPr>
          <w:rFonts w:ascii="仿宋_GB2312" w:eastAsia="仿宋_GB2312"/>
          <w:b/>
          <w:color w:val="auto"/>
          <w:sz w:val="24"/>
          <w:szCs w:val="24"/>
          <w:highlight w:val="none"/>
        </w:rPr>
        <w:t>2</w:t>
      </w:r>
      <w:r>
        <w:rPr>
          <w:rFonts w:hint="eastAsia" w:ascii="仿宋_GB2312" w:eastAsia="仿宋_GB2312"/>
          <w:b/>
          <w:color w:val="auto"/>
          <w:sz w:val="24"/>
          <w:szCs w:val="24"/>
          <w:highlight w:val="none"/>
        </w:rPr>
        <w:t>）法定代表人授权委托书格式（委托代理时必须提供）</w:t>
      </w:r>
      <w:r>
        <w:rPr>
          <w:rFonts w:hint="eastAsia" w:ascii="仿宋_GB2312" w:hAnsi="Times New Roman" w:eastAsia="仿宋_GB2312"/>
          <w:b/>
          <w:color w:val="auto"/>
          <w:highlight w:val="none"/>
        </w:rPr>
        <w:t>：</w:t>
      </w:r>
    </w:p>
    <w:p w14:paraId="46BF4A00">
      <w:pPr>
        <w:pStyle w:val="26"/>
        <w:spacing w:line="320" w:lineRule="exact"/>
        <w:jc w:val="center"/>
        <w:rPr>
          <w:rFonts w:ascii="仿宋_GB2312" w:hAnsi="Times New Roman" w:eastAsia="仿宋_GB2312"/>
          <w:color w:val="auto"/>
          <w:sz w:val="32"/>
          <w:highlight w:val="none"/>
        </w:rPr>
      </w:pPr>
    </w:p>
    <w:p w14:paraId="3386BC4A">
      <w:pPr>
        <w:pStyle w:val="26"/>
        <w:spacing w:line="320" w:lineRule="exact"/>
        <w:jc w:val="center"/>
        <w:rPr>
          <w:rFonts w:ascii="仿宋_GB2312" w:hAnsi="Times New Roman" w:eastAsia="仿宋_GB2312"/>
          <w:b/>
          <w:bCs/>
          <w:color w:val="auto"/>
          <w:sz w:val="32"/>
          <w:highlight w:val="none"/>
        </w:rPr>
      </w:pPr>
      <w:r>
        <w:rPr>
          <w:rFonts w:hint="eastAsia" w:ascii="仿宋_GB2312" w:hAnsi="Times New Roman" w:eastAsia="仿宋_GB2312"/>
          <w:b/>
          <w:bCs/>
          <w:color w:val="auto"/>
          <w:sz w:val="32"/>
          <w:highlight w:val="none"/>
        </w:rPr>
        <w:t>法定代表人授权委托书</w:t>
      </w:r>
    </w:p>
    <w:p w14:paraId="52F23800">
      <w:pPr>
        <w:snapToGrid w:val="0"/>
        <w:spacing w:line="400" w:lineRule="exact"/>
        <w:rPr>
          <w:rFonts w:ascii="仿宋_GB2312" w:eastAsia="仿宋_GB2312"/>
          <w:bCs/>
          <w:color w:val="auto"/>
          <w:szCs w:val="21"/>
          <w:highlight w:val="none"/>
        </w:rPr>
      </w:pPr>
    </w:p>
    <w:p w14:paraId="315B3F07">
      <w:pPr>
        <w:snapToGrid w:val="0"/>
        <w:spacing w:line="360" w:lineRule="exact"/>
        <w:rPr>
          <w:rFonts w:hint="eastAsia" w:ascii="仿宋_GB2312" w:hAnsi="宋体" w:eastAsia="仿宋_GB2312"/>
          <w:color w:val="auto"/>
          <w:szCs w:val="21"/>
          <w:highlight w:val="none"/>
          <w:u w:val="single"/>
        </w:rPr>
      </w:pPr>
      <w:r>
        <w:rPr>
          <w:rFonts w:hint="eastAsia" w:ascii="仿宋_GB2312" w:hAnsi="宋体" w:eastAsia="仿宋_GB2312"/>
          <w:color w:val="auto"/>
          <w:szCs w:val="21"/>
          <w:highlight w:val="none"/>
          <w:u w:val="single"/>
        </w:rPr>
        <w:t>致：</w:t>
      </w:r>
      <w:r>
        <w:rPr>
          <w:rFonts w:ascii="仿宋_GB2312" w:eastAsia="仿宋_GB2312"/>
          <w:color w:val="auto"/>
          <w:szCs w:val="21"/>
          <w:highlight w:val="none"/>
          <w:u w:val="single"/>
        </w:rPr>
        <w:t>柳州市电化教育站</w:t>
      </w:r>
      <w:r>
        <w:rPr>
          <w:rFonts w:hint="eastAsia" w:ascii="仿宋_GB2312" w:hAnsi="宋体" w:eastAsia="仿宋_GB2312"/>
          <w:color w:val="auto"/>
          <w:szCs w:val="21"/>
          <w:highlight w:val="none"/>
          <w:u w:val="single"/>
        </w:rPr>
        <w:t>、柳州市政府集中采购中心：</w:t>
      </w:r>
    </w:p>
    <w:p w14:paraId="148DC005">
      <w:pPr>
        <w:snapToGrid w:val="0"/>
        <w:spacing w:line="360" w:lineRule="exact"/>
        <w:ind w:firstLine="630" w:firstLineChars="300"/>
        <w:rPr>
          <w:rFonts w:ascii="仿宋_GB2312" w:eastAsia="仿宋_GB2312"/>
          <w:color w:val="auto"/>
          <w:szCs w:val="21"/>
          <w:highlight w:val="none"/>
        </w:rPr>
      </w:pPr>
      <w:r>
        <w:rPr>
          <w:rFonts w:hint="eastAsia" w:ascii="仿宋_GB2312" w:eastAsia="仿宋_GB2312"/>
          <w:color w:val="auto"/>
          <w:szCs w:val="21"/>
          <w:highlight w:val="none"/>
        </w:rPr>
        <w:t xml:space="preserve">我 </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（姓名）系</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（投标人名称）的法定代表人，现授权委托</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（姓名）以我方的名义参加</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项目的投标活动，并代表我方全权办理针对上述项目的投标、开标、转为其他方式采购、评标、签约等具体事务和签署相关文件。</w:t>
      </w:r>
    </w:p>
    <w:p w14:paraId="1D0C3671">
      <w:pPr>
        <w:snapToGrid w:val="0"/>
        <w:spacing w:line="360" w:lineRule="exact"/>
        <w:rPr>
          <w:rFonts w:ascii="仿宋_GB2312" w:eastAsia="仿宋_GB2312"/>
          <w:color w:val="auto"/>
          <w:szCs w:val="21"/>
          <w:highlight w:val="none"/>
        </w:rPr>
      </w:pPr>
      <w:r>
        <w:rPr>
          <w:rFonts w:hint="eastAsia" w:ascii="仿宋_GB2312" w:eastAsia="仿宋_GB2312"/>
          <w:color w:val="auto"/>
          <w:szCs w:val="21"/>
          <w:highlight w:val="none"/>
        </w:rPr>
        <w:t xml:space="preserve">    我方对被授权人的签名事项负全部责任。</w:t>
      </w:r>
    </w:p>
    <w:p w14:paraId="7891507C">
      <w:pPr>
        <w:snapToGrid w:val="0"/>
        <w:spacing w:line="360" w:lineRule="exact"/>
        <w:ind w:firstLine="480"/>
        <w:rPr>
          <w:rFonts w:ascii="仿宋_GB2312" w:eastAsia="仿宋_GB2312"/>
          <w:color w:val="auto"/>
          <w:szCs w:val="21"/>
          <w:highlight w:val="none"/>
        </w:rPr>
      </w:pPr>
      <w:r>
        <w:rPr>
          <w:rFonts w:hint="eastAsia" w:ascii="仿宋_GB2312" w:eastAsia="仿宋_GB2312"/>
          <w:color w:val="auto"/>
          <w:szCs w:val="21"/>
          <w:highlight w:val="none"/>
          <w:u w:val="single"/>
        </w:rPr>
        <w:t>在撤销授权的书面通知以前，本授权书一直有效。</w:t>
      </w:r>
      <w:r>
        <w:rPr>
          <w:rFonts w:hint="eastAsia" w:ascii="仿宋_GB2312" w:eastAsia="仿宋_GB2312"/>
          <w:color w:val="auto"/>
          <w:szCs w:val="21"/>
          <w:highlight w:val="none"/>
        </w:rPr>
        <w:t>被授权人在授权书有效期内签署的所有文件不因授权的撤销而失效。</w:t>
      </w:r>
    </w:p>
    <w:p w14:paraId="79C9912A">
      <w:pPr>
        <w:snapToGrid w:val="0"/>
        <w:spacing w:line="360" w:lineRule="exact"/>
        <w:ind w:firstLine="480"/>
        <w:rPr>
          <w:rFonts w:ascii="仿宋_GB2312" w:eastAsia="仿宋_GB2312"/>
          <w:color w:val="auto"/>
          <w:szCs w:val="21"/>
          <w:highlight w:val="none"/>
        </w:rPr>
      </w:pPr>
      <w:r>
        <w:rPr>
          <w:rFonts w:hint="eastAsia" w:ascii="仿宋_GB2312" w:eastAsia="仿宋_GB2312"/>
          <w:color w:val="auto"/>
          <w:szCs w:val="21"/>
          <w:highlight w:val="none"/>
        </w:rPr>
        <w:t>被授权人无转委托权，特此委托。</w:t>
      </w:r>
    </w:p>
    <w:p w14:paraId="44D2FCA8">
      <w:pPr>
        <w:snapToGrid w:val="0"/>
        <w:spacing w:line="360" w:lineRule="exact"/>
        <w:rPr>
          <w:rFonts w:ascii="仿宋_GB2312" w:eastAsia="仿宋_GB2312"/>
          <w:color w:val="auto"/>
          <w:szCs w:val="21"/>
          <w:highlight w:val="none"/>
        </w:rPr>
      </w:pPr>
    </w:p>
    <w:p w14:paraId="3E4E29FD">
      <w:pPr>
        <w:snapToGrid w:val="0"/>
        <w:spacing w:line="360" w:lineRule="exact"/>
        <w:rPr>
          <w:rFonts w:ascii="仿宋_GB2312" w:eastAsia="仿宋_GB2312"/>
          <w:color w:val="auto"/>
          <w:szCs w:val="21"/>
          <w:highlight w:val="none"/>
          <w:u w:val="single"/>
        </w:rPr>
      </w:pPr>
      <w:r>
        <w:rPr>
          <w:rFonts w:hint="eastAsia" w:ascii="仿宋_GB2312" w:eastAsia="仿宋_GB2312"/>
          <w:color w:val="auto"/>
          <w:szCs w:val="21"/>
          <w:highlight w:val="none"/>
        </w:rPr>
        <w:t>被授权人</w:t>
      </w:r>
      <w:r>
        <w:rPr>
          <w:rFonts w:hint="eastAsia" w:ascii="仿宋_GB2312" w:eastAsia="仿宋_GB2312"/>
          <w:b/>
          <w:bCs/>
          <w:color w:val="auto"/>
          <w:szCs w:val="21"/>
          <w:highlight w:val="none"/>
        </w:rPr>
        <w:t>（签字）</w:t>
      </w:r>
      <w:r>
        <w:rPr>
          <w:rFonts w:hint="eastAsia" w:ascii="仿宋_GB2312" w:eastAsia="仿宋_GB2312"/>
          <w:color w:val="auto"/>
          <w:szCs w:val="21"/>
          <w:highlight w:val="none"/>
        </w:rPr>
        <w:t>：</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 xml:space="preserve">   法定代表人</w:t>
      </w:r>
      <w:r>
        <w:rPr>
          <w:rFonts w:hint="eastAsia" w:ascii="仿宋_GB2312" w:eastAsia="仿宋_GB2312"/>
          <w:b/>
          <w:bCs/>
          <w:color w:val="auto"/>
          <w:szCs w:val="21"/>
          <w:highlight w:val="none"/>
        </w:rPr>
        <w:t>（</w:t>
      </w:r>
      <w:r>
        <w:rPr>
          <w:rFonts w:hint="eastAsia" w:ascii="仿宋_GB2312" w:eastAsia="仿宋_GB2312"/>
          <w:b/>
          <w:color w:val="auto"/>
          <w:szCs w:val="21"/>
          <w:highlight w:val="none"/>
        </w:rPr>
        <w:t>签字</w:t>
      </w:r>
      <w:r>
        <w:rPr>
          <w:rFonts w:hint="eastAsia" w:ascii="仿宋_GB2312" w:eastAsia="仿宋_GB2312"/>
          <w:b/>
          <w:bCs/>
          <w:color w:val="auto"/>
          <w:szCs w:val="21"/>
          <w:highlight w:val="none"/>
        </w:rPr>
        <w:t>）</w:t>
      </w:r>
      <w:r>
        <w:rPr>
          <w:rFonts w:hint="eastAsia" w:ascii="仿宋_GB2312" w:eastAsia="仿宋_GB2312"/>
          <w:color w:val="auto"/>
          <w:szCs w:val="21"/>
          <w:highlight w:val="none"/>
        </w:rPr>
        <w:t>：</w:t>
      </w:r>
      <w:r>
        <w:rPr>
          <w:rFonts w:hint="eastAsia" w:ascii="仿宋_GB2312" w:eastAsia="仿宋_GB2312"/>
          <w:color w:val="auto"/>
          <w:szCs w:val="21"/>
          <w:highlight w:val="none"/>
          <w:u w:val="single"/>
        </w:rPr>
        <w:t xml:space="preserve">                       </w:t>
      </w:r>
    </w:p>
    <w:p w14:paraId="57ADB5C9">
      <w:pPr>
        <w:snapToGrid w:val="0"/>
        <w:spacing w:line="360" w:lineRule="exact"/>
        <w:rPr>
          <w:rFonts w:ascii="仿宋_GB2312" w:eastAsia="仿宋_GB2312"/>
          <w:color w:val="auto"/>
          <w:szCs w:val="21"/>
          <w:highlight w:val="none"/>
        </w:rPr>
      </w:pPr>
      <w:r>
        <w:rPr>
          <w:rFonts w:hint="eastAsia" w:ascii="仿宋_GB2312" w:eastAsia="仿宋_GB2312"/>
          <w:color w:val="auto"/>
          <w:szCs w:val="21"/>
          <w:highlight w:val="none"/>
        </w:rPr>
        <w:t>被授权人所在部门：</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 xml:space="preserve">           被授权人职务：</w:t>
      </w:r>
      <w:r>
        <w:rPr>
          <w:rFonts w:hint="eastAsia" w:ascii="仿宋_GB2312" w:eastAsia="仿宋_GB2312"/>
          <w:color w:val="auto"/>
          <w:szCs w:val="21"/>
          <w:highlight w:val="none"/>
          <w:u w:val="single"/>
        </w:rPr>
        <w:t xml:space="preserve">                             </w:t>
      </w:r>
    </w:p>
    <w:p w14:paraId="3E23C8EB">
      <w:pPr>
        <w:snapToGrid w:val="0"/>
        <w:spacing w:line="360" w:lineRule="exact"/>
        <w:rPr>
          <w:rFonts w:ascii="仿宋_GB2312" w:eastAsia="仿宋_GB2312"/>
          <w:color w:val="auto"/>
          <w:szCs w:val="21"/>
          <w:highlight w:val="none"/>
        </w:rPr>
      </w:pPr>
      <w:r>
        <w:rPr>
          <w:rFonts w:hint="eastAsia" w:ascii="仿宋_GB2312" w:eastAsia="仿宋_GB2312"/>
          <w:color w:val="auto"/>
          <w:szCs w:val="21"/>
          <w:highlight w:val="none"/>
        </w:rPr>
        <w:t>被授权人身份证号码：</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 xml:space="preserve"> </w:t>
      </w:r>
    </w:p>
    <w:p w14:paraId="7DDFC499">
      <w:pPr>
        <w:snapToGrid w:val="0"/>
        <w:spacing w:line="360" w:lineRule="exact"/>
        <w:jc w:val="center"/>
        <w:rPr>
          <w:rFonts w:ascii="仿宋_GB2312" w:eastAsia="仿宋_GB2312"/>
          <w:color w:val="auto"/>
          <w:szCs w:val="21"/>
          <w:highlight w:val="none"/>
        </w:rPr>
      </w:pPr>
      <w:r>
        <w:rPr>
          <w:rFonts w:hint="eastAsia" w:ascii="仿宋_GB2312" w:eastAsia="仿宋_GB2312"/>
          <w:color w:val="auto"/>
          <w:szCs w:val="21"/>
          <w:highlight w:val="none"/>
        </w:rPr>
        <w:t xml:space="preserve">                                   投标人</w:t>
      </w:r>
      <w:r>
        <w:rPr>
          <w:rFonts w:hint="eastAsia" w:ascii="仿宋_GB2312" w:eastAsia="仿宋_GB2312"/>
          <w:color w:val="auto"/>
          <w:highlight w:val="none"/>
        </w:rPr>
        <w:t>（</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xml:space="preserve">                </w:t>
      </w:r>
    </w:p>
    <w:p w14:paraId="12E5D01B">
      <w:pPr>
        <w:pStyle w:val="26"/>
        <w:spacing w:line="360" w:lineRule="exact"/>
        <w:rPr>
          <w:rFonts w:ascii="仿宋_GB2312" w:hAnsi="Times New Roman" w:eastAsia="仿宋_GB2312"/>
          <w:color w:val="auto"/>
          <w:highlight w:val="none"/>
        </w:rPr>
      </w:pPr>
      <w:r>
        <w:rPr>
          <w:rFonts w:hint="eastAsia" w:ascii="仿宋_GB2312" w:hAnsi="Times New Roman" w:eastAsia="仿宋_GB2312"/>
          <w:color w:val="auto"/>
          <w:highlight w:val="none"/>
        </w:rPr>
        <w:t xml:space="preserve">                                                            </w:t>
      </w:r>
      <w:r>
        <w:rPr>
          <w:rFonts w:hint="eastAsia" w:ascii="仿宋_GB2312" w:hAnsi="宋体" w:eastAsia="仿宋_GB2312"/>
          <w:color w:val="auto"/>
          <w:highlight w:val="none"/>
        </w:rPr>
        <w:t>日期：       年   月   日</w:t>
      </w:r>
    </w:p>
    <w:p w14:paraId="156D617F">
      <w:pPr>
        <w:pStyle w:val="26"/>
        <w:spacing w:line="360" w:lineRule="exact"/>
        <w:rPr>
          <w:rFonts w:ascii="仿宋_GB2312" w:hAnsi="Times New Roman" w:eastAsia="仿宋_GB2312"/>
          <w:color w:val="auto"/>
          <w:highlight w:val="none"/>
        </w:rPr>
      </w:pPr>
      <w:r>
        <w:rPr>
          <w:color w:val="auto"/>
          <w:highlight w:val="none"/>
        </w:rP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5A7B8D57">
                            <w:pPr>
                              <w:jc w:val="center"/>
                              <w:rPr>
                                <w:rFonts w:hint="eastAsia" w:ascii="仿宋_GB2312" w:hAnsi="仿宋_GB2312" w:eastAsia="仿宋_GB2312" w:cs="仿宋_GB2312"/>
                              </w:rPr>
                            </w:pPr>
                          </w:p>
                          <w:p w14:paraId="50EA37CB">
                            <w:pPr>
                              <w:jc w:val="center"/>
                              <w:rPr>
                                <w:rFonts w:hint="eastAsia" w:ascii="仿宋_GB2312" w:hAnsi="仿宋_GB2312" w:eastAsia="仿宋_GB2312" w:cs="仿宋_GB2312"/>
                              </w:rPr>
                            </w:pPr>
                          </w:p>
                          <w:p w14:paraId="446B43E2">
                            <w:pPr>
                              <w:jc w:val="center"/>
                              <w:rPr>
                                <w:rFonts w:hint="eastAsia" w:ascii="仿宋_GB2312" w:hAnsi="仿宋_GB2312" w:eastAsia="仿宋_GB2312" w:cs="仿宋_GB2312"/>
                              </w:rPr>
                            </w:pPr>
                          </w:p>
                          <w:p w14:paraId="62180679">
                            <w:pPr>
                              <w:jc w:val="center"/>
                              <w:rPr>
                                <w:rFonts w:hint="eastAsia" w:ascii="仿宋_GB2312" w:hAnsi="仿宋_GB2312" w:eastAsia="仿宋_GB2312" w:cs="仿宋_GB2312"/>
                              </w:rPr>
                            </w:pPr>
                          </w:p>
                          <w:p w14:paraId="4EBD33D6">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B7A7774">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34456765"/>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14:paraId="5A7B8D57">
                      <w:pPr>
                        <w:jc w:val="center"/>
                        <w:rPr>
                          <w:rFonts w:hint="eastAsia" w:ascii="仿宋_GB2312" w:hAnsi="仿宋_GB2312" w:eastAsia="仿宋_GB2312" w:cs="仿宋_GB2312"/>
                        </w:rPr>
                      </w:pPr>
                    </w:p>
                    <w:p w14:paraId="50EA37CB">
                      <w:pPr>
                        <w:jc w:val="center"/>
                        <w:rPr>
                          <w:rFonts w:hint="eastAsia" w:ascii="仿宋_GB2312" w:hAnsi="仿宋_GB2312" w:eastAsia="仿宋_GB2312" w:cs="仿宋_GB2312"/>
                        </w:rPr>
                      </w:pPr>
                    </w:p>
                    <w:p w14:paraId="446B43E2">
                      <w:pPr>
                        <w:jc w:val="center"/>
                        <w:rPr>
                          <w:rFonts w:hint="eastAsia" w:ascii="仿宋_GB2312" w:hAnsi="仿宋_GB2312" w:eastAsia="仿宋_GB2312" w:cs="仿宋_GB2312"/>
                        </w:rPr>
                      </w:pPr>
                    </w:p>
                    <w:p w14:paraId="62180679">
                      <w:pPr>
                        <w:jc w:val="center"/>
                        <w:rPr>
                          <w:rFonts w:hint="eastAsia" w:ascii="仿宋_GB2312" w:hAnsi="仿宋_GB2312" w:eastAsia="仿宋_GB2312" w:cs="仿宋_GB2312"/>
                        </w:rPr>
                      </w:pPr>
                    </w:p>
                    <w:p w14:paraId="4EBD33D6">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B7A7774">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34456765"/>
                  </w:txbxContent>
                </v:textbox>
              </v:rect>
            </w:pict>
          </mc:Fallback>
        </mc:AlternateContent>
      </w:r>
      <w:r>
        <w:rPr>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color w:val="auto"/>
          <w:highlight w:val="none"/>
        </w:rPr>
        <w:t xml:space="preserve">                                                                                                                                                                                        </w:t>
      </w:r>
    </w:p>
    <w:p w14:paraId="20420CC5">
      <w:pPr>
        <w:pStyle w:val="26"/>
        <w:spacing w:line="480" w:lineRule="exact"/>
        <w:rPr>
          <w:rFonts w:ascii="仿宋_GB2312" w:hAnsi="Times New Roman" w:eastAsia="仿宋_GB2312"/>
          <w:color w:val="auto"/>
          <w:highlight w:val="none"/>
        </w:rPr>
      </w:pPr>
    </w:p>
    <w:p w14:paraId="20F0ADEC">
      <w:pPr>
        <w:pStyle w:val="26"/>
        <w:spacing w:line="480" w:lineRule="exact"/>
        <w:rPr>
          <w:rFonts w:ascii="仿宋_GB2312" w:hAnsi="Times New Roman" w:eastAsia="仿宋_GB2312"/>
          <w:color w:val="auto"/>
          <w:highlight w:val="none"/>
        </w:rPr>
      </w:pPr>
    </w:p>
    <w:p w14:paraId="4C4CEDBB">
      <w:pPr>
        <w:pStyle w:val="26"/>
        <w:spacing w:line="480" w:lineRule="exact"/>
        <w:rPr>
          <w:rFonts w:ascii="仿宋_GB2312" w:hAnsi="Times New Roman" w:eastAsia="仿宋_GB2312"/>
          <w:color w:val="auto"/>
          <w:highlight w:val="none"/>
        </w:rPr>
      </w:pPr>
    </w:p>
    <w:p w14:paraId="3E490536">
      <w:pPr>
        <w:pStyle w:val="26"/>
        <w:spacing w:line="480" w:lineRule="exact"/>
        <w:rPr>
          <w:rFonts w:ascii="仿宋_GB2312" w:hAnsi="Times New Roman" w:eastAsia="仿宋_GB2312"/>
          <w:color w:val="auto"/>
          <w:highlight w:val="none"/>
        </w:rPr>
      </w:pPr>
    </w:p>
    <w:p w14:paraId="1259C023">
      <w:pPr>
        <w:pStyle w:val="26"/>
        <w:spacing w:line="480" w:lineRule="exact"/>
        <w:rPr>
          <w:rFonts w:ascii="仿宋_GB2312" w:hAnsi="Times New Roman" w:eastAsia="仿宋_GB2312"/>
          <w:color w:val="auto"/>
          <w:highlight w:val="none"/>
        </w:rPr>
      </w:pPr>
    </w:p>
    <w:p w14:paraId="182CB830">
      <w:pPr>
        <w:pStyle w:val="26"/>
        <w:spacing w:line="240" w:lineRule="atLeast"/>
        <w:ind w:firstLine="5460" w:firstLineChars="2600"/>
        <w:rPr>
          <w:rFonts w:ascii="仿宋_GB2312" w:hAnsi="Times New Roman" w:eastAsia="仿宋_GB2312"/>
          <w:color w:val="auto"/>
          <w:highlight w:val="none"/>
          <w:u w:val="single"/>
        </w:rPr>
      </w:pPr>
    </w:p>
    <w:p w14:paraId="06A2C921">
      <w:pPr>
        <w:pStyle w:val="26"/>
        <w:spacing w:line="240" w:lineRule="atLeast"/>
        <w:ind w:firstLine="5460" w:firstLineChars="2600"/>
        <w:rPr>
          <w:rFonts w:ascii="仿宋_GB2312" w:hAnsi="Times New Roman" w:eastAsia="仿宋_GB2312"/>
          <w:color w:val="auto"/>
          <w:highlight w:val="none"/>
          <w:u w:val="single"/>
        </w:rPr>
      </w:pPr>
    </w:p>
    <w:p w14:paraId="6166CD38">
      <w:pPr>
        <w:pStyle w:val="26"/>
        <w:spacing w:line="240" w:lineRule="atLeast"/>
        <w:rPr>
          <w:rFonts w:ascii="仿宋_GB2312" w:hAnsi="Times New Roman" w:eastAsia="仿宋_GB2312"/>
          <w:color w:val="auto"/>
          <w:highlight w:val="none"/>
        </w:rPr>
      </w:pPr>
      <w:r>
        <w:rPr>
          <w:color w:val="auto"/>
          <w:highlight w:val="none"/>
        </w:rP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3C453DB1">
                            <w:pPr>
                              <w:jc w:val="center"/>
                              <w:rPr>
                                <w:rFonts w:hint="eastAsia" w:ascii="仿宋_GB2312" w:hAnsi="仿宋_GB2312" w:eastAsia="仿宋_GB2312" w:cs="仿宋_GB2312"/>
                              </w:rPr>
                            </w:pPr>
                          </w:p>
                          <w:p w14:paraId="475C7C54">
                            <w:pPr>
                              <w:jc w:val="center"/>
                              <w:rPr>
                                <w:rFonts w:hint="eastAsia" w:ascii="仿宋_GB2312" w:hAnsi="仿宋_GB2312" w:eastAsia="仿宋_GB2312" w:cs="仿宋_GB2312"/>
                              </w:rPr>
                            </w:pPr>
                          </w:p>
                          <w:p w14:paraId="421A71DD">
                            <w:pPr>
                              <w:jc w:val="center"/>
                              <w:rPr>
                                <w:rFonts w:hint="eastAsia" w:ascii="仿宋_GB2312" w:hAnsi="仿宋_GB2312" w:eastAsia="仿宋_GB2312" w:cs="仿宋_GB2312"/>
                              </w:rPr>
                            </w:pPr>
                          </w:p>
                          <w:p w14:paraId="0B8F12D7">
                            <w:pPr>
                              <w:jc w:val="center"/>
                              <w:rPr>
                                <w:rFonts w:hint="eastAsia" w:ascii="仿宋_GB2312" w:hAnsi="仿宋_GB2312" w:eastAsia="仿宋_GB2312" w:cs="仿宋_GB2312"/>
                              </w:rPr>
                            </w:pPr>
                          </w:p>
                          <w:p w14:paraId="0AD276A2">
                            <w:pPr>
                              <w:jc w:val="center"/>
                              <w:rPr>
                                <w:rFonts w:hint="eastAsia" w:ascii="仿宋_GB2312" w:hAnsi="仿宋_GB2312" w:eastAsia="仿宋_GB2312" w:cs="仿宋_GB2312"/>
                              </w:rPr>
                            </w:pPr>
                          </w:p>
                          <w:p w14:paraId="471DE4FD">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60E6AA54">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0C21525A"/>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14:paraId="3C453DB1">
                      <w:pPr>
                        <w:jc w:val="center"/>
                        <w:rPr>
                          <w:rFonts w:hint="eastAsia" w:ascii="仿宋_GB2312" w:hAnsi="仿宋_GB2312" w:eastAsia="仿宋_GB2312" w:cs="仿宋_GB2312"/>
                        </w:rPr>
                      </w:pPr>
                    </w:p>
                    <w:p w14:paraId="475C7C54">
                      <w:pPr>
                        <w:jc w:val="center"/>
                        <w:rPr>
                          <w:rFonts w:hint="eastAsia" w:ascii="仿宋_GB2312" w:hAnsi="仿宋_GB2312" w:eastAsia="仿宋_GB2312" w:cs="仿宋_GB2312"/>
                        </w:rPr>
                      </w:pPr>
                    </w:p>
                    <w:p w14:paraId="421A71DD">
                      <w:pPr>
                        <w:jc w:val="center"/>
                        <w:rPr>
                          <w:rFonts w:hint="eastAsia" w:ascii="仿宋_GB2312" w:hAnsi="仿宋_GB2312" w:eastAsia="仿宋_GB2312" w:cs="仿宋_GB2312"/>
                        </w:rPr>
                      </w:pPr>
                    </w:p>
                    <w:p w14:paraId="0B8F12D7">
                      <w:pPr>
                        <w:jc w:val="center"/>
                        <w:rPr>
                          <w:rFonts w:hint="eastAsia" w:ascii="仿宋_GB2312" w:hAnsi="仿宋_GB2312" w:eastAsia="仿宋_GB2312" w:cs="仿宋_GB2312"/>
                        </w:rPr>
                      </w:pPr>
                    </w:p>
                    <w:p w14:paraId="0AD276A2">
                      <w:pPr>
                        <w:jc w:val="center"/>
                        <w:rPr>
                          <w:rFonts w:hint="eastAsia" w:ascii="仿宋_GB2312" w:hAnsi="仿宋_GB2312" w:eastAsia="仿宋_GB2312" w:cs="仿宋_GB2312"/>
                        </w:rPr>
                      </w:pPr>
                    </w:p>
                    <w:p w14:paraId="471DE4FD">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60E6AA54">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0C21525A"/>
                  </w:txbxContent>
                </v:textbox>
              </v:rect>
            </w:pict>
          </mc:Fallback>
        </mc:AlternateContent>
      </w:r>
    </w:p>
    <w:p w14:paraId="3FDBD0F5">
      <w:pPr>
        <w:pStyle w:val="26"/>
        <w:spacing w:line="240" w:lineRule="exact"/>
        <w:rPr>
          <w:rFonts w:ascii="仿宋_GB2312" w:hAnsi="Times New Roman" w:eastAsia="仿宋_GB2312"/>
          <w:color w:val="auto"/>
          <w:highlight w:val="none"/>
        </w:rPr>
      </w:pPr>
    </w:p>
    <w:p w14:paraId="6EEC2B41">
      <w:pPr>
        <w:pStyle w:val="26"/>
        <w:spacing w:line="240" w:lineRule="exact"/>
        <w:rPr>
          <w:rFonts w:ascii="仿宋_GB2312" w:hAnsi="Times New Roman" w:eastAsia="仿宋_GB2312"/>
          <w:color w:val="auto"/>
          <w:sz w:val="44"/>
          <w:highlight w:val="none"/>
        </w:rPr>
      </w:pPr>
    </w:p>
    <w:p w14:paraId="75445E29">
      <w:pPr>
        <w:pStyle w:val="26"/>
        <w:spacing w:line="240" w:lineRule="exact"/>
        <w:rPr>
          <w:rFonts w:ascii="仿宋_GB2312" w:hAnsi="Times New Roman" w:eastAsia="仿宋_GB2312"/>
          <w:color w:val="auto"/>
          <w:sz w:val="44"/>
          <w:highlight w:val="none"/>
        </w:rPr>
      </w:pPr>
    </w:p>
    <w:p w14:paraId="5ADD4D58">
      <w:pPr>
        <w:pStyle w:val="26"/>
        <w:spacing w:line="240" w:lineRule="exact"/>
        <w:rPr>
          <w:rFonts w:ascii="仿宋_GB2312" w:hAnsi="Times New Roman" w:eastAsia="仿宋_GB2312"/>
          <w:color w:val="auto"/>
          <w:sz w:val="44"/>
          <w:highlight w:val="none"/>
        </w:rPr>
      </w:pPr>
    </w:p>
    <w:p w14:paraId="76ED0BF2">
      <w:pPr>
        <w:pStyle w:val="26"/>
        <w:spacing w:line="240" w:lineRule="exact"/>
        <w:rPr>
          <w:rFonts w:ascii="仿宋_GB2312" w:hAnsi="Times New Roman" w:eastAsia="仿宋_GB2312"/>
          <w:color w:val="auto"/>
          <w:sz w:val="44"/>
          <w:highlight w:val="none"/>
        </w:rPr>
      </w:pPr>
    </w:p>
    <w:p w14:paraId="7EF04117">
      <w:pPr>
        <w:pStyle w:val="26"/>
        <w:spacing w:line="240" w:lineRule="exact"/>
        <w:rPr>
          <w:rFonts w:ascii="仿宋_GB2312" w:hAnsi="Times New Roman" w:eastAsia="仿宋_GB2312"/>
          <w:color w:val="auto"/>
          <w:sz w:val="44"/>
          <w:highlight w:val="none"/>
        </w:rPr>
      </w:pPr>
    </w:p>
    <w:p w14:paraId="61FE0B0F">
      <w:pPr>
        <w:pStyle w:val="26"/>
        <w:spacing w:line="240" w:lineRule="exact"/>
        <w:rPr>
          <w:rFonts w:ascii="仿宋_GB2312" w:hAnsi="Times New Roman" w:eastAsia="仿宋_GB2312"/>
          <w:color w:val="auto"/>
          <w:sz w:val="44"/>
          <w:highlight w:val="none"/>
        </w:rPr>
      </w:pPr>
    </w:p>
    <w:p w14:paraId="69FB3A74">
      <w:pPr>
        <w:pStyle w:val="26"/>
        <w:spacing w:line="240" w:lineRule="exact"/>
        <w:rPr>
          <w:rFonts w:ascii="仿宋_GB2312" w:hAnsi="Times New Roman" w:eastAsia="仿宋_GB2312"/>
          <w:color w:val="auto"/>
          <w:sz w:val="44"/>
          <w:highlight w:val="none"/>
        </w:rPr>
      </w:pPr>
    </w:p>
    <w:p w14:paraId="65FE6594">
      <w:pPr>
        <w:pStyle w:val="26"/>
        <w:spacing w:line="240" w:lineRule="exact"/>
        <w:rPr>
          <w:rFonts w:ascii="仿宋_GB2312" w:hAnsi="Times New Roman" w:eastAsia="仿宋_GB2312"/>
          <w:color w:val="auto"/>
          <w:sz w:val="44"/>
          <w:highlight w:val="none"/>
        </w:rPr>
      </w:pPr>
    </w:p>
    <w:p w14:paraId="6BD37E4A">
      <w:pPr>
        <w:pStyle w:val="26"/>
        <w:spacing w:line="240" w:lineRule="exact"/>
        <w:rPr>
          <w:rFonts w:ascii="仿宋_GB2312" w:hAnsi="Times New Roman" w:eastAsia="仿宋_GB2312"/>
          <w:color w:val="auto"/>
          <w:sz w:val="44"/>
          <w:highlight w:val="none"/>
        </w:rPr>
      </w:pPr>
    </w:p>
    <w:p w14:paraId="7AD43266">
      <w:pPr>
        <w:snapToGrid w:val="0"/>
        <w:spacing w:before="120" w:beforeLines="50" w:after="50"/>
        <w:ind w:firstLine="420" w:firstLineChars="200"/>
        <w:outlineLvl w:val="1"/>
        <w:rPr>
          <w:rFonts w:ascii="仿宋_GB2312" w:eastAsia="仿宋_GB2312"/>
          <w:color w:val="auto"/>
          <w:highlight w:val="none"/>
        </w:rPr>
      </w:pPr>
      <w:r>
        <w:rPr>
          <w:rFonts w:hint="eastAsia" w:ascii="仿宋_GB2312" w:eastAsia="仿宋_GB2312"/>
          <w:color w:val="auto"/>
          <w:highlight w:val="none"/>
        </w:rPr>
        <w:t xml:space="preserve">                                             </w:t>
      </w:r>
    </w:p>
    <w:p w14:paraId="0B5FE344">
      <w:pPr>
        <w:snapToGrid w:val="0"/>
        <w:spacing w:before="120" w:beforeLines="50" w:after="50"/>
        <w:ind w:firstLine="420" w:firstLineChars="200"/>
        <w:outlineLvl w:val="1"/>
        <w:rPr>
          <w:rFonts w:ascii="仿宋_GB2312" w:eastAsia="仿宋_GB2312"/>
          <w:color w:val="auto"/>
          <w:highlight w:val="none"/>
        </w:rPr>
      </w:pPr>
    </w:p>
    <w:p w14:paraId="5210189F">
      <w:pPr>
        <w:snapToGrid w:val="0"/>
        <w:spacing w:before="120" w:beforeLines="50" w:after="50"/>
        <w:ind w:firstLine="482" w:firstLineChars="200"/>
        <w:outlineLvl w:val="1"/>
        <w:rPr>
          <w:rFonts w:ascii="仿宋_GB2312" w:eastAsia="仿宋_GB2312"/>
          <w:color w:val="auto"/>
          <w:highlight w:val="none"/>
        </w:rPr>
        <w:sectPr>
          <w:pgSz w:w="11906" w:h="16838"/>
          <w:pgMar w:top="1440" w:right="1440" w:bottom="1440" w:left="1440" w:header="851" w:footer="992" w:gutter="0"/>
          <w:cols w:space="720" w:num="1"/>
          <w:docGrid w:linePitch="312" w:charSpace="0"/>
        </w:sectPr>
      </w:pPr>
      <w:r>
        <w:rPr>
          <w:rFonts w:hint="eastAsia" w:ascii="仿宋_GB2312" w:eastAsia="仿宋_GB2312"/>
          <w:b/>
          <w:color w:val="auto"/>
          <w:sz w:val="24"/>
          <w:highlight w:val="none"/>
        </w:rPr>
        <w:t>注：此项材料必须</w:t>
      </w:r>
      <w:r>
        <w:rPr>
          <w:rFonts w:hint="eastAsia" w:ascii="仿宋_GB2312" w:hAnsi="宋体" w:eastAsia="仿宋_GB2312"/>
          <w:b/>
          <w:bCs/>
          <w:color w:val="auto"/>
          <w:sz w:val="24"/>
          <w:highlight w:val="none"/>
        </w:rPr>
        <w:t>以PDF格式上传。</w:t>
      </w:r>
    </w:p>
    <w:p w14:paraId="37CB3306">
      <w:pPr>
        <w:snapToGrid w:val="0"/>
        <w:spacing w:line="400" w:lineRule="exact"/>
        <w:ind w:firstLine="475" w:firstLineChars="197"/>
        <w:jc w:val="left"/>
        <w:rPr>
          <w:rFonts w:ascii="仿宋_GB2312" w:hAnsi="Calibri" w:eastAsia="仿宋_GB2312"/>
          <w:b/>
          <w:bCs/>
          <w:color w:val="auto"/>
          <w:sz w:val="24"/>
          <w:highlight w:val="none"/>
        </w:rPr>
      </w:pPr>
      <w:r>
        <w:rPr>
          <w:rFonts w:hint="eastAsia" w:ascii="仿宋_GB2312" w:hAnsi="Calibri" w:eastAsia="仿宋_GB2312"/>
          <w:b/>
          <w:bCs/>
          <w:color w:val="auto"/>
          <w:sz w:val="24"/>
          <w:highlight w:val="none"/>
        </w:rPr>
        <w:t>（3）投标人资格声明函</w:t>
      </w:r>
      <w:r>
        <w:rPr>
          <w:rFonts w:hint="eastAsia" w:ascii="仿宋_GB2312" w:eastAsia="仿宋_GB2312"/>
          <w:b/>
          <w:bCs/>
          <w:color w:val="auto"/>
          <w:sz w:val="24"/>
          <w:highlight w:val="none"/>
        </w:rPr>
        <w:t>格式</w:t>
      </w:r>
      <w:r>
        <w:rPr>
          <w:rFonts w:hint="eastAsia" w:ascii="仿宋_GB2312" w:hAnsi="Calibri" w:eastAsia="仿宋_GB2312"/>
          <w:b/>
          <w:bCs/>
          <w:color w:val="auto"/>
          <w:sz w:val="24"/>
          <w:highlight w:val="none"/>
        </w:rPr>
        <w:t>（必须提供）：</w:t>
      </w:r>
    </w:p>
    <w:p w14:paraId="09713125">
      <w:pPr>
        <w:snapToGrid w:val="0"/>
        <w:spacing w:before="50" w:after="120" w:afterLines="50" w:line="400" w:lineRule="exact"/>
        <w:jc w:val="center"/>
        <w:rPr>
          <w:rFonts w:ascii="仿宋_GB2312" w:eastAsia="仿宋_GB2312"/>
          <w:b/>
          <w:bCs/>
          <w:color w:val="auto"/>
          <w:sz w:val="32"/>
          <w:szCs w:val="32"/>
          <w:highlight w:val="none"/>
        </w:rPr>
      </w:pPr>
    </w:p>
    <w:p w14:paraId="56770240">
      <w:pPr>
        <w:autoSpaceDE w:val="0"/>
        <w:autoSpaceDN w:val="0"/>
        <w:adjustRightInd w:val="0"/>
        <w:spacing w:line="400" w:lineRule="exact"/>
        <w:ind w:firstLine="640"/>
        <w:jc w:val="center"/>
        <w:rPr>
          <w:rFonts w:ascii="仿宋_GB2312" w:eastAsia="仿宋_GB2312"/>
          <w:b/>
          <w:bCs/>
          <w:color w:val="auto"/>
          <w:sz w:val="32"/>
          <w:szCs w:val="32"/>
          <w:highlight w:val="none"/>
        </w:rPr>
      </w:pPr>
      <w:r>
        <w:rPr>
          <w:rFonts w:hint="eastAsia" w:ascii="仿宋_GB2312" w:eastAsia="仿宋_GB2312"/>
          <w:b/>
          <w:bCs/>
          <w:color w:val="auto"/>
          <w:sz w:val="32"/>
          <w:szCs w:val="32"/>
          <w:highlight w:val="none"/>
        </w:rPr>
        <w:t>投标人资格声明函</w:t>
      </w:r>
    </w:p>
    <w:p w14:paraId="2E9E38BA">
      <w:pPr>
        <w:autoSpaceDE w:val="0"/>
        <w:autoSpaceDN w:val="0"/>
        <w:adjustRightInd w:val="0"/>
        <w:spacing w:line="400" w:lineRule="exact"/>
        <w:rPr>
          <w:rFonts w:ascii="仿宋_GB2312" w:eastAsia="仿宋_GB2312"/>
          <w:color w:val="auto"/>
          <w:spacing w:val="6"/>
          <w:sz w:val="24"/>
          <w:highlight w:val="none"/>
        </w:rPr>
      </w:pPr>
      <w:r>
        <w:rPr>
          <w:rFonts w:hint="eastAsia" w:ascii="仿宋_GB2312" w:eastAsia="仿宋_GB2312"/>
          <w:color w:val="auto"/>
          <w:spacing w:val="6"/>
          <w:sz w:val="24"/>
          <w:highlight w:val="none"/>
        </w:rPr>
        <w:t>致：</w:t>
      </w:r>
      <w:r>
        <w:rPr>
          <w:rFonts w:ascii="仿宋_GB2312" w:eastAsia="仿宋_GB2312"/>
          <w:color w:val="auto"/>
          <w:spacing w:val="6"/>
          <w:sz w:val="24"/>
          <w:highlight w:val="none"/>
          <w:u w:val="single"/>
        </w:rPr>
        <w:t>柳州市电化教育站</w:t>
      </w:r>
      <w:r>
        <w:rPr>
          <w:rFonts w:hint="eastAsia" w:ascii="仿宋_GB2312" w:eastAsia="仿宋_GB2312"/>
          <w:color w:val="auto"/>
          <w:spacing w:val="6"/>
          <w:sz w:val="24"/>
          <w:highlight w:val="none"/>
          <w:u w:val="single"/>
        </w:rPr>
        <w:t>、柳州市政府集中采购中心</w:t>
      </w:r>
      <w:r>
        <w:rPr>
          <w:rFonts w:hint="eastAsia" w:ascii="仿宋_GB2312" w:eastAsia="仿宋_GB2312"/>
          <w:color w:val="auto"/>
          <w:spacing w:val="6"/>
          <w:sz w:val="24"/>
          <w:highlight w:val="none"/>
        </w:rPr>
        <w:t>：</w:t>
      </w:r>
    </w:p>
    <w:p w14:paraId="06F30B7E">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我方自愿参加</w:t>
      </w:r>
      <w:r>
        <w:rPr>
          <w:rFonts w:hint="eastAsia" w:ascii="仿宋_GB2312" w:eastAsia="仿宋_GB2312"/>
          <w:color w:val="auto"/>
          <w:spacing w:val="6"/>
          <w:sz w:val="24"/>
          <w:highlight w:val="none"/>
          <w:u w:val="single"/>
        </w:rPr>
        <w:t xml:space="preserve">                       </w:t>
      </w:r>
      <w:r>
        <w:rPr>
          <w:rFonts w:hint="eastAsia" w:ascii="仿宋_GB2312" w:eastAsia="仿宋_GB2312"/>
          <w:color w:val="auto"/>
          <w:spacing w:val="6"/>
          <w:sz w:val="24"/>
          <w:highlight w:val="none"/>
        </w:rPr>
        <w:t>项目（项目编号：</w:t>
      </w:r>
      <w:r>
        <w:rPr>
          <w:rFonts w:hint="eastAsia" w:ascii="仿宋_GB2312" w:eastAsia="仿宋_GB2312"/>
          <w:color w:val="auto"/>
          <w:spacing w:val="6"/>
          <w:sz w:val="24"/>
          <w:highlight w:val="none"/>
          <w:u w:val="single"/>
        </w:rPr>
        <w:t xml:space="preserve">           </w:t>
      </w:r>
      <w:r>
        <w:rPr>
          <w:rFonts w:hint="eastAsia" w:ascii="仿宋_GB2312" w:eastAsia="仿宋_GB2312"/>
          <w:color w:val="auto"/>
          <w:spacing w:val="6"/>
          <w:sz w:val="24"/>
          <w:highlight w:val="none"/>
        </w:rPr>
        <w:t xml:space="preserve">）的政府采购活动，并郑重承诺我方符合《中华人民共和国政府采购法》第二十二条规定的条件： </w:t>
      </w:r>
    </w:p>
    <w:p w14:paraId="350CA509">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 xml:space="preserve">（一）具有独立承担民事责任的能力； </w:t>
      </w:r>
    </w:p>
    <w:p w14:paraId="41240FF4">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 xml:space="preserve">（二）具有良好的商业信誉和健全的财务会计制度； </w:t>
      </w:r>
    </w:p>
    <w:p w14:paraId="1F84DAA2">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 xml:space="preserve">（三）具有履行合同所必需的设备和专业技术能力； </w:t>
      </w:r>
    </w:p>
    <w:p w14:paraId="46C44E45">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 xml:space="preserve">（四）有依法缴纳税收和社会保障资金的良好记录； </w:t>
      </w:r>
    </w:p>
    <w:p w14:paraId="73FB899A">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 xml:space="preserve">（五）参加政府采购活动前三年内，在经营活动中没有重大违法记录； </w:t>
      </w:r>
    </w:p>
    <w:p w14:paraId="52F51F57">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（六）若以分公司名义参与政府采购活动的，已获得总公司针对本项目的授权；</w:t>
      </w:r>
    </w:p>
    <w:p w14:paraId="13DABF4D">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 xml:space="preserve">（七）法律、行政法规规定的其他条件。 </w:t>
      </w:r>
    </w:p>
    <w:p w14:paraId="49E9A53E">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color w:val="auto"/>
          <w:spacing w:val="6"/>
          <w:sz w:val="24"/>
          <w:highlight w:val="none"/>
        </w:rPr>
        <w:t xml:space="preserve">我方保证上述承诺事项的真实性，如有弄虚作假或其他违法违规行为，愿意承担一切法律责任，并承担因此所造成的一切损失。 </w:t>
      </w:r>
    </w:p>
    <w:p w14:paraId="2375252D">
      <w:pPr>
        <w:autoSpaceDE w:val="0"/>
        <w:autoSpaceDN w:val="0"/>
        <w:adjustRightInd w:val="0"/>
        <w:spacing w:line="400" w:lineRule="exact"/>
        <w:ind w:firstLine="640"/>
        <w:rPr>
          <w:rFonts w:ascii="仿宋_GB2312" w:eastAsia="仿宋_GB2312"/>
          <w:color w:val="auto"/>
          <w:spacing w:val="6"/>
          <w:sz w:val="24"/>
          <w:highlight w:val="none"/>
        </w:rPr>
      </w:pPr>
      <w:r>
        <w:rPr>
          <w:rFonts w:hint="eastAsia" w:ascii="仿宋_GB2312" w:eastAsia="仿宋_GB2312"/>
          <w:b/>
          <w:bCs/>
          <w:color w:val="auto"/>
          <w:spacing w:val="6"/>
          <w:sz w:val="24"/>
          <w:highlight w:val="none"/>
        </w:rPr>
        <w:t>特此声明！</w:t>
      </w:r>
      <w:r>
        <w:rPr>
          <w:rFonts w:hint="eastAsia" w:ascii="仿宋_GB2312" w:eastAsia="仿宋_GB2312"/>
          <w:color w:val="auto"/>
          <w:spacing w:val="6"/>
          <w:sz w:val="24"/>
          <w:highlight w:val="none"/>
        </w:rPr>
        <w:t xml:space="preserve"> </w:t>
      </w:r>
    </w:p>
    <w:p w14:paraId="601FE72B">
      <w:pPr>
        <w:pStyle w:val="47"/>
        <w:spacing w:line="400" w:lineRule="exact"/>
        <w:ind w:firstLine="504"/>
        <w:rPr>
          <w:rFonts w:ascii="仿宋_GB2312" w:eastAsia="仿宋_GB2312"/>
          <w:color w:val="auto"/>
          <w:spacing w:val="6"/>
          <w:sz w:val="24"/>
          <w:highlight w:val="none"/>
        </w:rPr>
      </w:pPr>
    </w:p>
    <w:p w14:paraId="42F442D3">
      <w:pPr>
        <w:spacing w:line="400" w:lineRule="exact"/>
        <w:rPr>
          <w:color w:val="auto"/>
          <w:sz w:val="24"/>
          <w:highlight w:val="none"/>
        </w:rPr>
      </w:pPr>
    </w:p>
    <w:p w14:paraId="2FB46934">
      <w:pPr>
        <w:spacing w:line="400" w:lineRule="exact"/>
        <w:jc w:val="center"/>
        <w:rPr>
          <w:rFonts w:ascii="仿宋_GB2312" w:eastAsia="仿宋_GB2312"/>
          <w:color w:val="auto"/>
          <w:sz w:val="24"/>
          <w:highlight w:val="none"/>
          <w:u w:val="single"/>
        </w:rPr>
      </w:pPr>
      <w:r>
        <w:rPr>
          <w:rFonts w:hint="eastAsia" w:ascii="仿宋_GB2312" w:eastAsia="仿宋_GB2312"/>
          <w:color w:val="auto"/>
          <w:sz w:val="24"/>
          <w:highlight w:val="none"/>
        </w:rPr>
        <w:t xml:space="preserve">                        法定代表人或委托代理人</w:t>
      </w:r>
      <w:r>
        <w:rPr>
          <w:rFonts w:hint="eastAsia" w:ascii="仿宋_GB2312" w:eastAsia="仿宋_GB2312"/>
          <w:b/>
          <w:bCs/>
          <w:color w:val="auto"/>
          <w:sz w:val="24"/>
          <w:highlight w:val="none"/>
        </w:rPr>
        <w:t>（签字）：</w:t>
      </w:r>
      <w:r>
        <w:rPr>
          <w:rFonts w:hint="eastAsia" w:ascii="仿宋_GB2312" w:eastAsia="仿宋_GB2312"/>
          <w:color w:val="auto"/>
          <w:sz w:val="24"/>
          <w:highlight w:val="none"/>
          <w:u w:val="single"/>
        </w:rPr>
        <w:t xml:space="preserve">         </w:t>
      </w:r>
    </w:p>
    <w:p w14:paraId="3734AD7C">
      <w:pPr>
        <w:spacing w:line="400" w:lineRule="exact"/>
        <w:jc w:val="center"/>
        <w:rPr>
          <w:rFonts w:ascii="仿宋_GB2312" w:eastAsia="仿宋_GB2312"/>
          <w:color w:val="auto"/>
          <w:sz w:val="24"/>
          <w:highlight w:val="none"/>
          <w:u w:val="single"/>
        </w:rPr>
      </w:pPr>
    </w:p>
    <w:p w14:paraId="7AF02D5C">
      <w:pPr>
        <w:pStyle w:val="26"/>
        <w:spacing w:line="400" w:lineRule="exact"/>
        <w:ind w:firstLine="5160" w:firstLineChars="2150"/>
        <w:rPr>
          <w:rFonts w:ascii="仿宋_GB2312" w:eastAsia="仿宋_GB2312"/>
          <w:color w:val="auto"/>
          <w:sz w:val="24"/>
          <w:szCs w:val="24"/>
          <w:highlight w:val="none"/>
        </w:rPr>
      </w:pPr>
      <w:r>
        <w:rPr>
          <w:rFonts w:hint="eastAsia" w:ascii="仿宋_GB2312" w:eastAsia="仿宋_GB2312"/>
          <w:color w:val="auto"/>
          <w:sz w:val="24"/>
          <w:szCs w:val="24"/>
          <w:highlight w:val="none"/>
        </w:rPr>
        <w:t>投标人</w:t>
      </w:r>
      <w:r>
        <w:rPr>
          <w:rFonts w:hint="eastAsia" w:ascii="仿宋_GB2312" w:eastAsia="仿宋_GB2312"/>
          <w:b/>
          <w:bCs/>
          <w:color w:val="auto"/>
          <w:sz w:val="24"/>
          <w:szCs w:val="24"/>
          <w:highlight w:val="none"/>
        </w:rPr>
        <w:t>（CA电子签章）</w:t>
      </w:r>
      <w:r>
        <w:rPr>
          <w:rFonts w:hint="eastAsia" w:ascii="仿宋_GB2312" w:eastAsia="仿宋_GB2312"/>
          <w:color w:val="auto"/>
          <w:sz w:val="24"/>
          <w:szCs w:val="24"/>
          <w:highlight w:val="none"/>
        </w:rPr>
        <w:t>：</w:t>
      </w:r>
      <w:r>
        <w:rPr>
          <w:rFonts w:hint="eastAsia" w:ascii="仿宋_GB2312" w:eastAsia="仿宋_GB2312"/>
          <w:color w:val="auto"/>
          <w:sz w:val="24"/>
          <w:szCs w:val="24"/>
          <w:highlight w:val="none"/>
          <w:u w:val="single"/>
        </w:rPr>
        <w:t xml:space="preserve">                               </w:t>
      </w:r>
    </w:p>
    <w:p w14:paraId="6B090EEA">
      <w:pPr>
        <w:pStyle w:val="26"/>
        <w:spacing w:line="400" w:lineRule="exact"/>
        <w:rPr>
          <w:rFonts w:hint="eastAsia" w:ascii="仿宋_GB2312" w:hAnsi="宋体" w:eastAsia="仿宋_GB2312"/>
          <w:color w:val="auto"/>
          <w:sz w:val="24"/>
          <w:szCs w:val="24"/>
          <w:highlight w:val="none"/>
        </w:rPr>
      </w:pPr>
    </w:p>
    <w:p w14:paraId="558E27CF">
      <w:pPr>
        <w:pStyle w:val="26"/>
        <w:spacing w:line="400" w:lineRule="exact"/>
        <w:jc w:val="righ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日期：       年   月   日</w:t>
      </w:r>
    </w:p>
    <w:p w14:paraId="499A1354">
      <w:pPr>
        <w:pStyle w:val="26"/>
        <w:spacing w:line="400" w:lineRule="exact"/>
        <w:ind w:firstLine="482" w:firstLineChars="200"/>
        <w:rPr>
          <w:rFonts w:hint="eastAsia" w:ascii="仿宋_GB2312" w:hAnsi="宋体" w:eastAsia="仿宋_GB2312"/>
          <w:b/>
          <w:bCs/>
          <w:color w:val="auto"/>
          <w:sz w:val="24"/>
          <w:szCs w:val="24"/>
          <w:highlight w:val="none"/>
        </w:rPr>
      </w:pPr>
      <w:r>
        <w:rPr>
          <w:rFonts w:hint="eastAsia" w:ascii="仿宋_GB2312" w:eastAsia="仿宋_GB2312"/>
          <w:b/>
          <w:color w:val="auto"/>
          <w:sz w:val="24"/>
          <w:szCs w:val="24"/>
          <w:highlight w:val="none"/>
        </w:rPr>
        <w:t>注：此项材料必须</w:t>
      </w:r>
      <w:r>
        <w:rPr>
          <w:rFonts w:hint="eastAsia" w:ascii="仿宋_GB2312" w:hAnsi="宋体" w:eastAsia="仿宋_GB2312"/>
          <w:b/>
          <w:bCs/>
          <w:color w:val="auto"/>
          <w:sz w:val="24"/>
          <w:szCs w:val="24"/>
          <w:highlight w:val="none"/>
        </w:rPr>
        <w:t>以PDF格式上传。</w:t>
      </w:r>
    </w:p>
    <w:p w14:paraId="36125E4C">
      <w:pPr>
        <w:pStyle w:val="9"/>
        <w:overflowPunct w:val="0"/>
        <w:ind w:left="0" w:firstLine="0"/>
        <w:rPr>
          <w:rFonts w:ascii="仿宋_GB2312" w:hAnsi="Courier New" w:eastAsia="仿宋_GB2312" w:cs="Courier New"/>
          <w:bCs/>
          <w:color w:val="auto"/>
          <w:sz w:val="24"/>
          <w:szCs w:val="24"/>
          <w:highlight w:val="none"/>
        </w:rPr>
        <w:sectPr>
          <w:pgSz w:w="11906" w:h="16838"/>
          <w:pgMar w:top="1440" w:right="707" w:bottom="1440" w:left="1440" w:header="851" w:footer="992" w:gutter="0"/>
          <w:cols w:space="720" w:num="1"/>
          <w:docGrid w:linePitch="312" w:charSpace="0"/>
        </w:sectPr>
      </w:pPr>
    </w:p>
    <w:p w14:paraId="7023A7D0">
      <w:pPr>
        <w:pStyle w:val="370"/>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t>  （4）投标人有效主体资格证明（如营业执照、事业单位法人证书、执业许可证、自然人身份证等）（</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659B957A">
      <w:pPr>
        <w:snapToGrid w:val="0"/>
        <w:spacing w:line="400" w:lineRule="exact"/>
        <w:jc w:val="left"/>
        <w:rPr>
          <w:rFonts w:ascii="仿宋_GB2312" w:eastAsia="仿宋_GB2312"/>
          <w:bCs/>
          <w:color w:val="auto"/>
          <w:sz w:val="24"/>
          <w:highlight w:val="none"/>
        </w:rPr>
      </w:pPr>
    </w:p>
    <w:p w14:paraId="1CC25572">
      <w:pPr>
        <w:snapToGrid w:val="0"/>
        <w:spacing w:line="400" w:lineRule="exact"/>
        <w:jc w:val="left"/>
        <w:rPr>
          <w:rFonts w:ascii="仿宋_GB2312" w:eastAsia="仿宋_GB2312"/>
          <w:bCs/>
          <w:color w:val="auto"/>
          <w:sz w:val="24"/>
          <w:highlight w:val="none"/>
        </w:rPr>
      </w:pPr>
    </w:p>
    <w:p w14:paraId="6654AE02">
      <w:pPr>
        <w:snapToGrid w:val="0"/>
        <w:spacing w:before="120" w:beforeLines="50" w:after="50" w:line="400" w:lineRule="exact"/>
        <w:outlineLvl w:val="1"/>
        <w:rPr>
          <w:rFonts w:ascii="仿宋_GB2312" w:eastAsia="仿宋_GB2312"/>
          <w:b/>
          <w:bCs/>
          <w:color w:val="auto"/>
          <w:szCs w:val="21"/>
          <w:highlight w:val="none"/>
        </w:rPr>
      </w:pPr>
    </w:p>
    <w:p w14:paraId="4CD621CB">
      <w:pPr>
        <w:ind w:firstLine="643" w:firstLineChars="200"/>
        <w:jc w:val="left"/>
        <w:rPr>
          <w:rFonts w:ascii="仿宋_GB2312" w:eastAsia="仿宋_GB2312"/>
          <w:b/>
          <w:bCs/>
          <w:color w:val="auto"/>
          <w:sz w:val="32"/>
          <w:szCs w:val="32"/>
          <w:highlight w:val="none"/>
        </w:rPr>
      </w:pPr>
      <w:bookmarkStart w:id="87" w:name="_Hlk56503802"/>
      <w:r>
        <w:rPr>
          <w:rFonts w:hint="eastAsia" w:ascii="仿宋_GB2312" w:eastAsia="仿宋_GB2312"/>
          <w:b/>
          <w:bCs/>
          <w:color w:val="auto"/>
          <w:sz w:val="32"/>
          <w:szCs w:val="32"/>
          <w:highlight w:val="none"/>
        </w:rPr>
        <w:t>注：第（4）项必须提供且为PDF格式，并加盖投标人CA电子签章。</w:t>
      </w:r>
    </w:p>
    <w:p w14:paraId="5FC7ADC2">
      <w:pPr>
        <w:ind w:firstLine="643" w:firstLineChars="200"/>
        <w:jc w:val="left"/>
        <w:rPr>
          <w:rFonts w:ascii="仿宋_GB2312" w:eastAsia="仿宋_GB2312"/>
          <w:b/>
          <w:bCs/>
          <w:color w:val="auto"/>
          <w:sz w:val="32"/>
          <w:szCs w:val="32"/>
          <w:highlight w:val="none"/>
        </w:rPr>
      </w:pPr>
    </w:p>
    <w:bookmarkEnd w:id="87"/>
    <w:p w14:paraId="0D4EC5C2">
      <w:pPr>
        <w:snapToGrid w:val="0"/>
        <w:spacing w:before="120" w:beforeLines="50" w:after="50" w:line="400" w:lineRule="exact"/>
        <w:rPr>
          <w:rFonts w:ascii="仿宋_GB2312" w:eastAsia="仿宋_GB2312"/>
          <w:color w:val="auto"/>
          <w:szCs w:val="21"/>
          <w:highlight w:val="none"/>
        </w:rPr>
        <w:sectPr>
          <w:pgSz w:w="11906" w:h="16838"/>
          <w:pgMar w:top="1440" w:right="707" w:bottom="1440" w:left="1440" w:header="851" w:footer="992" w:gutter="0"/>
          <w:cols w:space="720" w:num="1"/>
          <w:docGrid w:linePitch="312" w:charSpace="0"/>
        </w:sectPr>
      </w:pPr>
    </w:p>
    <w:p w14:paraId="3BAD75A1">
      <w:pPr>
        <w:spacing w:line="276" w:lineRule="auto"/>
        <w:jc w:val="center"/>
        <w:rPr>
          <w:rFonts w:hint="eastAsia" w:ascii="仿宋_GB2312" w:hAnsi="宋体" w:eastAsia="仿宋_GB2312"/>
          <w:b/>
          <w:bCs/>
          <w:color w:val="auto"/>
          <w:sz w:val="56"/>
          <w:szCs w:val="56"/>
          <w:highlight w:val="none"/>
        </w:rPr>
      </w:pPr>
      <w:r>
        <w:rPr>
          <w:rFonts w:hint="eastAsia" w:ascii="仿宋_GB2312" w:hAnsi="宋体" w:eastAsia="仿宋_GB2312"/>
          <w:b/>
          <w:bCs/>
          <w:color w:val="auto"/>
          <w:sz w:val="56"/>
          <w:szCs w:val="56"/>
          <w:highlight w:val="none"/>
        </w:rPr>
        <w:t xml:space="preserve">   </w:t>
      </w:r>
    </w:p>
    <w:p w14:paraId="0886714A">
      <w:pPr>
        <w:spacing w:line="276" w:lineRule="auto"/>
        <w:jc w:val="center"/>
        <w:rPr>
          <w:rFonts w:hint="eastAsia" w:ascii="仿宋_GB2312" w:hAnsi="宋体" w:eastAsia="仿宋_GB2312"/>
          <w:b/>
          <w:bCs/>
          <w:color w:val="auto"/>
          <w:sz w:val="56"/>
          <w:szCs w:val="56"/>
          <w:highlight w:val="none"/>
        </w:rPr>
      </w:pPr>
    </w:p>
    <w:p w14:paraId="28B4E885">
      <w:pPr>
        <w:spacing w:line="276" w:lineRule="auto"/>
        <w:jc w:val="center"/>
        <w:rPr>
          <w:rFonts w:hint="eastAsia" w:ascii="仿宋_GB2312" w:hAnsi="宋体" w:eastAsia="仿宋_GB2312"/>
          <w:b/>
          <w:bCs/>
          <w:color w:val="auto"/>
          <w:sz w:val="56"/>
          <w:szCs w:val="56"/>
          <w:highlight w:val="none"/>
        </w:rPr>
      </w:pPr>
    </w:p>
    <w:p w14:paraId="3F48F87A">
      <w:pPr>
        <w:spacing w:line="276" w:lineRule="auto"/>
        <w:jc w:val="center"/>
        <w:rPr>
          <w:rFonts w:hint="eastAsia" w:ascii="仿宋_GB2312" w:hAnsi="宋体" w:eastAsia="仿宋_GB2312"/>
          <w:b/>
          <w:bCs/>
          <w:color w:val="auto"/>
          <w:sz w:val="56"/>
          <w:szCs w:val="56"/>
          <w:highlight w:val="none"/>
        </w:rPr>
      </w:pPr>
    </w:p>
    <w:p w14:paraId="6D714911">
      <w:pPr>
        <w:spacing w:line="276" w:lineRule="auto"/>
        <w:rPr>
          <w:rFonts w:hint="eastAsia" w:ascii="仿宋_GB2312" w:hAnsi="宋体" w:eastAsia="仿宋_GB2312"/>
          <w:b/>
          <w:bCs/>
          <w:color w:val="auto"/>
          <w:sz w:val="56"/>
          <w:szCs w:val="56"/>
          <w:highlight w:val="none"/>
        </w:rPr>
      </w:pPr>
    </w:p>
    <w:p w14:paraId="2E0D0ED5">
      <w:pPr>
        <w:spacing w:line="276" w:lineRule="auto"/>
        <w:rPr>
          <w:rFonts w:hint="eastAsia" w:ascii="仿宋_GB2312" w:hAnsi="宋体" w:eastAsia="仿宋_GB2312"/>
          <w:b/>
          <w:bCs/>
          <w:color w:val="auto"/>
          <w:sz w:val="56"/>
          <w:szCs w:val="56"/>
          <w:highlight w:val="none"/>
        </w:rPr>
      </w:pPr>
    </w:p>
    <w:p w14:paraId="45FECC62">
      <w:pPr>
        <w:spacing w:line="276" w:lineRule="auto"/>
        <w:rPr>
          <w:rFonts w:hint="eastAsia" w:ascii="仿宋_GB2312" w:hAnsi="宋体" w:eastAsia="仿宋_GB2312"/>
          <w:b/>
          <w:bCs/>
          <w:color w:val="auto"/>
          <w:sz w:val="56"/>
          <w:szCs w:val="56"/>
          <w:highlight w:val="none"/>
        </w:rPr>
      </w:pPr>
    </w:p>
    <w:p w14:paraId="5AF39E9F">
      <w:pPr>
        <w:spacing w:line="276" w:lineRule="auto"/>
        <w:jc w:val="center"/>
        <w:rPr>
          <w:rFonts w:hint="eastAsia" w:ascii="仿宋_GB2312" w:hAnsi="宋体" w:eastAsia="仿宋_GB2312"/>
          <w:b/>
          <w:bCs/>
          <w:color w:val="auto"/>
          <w:sz w:val="56"/>
          <w:szCs w:val="56"/>
          <w:highlight w:val="none"/>
        </w:rPr>
      </w:pPr>
      <w:r>
        <w:rPr>
          <w:rFonts w:hint="eastAsia" w:ascii="仿宋_GB2312" w:hAnsi="宋体" w:eastAsia="仿宋_GB2312"/>
          <w:b/>
          <w:bCs/>
          <w:color w:val="auto"/>
          <w:sz w:val="56"/>
          <w:szCs w:val="56"/>
          <w:highlight w:val="none"/>
        </w:rPr>
        <w:t>二、报  价 要 求 文  件  格  式</w:t>
      </w:r>
    </w:p>
    <w:p w14:paraId="14C224E8">
      <w:pPr>
        <w:snapToGrid w:val="0"/>
        <w:spacing w:before="50" w:after="50"/>
        <w:rPr>
          <w:rFonts w:ascii="仿宋_GB2312" w:eastAsia="仿宋_GB2312"/>
          <w:bCs/>
          <w:color w:val="auto"/>
          <w:sz w:val="30"/>
          <w:szCs w:val="30"/>
          <w:highlight w:val="none"/>
        </w:rPr>
      </w:pPr>
    </w:p>
    <w:p w14:paraId="21C1B3A5">
      <w:pPr>
        <w:snapToGrid w:val="0"/>
        <w:spacing w:before="50" w:after="50"/>
        <w:rPr>
          <w:rFonts w:ascii="仿宋_GB2312" w:eastAsia="仿宋_GB2312"/>
          <w:bCs/>
          <w:color w:val="auto"/>
          <w:sz w:val="30"/>
          <w:szCs w:val="30"/>
          <w:highlight w:val="none"/>
        </w:rPr>
        <w:sectPr>
          <w:pgSz w:w="11906" w:h="16838"/>
          <w:pgMar w:top="1440" w:right="1440" w:bottom="1440" w:left="1440" w:header="851" w:footer="992" w:gutter="0"/>
          <w:cols w:space="720" w:num="1"/>
          <w:docGrid w:linePitch="312" w:charSpace="0"/>
        </w:sectPr>
      </w:pPr>
    </w:p>
    <w:p w14:paraId="7A746B16">
      <w:pPr>
        <w:snapToGrid w:val="0"/>
        <w:spacing w:before="50" w:after="50" w:line="400" w:lineRule="exact"/>
        <w:rPr>
          <w:rFonts w:ascii="仿宋_GB2312" w:eastAsia="仿宋_GB2312"/>
          <w:b/>
          <w:bCs/>
          <w:color w:val="auto"/>
          <w:sz w:val="24"/>
          <w:highlight w:val="none"/>
        </w:rPr>
      </w:pPr>
      <w:r>
        <w:rPr>
          <w:rFonts w:hint="eastAsia" w:ascii="仿宋_GB2312" w:eastAsia="仿宋_GB2312"/>
          <w:b/>
          <w:bCs/>
          <w:color w:val="auto"/>
          <w:sz w:val="24"/>
          <w:highlight w:val="none"/>
        </w:rPr>
        <w:t>报价要求文件目录：</w:t>
      </w:r>
    </w:p>
    <w:p w14:paraId="5F3D28B8">
      <w:pPr>
        <w:snapToGrid w:val="0"/>
        <w:spacing w:before="50" w:after="50" w:line="400" w:lineRule="exact"/>
        <w:rPr>
          <w:rFonts w:ascii="仿宋_GB2312" w:eastAsia="仿宋_GB2312"/>
          <w:b/>
          <w:bCs/>
          <w:color w:val="auto"/>
          <w:szCs w:val="21"/>
          <w:highlight w:val="none"/>
        </w:rPr>
      </w:pPr>
    </w:p>
    <w:p w14:paraId="48501341">
      <w:pPr>
        <w:tabs>
          <w:tab w:val="left" w:pos="3870"/>
          <w:tab w:val="left" w:pos="4085"/>
        </w:tabs>
        <w:snapToGrid w:val="0"/>
        <w:jc w:val="center"/>
        <w:rPr>
          <w:rFonts w:ascii="仿宋_GB2312" w:eastAsia="仿宋_GB2312"/>
          <w:color w:val="auto"/>
          <w:sz w:val="36"/>
          <w:szCs w:val="36"/>
          <w:highlight w:val="none"/>
        </w:rPr>
      </w:pPr>
    </w:p>
    <w:p w14:paraId="42FF7A7B">
      <w:pPr>
        <w:spacing w:line="276" w:lineRule="auto"/>
        <w:jc w:val="center"/>
        <w:rPr>
          <w:rFonts w:ascii="仿宋_GB2312" w:eastAsia="仿宋_GB2312"/>
          <w:color w:val="auto"/>
          <w:sz w:val="44"/>
          <w:szCs w:val="44"/>
          <w:highlight w:val="none"/>
        </w:rPr>
      </w:pPr>
      <w:r>
        <w:rPr>
          <w:rFonts w:hint="eastAsia" w:ascii="仿宋_GB2312" w:eastAsia="仿宋_GB2312"/>
          <w:color w:val="auto"/>
          <w:sz w:val="44"/>
          <w:szCs w:val="44"/>
          <w:highlight w:val="none"/>
        </w:rPr>
        <w:t>目    录</w:t>
      </w:r>
    </w:p>
    <w:p w14:paraId="5E0AA0AA">
      <w:pPr>
        <w:spacing w:line="360" w:lineRule="auto"/>
        <w:ind w:firstLine="424" w:firstLineChars="177"/>
        <w:rPr>
          <w:rFonts w:ascii="仿宋_GB2312" w:eastAsia="仿宋_GB2312" w:cs="Courier New"/>
          <w:color w:val="auto"/>
          <w:sz w:val="24"/>
          <w:highlight w:val="none"/>
        </w:rPr>
      </w:pPr>
      <w:r>
        <w:rPr>
          <w:rFonts w:hint="eastAsia" w:ascii="仿宋_GB2312" w:eastAsia="仿宋_GB2312" w:cs="Courier New"/>
          <w:color w:val="auto"/>
          <w:sz w:val="24"/>
          <w:highlight w:val="none"/>
        </w:rPr>
        <w:t>（1）开标一览表（</w:t>
      </w:r>
      <w:r>
        <w:rPr>
          <w:rFonts w:hint="eastAsia" w:ascii="仿宋_GB2312" w:eastAsia="仿宋_GB2312"/>
          <w:b/>
          <w:bCs/>
          <w:color w:val="auto"/>
          <w:sz w:val="24"/>
          <w:highlight w:val="none"/>
        </w:rPr>
        <w:t>必须提供</w:t>
      </w:r>
      <w:r>
        <w:rPr>
          <w:rFonts w:hint="eastAsia" w:ascii="仿宋_GB2312" w:eastAsia="仿宋_GB2312" w:cs="Courier New"/>
          <w:color w:val="auto"/>
          <w:sz w:val="24"/>
          <w:highlight w:val="none"/>
        </w:rPr>
        <w:t>）…………………………………………………………</w:t>
      </w:r>
    </w:p>
    <w:p w14:paraId="314717E6">
      <w:pPr>
        <w:spacing w:line="360" w:lineRule="auto"/>
        <w:ind w:firstLine="1080" w:firstLineChars="450"/>
        <w:rPr>
          <w:rFonts w:ascii="仿宋_GB2312" w:eastAsia="仿宋_GB2312" w:cs="Courier New"/>
          <w:color w:val="auto"/>
          <w:sz w:val="24"/>
          <w:highlight w:val="none"/>
        </w:rPr>
      </w:pPr>
      <w:r>
        <w:rPr>
          <w:rFonts w:hint="eastAsia" w:ascii="仿宋_GB2312" w:eastAsia="仿宋_GB2312" w:cs="Courier New"/>
          <w:color w:val="auto"/>
          <w:sz w:val="24"/>
          <w:highlight w:val="none"/>
        </w:rPr>
        <w:t>附件1：中小企业声明函格式（如有）………………………………………</w:t>
      </w:r>
    </w:p>
    <w:p w14:paraId="544FE855">
      <w:pPr>
        <w:spacing w:line="360" w:lineRule="auto"/>
        <w:ind w:firstLine="1080" w:firstLineChars="450"/>
        <w:rPr>
          <w:rFonts w:ascii="仿宋_GB2312" w:eastAsia="仿宋_GB2312" w:cs="Courier New"/>
          <w:color w:val="auto"/>
          <w:sz w:val="24"/>
          <w:highlight w:val="none"/>
        </w:rPr>
      </w:pPr>
      <w:r>
        <w:rPr>
          <w:rFonts w:hint="eastAsia" w:ascii="仿宋_GB2312" w:eastAsia="仿宋_GB2312" w:cs="Courier New"/>
          <w:color w:val="auto"/>
          <w:sz w:val="24"/>
          <w:highlight w:val="none"/>
        </w:rPr>
        <w:t>附件2：残疾人福利性单位声明函格式（如有）…………………………………</w:t>
      </w:r>
    </w:p>
    <w:p w14:paraId="552FEE86">
      <w:pPr>
        <w:spacing w:line="360" w:lineRule="auto"/>
        <w:ind w:firstLine="1080" w:firstLineChars="450"/>
        <w:rPr>
          <w:rFonts w:hint="eastAsia" w:ascii="仿宋_GB2312" w:eastAsia="仿宋_GB2312" w:cs="Courier New"/>
          <w:color w:val="auto"/>
          <w:sz w:val="24"/>
          <w:highlight w:val="none"/>
        </w:rPr>
      </w:pPr>
      <w:r>
        <w:rPr>
          <w:rFonts w:hint="eastAsia" w:ascii="仿宋_GB2312" w:eastAsia="仿宋_GB2312" w:cs="Courier New"/>
          <w:color w:val="auto"/>
          <w:sz w:val="24"/>
          <w:highlight w:val="none"/>
        </w:rPr>
        <w:t>附件3：监狱企业由省级以上监狱管理局、戒毒管理局（含新疆生产建设兵团）出具的属于监狱企业的证明文件（如有）……………………………………</w:t>
      </w:r>
    </w:p>
    <w:p w14:paraId="5999293F">
      <w:pPr>
        <w:spacing w:line="360" w:lineRule="auto"/>
        <w:ind w:firstLine="1080" w:firstLineChars="450"/>
        <w:rPr>
          <w:rFonts w:ascii="仿宋_GB2312" w:eastAsia="仿宋_GB2312" w:cs="Courier New"/>
          <w:color w:val="auto"/>
          <w:sz w:val="24"/>
          <w:highlight w:val="none"/>
        </w:rPr>
      </w:pPr>
      <w:r>
        <w:rPr>
          <w:rFonts w:hint="eastAsia" w:ascii="仿宋_GB2312" w:eastAsia="仿宋_GB2312" w:cs="Courier New"/>
          <w:color w:val="auto"/>
          <w:sz w:val="24"/>
          <w:highlight w:val="none"/>
        </w:rPr>
        <w:t>附件4：关于符合本国产品标准的声明函（如有）……………………………</w:t>
      </w:r>
    </w:p>
    <w:p w14:paraId="6C60E5BF">
      <w:pPr>
        <w:spacing w:line="360" w:lineRule="auto"/>
        <w:ind w:firstLine="1080" w:firstLineChars="450"/>
        <w:rPr>
          <w:rFonts w:hint="eastAsia" w:ascii="仿宋_GB2312" w:eastAsia="仿宋_GB2312" w:cs="Courier New"/>
          <w:color w:val="auto"/>
          <w:sz w:val="24"/>
          <w:highlight w:val="none"/>
        </w:rPr>
      </w:pPr>
      <w:r>
        <w:rPr>
          <w:rFonts w:hint="eastAsia" w:ascii="仿宋_GB2312" w:eastAsia="仿宋_GB2312" w:cs="Courier New"/>
          <w:color w:val="auto"/>
          <w:sz w:val="24"/>
          <w:highlight w:val="none"/>
        </w:rPr>
        <w:t>附件5：关于本国产品比例的承诺函（当采购项目或者采购包中含有多种产品的，供应商还应当提供本承诺函）……………………………</w:t>
      </w:r>
    </w:p>
    <w:p w14:paraId="617D4D9F">
      <w:pPr>
        <w:spacing w:line="360" w:lineRule="auto"/>
        <w:ind w:firstLine="424" w:firstLineChars="177"/>
        <w:jc w:val="left"/>
        <w:rPr>
          <w:rFonts w:ascii="仿宋_GB2312" w:eastAsia="仿宋_GB2312" w:cs="Courier New"/>
          <w:color w:val="auto"/>
          <w:sz w:val="24"/>
          <w:highlight w:val="none"/>
        </w:rPr>
      </w:pPr>
      <w:r>
        <w:rPr>
          <w:rFonts w:hint="eastAsia" w:ascii="仿宋_GB2312" w:eastAsia="仿宋_GB2312" w:cs="Courier New"/>
          <w:color w:val="auto"/>
          <w:sz w:val="24"/>
          <w:highlight w:val="none"/>
        </w:rPr>
        <w:t>（</w:t>
      </w:r>
      <w:r>
        <w:rPr>
          <w:rFonts w:ascii="仿宋_GB2312" w:eastAsia="仿宋_GB2312" w:cs="Courier New"/>
          <w:color w:val="auto"/>
          <w:sz w:val="24"/>
          <w:highlight w:val="none"/>
        </w:rPr>
        <w:t>2</w:t>
      </w:r>
      <w:r>
        <w:rPr>
          <w:rFonts w:hint="eastAsia" w:ascii="仿宋_GB2312" w:eastAsia="仿宋_GB2312" w:cs="Courier New"/>
          <w:color w:val="auto"/>
          <w:sz w:val="24"/>
          <w:highlight w:val="none"/>
        </w:rPr>
        <w:t>）投标报价明细表（</w:t>
      </w:r>
      <w:r>
        <w:rPr>
          <w:rFonts w:hint="eastAsia" w:ascii="仿宋_GB2312" w:eastAsia="仿宋_GB2312"/>
          <w:b/>
          <w:bCs/>
          <w:color w:val="auto"/>
          <w:sz w:val="24"/>
          <w:highlight w:val="none"/>
        </w:rPr>
        <w:t>必须提供</w:t>
      </w:r>
      <w:r>
        <w:rPr>
          <w:rFonts w:hint="eastAsia" w:ascii="仿宋_GB2312" w:eastAsia="仿宋_GB2312" w:cs="Courier New"/>
          <w:color w:val="auto"/>
          <w:sz w:val="24"/>
          <w:highlight w:val="none"/>
        </w:rPr>
        <w:t>）……………………………………………………</w:t>
      </w:r>
    </w:p>
    <w:p w14:paraId="1819BC46">
      <w:pPr>
        <w:snapToGrid w:val="0"/>
        <w:spacing w:before="120" w:beforeLines="50" w:after="50" w:line="320" w:lineRule="exact"/>
        <w:jc w:val="center"/>
        <w:rPr>
          <w:rFonts w:ascii="仿宋_GB2312" w:eastAsia="仿宋_GB2312"/>
          <w:color w:val="auto"/>
          <w:sz w:val="30"/>
          <w:szCs w:val="30"/>
          <w:highlight w:val="none"/>
        </w:rPr>
        <w:sectPr>
          <w:pgSz w:w="11906" w:h="16838"/>
          <w:pgMar w:top="1440" w:right="1440" w:bottom="1440" w:left="1440" w:header="851" w:footer="992" w:gutter="0"/>
          <w:cols w:space="720" w:num="1"/>
          <w:docGrid w:linePitch="312" w:charSpace="0"/>
        </w:sectPr>
      </w:pPr>
    </w:p>
    <w:p w14:paraId="2BBF4CCC">
      <w:pPr>
        <w:spacing w:line="276" w:lineRule="auto"/>
        <w:jc w:val="left"/>
        <w:rPr>
          <w:rFonts w:ascii="仿宋_GB2312" w:hAnsi="Courier New" w:eastAsia="仿宋_GB2312" w:cs="Courier New"/>
          <w:b/>
          <w:color w:val="auto"/>
          <w:sz w:val="24"/>
          <w:highlight w:val="none"/>
        </w:rPr>
      </w:pPr>
      <w:bookmarkStart w:id="88" w:name="_Hlk93681038"/>
      <w:r>
        <w:rPr>
          <w:rFonts w:hint="eastAsia" w:ascii="仿宋_GB2312" w:hAnsi="Courier New" w:eastAsia="仿宋_GB2312" w:cs="Courier New"/>
          <w:b/>
          <w:color w:val="auto"/>
          <w:sz w:val="24"/>
          <w:highlight w:val="none"/>
        </w:rPr>
        <w:t>（1）开标一览表格式（必须提供）：</w:t>
      </w:r>
    </w:p>
    <w:p w14:paraId="64F20480">
      <w:pPr>
        <w:snapToGrid w:val="0"/>
        <w:spacing w:before="50" w:after="50" w:line="400" w:lineRule="exact"/>
        <w:jc w:val="center"/>
        <w:rPr>
          <w:rFonts w:ascii="仿宋_GB2312" w:eastAsia="仿宋_GB2312"/>
          <w:b/>
          <w:bCs/>
          <w:color w:val="auto"/>
          <w:sz w:val="32"/>
          <w:szCs w:val="32"/>
          <w:highlight w:val="none"/>
        </w:rPr>
      </w:pPr>
      <w:r>
        <w:rPr>
          <w:rFonts w:hint="eastAsia" w:ascii="仿宋_GB2312" w:eastAsia="仿宋_GB2312"/>
          <w:b/>
          <w:bCs/>
          <w:color w:val="auto"/>
          <w:sz w:val="32"/>
          <w:szCs w:val="32"/>
          <w:highlight w:val="none"/>
        </w:rPr>
        <w:t>开标一览表</w:t>
      </w:r>
      <w:r>
        <w:rPr>
          <w:rFonts w:hint="eastAsia" w:ascii="仿宋_GB2312" w:eastAsia="仿宋_GB2312"/>
          <w:b/>
          <w:color w:val="auto"/>
          <w:sz w:val="32"/>
          <w:szCs w:val="32"/>
          <w:highlight w:val="none"/>
          <w:lang w:eastAsia="zh-CN"/>
        </w:rPr>
        <w:t>（分标</w:t>
      </w:r>
      <w:r>
        <w:rPr>
          <w:rFonts w:hint="eastAsia" w:ascii="仿宋_GB2312" w:eastAsia="仿宋_GB2312"/>
          <w:b/>
          <w:color w:val="auto"/>
          <w:sz w:val="32"/>
          <w:szCs w:val="32"/>
          <w:highlight w:val="none"/>
          <w:u w:val="single"/>
          <w:lang w:val="en-US" w:eastAsia="zh-CN"/>
        </w:rPr>
        <w:t xml:space="preserve">  </w:t>
      </w:r>
      <w:r>
        <w:rPr>
          <w:rFonts w:hint="eastAsia" w:ascii="仿宋_GB2312" w:eastAsia="仿宋_GB2312"/>
          <w:b/>
          <w:color w:val="auto"/>
          <w:sz w:val="32"/>
          <w:szCs w:val="32"/>
          <w:highlight w:val="none"/>
          <w:u w:val="none"/>
          <w:lang w:val="en-US" w:eastAsia="zh-CN"/>
        </w:rPr>
        <w:t>）</w:t>
      </w:r>
    </w:p>
    <w:p w14:paraId="33A38CE6">
      <w:pPr>
        <w:snapToGrid w:val="0"/>
        <w:spacing w:before="50" w:after="50" w:line="400" w:lineRule="exact"/>
        <w:jc w:val="center"/>
        <w:rPr>
          <w:rFonts w:ascii="仿宋_GB2312" w:eastAsia="仿宋_GB2312"/>
          <w:b/>
          <w:color w:val="auto"/>
          <w:sz w:val="30"/>
          <w:highlight w:val="none"/>
        </w:rPr>
      </w:pPr>
    </w:p>
    <w:p w14:paraId="24612AB3">
      <w:pPr>
        <w:snapToGrid w:val="0"/>
        <w:spacing w:before="50" w:after="120" w:afterLines="50" w:line="400" w:lineRule="exact"/>
        <w:jc w:val="left"/>
        <w:rPr>
          <w:rFonts w:ascii="仿宋_GB2312" w:eastAsia="仿宋_GB2312"/>
          <w:color w:val="auto"/>
          <w:sz w:val="24"/>
          <w:highlight w:val="none"/>
        </w:rPr>
      </w:pPr>
      <w:r>
        <w:rPr>
          <w:rFonts w:hint="eastAsia" w:ascii="仿宋_GB2312" w:eastAsia="仿宋_GB2312"/>
          <w:color w:val="auto"/>
          <w:sz w:val="24"/>
          <w:highlight w:val="none"/>
        </w:rPr>
        <w:t>项目名称：</w:t>
      </w:r>
    </w:p>
    <w:p w14:paraId="3EAFD205">
      <w:pPr>
        <w:snapToGrid w:val="0"/>
        <w:spacing w:before="50" w:after="120" w:afterLines="50" w:line="400" w:lineRule="exact"/>
        <w:jc w:val="left"/>
        <w:rPr>
          <w:rFonts w:ascii="仿宋_GB2312" w:eastAsia="仿宋_GB2312"/>
          <w:color w:val="auto"/>
          <w:sz w:val="24"/>
          <w:highlight w:val="none"/>
        </w:rPr>
      </w:pPr>
      <w:r>
        <w:rPr>
          <w:rFonts w:hint="eastAsia" w:ascii="仿宋_GB2312" w:eastAsia="仿宋_GB2312"/>
          <w:color w:val="auto"/>
          <w:sz w:val="24"/>
          <w:highlight w:val="none"/>
        </w:rPr>
        <w:t>项目编号：</w:t>
      </w:r>
    </w:p>
    <w:p w14:paraId="04D56191">
      <w:pPr>
        <w:snapToGrid w:val="0"/>
        <w:spacing w:before="50" w:after="120" w:afterLines="50" w:line="400" w:lineRule="exact"/>
        <w:jc w:val="left"/>
        <w:rPr>
          <w:rFonts w:ascii="仿宋_GB2312" w:eastAsia="仿宋_GB2312"/>
          <w:color w:val="auto"/>
          <w:sz w:val="24"/>
          <w:highlight w:val="none"/>
        </w:rPr>
      </w:pPr>
      <w:r>
        <w:rPr>
          <w:rFonts w:hint="eastAsia" w:ascii="仿宋_GB2312" w:eastAsia="仿宋_GB2312"/>
          <w:color w:val="auto"/>
          <w:sz w:val="24"/>
          <w:highlight w:val="none"/>
        </w:rPr>
        <w:t>所投分标号：</w:t>
      </w:r>
    </w:p>
    <w:p w14:paraId="7A18DE1C">
      <w:pPr>
        <w:snapToGrid w:val="0"/>
        <w:spacing w:before="50" w:after="120" w:afterLines="50" w:line="400" w:lineRule="exact"/>
        <w:jc w:val="left"/>
        <w:rPr>
          <w:rFonts w:ascii="仿宋_GB2312" w:eastAsia="仿宋_GB2312"/>
          <w:b/>
          <w:color w:val="auto"/>
          <w:sz w:val="24"/>
          <w:highlight w:val="none"/>
        </w:rPr>
      </w:pPr>
      <w:r>
        <w:rPr>
          <w:rFonts w:hint="eastAsia" w:ascii="仿宋_GB2312" w:eastAsia="仿宋_GB2312"/>
          <w:color w:val="auto"/>
          <w:sz w:val="24"/>
          <w:highlight w:val="none"/>
        </w:rPr>
        <w:t xml:space="preserve">                                   </w:t>
      </w:r>
    </w:p>
    <w:p w14:paraId="270DBF46">
      <w:pPr>
        <w:snapToGrid w:val="0"/>
        <w:spacing w:before="50" w:after="120" w:afterLines="50" w:line="400" w:lineRule="exact"/>
        <w:ind w:firstLine="117" w:firstLineChars="49"/>
        <w:jc w:val="right"/>
        <w:rPr>
          <w:rFonts w:ascii="仿宋_GB2312" w:eastAsia="仿宋_GB2312"/>
          <w:b/>
          <w:color w:val="auto"/>
          <w:sz w:val="24"/>
          <w:highlight w:val="none"/>
        </w:rPr>
      </w:pPr>
      <w:r>
        <w:rPr>
          <w:rFonts w:hint="eastAsia" w:ascii="仿宋_GB2312" w:eastAsia="仿宋_GB2312"/>
          <w:color w:val="auto"/>
          <w:sz w:val="24"/>
          <w:highlight w:val="none"/>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14:paraId="7FD968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56FB7DF">
            <w:pPr>
              <w:snapToGrid w:val="0"/>
              <w:spacing w:before="50" w:after="50" w:line="360" w:lineRule="exact"/>
              <w:rPr>
                <w:rFonts w:hint="eastAsia" w:ascii="仿宋_GB2312" w:hAnsi="宋体" w:eastAsia="仿宋_GB2312"/>
                <w:color w:val="auto"/>
                <w:szCs w:val="21"/>
                <w:highlight w:val="none"/>
              </w:rPr>
            </w:pPr>
            <w:bookmarkStart w:id="89" w:name="_Hlk50566116"/>
            <w:r>
              <w:rPr>
                <w:rFonts w:hint="eastAsia" w:ascii="仿宋_GB2312" w:hAnsi="宋体" w:eastAsia="仿宋_GB2312"/>
                <w:color w:val="auto"/>
                <w:sz w:val="24"/>
                <w:highlight w:val="none"/>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39EDBEE1">
            <w:pPr>
              <w:snapToGrid w:val="0"/>
              <w:spacing w:before="50" w:after="50" w:line="360" w:lineRule="exact"/>
              <w:jc w:val="center"/>
              <w:rPr>
                <w:rFonts w:hint="eastAsia" w:ascii="仿宋_GB2312" w:hAnsi="宋体" w:eastAsia="仿宋_GB2312"/>
                <w:color w:val="auto"/>
                <w:szCs w:val="21"/>
                <w:highlight w:val="none"/>
              </w:rPr>
            </w:pPr>
            <w:r>
              <w:rPr>
                <w:rFonts w:hint="eastAsia" w:ascii="仿宋_GB2312" w:hAnsi="宋体" w:eastAsia="仿宋_GB2312"/>
                <w:color w:val="auto"/>
                <w:sz w:val="24"/>
                <w:highlight w:val="none"/>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14:paraId="70C0818C">
            <w:pPr>
              <w:snapToGrid w:val="0"/>
              <w:spacing w:before="50" w:after="50" w:line="360" w:lineRule="exact"/>
              <w:jc w:val="center"/>
              <w:rPr>
                <w:rFonts w:hint="eastAsia" w:ascii="仿宋_GB2312" w:hAnsi="宋体" w:eastAsia="仿宋_GB2312"/>
                <w:color w:val="auto"/>
                <w:szCs w:val="21"/>
                <w:highlight w:val="none"/>
              </w:rPr>
            </w:pPr>
            <w:r>
              <w:rPr>
                <w:rFonts w:hint="eastAsia" w:ascii="仿宋_GB2312" w:hAnsi="宋体" w:eastAsia="仿宋_GB2312"/>
                <w:color w:val="auto"/>
                <w:sz w:val="24"/>
                <w:highlight w:val="none"/>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14:paraId="2436C076">
            <w:pPr>
              <w:snapToGrid w:val="0"/>
              <w:spacing w:before="50" w:after="50" w:line="360" w:lineRule="exact"/>
              <w:jc w:val="center"/>
              <w:rPr>
                <w:rFonts w:hint="eastAsia" w:ascii="仿宋_GB2312" w:hAnsi="宋体" w:eastAsia="仿宋_GB2312"/>
                <w:color w:val="auto"/>
                <w:szCs w:val="21"/>
                <w:highlight w:val="none"/>
              </w:rPr>
            </w:pPr>
            <w:r>
              <w:rPr>
                <w:rFonts w:hint="eastAsia" w:ascii="仿宋_GB2312" w:hAnsi="宋体" w:eastAsia="仿宋_GB2312"/>
                <w:color w:val="auto"/>
                <w:sz w:val="24"/>
                <w:highlight w:val="none"/>
              </w:rPr>
              <w:t>产地</w:t>
            </w:r>
          </w:p>
        </w:tc>
        <w:tc>
          <w:tcPr>
            <w:tcW w:w="1813" w:type="dxa"/>
            <w:tcBorders>
              <w:top w:val="single" w:color="auto" w:sz="4" w:space="0"/>
              <w:left w:val="single" w:color="auto" w:sz="4" w:space="0"/>
              <w:bottom w:val="single" w:color="auto" w:sz="4" w:space="0"/>
              <w:right w:val="single" w:color="auto" w:sz="4" w:space="0"/>
            </w:tcBorders>
            <w:vAlign w:val="center"/>
          </w:tcPr>
          <w:p w14:paraId="63823838">
            <w:pPr>
              <w:snapToGrid w:val="0"/>
              <w:spacing w:before="50" w:after="50" w:line="360" w:lineRule="exact"/>
              <w:jc w:val="center"/>
              <w:rPr>
                <w:rFonts w:hint="eastAsia" w:ascii="仿宋_GB2312" w:hAnsi="宋体" w:eastAsia="仿宋_GB2312"/>
                <w:color w:val="auto"/>
                <w:szCs w:val="21"/>
                <w:highlight w:val="none"/>
              </w:rPr>
            </w:pPr>
            <w:r>
              <w:rPr>
                <w:rFonts w:hint="eastAsia" w:ascii="仿宋_GB2312" w:hAnsi="宋体" w:eastAsia="仿宋_GB2312"/>
                <w:color w:val="auto"/>
                <w:sz w:val="24"/>
                <w:highlight w:val="none"/>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14:paraId="15B3B5E1">
            <w:pPr>
              <w:snapToGrid w:val="0"/>
              <w:spacing w:before="50" w:after="50" w:line="360" w:lineRule="exact"/>
              <w:jc w:val="center"/>
              <w:rPr>
                <w:rFonts w:hint="eastAsia" w:ascii="仿宋_GB2312" w:hAnsi="宋体" w:eastAsia="仿宋_GB2312"/>
                <w:color w:val="auto"/>
                <w:szCs w:val="21"/>
                <w:highlight w:val="none"/>
              </w:rPr>
            </w:pPr>
            <w:r>
              <w:rPr>
                <w:rFonts w:hint="eastAsia" w:ascii="仿宋_GB2312" w:hAnsi="宋体" w:eastAsia="仿宋_GB2312"/>
                <w:color w:val="auto"/>
                <w:sz w:val="24"/>
                <w:highlight w:val="none"/>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14:paraId="2A55440B">
            <w:pPr>
              <w:snapToGrid w:val="0"/>
              <w:spacing w:before="50" w:after="50" w:line="360" w:lineRule="exact"/>
              <w:jc w:val="center"/>
              <w:rPr>
                <w:rFonts w:hint="eastAsia" w:ascii="仿宋_GB2312" w:hAnsi="宋体" w:eastAsia="仿宋_GB2312"/>
                <w:color w:val="auto"/>
                <w:szCs w:val="21"/>
                <w:highlight w:val="none"/>
              </w:rPr>
            </w:pPr>
            <w:r>
              <w:rPr>
                <w:rFonts w:hint="eastAsia" w:ascii="仿宋_GB2312" w:hAnsi="宋体" w:eastAsia="仿宋_GB2312"/>
                <w:color w:val="auto"/>
                <w:sz w:val="24"/>
                <w:highlight w:val="none"/>
              </w:rPr>
              <w:t>单价</w:t>
            </w:r>
          </w:p>
        </w:tc>
        <w:tc>
          <w:tcPr>
            <w:tcW w:w="1725" w:type="dxa"/>
            <w:tcBorders>
              <w:top w:val="single" w:color="auto" w:sz="4" w:space="0"/>
              <w:left w:val="single" w:color="auto" w:sz="4" w:space="0"/>
              <w:bottom w:val="single" w:color="auto" w:sz="4" w:space="0"/>
              <w:right w:val="single" w:color="auto" w:sz="4" w:space="0"/>
            </w:tcBorders>
            <w:vAlign w:val="center"/>
          </w:tcPr>
          <w:p w14:paraId="24202287">
            <w:pPr>
              <w:snapToGrid w:val="0"/>
              <w:spacing w:before="50" w:after="50" w:line="360" w:lineRule="exact"/>
              <w:jc w:val="center"/>
              <w:rPr>
                <w:rFonts w:hint="eastAsia" w:ascii="仿宋_GB2312" w:hAnsi="宋体" w:eastAsia="仿宋_GB2312"/>
                <w:color w:val="auto"/>
                <w:szCs w:val="21"/>
                <w:highlight w:val="none"/>
              </w:rPr>
            </w:pPr>
            <w:r>
              <w:rPr>
                <w:rFonts w:hint="eastAsia" w:ascii="仿宋_GB2312" w:hAnsi="宋体" w:eastAsia="仿宋_GB2312"/>
                <w:color w:val="auto"/>
                <w:sz w:val="24"/>
                <w:highlight w:val="none"/>
              </w:rPr>
              <w:t>投标报价</w:t>
            </w:r>
          </w:p>
        </w:tc>
      </w:tr>
      <w:tr w14:paraId="47B33E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282B127">
            <w:pPr>
              <w:snapToGrid w:val="0"/>
              <w:spacing w:before="50" w:after="50" w:line="360" w:lineRule="exact"/>
              <w:jc w:val="center"/>
              <w:rPr>
                <w:rFonts w:hint="eastAsia" w:ascii="仿宋_GB2312" w:hAnsi="宋体" w:eastAsia="仿宋_GB2312"/>
                <w:color w:val="auto"/>
                <w:szCs w:val="21"/>
                <w:highlight w:val="none"/>
              </w:rPr>
            </w:pPr>
            <w:r>
              <w:rPr>
                <w:rFonts w:hint="eastAsia" w:ascii="仿宋_GB2312" w:hAnsi="宋体" w:eastAsia="仿宋_GB2312"/>
                <w:color w:val="auto"/>
                <w:sz w:val="24"/>
                <w:highlight w:val="none"/>
              </w:rPr>
              <w:t>1</w:t>
            </w:r>
          </w:p>
        </w:tc>
        <w:tc>
          <w:tcPr>
            <w:tcW w:w="1418" w:type="dxa"/>
            <w:tcBorders>
              <w:top w:val="single" w:color="auto" w:sz="4" w:space="0"/>
              <w:left w:val="single" w:color="auto" w:sz="4" w:space="0"/>
              <w:bottom w:val="single" w:color="auto" w:sz="4" w:space="0"/>
              <w:right w:val="single" w:color="auto" w:sz="4" w:space="0"/>
            </w:tcBorders>
            <w:vAlign w:val="center"/>
          </w:tcPr>
          <w:p w14:paraId="7AD31016">
            <w:pPr>
              <w:snapToGrid w:val="0"/>
              <w:spacing w:before="50" w:after="50" w:line="360" w:lineRule="exact"/>
              <w:jc w:val="left"/>
              <w:rPr>
                <w:rFonts w:hint="eastAsia" w:ascii="仿宋_GB2312" w:hAnsi="宋体" w:eastAsia="仿宋_GB2312"/>
                <w:bCs/>
                <w:color w:val="auto"/>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0E1D23EA">
            <w:pPr>
              <w:snapToGrid w:val="0"/>
              <w:spacing w:before="50" w:after="50" w:line="360" w:lineRule="exact"/>
              <w:jc w:val="left"/>
              <w:rPr>
                <w:rFonts w:hint="eastAsia" w:ascii="仿宋_GB2312" w:hAnsi="宋体" w:eastAsia="仿宋_GB2312"/>
                <w:bCs/>
                <w:color w:val="auto"/>
                <w:szCs w:val="21"/>
                <w:highlight w:val="none"/>
              </w:rPr>
            </w:pPr>
          </w:p>
        </w:tc>
        <w:tc>
          <w:tcPr>
            <w:tcW w:w="880" w:type="dxa"/>
            <w:tcBorders>
              <w:top w:val="single" w:color="auto" w:sz="4" w:space="0"/>
              <w:left w:val="single" w:color="auto" w:sz="4" w:space="0"/>
              <w:bottom w:val="single" w:color="auto" w:sz="4" w:space="0"/>
              <w:right w:val="single" w:color="auto" w:sz="4" w:space="0"/>
            </w:tcBorders>
            <w:vAlign w:val="center"/>
          </w:tcPr>
          <w:p w14:paraId="0EF78EAB">
            <w:pPr>
              <w:snapToGrid w:val="0"/>
              <w:spacing w:before="50" w:after="50" w:line="360" w:lineRule="exact"/>
              <w:jc w:val="center"/>
              <w:rPr>
                <w:rFonts w:hint="eastAsia" w:ascii="仿宋_GB2312" w:hAnsi="宋体" w:eastAsia="仿宋_GB2312"/>
                <w:color w:val="auto"/>
                <w:szCs w:val="21"/>
                <w:highlight w:val="none"/>
              </w:rPr>
            </w:pPr>
          </w:p>
        </w:tc>
        <w:tc>
          <w:tcPr>
            <w:tcW w:w="1813" w:type="dxa"/>
            <w:tcBorders>
              <w:top w:val="single" w:color="auto" w:sz="4" w:space="0"/>
              <w:left w:val="single" w:color="auto" w:sz="4" w:space="0"/>
              <w:bottom w:val="single" w:color="auto" w:sz="4" w:space="0"/>
              <w:right w:val="single" w:color="auto" w:sz="4" w:space="0"/>
            </w:tcBorders>
            <w:vAlign w:val="center"/>
          </w:tcPr>
          <w:p w14:paraId="4A28F49C">
            <w:pPr>
              <w:snapToGrid w:val="0"/>
              <w:spacing w:before="50" w:after="50" w:line="360" w:lineRule="exact"/>
              <w:jc w:val="center"/>
              <w:rPr>
                <w:rFonts w:hint="eastAsia" w:ascii="仿宋_GB2312" w:hAnsi="宋体" w:eastAsia="仿宋_GB2312"/>
                <w:color w:val="auto"/>
                <w:szCs w:val="21"/>
                <w:highlight w:val="none"/>
              </w:rPr>
            </w:pPr>
          </w:p>
        </w:tc>
        <w:tc>
          <w:tcPr>
            <w:tcW w:w="1423" w:type="dxa"/>
            <w:tcBorders>
              <w:top w:val="single" w:color="auto" w:sz="4" w:space="0"/>
              <w:left w:val="single" w:color="auto" w:sz="4" w:space="0"/>
              <w:bottom w:val="single" w:color="auto" w:sz="4" w:space="0"/>
              <w:right w:val="single" w:color="auto" w:sz="4" w:space="0"/>
            </w:tcBorders>
            <w:vAlign w:val="center"/>
          </w:tcPr>
          <w:p w14:paraId="203CF13F">
            <w:pPr>
              <w:snapToGrid w:val="0"/>
              <w:spacing w:before="50" w:after="50" w:line="360" w:lineRule="exact"/>
              <w:rPr>
                <w:rFonts w:hint="eastAsia" w:ascii="仿宋_GB2312" w:hAnsi="宋体" w:eastAsia="仿宋_GB2312"/>
                <w:color w:val="auto"/>
                <w:szCs w:val="21"/>
                <w:highlight w:val="none"/>
              </w:rPr>
            </w:pPr>
          </w:p>
        </w:tc>
        <w:tc>
          <w:tcPr>
            <w:tcW w:w="751" w:type="dxa"/>
            <w:tcBorders>
              <w:top w:val="single" w:color="auto" w:sz="4" w:space="0"/>
              <w:left w:val="single" w:color="auto" w:sz="4" w:space="0"/>
              <w:bottom w:val="single" w:color="auto" w:sz="4" w:space="0"/>
              <w:right w:val="single" w:color="auto" w:sz="4" w:space="0"/>
            </w:tcBorders>
            <w:vAlign w:val="center"/>
          </w:tcPr>
          <w:p w14:paraId="5CFFB8EE">
            <w:pPr>
              <w:snapToGrid w:val="0"/>
              <w:spacing w:before="50" w:after="50" w:line="360" w:lineRule="exact"/>
              <w:rPr>
                <w:rFonts w:hint="eastAsia" w:ascii="仿宋_GB2312" w:hAnsi="宋体" w:eastAsia="仿宋_GB2312"/>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vAlign w:val="center"/>
          </w:tcPr>
          <w:p w14:paraId="59666165">
            <w:pPr>
              <w:snapToGrid w:val="0"/>
              <w:spacing w:before="50" w:after="50" w:line="360" w:lineRule="exact"/>
              <w:rPr>
                <w:rFonts w:hint="eastAsia" w:ascii="仿宋_GB2312" w:hAnsi="宋体" w:eastAsia="仿宋_GB2312"/>
                <w:color w:val="auto"/>
                <w:szCs w:val="21"/>
                <w:highlight w:val="none"/>
              </w:rPr>
            </w:pPr>
          </w:p>
        </w:tc>
      </w:tr>
      <w:tr w14:paraId="00D990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27EFEE5">
            <w:pPr>
              <w:snapToGrid w:val="0"/>
              <w:spacing w:before="50" w:after="50" w:line="360" w:lineRule="exact"/>
              <w:jc w:val="center"/>
              <w:rPr>
                <w:rFonts w:hint="eastAsia" w:ascii="仿宋_GB2312" w:hAnsi="宋体" w:eastAsia="仿宋_GB2312"/>
                <w:color w:val="auto"/>
                <w:szCs w:val="21"/>
                <w:highlight w:val="none"/>
              </w:rPr>
            </w:pPr>
            <w:r>
              <w:rPr>
                <w:rFonts w:hint="eastAsia" w:ascii="仿宋_GB2312" w:hAnsi="宋体" w:eastAsia="仿宋_GB2312"/>
                <w:color w:val="auto"/>
                <w:szCs w:val="21"/>
                <w:highlight w:val="none"/>
              </w:rPr>
              <w:t>2</w:t>
            </w:r>
          </w:p>
        </w:tc>
        <w:tc>
          <w:tcPr>
            <w:tcW w:w="1418" w:type="dxa"/>
            <w:tcBorders>
              <w:top w:val="single" w:color="auto" w:sz="4" w:space="0"/>
              <w:left w:val="single" w:color="auto" w:sz="4" w:space="0"/>
              <w:bottom w:val="single" w:color="auto" w:sz="4" w:space="0"/>
              <w:right w:val="single" w:color="auto" w:sz="4" w:space="0"/>
            </w:tcBorders>
            <w:vAlign w:val="center"/>
          </w:tcPr>
          <w:p w14:paraId="1D057EE5">
            <w:pPr>
              <w:snapToGrid w:val="0"/>
              <w:spacing w:before="50" w:after="50" w:line="360" w:lineRule="exact"/>
              <w:jc w:val="left"/>
              <w:rPr>
                <w:rFonts w:hint="eastAsia" w:ascii="仿宋_GB2312" w:hAnsi="宋体" w:eastAsia="仿宋_GB2312"/>
                <w:bCs/>
                <w:color w:val="auto"/>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76E1D9A6">
            <w:pPr>
              <w:snapToGrid w:val="0"/>
              <w:spacing w:before="50" w:after="50" w:line="360" w:lineRule="exact"/>
              <w:jc w:val="left"/>
              <w:rPr>
                <w:rFonts w:hint="eastAsia" w:ascii="仿宋_GB2312" w:hAnsi="宋体" w:eastAsia="仿宋_GB2312"/>
                <w:bCs/>
                <w:color w:val="auto"/>
                <w:szCs w:val="21"/>
                <w:highlight w:val="none"/>
              </w:rPr>
            </w:pPr>
          </w:p>
        </w:tc>
        <w:tc>
          <w:tcPr>
            <w:tcW w:w="880" w:type="dxa"/>
            <w:tcBorders>
              <w:top w:val="single" w:color="auto" w:sz="4" w:space="0"/>
              <w:left w:val="single" w:color="auto" w:sz="4" w:space="0"/>
              <w:bottom w:val="single" w:color="auto" w:sz="4" w:space="0"/>
              <w:right w:val="single" w:color="auto" w:sz="4" w:space="0"/>
            </w:tcBorders>
            <w:vAlign w:val="center"/>
          </w:tcPr>
          <w:p w14:paraId="5167B9ED">
            <w:pPr>
              <w:snapToGrid w:val="0"/>
              <w:spacing w:before="50" w:after="50" w:line="360" w:lineRule="exact"/>
              <w:jc w:val="center"/>
              <w:rPr>
                <w:rFonts w:hint="eastAsia" w:ascii="仿宋_GB2312" w:hAnsi="宋体" w:eastAsia="仿宋_GB2312"/>
                <w:color w:val="auto"/>
                <w:szCs w:val="21"/>
                <w:highlight w:val="none"/>
              </w:rPr>
            </w:pPr>
          </w:p>
        </w:tc>
        <w:tc>
          <w:tcPr>
            <w:tcW w:w="1813" w:type="dxa"/>
            <w:tcBorders>
              <w:top w:val="single" w:color="auto" w:sz="4" w:space="0"/>
              <w:left w:val="single" w:color="auto" w:sz="4" w:space="0"/>
              <w:bottom w:val="single" w:color="auto" w:sz="4" w:space="0"/>
              <w:right w:val="single" w:color="auto" w:sz="4" w:space="0"/>
            </w:tcBorders>
            <w:vAlign w:val="center"/>
          </w:tcPr>
          <w:p w14:paraId="1354A66C">
            <w:pPr>
              <w:snapToGrid w:val="0"/>
              <w:spacing w:before="50" w:after="50" w:line="360" w:lineRule="exact"/>
              <w:jc w:val="center"/>
              <w:rPr>
                <w:rFonts w:hint="eastAsia" w:ascii="仿宋_GB2312" w:hAnsi="宋体" w:eastAsia="仿宋_GB2312"/>
                <w:color w:val="auto"/>
                <w:szCs w:val="21"/>
                <w:highlight w:val="none"/>
              </w:rPr>
            </w:pPr>
          </w:p>
        </w:tc>
        <w:tc>
          <w:tcPr>
            <w:tcW w:w="1423" w:type="dxa"/>
            <w:tcBorders>
              <w:top w:val="single" w:color="auto" w:sz="4" w:space="0"/>
              <w:left w:val="single" w:color="auto" w:sz="4" w:space="0"/>
              <w:bottom w:val="single" w:color="auto" w:sz="4" w:space="0"/>
              <w:right w:val="single" w:color="auto" w:sz="4" w:space="0"/>
            </w:tcBorders>
            <w:vAlign w:val="center"/>
          </w:tcPr>
          <w:p w14:paraId="3181313C">
            <w:pPr>
              <w:snapToGrid w:val="0"/>
              <w:spacing w:before="50" w:after="50" w:line="360" w:lineRule="exact"/>
              <w:rPr>
                <w:rFonts w:hint="eastAsia" w:ascii="仿宋_GB2312" w:hAnsi="宋体" w:eastAsia="仿宋_GB2312"/>
                <w:color w:val="auto"/>
                <w:szCs w:val="21"/>
                <w:highlight w:val="none"/>
              </w:rPr>
            </w:pPr>
          </w:p>
        </w:tc>
        <w:tc>
          <w:tcPr>
            <w:tcW w:w="751" w:type="dxa"/>
            <w:tcBorders>
              <w:top w:val="single" w:color="auto" w:sz="4" w:space="0"/>
              <w:left w:val="single" w:color="auto" w:sz="4" w:space="0"/>
              <w:bottom w:val="single" w:color="auto" w:sz="4" w:space="0"/>
              <w:right w:val="single" w:color="auto" w:sz="4" w:space="0"/>
            </w:tcBorders>
            <w:vAlign w:val="center"/>
          </w:tcPr>
          <w:p w14:paraId="444AA6E2">
            <w:pPr>
              <w:snapToGrid w:val="0"/>
              <w:spacing w:before="50" w:after="50" w:line="360" w:lineRule="exact"/>
              <w:rPr>
                <w:rFonts w:hint="eastAsia" w:ascii="仿宋_GB2312" w:hAnsi="宋体" w:eastAsia="仿宋_GB2312"/>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vAlign w:val="center"/>
          </w:tcPr>
          <w:p w14:paraId="7EF10F01">
            <w:pPr>
              <w:snapToGrid w:val="0"/>
              <w:spacing w:before="50" w:after="50" w:line="360" w:lineRule="exact"/>
              <w:rPr>
                <w:rFonts w:hint="eastAsia" w:ascii="仿宋_GB2312" w:hAnsi="宋体" w:eastAsia="仿宋_GB2312"/>
                <w:color w:val="auto"/>
                <w:szCs w:val="21"/>
                <w:highlight w:val="none"/>
              </w:rPr>
            </w:pPr>
          </w:p>
        </w:tc>
      </w:tr>
      <w:tr w14:paraId="5E3E69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14:paraId="358C30F1">
            <w:pPr>
              <w:snapToGrid w:val="0"/>
              <w:spacing w:before="50" w:after="50" w:line="360" w:lineRule="exact"/>
              <w:rPr>
                <w:rFonts w:hint="eastAsia" w:ascii="仿宋_GB2312" w:hAnsi="宋体" w:eastAsia="仿宋_GB2312"/>
                <w:color w:val="auto"/>
                <w:szCs w:val="21"/>
                <w:highlight w:val="none"/>
                <w:u w:val="single"/>
              </w:rPr>
            </w:pPr>
            <w:r>
              <w:rPr>
                <w:rFonts w:hint="eastAsia" w:ascii="仿宋_GB2312" w:hAnsi="宋体" w:eastAsia="仿宋_GB2312"/>
                <w:color w:val="auto"/>
                <w:sz w:val="24"/>
                <w:highlight w:val="none"/>
              </w:rPr>
              <w:t>本项目合计金额大写：</w:t>
            </w:r>
            <w:r>
              <w:rPr>
                <w:rFonts w:hint="eastAsia" w:ascii="仿宋_GB2312" w:hAnsi="宋体" w:eastAsia="仿宋_GB2312"/>
                <w:color w:val="auto"/>
                <w:sz w:val="24"/>
                <w:highlight w:val="none"/>
                <w:u w:val="single"/>
              </w:rPr>
              <w:t xml:space="preserve">                                        </w:t>
            </w:r>
            <w:r>
              <w:rPr>
                <w:rFonts w:hint="eastAsia" w:ascii="仿宋_GB2312" w:eastAsia="仿宋_GB2312"/>
                <w:color w:val="auto"/>
                <w:sz w:val="24"/>
                <w:highlight w:val="none"/>
                <w:u w:val="single"/>
              </w:rPr>
              <w:t>¥</w:t>
            </w:r>
            <w:r>
              <w:rPr>
                <w:rFonts w:hint="eastAsia" w:ascii="仿宋_GB2312" w:hAnsi="宋体" w:eastAsia="仿宋_GB2312"/>
                <w:color w:val="auto"/>
                <w:sz w:val="24"/>
                <w:highlight w:val="none"/>
                <w:u w:val="single"/>
              </w:rPr>
              <w:t xml:space="preserve">            </w:t>
            </w:r>
          </w:p>
        </w:tc>
      </w:tr>
      <w:bookmarkEnd w:id="89"/>
    </w:tbl>
    <w:p w14:paraId="1B6A6075">
      <w:pPr>
        <w:snapToGrid w:val="0"/>
        <w:spacing w:before="50" w:after="50" w:line="400" w:lineRule="exact"/>
        <w:jc w:val="left"/>
        <w:rPr>
          <w:rFonts w:ascii="仿宋_GB2312" w:eastAsia="仿宋_GB2312"/>
          <w:color w:val="auto"/>
          <w:sz w:val="24"/>
          <w:highlight w:val="none"/>
        </w:rPr>
      </w:pPr>
    </w:p>
    <w:p w14:paraId="5B032D36">
      <w:pPr>
        <w:snapToGrid w:val="0"/>
        <w:spacing w:before="50" w:after="120" w:afterLines="50" w:line="400" w:lineRule="exact"/>
        <w:jc w:val="left"/>
        <w:rPr>
          <w:rFonts w:ascii="仿宋_GB2312" w:eastAsia="仿宋_GB2312"/>
          <w:b/>
          <w:bCs/>
          <w:color w:val="auto"/>
          <w:sz w:val="24"/>
          <w:highlight w:val="none"/>
        </w:rPr>
      </w:pPr>
      <w:r>
        <w:rPr>
          <w:rFonts w:hint="eastAsia" w:ascii="仿宋_GB2312" w:eastAsia="仿宋_GB2312"/>
          <w:b/>
          <w:bCs/>
          <w:color w:val="auto"/>
          <w:sz w:val="24"/>
          <w:highlight w:val="none"/>
        </w:rPr>
        <w:t>注：1.</w:t>
      </w:r>
      <w:r>
        <w:rPr>
          <w:rFonts w:hint="eastAsia" w:ascii="仿宋_GB2312" w:eastAsia="仿宋_GB2312"/>
          <w:b/>
          <w:color w:val="auto"/>
          <w:sz w:val="24"/>
          <w:highlight w:val="none"/>
        </w:rPr>
        <w:t>此项材料必须</w:t>
      </w:r>
      <w:r>
        <w:rPr>
          <w:rFonts w:hint="eastAsia" w:ascii="仿宋_GB2312" w:hAnsi="宋体" w:eastAsia="仿宋_GB2312"/>
          <w:b/>
          <w:bCs/>
          <w:color w:val="auto"/>
          <w:sz w:val="24"/>
          <w:highlight w:val="none"/>
        </w:rPr>
        <w:t>以PDF格式上传；</w:t>
      </w:r>
    </w:p>
    <w:p w14:paraId="23EA601D">
      <w:pPr>
        <w:snapToGrid w:val="0"/>
        <w:spacing w:before="50" w:after="50" w:line="400" w:lineRule="exact"/>
        <w:ind w:firstLine="482" w:firstLineChars="200"/>
        <w:jc w:val="left"/>
        <w:rPr>
          <w:rFonts w:ascii="仿宋_GB2312" w:eastAsia="仿宋_GB2312"/>
          <w:b/>
          <w:bCs/>
          <w:color w:val="auto"/>
          <w:sz w:val="24"/>
          <w:highlight w:val="none"/>
        </w:rPr>
      </w:pPr>
      <w:r>
        <w:rPr>
          <w:rFonts w:hint="eastAsia" w:ascii="仿宋_GB2312" w:eastAsia="仿宋_GB2312"/>
          <w:b/>
          <w:bCs/>
          <w:color w:val="auto"/>
          <w:sz w:val="24"/>
          <w:highlight w:val="none"/>
        </w:rPr>
        <w:t>2.报价一经涂改，应在涂改处加盖投标人CA电子签章或者由法定代表人或授权委托代理人签字或盖章，否则其投标作无效标处理；</w:t>
      </w:r>
    </w:p>
    <w:p w14:paraId="5589EE23">
      <w:pPr>
        <w:snapToGrid w:val="0"/>
        <w:spacing w:before="50" w:after="50" w:line="400" w:lineRule="exact"/>
        <w:ind w:firstLine="482" w:firstLineChars="200"/>
        <w:jc w:val="left"/>
        <w:rPr>
          <w:rFonts w:ascii="仿宋_GB2312" w:eastAsia="仿宋_GB2312"/>
          <w:b/>
          <w:bCs/>
          <w:color w:val="auto"/>
          <w:sz w:val="24"/>
          <w:highlight w:val="none"/>
        </w:rPr>
      </w:pPr>
      <w:r>
        <w:rPr>
          <w:rFonts w:ascii="仿宋_GB2312" w:eastAsia="仿宋_GB2312"/>
          <w:b/>
          <w:bCs/>
          <w:color w:val="auto"/>
          <w:sz w:val="24"/>
          <w:highlight w:val="none"/>
        </w:rPr>
        <w:t>3</w:t>
      </w:r>
      <w:r>
        <w:rPr>
          <w:rFonts w:hint="eastAsia" w:ascii="仿宋_GB2312" w:eastAsia="仿宋_GB2312"/>
          <w:b/>
          <w:bCs/>
          <w:color w:val="auto"/>
          <w:sz w:val="24"/>
          <w:highlight w:val="none"/>
        </w:rPr>
        <w:t>.投标报价包括货物及货物运抵指定交付地点的所有成本、各种费用的总和。</w:t>
      </w:r>
    </w:p>
    <w:p w14:paraId="2781A2A3">
      <w:pPr>
        <w:snapToGrid w:val="0"/>
        <w:spacing w:before="50" w:after="50" w:line="400" w:lineRule="exact"/>
        <w:ind w:firstLine="482" w:firstLineChars="200"/>
        <w:jc w:val="left"/>
        <w:rPr>
          <w:rFonts w:ascii="仿宋_GB2312" w:eastAsia="仿宋_GB2312"/>
          <w:b/>
          <w:bCs/>
          <w:color w:val="auto"/>
          <w:sz w:val="24"/>
          <w:highlight w:val="none"/>
        </w:rPr>
      </w:pPr>
      <w:r>
        <w:rPr>
          <w:rFonts w:ascii="仿宋_GB2312" w:eastAsia="仿宋_GB2312"/>
          <w:b/>
          <w:bCs/>
          <w:color w:val="auto"/>
          <w:sz w:val="24"/>
          <w:highlight w:val="none"/>
        </w:rPr>
        <w:t>4</w:t>
      </w:r>
      <w:r>
        <w:rPr>
          <w:rFonts w:hint="eastAsia" w:ascii="仿宋_GB2312" w:eastAsia="仿宋_GB2312"/>
          <w:b/>
          <w:bCs/>
          <w:color w:val="auto"/>
          <w:sz w:val="24"/>
          <w:highlight w:val="none"/>
        </w:rPr>
        <w:t>.以上报价应与“投标报价明细表”中的“投标总价”相一致。</w:t>
      </w:r>
    </w:p>
    <w:p w14:paraId="19A7C4AA">
      <w:pPr>
        <w:snapToGrid w:val="0"/>
        <w:spacing w:before="50" w:after="50" w:line="400" w:lineRule="exact"/>
        <w:ind w:firstLine="420" w:firstLineChars="200"/>
        <w:jc w:val="left"/>
        <w:rPr>
          <w:rFonts w:ascii="仿宋_GB2312" w:eastAsia="仿宋_GB2312"/>
          <w:b/>
          <w:bCs/>
          <w:color w:val="auto"/>
          <w:sz w:val="24"/>
          <w:highlight w:val="none"/>
        </w:rPr>
      </w:pPr>
      <w:r>
        <w:rPr>
          <w:rFonts w:hint="eastAsia" w:ascii="仿宋_GB2312" w:eastAsia="仿宋_GB2312"/>
          <w:color w:val="auto"/>
          <w:szCs w:val="21"/>
          <w:highlight w:val="none"/>
        </w:rPr>
        <w:t xml:space="preserve"> </w:t>
      </w:r>
      <w:r>
        <w:rPr>
          <w:rFonts w:hint="eastAsia" w:ascii="仿宋_GB2312" w:eastAsia="仿宋_GB2312"/>
          <w:b/>
          <w:bCs/>
          <w:color w:val="auto"/>
          <w:sz w:val="24"/>
          <w:highlight w:val="none"/>
        </w:rPr>
        <w:t>5.投标人如有《中小企业声明函》(格式见附件1)或《残疾人福利性单位声明函》(格式见附件2)或《监狱企业的证明文件》(附件3)或《关于符合本国产品标准的声明函》(格式见附件4)或《关于本国产品比例的承诺函》(格式见附件5)，请按附件格式提供，并附在本表后。</w:t>
      </w:r>
    </w:p>
    <w:bookmarkEnd w:id="88"/>
    <w:p w14:paraId="14752B11">
      <w:pPr>
        <w:snapToGrid w:val="0"/>
        <w:spacing w:line="400" w:lineRule="exact"/>
        <w:ind w:firstLine="420" w:firstLineChars="200"/>
        <w:rPr>
          <w:rFonts w:ascii="仿宋_GB2312" w:eastAsia="仿宋_GB2312"/>
          <w:color w:val="auto"/>
          <w:szCs w:val="21"/>
          <w:highlight w:val="none"/>
        </w:rPr>
      </w:pPr>
      <w:r>
        <w:rPr>
          <w:rFonts w:hint="eastAsia" w:ascii="仿宋_GB2312" w:eastAsia="仿宋_GB2312"/>
          <w:color w:val="auto"/>
          <w:szCs w:val="21"/>
          <w:highlight w:val="none"/>
        </w:rPr>
        <w:t xml:space="preserve">         </w:t>
      </w:r>
    </w:p>
    <w:p w14:paraId="6E01EAB6">
      <w:pPr>
        <w:pStyle w:val="26"/>
        <w:ind w:firstLine="4515" w:firstLineChars="2150"/>
        <w:rPr>
          <w:rFonts w:ascii="仿宋_GB2312" w:eastAsia="仿宋_GB2312"/>
          <w:color w:val="auto"/>
          <w:highlight w:val="none"/>
        </w:rPr>
      </w:pPr>
    </w:p>
    <w:p w14:paraId="5A964984">
      <w:pPr>
        <w:pStyle w:val="26"/>
        <w:ind w:firstLine="4515" w:firstLineChars="2150"/>
        <w:rPr>
          <w:rFonts w:ascii="仿宋_GB2312" w:eastAsia="仿宋_GB2312"/>
          <w:color w:val="auto"/>
          <w:highlight w:val="none"/>
        </w:rPr>
      </w:pPr>
    </w:p>
    <w:p w14:paraId="528F4177">
      <w:pPr>
        <w:jc w:val="center"/>
        <w:rPr>
          <w:rFonts w:ascii="仿宋_GB2312" w:eastAsia="仿宋_GB2312"/>
          <w:color w:val="auto"/>
          <w:szCs w:val="21"/>
          <w:highlight w:val="none"/>
          <w:u w:val="single"/>
        </w:rPr>
      </w:pPr>
      <w:r>
        <w:rPr>
          <w:rFonts w:hint="eastAsia" w:ascii="仿宋_GB2312" w:eastAsia="仿宋_GB2312"/>
          <w:color w:val="auto"/>
          <w:sz w:val="24"/>
          <w:highlight w:val="none"/>
        </w:rPr>
        <w:t xml:space="preserve"> </w:t>
      </w:r>
      <w:r>
        <w:rPr>
          <w:rFonts w:ascii="仿宋_GB2312" w:eastAsia="仿宋_GB2312"/>
          <w:color w:val="auto"/>
          <w:sz w:val="24"/>
          <w:highlight w:val="none"/>
        </w:rPr>
        <w:t xml:space="preserve">                </w:t>
      </w:r>
      <w:r>
        <w:rPr>
          <w:rFonts w:hint="eastAsia" w:ascii="仿宋_GB2312" w:eastAsia="仿宋_GB2312"/>
          <w:color w:val="auto"/>
          <w:sz w:val="24"/>
          <w:highlight w:val="none"/>
        </w:rPr>
        <w:t>法定代表人或委托代理人</w:t>
      </w:r>
      <w:r>
        <w:rPr>
          <w:rFonts w:hint="eastAsia" w:ascii="仿宋_GB2312" w:eastAsia="仿宋_GB2312"/>
          <w:b/>
          <w:bCs/>
          <w:color w:val="auto"/>
          <w:sz w:val="24"/>
          <w:highlight w:val="none"/>
        </w:rPr>
        <w:t>（签字）：</w:t>
      </w:r>
      <w:r>
        <w:rPr>
          <w:rFonts w:hint="eastAsia" w:ascii="仿宋_GB2312" w:eastAsia="仿宋_GB2312"/>
          <w:color w:val="auto"/>
          <w:szCs w:val="21"/>
          <w:highlight w:val="none"/>
          <w:u w:val="single"/>
        </w:rPr>
        <w:t xml:space="preserve">         </w:t>
      </w:r>
      <w:r>
        <w:rPr>
          <w:rFonts w:ascii="仿宋_GB2312" w:eastAsia="仿宋_GB2312"/>
          <w:color w:val="auto"/>
          <w:szCs w:val="21"/>
          <w:highlight w:val="none"/>
          <w:u w:val="single"/>
        </w:rPr>
        <w:t xml:space="preserve">         </w:t>
      </w:r>
    </w:p>
    <w:p w14:paraId="5CCF5D60">
      <w:pPr>
        <w:jc w:val="center"/>
        <w:rPr>
          <w:rFonts w:ascii="仿宋_GB2312" w:eastAsia="仿宋_GB2312"/>
          <w:color w:val="auto"/>
          <w:szCs w:val="21"/>
          <w:highlight w:val="none"/>
          <w:u w:val="single"/>
        </w:rPr>
      </w:pPr>
    </w:p>
    <w:p w14:paraId="1A3E2257">
      <w:pPr>
        <w:pStyle w:val="26"/>
        <w:ind w:firstLine="5160" w:firstLineChars="2150"/>
        <w:rPr>
          <w:rFonts w:ascii="仿宋_GB2312" w:eastAsia="仿宋_GB2312"/>
          <w:color w:val="auto"/>
          <w:highlight w:val="none"/>
        </w:rPr>
      </w:pPr>
      <w:r>
        <w:rPr>
          <w:rFonts w:hint="eastAsia" w:ascii="仿宋_GB2312" w:eastAsia="仿宋_GB2312"/>
          <w:color w:val="auto"/>
          <w:sz w:val="24"/>
          <w:szCs w:val="24"/>
          <w:highlight w:val="none"/>
        </w:rPr>
        <w:t>投标人</w:t>
      </w:r>
      <w:r>
        <w:rPr>
          <w:rFonts w:hint="eastAsia" w:ascii="仿宋_GB2312" w:eastAsia="仿宋_GB2312"/>
          <w:b/>
          <w:bCs/>
          <w:color w:val="auto"/>
          <w:sz w:val="24"/>
          <w:szCs w:val="24"/>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xml:space="preserve">                </w:t>
      </w:r>
    </w:p>
    <w:p w14:paraId="09497352">
      <w:pPr>
        <w:pStyle w:val="26"/>
        <w:spacing w:line="400" w:lineRule="exact"/>
        <w:rPr>
          <w:rFonts w:hint="eastAsia" w:ascii="仿宋_GB2312" w:hAnsi="宋体" w:eastAsia="仿宋_GB2312"/>
          <w:color w:val="auto"/>
          <w:highlight w:val="none"/>
        </w:rPr>
      </w:pPr>
    </w:p>
    <w:p w14:paraId="6F78B4B3">
      <w:pPr>
        <w:pStyle w:val="26"/>
        <w:spacing w:line="240" w:lineRule="atLeast"/>
        <w:jc w:val="right"/>
        <w:rPr>
          <w:rFonts w:hint="eastAsia" w:ascii="仿宋_GB2312" w:hAnsi="宋体" w:eastAsia="仿宋_GB2312"/>
          <w:color w:val="auto"/>
          <w:highlight w:val="none"/>
        </w:rPr>
      </w:pPr>
      <w:r>
        <w:rPr>
          <w:rFonts w:hint="eastAsia" w:ascii="仿宋_GB2312" w:hAnsi="宋体" w:eastAsia="仿宋_GB2312"/>
          <w:color w:val="auto"/>
          <w:highlight w:val="none"/>
        </w:rPr>
        <w:t>日期：       年   月   日</w:t>
      </w:r>
    </w:p>
    <w:p w14:paraId="5E8BE145">
      <w:pPr>
        <w:pStyle w:val="26"/>
        <w:spacing w:line="240" w:lineRule="atLeast"/>
        <w:jc w:val="right"/>
        <w:rPr>
          <w:rFonts w:hint="eastAsia" w:ascii="仿宋_GB2312" w:hAnsi="宋体" w:eastAsia="仿宋_GB2312"/>
          <w:color w:val="auto"/>
          <w:highlight w:val="none"/>
        </w:rPr>
      </w:pPr>
    </w:p>
    <w:p w14:paraId="43D20D46">
      <w:pPr>
        <w:pStyle w:val="26"/>
        <w:spacing w:line="240" w:lineRule="atLeast"/>
        <w:jc w:val="right"/>
        <w:rPr>
          <w:rFonts w:hint="eastAsia" w:ascii="仿宋_GB2312" w:hAnsi="宋体" w:eastAsia="仿宋_GB2312"/>
          <w:color w:val="auto"/>
          <w:highlight w:val="none"/>
        </w:rPr>
      </w:pPr>
    </w:p>
    <w:p w14:paraId="0B123142">
      <w:pPr>
        <w:pStyle w:val="390"/>
        <w:rPr>
          <w:rFonts w:ascii="仿宋_GB2312" w:eastAsia="仿宋_GB2312"/>
          <w:b/>
          <w:bCs/>
          <w:color w:val="auto"/>
          <w:sz w:val="33"/>
          <w:szCs w:val="33"/>
          <w:highlight w:val="none"/>
        </w:rPr>
      </w:pPr>
      <w:r>
        <w:rPr>
          <w:rFonts w:hint="eastAsia" w:ascii="仿宋_GB2312" w:eastAsia="仿宋_GB2312"/>
          <w:color w:val="auto"/>
          <w:highlight w:val="none"/>
        </w:rPr>
        <w:br w:type="page"/>
      </w:r>
      <w:r>
        <w:rPr>
          <w:rFonts w:hint="eastAsia" w:ascii="仿宋_GB2312" w:eastAsia="仿宋_GB2312"/>
          <w:b/>
          <w:bCs/>
          <w:color w:val="auto"/>
          <w:sz w:val="33"/>
          <w:szCs w:val="33"/>
          <w:highlight w:val="none"/>
        </w:rPr>
        <w:t>附件1：中小企业声明函格式（如有）：</w:t>
      </w:r>
    </w:p>
    <w:p w14:paraId="16071C0E">
      <w:pPr>
        <w:pStyle w:val="390"/>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中小企业声明函（</w:t>
      </w:r>
      <w:r>
        <w:rPr>
          <w:rFonts w:hint="eastAsia" w:ascii="仿宋_GB2312" w:eastAsia="仿宋_GB2312"/>
          <w:b/>
          <w:bCs/>
          <w:color w:val="auto"/>
          <w:sz w:val="33"/>
          <w:szCs w:val="33"/>
          <w:highlight w:val="none"/>
          <w:lang w:eastAsia="zh-CN"/>
        </w:rPr>
        <w:t>分标</w:t>
      </w:r>
      <w:r>
        <w:rPr>
          <w:rFonts w:hint="eastAsia" w:ascii="仿宋_GB2312" w:eastAsia="仿宋_GB2312"/>
          <w:b/>
          <w:bCs/>
          <w:color w:val="auto"/>
          <w:sz w:val="33"/>
          <w:szCs w:val="33"/>
          <w:highlight w:val="none"/>
          <w:lang w:val="en-US" w:eastAsia="zh-CN"/>
        </w:rPr>
        <w:t>1</w:t>
      </w:r>
      <w:r>
        <w:rPr>
          <w:rFonts w:hint="eastAsia" w:ascii="仿宋_GB2312" w:eastAsia="仿宋_GB2312"/>
          <w:b/>
          <w:bCs/>
          <w:color w:val="auto"/>
          <w:sz w:val="33"/>
          <w:szCs w:val="33"/>
          <w:highlight w:val="none"/>
        </w:rPr>
        <w:t>）</w:t>
      </w:r>
    </w:p>
    <w:p w14:paraId="00B84A94">
      <w:pPr>
        <w:pStyle w:val="390"/>
        <w:spacing w:line="405" w:lineRule="atLeast"/>
        <w:rPr>
          <w:rFonts w:hint="eastAsia" w:ascii="仿宋_GB2312" w:eastAsia="仿宋_GB2312"/>
          <w:color w:val="auto"/>
          <w:highlight w:val="none"/>
        </w:rPr>
      </w:pPr>
      <w:r>
        <w:rPr>
          <w:rFonts w:hint="eastAsia" w:ascii="仿宋_GB2312" w:eastAsia="仿宋_GB2312"/>
          <w:color w:val="auto"/>
          <w:highlight w:val="none"/>
        </w:rPr>
        <w:t>  本公司郑重声明，根据《政府采购促进中小企业发展管理办法》（财库﹝2020﹞46 号）的规定，本公司参加</w:t>
      </w:r>
      <w:r>
        <w:rPr>
          <w:rFonts w:hint="eastAsia" w:ascii="仿宋_GB2312" w:eastAsia="仿宋_GB2312"/>
          <w:color w:val="auto"/>
          <w:highlight w:val="none"/>
          <w:u w:val="single"/>
        </w:rPr>
        <w:t>柳州市电化教育站</w:t>
      </w:r>
      <w:r>
        <w:rPr>
          <w:rFonts w:hint="eastAsia" w:ascii="仿宋_GB2312" w:eastAsia="仿宋_GB2312"/>
          <w:color w:val="auto"/>
          <w:highlight w:val="none"/>
        </w:rPr>
        <w:t>的</w:t>
      </w:r>
      <w:r>
        <w:rPr>
          <w:rFonts w:hint="eastAsia" w:ascii="仿宋_GB2312" w:eastAsia="仿宋_GB2312"/>
          <w:color w:val="auto"/>
          <w:highlight w:val="none"/>
          <w:u w:val="single"/>
        </w:rPr>
        <w:t>中小学增补设备采购</w:t>
      </w:r>
      <w:r>
        <w:rPr>
          <w:rFonts w:hint="eastAsia" w:ascii="仿宋_GB2312" w:eastAsia="仿宋_GB2312"/>
          <w:color w:val="auto"/>
          <w:highlight w:val="none"/>
        </w:rPr>
        <w:t>活动，提供的货物全部由符合政策要求的中小企业制造。相关企业的具体情况如下：</w:t>
      </w:r>
      <w:r>
        <w:rPr>
          <w:rFonts w:hint="eastAsia" w:ascii="仿宋_GB2312" w:eastAsia="仿宋_GB2312"/>
          <w:color w:val="auto"/>
          <w:highlight w:val="none"/>
        </w:rPr>
        <w:br w:type="textWrapping"/>
      </w:r>
      <w:r>
        <w:rPr>
          <w:rFonts w:hint="eastAsia" w:ascii="仿宋_GB2312" w:eastAsia="仿宋_GB2312"/>
          <w:color w:val="auto"/>
          <w:highlight w:val="none"/>
        </w:rPr>
        <w:t xml:space="preserve">  1. </w:t>
      </w:r>
      <w:r>
        <w:rPr>
          <w:rStyle w:val="391"/>
          <w:rFonts w:hint="eastAsia" w:ascii="仿宋_GB2312" w:eastAsia="仿宋_GB2312"/>
          <w:i w:val="0"/>
          <w:iCs w:val="0"/>
          <w:color w:val="auto"/>
          <w:highlight w:val="none"/>
          <w:u w:val="single"/>
          <w:lang w:eastAsia="zh-CN"/>
        </w:rPr>
        <w:t>教师台式机</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r>
        <w:rPr>
          <w:rFonts w:hint="eastAsia" w:ascii="仿宋_GB2312" w:eastAsia="仿宋_GB2312"/>
          <w:color w:val="auto"/>
          <w:highlight w:val="none"/>
        </w:rPr>
        <w:br w:type="textWrapping"/>
      </w:r>
      <w:r>
        <w:rPr>
          <w:rFonts w:hint="eastAsia" w:ascii="仿宋_GB2312" w:eastAsia="仿宋_GB2312"/>
          <w:color w:val="auto"/>
          <w:highlight w:val="none"/>
        </w:rPr>
        <w:t xml:space="preserve">  2. </w:t>
      </w:r>
      <w:r>
        <w:rPr>
          <w:rStyle w:val="391"/>
          <w:rFonts w:hint="eastAsia" w:ascii="仿宋_GB2312" w:eastAsia="仿宋_GB2312"/>
          <w:i w:val="0"/>
          <w:iCs w:val="0"/>
          <w:color w:val="auto"/>
          <w:highlight w:val="none"/>
          <w:u w:val="single"/>
          <w:lang w:eastAsia="zh-CN"/>
        </w:rPr>
        <w:t>网络教室教师机</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341CB20F">
      <w:pPr>
        <w:pStyle w:val="390"/>
        <w:numPr>
          <w:ilvl w:val="0"/>
          <w:numId w:val="0"/>
        </w:numPr>
        <w:spacing w:line="405" w:lineRule="atLeast"/>
        <w:ind w:firstLine="480" w:firstLineChars="200"/>
        <w:rPr>
          <w:rFonts w:hint="eastAsia" w:ascii="仿宋_GB2312" w:eastAsia="仿宋_GB2312"/>
          <w:color w:val="auto"/>
          <w:highlight w:val="none"/>
        </w:rPr>
      </w:pPr>
      <w:r>
        <w:rPr>
          <w:rFonts w:hint="eastAsia" w:ascii="仿宋_GB2312" w:hAnsi="宋体" w:eastAsia="仿宋_GB2312" w:cs="宋体"/>
          <w:color w:val="auto"/>
          <w:sz w:val="24"/>
          <w:szCs w:val="24"/>
          <w:highlight w:val="none"/>
          <w:lang w:val="en-US" w:eastAsia="zh-CN" w:bidi="ar-SA"/>
        </w:rPr>
        <w:t>3.</w:t>
      </w:r>
      <w:r>
        <w:rPr>
          <w:rStyle w:val="391"/>
          <w:rFonts w:hint="eastAsia" w:ascii="仿宋_GB2312" w:eastAsia="仿宋_GB2312"/>
          <w:i w:val="0"/>
          <w:iCs w:val="0"/>
          <w:color w:val="auto"/>
          <w:highlight w:val="none"/>
          <w:u w:val="single"/>
          <w:lang w:eastAsia="zh-CN"/>
        </w:rPr>
        <w:t>网络教室学生机</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41FF5F7C">
      <w:pPr>
        <w:pStyle w:val="390"/>
        <w:spacing w:line="405"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lang w:val="en-US" w:eastAsia="zh-CN"/>
        </w:rPr>
        <w:t>4</w:t>
      </w:r>
      <w:r>
        <w:rPr>
          <w:rFonts w:hint="eastAsia" w:ascii="仿宋_GB2312" w:eastAsia="仿宋_GB2312"/>
          <w:color w:val="auto"/>
          <w:highlight w:val="none"/>
        </w:rPr>
        <w:t xml:space="preserve">. </w:t>
      </w:r>
      <w:r>
        <w:rPr>
          <w:rStyle w:val="391"/>
          <w:rFonts w:hint="eastAsia" w:ascii="仿宋_GB2312" w:eastAsia="仿宋_GB2312"/>
          <w:i w:val="0"/>
          <w:iCs w:val="0"/>
          <w:color w:val="auto"/>
          <w:highlight w:val="none"/>
          <w:u w:val="single"/>
          <w:lang w:eastAsia="zh-CN"/>
        </w:rPr>
        <w:t>网络教室教学软件</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软件与信息技术服务业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4EDE03B7">
      <w:pPr>
        <w:pStyle w:val="390"/>
        <w:spacing w:line="405" w:lineRule="atLeast"/>
        <w:ind w:firstLine="480" w:firstLineChars="200"/>
        <w:rPr>
          <w:rFonts w:hint="eastAsia" w:ascii="仿宋_GB2312" w:eastAsia="仿宋_GB2312"/>
          <w:b/>
          <w:bCs/>
          <w:color w:val="auto"/>
          <w:highlight w:val="none"/>
        </w:rPr>
      </w:pPr>
      <w:r>
        <w:rPr>
          <w:rFonts w:hint="eastAsia" w:ascii="仿宋_GB2312" w:eastAsia="仿宋_GB2312"/>
          <w:color w:val="auto"/>
          <w:highlight w:val="none"/>
          <w:lang w:val="en-US" w:eastAsia="zh-CN"/>
        </w:rPr>
        <w:t>5</w:t>
      </w:r>
      <w:r>
        <w:rPr>
          <w:rFonts w:hint="eastAsia" w:ascii="仿宋_GB2312" w:eastAsia="仿宋_GB2312"/>
          <w:color w:val="auto"/>
          <w:highlight w:val="none"/>
        </w:rPr>
        <w:t xml:space="preserve">. </w:t>
      </w:r>
      <w:r>
        <w:rPr>
          <w:rStyle w:val="391"/>
          <w:rFonts w:hint="eastAsia" w:ascii="仿宋_GB2312" w:eastAsia="仿宋_GB2312"/>
          <w:i w:val="0"/>
          <w:iCs w:val="0"/>
          <w:color w:val="auto"/>
          <w:highlight w:val="none"/>
          <w:u w:val="single"/>
          <w:lang w:eastAsia="zh-CN"/>
        </w:rPr>
        <w:t>24口千兆交换机</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62FB3ABB">
      <w:pPr>
        <w:pStyle w:val="390"/>
        <w:spacing w:line="405" w:lineRule="atLeast"/>
        <w:ind w:firstLine="480" w:firstLineChars="200"/>
        <w:rPr>
          <w:rFonts w:hint="eastAsia" w:ascii="仿宋_GB2312" w:eastAsia="仿宋_GB2312"/>
          <w:b/>
          <w:bCs/>
          <w:color w:val="auto"/>
          <w:highlight w:val="none"/>
        </w:rPr>
      </w:pPr>
      <w:r>
        <w:rPr>
          <w:rFonts w:hint="eastAsia" w:ascii="仿宋_GB2312" w:eastAsia="仿宋_GB2312"/>
          <w:color w:val="auto"/>
          <w:highlight w:val="none"/>
          <w:lang w:val="en-US" w:eastAsia="zh-CN"/>
        </w:rPr>
        <w:t>6</w:t>
      </w:r>
      <w:r>
        <w:rPr>
          <w:rFonts w:hint="eastAsia" w:ascii="仿宋_GB2312" w:eastAsia="仿宋_GB2312"/>
          <w:color w:val="auto"/>
          <w:highlight w:val="none"/>
        </w:rPr>
        <w:t xml:space="preserve">. </w:t>
      </w:r>
      <w:r>
        <w:rPr>
          <w:rStyle w:val="391"/>
          <w:rFonts w:hint="eastAsia" w:ascii="仿宋_GB2312" w:eastAsia="仿宋_GB2312"/>
          <w:i w:val="0"/>
          <w:iCs w:val="0"/>
          <w:color w:val="auto"/>
          <w:highlight w:val="none"/>
          <w:u w:val="single"/>
          <w:lang w:eastAsia="zh-CN"/>
        </w:rPr>
        <w:t>挂墙式机柜</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0E5DFCA9">
      <w:pPr>
        <w:pStyle w:val="390"/>
        <w:spacing w:line="405" w:lineRule="atLeast"/>
        <w:ind w:firstLine="480" w:firstLineChars="200"/>
        <w:rPr>
          <w:rFonts w:hint="eastAsia" w:ascii="仿宋_GB2312" w:eastAsia="仿宋_GB2312"/>
          <w:b/>
          <w:bCs/>
          <w:color w:val="auto"/>
          <w:highlight w:val="none"/>
        </w:rPr>
      </w:pPr>
      <w:r>
        <w:rPr>
          <w:rFonts w:hint="eastAsia" w:ascii="仿宋_GB2312" w:eastAsia="仿宋_GB2312"/>
          <w:color w:val="auto"/>
          <w:highlight w:val="none"/>
          <w:lang w:val="en-US" w:eastAsia="zh-CN"/>
        </w:rPr>
        <w:t>7</w:t>
      </w:r>
      <w:r>
        <w:rPr>
          <w:rFonts w:hint="eastAsia" w:ascii="仿宋_GB2312" w:eastAsia="仿宋_GB2312"/>
          <w:color w:val="auto"/>
          <w:highlight w:val="none"/>
        </w:rPr>
        <w:t xml:space="preserve">. </w:t>
      </w:r>
      <w:r>
        <w:rPr>
          <w:rStyle w:val="391"/>
          <w:rFonts w:hint="eastAsia" w:ascii="仿宋_GB2312" w:eastAsia="仿宋_GB2312"/>
          <w:i w:val="0"/>
          <w:iCs w:val="0"/>
          <w:color w:val="auto"/>
          <w:highlight w:val="none"/>
          <w:u w:val="single"/>
          <w:lang w:eastAsia="zh-CN"/>
        </w:rPr>
        <w:t>电脑桌</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67A5E027">
      <w:pPr>
        <w:pStyle w:val="390"/>
        <w:spacing w:line="405" w:lineRule="atLeast"/>
        <w:ind w:firstLine="480" w:firstLineChars="200"/>
        <w:rPr>
          <w:rFonts w:hint="eastAsia" w:ascii="仿宋_GB2312" w:eastAsia="仿宋_GB2312"/>
          <w:b/>
          <w:bCs/>
          <w:color w:val="auto"/>
          <w:highlight w:val="none"/>
        </w:rPr>
      </w:pPr>
      <w:r>
        <w:rPr>
          <w:rFonts w:hint="eastAsia" w:ascii="仿宋_GB2312" w:eastAsia="仿宋_GB2312"/>
          <w:color w:val="auto"/>
          <w:highlight w:val="none"/>
          <w:lang w:val="en-US" w:eastAsia="zh-CN"/>
        </w:rPr>
        <w:t>8</w:t>
      </w:r>
      <w:r>
        <w:rPr>
          <w:rFonts w:hint="eastAsia" w:ascii="仿宋_GB2312" w:eastAsia="仿宋_GB2312"/>
          <w:color w:val="auto"/>
          <w:highlight w:val="none"/>
        </w:rPr>
        <w:t xml:space="preserve">. </w:t>
      </w:r>
      <w:r>
        <w:rPr>
          <w:rStyle w:val="391"/>
          <w:rFonts w:hint="eastAsia" w:ascii="仿宋_GB2312" w:eastAsia="仿宋_GB2312"/>
          <w:i w:val="0"/>
          <w:iCs w:val="0"/>
          <w:color w:val="auto"/>
          <w:highlight w:val="none"/>
          <w:u w:val="single"/>
          <w:lang w:eastAsia="zh-CN"/>
        </w:rPr>
        <w:t>电脑凳</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031492AB">
      <w:pPr>
        <w:pStyle w:val="390"/>
        <w:spacing w:line="405" w:lineRule="atLeast"/>
        <w:ind w:firstLine="480" w:firstLineChars="200"/>
        <w:rPr>
          <w:rFonts w:hint="eastAsia" w:ascii="仿宋_GB2312" w:eastAsia="仿宋_GB2312"/>
          <w:b/>
          <w:bCs/>
          <w:color w:val="auto"/>
          <w:highlight w:val="none"/>
        </w:rPr>
      </w:pPr>
      <w:r>
        <w:rPr>
          <w:rFonts w:hint="eastAsia" w:ascii="仿宋_GB2312" w:eastAsia="仿宋_GB2312"/>
          <w:color w:val="auto"/>
          <w:highlight w:val="none"/>
          <w:lang w:val="en-US" w:eastAsia="zh-CN"/>
        </w:rPr>
        <w:t>9</w:t>
      </w:r>
      <w:r>
        <w:rPr>
          <w:rFonts w:hint="eastAsia" w:ascii="仿宋_GB2312" w:eastAsia="仿宋_GB2312"/>
          <w:color w:val="auto"/>
          <w:highlight w:val="none"/>
        </w:rPr>
        <w:t xml:space="preserve">. </w:t>
      </w:r>
      <w:r>
        <w:rPr>
          <w:rStyle w:val="391"/>
          <w:rFonts w:hint="eastAsia" w:ascii="仿宋_GB2312" w:eastAsia="仿宋_GB2312"/>
          <w:i w:val="0"/>
          <w:iCs w:val="0"/>
          <w:color w:val="auto"/>
          <w:highlight w:val="none"/>
          <w:u w:val="single"/>
          <w:lang w:eastAsia="zh-CN"/>
        </w:rPr>
        <w:t>教师讲台</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6448025A">
      <w:pPr>
        <w:pStyle w:val="390"/>
        <w:spacing w:line="405" w:lineRule="atLeast"/>
        <w:ind w:firstLine="480" w:firstLineChars="200"/>
        <w:rPr>
          <w:rFonts w:hint="eastAsia" w:ascii="仿宋_GB2312" w:eastAsia="仿宋_GB2312"/>
          <w:b/>
          <w:bCs/>
          <w:color w:val="auto"/>
          <w:highlight w:val="none"/>
        </w:rPr>
      </w:pPr>
      <w:r>
        <w:rPr>
          <w:rFonts w:hint="eastAsia" w:ascii="仿宋_GB2312" w:eastAsia="仿宋_GB2312"/>
          <w:color w:val="auto"/>
          <w:highlight w:val="none"/>
          <w:lang w:val="en-US" w:eastAsia="zh-CN"/>
        </w:rPr>
        <w:t>10</w:t>
      </w:r>
      <w:r>
        <w:rPr>
          <w:rFonts w:hint="eastAsia" w:ascii="仿宋_GB2312" w:eastAsia="仿宋_GB2312"/>
          <w:color w:val="auto"/>
          <w:highlight w:val="none"/>
        </w:rPr>
        <w:t xml:space="preserve">. </w:t>
      </w:r>
      <w:r>
        <w:rPr>
          <w:rStyle w:val="391"/>
          <w:rFonts w:hint="eastAsia" w:ascii="仿宋_GB2312" w:eastAsia="仿宋_GB2312"/>
          <w:i w:val="0"/>
          <w:iCs w:val="0"/>
          <w:color w:val="auto"/>
          <w:highlight w:val="none"/>
          <w:u w:val="single"/>
          <w:lang w:eastAsia="zh-CN"/>
        </w:rPr>
        <w:t>电脑椅</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100619CE">
      <w:pPr>
        <w:pStyle w:val="390"/>
        <w:spacing w:line="405" w:lineRule="atLeast"/>
        <w:ind w:firstLine="480" w:firstLineChars="200"/>
        <w:rPr>
          <w:rFonts w:hint="eastAsia" w:ascii="仿宋_GB2312" w:eastAsia="仿宋_GB2312"/>
          <w:b/>
          <w:bCs/>
          <w:color w:val="auto"/>
          <w:highlight w:val="none"/>
        </w:rPr>
      </w:pPr>
      <w:r>
        <w:rPr>
          <w:rFonts w:hint="eastAsia" w:ascii="仿宋_GB2312" w:eastAsia="仿宋_GB2312"/>
          <w:color w:val="auto"/>
          <w:highlight w:val="none"/>
          <w:lang w:val="en-US" w:eastAsia="zh-CN"/>
        </w:rPr>
        <w:t>11</w:t>
      </w:r>
      <w:r>
        <w:rPr>
          <w:rFonts w:hint="eastAsia" w:ascii="仿宋_GB2312" w:eastAsia="仿宋_GB2312"/>
          <w:color w:val="auto"/>
          <w:highlight w:val="none"/>
        </w:rPr>
        <w:t xml:space="preserve">. </w:t>
      </w:r>
      <w:r>
        <w:rPr>
          <w:rStyle w:val="391"/>
          <w:rFonts w:hint="eastAsia" w:ascii="仿宋_GB2312" w:eastAsia="仿宋_GB2312"/>
          <w:i w:val="0"/>
          <w:iCs w:val="0"/>
          <w:color w:val="auto"/>
          <w:highlight w:val="none"/>
          <w:u w:val="single"/>
          <w:lang w:eastAsia="zh-CN"/>
        </w:rPr>
        <w:t>互动平板一体机</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5D8681CE">
      <w:pPr>
        <w:pStyle w:val="390"/>
        <w:spacing w:line="405" w:lineRule="atLeast"/>
        <w:ind w:firstLine="480" w:firstLineChars="200"/>
        <w:rPr>
          <w:rFonts w:hint="eastAsia" w:ascii="仿宋_GB2312" w:eastAsia="仿宋_GB2312"/>
          <w:b/>
          <w:bCs/>
          <w:color w:val="auto"/>
          <w:highlight w:val="none"/>
        </w:rPr>
      </w:pPr>
      <w:r>
        <w:rPr>
          <w:rFonts w:hint="eastAsia" w:ascii="仿宋_GB2312" w:eastAsia="仿宋_GB2312"/>
          <w:color w:val="auto"/>
          <w:highlight w:val="none"/>
          <w:lang w:val="en-US" w:eastAsia="zh-CN"/>
        </w:rPr>
        <w:t>12</w:t>
      </w:r>
      <w:r>
        <w:rPr>
          <w:rFonts w:hint="eastAsia" w:ascii="仿宋_GB2312" w:eastAsia="仿宋_GB2312"/>
          <w:color w:val="auto"/>
          <w:highlight w:val="none"/>
        </w:rPr>
        <w:t xml:space="preserve">. </w:t>
      </w:r>
      <w:r>
        <w:rPr>
          <w:rStyle w:val="391"/>
          <w:rFonts w:hint="eastAsia" w:ascii="仿宋_GB2312" w:eastAsia="仿宋_GB2312"/>
          <w:i w:val="0"/>
          <w:iCs w:val="0"/>
          <w:color w:val="auto"/>
          <w:highlight w:val="none"/>
          <w:u w:val="single"/>
          <w:lang w:eastAsia="zh-CN"/>
        </w:rPr>
        <w:t>壁挂视频展台</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555F30F8">
      <w:pPr>
        <w:pStyle w:val="390"/>
        <w:spacing w:line="405"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lang w:val="en-US" w:eastAsia="zh-CN"/>
        </w:rPr>
        <w:t>13</w:t>
      </w:r>
      <w:r>
        <w:rPr>
          <w:rFonts w:hint="eastAsia" w:ascii="仿宋_GB2312" w:eastAsia="仿宋_GB2312"/>
          <w:color w:val="auto"/>
          <w:highlight w:val="none"/>
        </w:rPr>
        <w:t xml:space="preserve">. </w:t>
      </w:r>
      <w:r>
        <w:rPr>
          <w:rFonts w:hint="eastAsia" w:ascii="仿宋_GB2312" w:eastAsia="仿宋_GB2312"/>
          <w:color w:val="auto"/>
          <w:highlight w:val="none"/>
          <w:u w:val="single"/>
          <w:lang w:eastAsia="zh-CN"/>
        </w:rPr>
        <w:t>讲</w:t>
      </w:r>
      <w:r>
        <w:rPr>
          <w:rStyle w:val="391"/>
          <w:rFonts w:hint="eastAsia" w:ascii="仿宋_GB2312" w:eastAsia="仿宋_GB2312"/>
          <w:i w:val="0"/>
          <w:iCs w:val="0"/>
          <w:color w:val="auto"/>
          <w:highlight w:val="none"/>
          <w:u w:val="single"/>
          <w:lang w:eastAsia="zh-CN"/>
        </w:rPr>
        <w:t>台</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3DFA1AB5">
      <w:pPr>
        <w:pStyle w:val="390"/>
        <w:spacing w:line="405" w:lineRule="atLeast"/>
        <w:ind w:firstLine="480" w:firstLineChars="200"/>
        <w:rPr>
          <w:rFonts w:hint="eastAsia" w:ascii="仿宋_GB2312" w:eastAsia="仿宋_GB2312"/>
          <w:b/>
          <w:bCs/>
          <w:color w:val="auto"/>
          <w:highlight w:val="none"/>
        </w:rPr>
      </w:pPr>
      <w:r>
        <w:rPr>
          <w:rFonts w:hint="eastAsia" w:ascii="仿宋_GB2312" w:eastAsia="仿宋_GB2312"/>
          <w:color w:val="auto"/>
          <w:highlight w:val="none"/>
          <w:lang w:val="en-US" w:eastAsia="zh-CN"/>
        </w:rPr>
        <w:t>14</w:t>
      </w:r>
      <w:r>
        <w:rPr>
          <w:rFonts w:hint="eastAsia" w:ascii="仿宋_GB2312" w:eastAsia="仿宋_GB2312"/>
          <w:color w:val="auto"/>
          <w:highlight w:val="none"/>
        </w:rPr>
        <w:t xml:space="preserve">. </w:t>
      </w:r>
      <w:r>
        <w:rPr>
          <w:rStyle w:val="391"/>
          <w:rFonts w:hint="eastAsia" w:ascii="仿宋_GB2312" w:eastAsia="仿宋_GB2312"/>
          <w:i w:val="0"/>
          <w:iCs w:val="0"/>
          <w:color w:val="auto"/>
          <w:highlight w:val="none"/>
          <w:u w:val="single"/>
          <w:lang w:val="en-US" w:eastAsia="zh-CN"/>
        </w:rPr>
        <w:t>变轨</w:t>
      </w:r>
      <w:r>
        <w:rPr>
          <w:rStyle w:val="391"/>
          <w:rFonts w:hint="eastAsia" w:ascii="仿宋_GB2312" w:eastAsia="仿宋_GB2312"/>
          <w:i w:val="0"/>
          <w:iCs w:val="0"/>
          <w:color w:val="auto"/>
          <w:highlight w:val="none"/>
          <w:u w:val="single"/>
          <w:lang w:eastAsia="zh-CN"/>
        </w:rPr>
        <w:t>无尘书写板</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19B78DCE">
      <w:pPr>
        <w:pStyle w:val="390"/>
        <w:spacing w:line="405" w:lineRule="atLeast"/>
        <w:ind w:firstLine="480" w:firstLineChars="200"/>
        <w:rPr>
          <w:rFonts w:hint="eastAsia" w:ascii="仿宋_GB2312" w:eastAsia="仿宋_GB2312"/>
          <w:b/>
          <w:bCs/>
          <w:color w:val="auto"/>
          <w:highlight w:val="none"/>
        </w:rPr>
      </w:pPr>
      <w:r>
        <w:rPr>
          <w:rFonts w:hint="eastAsia" w:ascii="仿宋_GB2312" w:eastAsia="仿宋_GB2312"/>
          <w:color w:val="auto"/>
          <w:highlight w:val="none"/>
          <w:lang w:val="en-US" w:eastAsia="zh-CN"/>
        </w:rPr>
        <w:t>15</w:t>
      </w:r>
      <w:r>
        <w:rPr>
          <w:rFonts w:hint="eastAsia" w:ascii="仿宋_GB2312" w:eastAsia="仿宋_GB2312"/>
          <w:color w:val="auto"/>
          <w:highlight w:val="none"/>
        </w:rPr>
        <w:t xml:space="preserve">. </w:t>
      </w:r>
      <w:r>
        <w:rPr>
          <w:rStyle w:val="391"/>
          <w:rFonts w:hint="eastAsia" w:ascii="仿宋_GB2312" w:eastAsia="仿宋_GB2312"/>
          <w:i w:val="0"/>
          <w:iCs w:val="0"/>
          <w:color w:val="auto"/>
          <w:highlight w:val="none"/>
          <w:u w:val="single"/>
          <w:lang w:val="en-US" w:eastAsia="zh-CN"/>
        </w:rPr>
        <w:t>有源音箱</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4052FA65">
      <w:pPr>
        <w:pStyle w:val="390"/>
        <w:spacing w:line="405" w:lineRule="atLeast"/>
        <w:rPr>
          <w:rFonts w:hint="eastAsia" w:ascii="仿宋_GB2312" w:eastAsia="仿宋_GB2312"/>
          <w:color w:val="auto"/>
          <w:highlight w:val="none"/>
        </w:rPr>
      </w:pPr>
      <w:r>
        <w:rPr>
          <w:rFonts w:hint="eastAsia" w:ascii="仿宋_GB2312" w:eastAsia="仿宋_GB2312"/>
          <w:color w:val="auto"/>
          <w:highlight w:val="none"/>
        </w:rPr>
        <w:br w:type="textWrapping"/>
      </w:r>
      <w:r>
        <w:rPr>
          <w:rFonts w:hint="eastAsia" w:ascii="仿宋_GB2312" w:eastAsia="仿宋_GB2312"/>
          <w:color w:val="auto"/>
          <w:highlight w:val="none"/>
        </w:rPr>
        <w:t>  以上企业，不属于大企业的分支机构，不存在控股股东为大企业的情形，也不存在与大企业的负责人为同一人的情形。</w:t>
      </w:r>
      <w:r>
        <w:rPr>
          <w:rFonts w:hint="eastAsia" w:ascii="仿宋_GB2312" w:eastAsia="仿宋_GB2312"/>
          <w:color w:val="auto"/>
          <w:highlight w:val="none"/>
        </w:rPr>
        <w:br w:type="textWrapping"/>
      </w:r>
      <w:r>
        <w:rPr>
          <w:rFonts w:hint="eastAsia" w:ascii="仿宋_GB2312" w:eastAsia="仿宋_GB2312"/>
          <w:color w:val="auto"/>
          <w:highlight w:val="none"/>
        </w:rPr>
        <w:t>  本企业对上述声明内容的真实性负责。如有虚假，将依法承担相应责任。</w:t>
      </w:r>
    </w:p>
    <w:p w14:paraId="27C09CF5">
      <w:pPr>
        <w:pStyle w:val="390"/>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36C7BDE2">
      <w:pPr>
        <w:pStyle w:val="390"/>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16128456">
      <w:pPr>
        <w:pStyle w:val="390"/>
        <w:jc w:val="right"/>
        <w:rPr>
          <w:rFonts w:hint="eastAsia" w:ascii="仿宋_GB2312" w:eastAsia="仿宋_GB2312"/>
          <w:color w:val="auto"/>
          <w:highlight w:val="none"/>
        </w:rPr>
      </w:pPr>
      <w:r>
        <w:rPr>
          <w:rFonts w:hint="eastAsia" w:ascii="仿宋_GB2312" w:eastAsia="仿宋_GB2312"/>
          <w:color w:val="auto"/>
          <w:highlight w:val="none"/>
        </w:rPr>
        <w:t>  投标人（</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w:t>
      </w:r>
    </w:p>
    <w:p w14:paraId="46118213">
      <w:pPr>
        <w:pStyle w:val="390"/>
        <w:jc w:val="right"/>
        <w:rPr>
          <w:rFonts w:hint="eastAsia" w:ascii="仿宋_GB2312" w:eastAsia="仿宋_GB2312"/>
          <w:color w:val="auto"/>
          <w:highlight w:val="none"/>
        </w:rPr>
      </w:pPr>
      <w:r>
        <w:rPr>
          <w:rFonts w:hint="eastAsia" w:ascii="仿宋_GB2312" w:eastAsia="仿宋_GB2312"/>
          <w:color w:val="auto"/>
          <w:highlight w:val="none"/>
        </w:rPr>
        <w:t> </w:t>
      </w:r>
    </w:p>
    <w:p w14:paraId="325557C6">
      <w:pPr>
        <w:pStyle w:val="390"/>
        <w:jc w:val="right"/>
        <w:rPr>
          <w:rFonts w:hint="eastAsia" w:ascii="仿宋_GB2312" w:eastAsia="仿宋_GB2312"/>
          <w:color w:val="auto"/>
          <w:highlight w:val="none"/>
        </w:rPr>
      </w:pPr>
      <w:r>
        <w:rPr>
          <w:rFonts w:hint="eastAsia" w:ascii="仿宋_GB2312" w:eastAsia="仿宋_GB2312"/>
          <w:color w:val="auto"/>
          <w:highlight w:val="none"/>
        </w:rPr>
        <w:t>日期：   年 月 日</w:t>
      </w:r>
    </w:p>
    <w:p w14:paraId="70A7D472">
      <w:pPr>
        <w:pStyle w:val="514"/>
        <w:spacing w:before="0" w:beforeAutospacing="0" w:line="460" w:lineRule="atLeast"/>
        <w:rPr>
          <w:rFonts w:hint="eastAsia" w:ascii="仿宋_GB2312" w:eastAsia="仿宋_GB2312"/>
          <w:color w:val="auto"/>
          <w:highlight w:val="none"/>
        </w:rPr>
      </w:pPr>
      <w:r>
        <w:rPr>
          <w:rFonts w:hint="eastAsia" w:ascii="仿宋_GB2312" w:eastAsia="仿宋_GB2312"/>
          <w:b/>
          <w:bCs/>
          <w:color w:val="auto"/>
          <w:highlight w:val="none"/>
        </w:rPr>
        <w:t>  注：1.此项材料</w:t>
      </w:r>
      <w:r>
        <w:rPr>
          <w:rFonts w:hint="eastAsia" w:ascii="仿宋_GB2312" w:eastAsia="仿宋_GB2312"/>
          <w:b/>
          <w:bCs/>
          <w:color w:val="auto"/>
          <w:highlight w:val="none"/>
          <w:lang w:val="en-US" w:eastAsia="zh-CN"/>
        </w:rPr>
        <w:t>如有</w:t>
      </w:r>
      <w:r>
        <w:rPr>
          <w:rFonts w:hint="eastAsia" w:ascii="仿宋_GB2312" w:eastAsia="仿宋_GB2312"/>
          <w:b/>
          <w:bCs/>
          <w:color w:val="auto"/>
          <w:highlight w:val="none"/>
        </w:rPr>
        <w:t>以PDF格式上传；</w:t>
      </w:r>
      <w:r>
        <w:rPr>
          <w:rFonts w:hint="eastAsia" w:ascii="仿宋_GB2312" w:eastAsia="仿宋_GB2312"/>
          <w:b/>
          <w:bCs/>
          <w:color w:val="auto"/>
          <w:highlight w:val="none"/>
        </w:rPr>
        <w:br w:type="textWrapping"/>
      </w:r>
      <w:r>
        <w:rPr>
          <w:rFonts w:hint="eastAsia" w:ascii="仿宋_GB2312" w:eastAsia="仿宋_GB2312"/>
          <w:b/>
          <w:bCs/>
          <w:color w:val="auto"/>
          <w:highlight w:val="none"/>
        </w:rPr>
        <w:t>  2.投标人出具的《中小企业声明函》中填写的“所属行业”应与采购文件明确的“所属行业”内容一致。</w:t>
      </w:r>
      <w:r>
        <w:rPr>
          <w:rFonts w:hint="eastAsia" w:ascii="仿宋_GB2312" w:eastAsia="仿宋_GB2312"/>
          <w:b/>
          <w:bCs/>
          <w:color w:val="auto"/>
          <w:highlight w:val="none"/>
        </w:rPr>
        <w:br w:type="textWrapping"/>
      </w:r>
      <w:r>
        <w:rPr>
          <w:rFonts w:hint="eastAsia" w:ascii="仿宋_GB2312" w:eastAsia="仿宋_GB2312"/>
          <w:b/>
          <w:bCs/>
          <w:color w:val="auto"/>
          <w:highlight w:val="none"/>
        </w:rPr>
        <w:t>采购标的对应的中小企业划分标准所属行业：</w:t>
      </w:r>
      <w:r>
        <w:rPr>
          <w:rFonts w:hint="eastAsia" w:ascii="仿宋_GB2312" w:eastAsia="仿宋_GB2312"/>
          <w:b/>
          <w:bCs/>
          <w:color w:val="auto"/>
          <w:highlight w:val="none"/>
          <w:u w:val="single"/>
          <w:lang w:eastAsia="zh-CN"/>
        </w:rPr>
        <w:t>“</w:t>
      </w:r>
      <w:r>
        <w:rPr>
          <w:rFonts w:hint="eastAsia" w:ascii="仿宋_GB2312" w:eastAsia="仿宋_GB2312"/>
          <w:b/>
          <w:bCs/>
          <w:color w:val="auto"/>
          <w:highlight w:val="none"/>
          <w:u w:val="single"/>
        </w:rPr>
        <w:t>（一）</w:t>
      </w:r>
      <w:r>
        <w:rPr>
          <w:rFonts w:hint="eastAsia" w:ascii="仿宋_GB2312" w:hAnsi="仿宋_GB2312" w:eastAsia="仿宋_GB2312" w:cs="仿宋_GB2312"/>
          <w:b/>
          <w:bCs/>
          <w:color w:val="auto"/>
          <w:kern w:val="0"/>
          <w:sz w:val="24"/>
          <w:szCs w:val="24"/>
          <w:highlight w:val="none"/>
          <w:lang w:val="en-US" w:eastAsia="zh-CN"/>
        </w:rPr>
        <w:t>教师台式机</w:t>
      </w:r>
      <w:r>
        <w:rPr>
          <w:rFonts w:hint="eastAsia" w:ascii="仿宋_GB2312" w:eastAsia="仿宋_GB2312"/>
          <w:b/>
          <w:bCs/>
          <w:color w:val="auto"/>
          <w:highlight w:val="none"/>
          <w:u w:val="single"/>
          <w:lang w:eastAsia="zh-CN"/>
        </w:rPr>
        <w:t>”</w:t>
      </w:r>
      <w:r>
        <w:rPr>
          <w:rFonts w:hint="eastAsia" w:ascii="仿宋_GB2312" w:eastAsia="仿宋_GB2312"/>
          <w:b/>
          <w:bCs/>
          <w:color w:val="auto"/>
          <w:highlight w:val="none"/>
          <w:u w:val="single"/>
        </w:rPr>
        <w:t>的第1项</w:t>
      </w:r>
      <w:r>
        <w:rPr>
          <w:rFonts w:hint="eastAsia" w:ascii="仿宋_GB2312" w:eastAsia="仿宋_GB2312"/>
          <w:b/>
          <w:bCs/>
          <w:color w:val="auto"/>
          <w:highlight w:val="none"/>
          <w:u w:val="single"/>
          <w:lang w:eastAsia="zh-CN"/>
        </w:rPr>
        <w:t>、“</w:t>
      </w:r>
      <w:r>
        <w:rPr>
          <w:rFonts w:hint="eastAsia" w:ascii="仿宋_GB2312" w:eastAsia="仿宋_GB2312"/>
          <w:b/>
          <w:bCs/>
          <w:color w:val="auto"/>
          <w:highlight w:val="none"/>
          <w:u w:val="single"/>
        </w:rPr>
        <w:t>（二）</w:t>
      </w:r>
      <w:r>
        <w:rPr>
          <w:rFonts w:hint="eastAsia" w:ascii="仿宋_GB2312" w:hAnsi="仿宋_GB2312" w:eastAsia="仿宋_GB2312" w:cs="仿宋_GB2312"/>
          <w:b/>
          <w:bCs/>
          <w:color w:val="auto"/>
          <w:kern w:val="0"/>
          <w:sz w:val="24"/>
          <w:szCs w:val="24"/>
          <w:highlight w:val="none"/>
          <w:lang w:val="en-US" w:eastAsia="zh-CN"/>
        </w:rPr>
        <w:t>2间</w:t>
      </w:r>
      <w:r>
        <w:rPr>
          <w:rFonts w:hint="eastAsia" w:ascii="仿宋_GB2312" w:hAnsi="仿宋_GB2312" w:eastAsia="仿宋_GB2312" w:cs="仿宋_GB2312"/>
          <w:b/>
          <w:bCs/>
          <w:color w:val="auto"/>
          <w:kern w:val="0"/>
          <w:sz w:val="24"/>
          <w:szCs w:val="24"/>
          <w:highlight w:val="none"/>
        </w:rPr>
        <w:t>计算机网络教室</w:t>
      </w:r>
      <w:r>
        <w:rPr>
          <w:rFonts w:hint="eastAsia" w:ascii="仿宋_GB2312" w:eastAsia="仿宋_GB2312"/>
          <w:b/>
          <w:bCs/>
          <w:color w:val="auto"/>
          <w:highlight w:val="none"/>
          <w:u w:val="single"/>
          <w:lang w:eastAsia="zh-CN"/>
        </w:rPr>
        <w:t>”</w:t>
      </w:r>
      <w:r>
        <w:rPr>
          <w:rFonts w:hint="eastAsia" w:ascii="仿宋_GB2312" w:eastAsia="仿宋_GB2312"/>
          <w:b/>
          <w:bCs/>
          <w:color w:val="auto"/>
          <w:highlight w:val="none"/>
          <w:u w:val="single"/>
        </w:rPr>
        <w:t>的第1、2、4-9项</w:t>
      </w:r>
      <w:r>
        <w:rPr>
          <w:rFonts w:hint="eastAsia" w:ascii="仿宋_GB2312" w:eastAsia="仿宋_GB2312"/>
          <w:b/>
          <w:bCs/>
          <w:color w:val="auto"/>
          <w:highlight w:val="none"/>
          <w:u w:val="single"/>
          <w:lang w:eastAsia="zh-CN"/>
        </w:rPr>
        <w:t>、“</w:t>
      </w:r>
      <w:r>
        <w:rPr>
          <w:rFonts w:hint="eastAsia" w:ascii="仿宋_GB2312" w:eastAsia="仿宋_GB2312"/>
          <w:b/>
          <w:bCs/>
          <w:color w:val="auto"/>
          <w:highlight w:val="none"/>
          <w:u w:val="single"/>
        </w:rPr>
        <w:t>（三）</w:t>
      </w:r>
      <w:r>
        <w:rPr>
          <w:rFonts w:hint="eastAsia" w:ascii="仿宋_GB2312" w:hAnsi="仿宋_GB2312" w:eastAsia="仿宋_GB2312" w:cs="仿宋_GB2312"/>
          <w:b/>
          <w:bCs/>
          <w:color w:val="auto"/>
          <w:kern w:val="0"/>
          <w:sz w:val="24"/>
          <w:szCs w:val="24"/>
          <w:highlight w:val="none"/>
          <w:lang w:val="en-US" w:eastAsia="zh-CN"/>
        </w:rPr>
        <w:t>32套普通教室互动平板一体机教学系统</w:t>
      </w:r>
      <w:r>
        <w:rPr>
          <w:rFonts w:hint="eastAsia" w:ascii="仿宋_GB2312" w:eastAsia="仿宋_GB2312"/>
          <w:b/>
          <w:bCs/>
          <w:color w:val="auto"/>
          <w:highlight w:val="none"/>
          <w:u w:val="single"/>
          <w:lang w:eastAsia="zh-CN"/>
        </w:rPr>
        <w:t>”</w:t>
      </w:r>
      <w:r>
        <w:rPr>
          <w:rFonts w:hint="eastAsia" w:ascii="仿宋_GB2312" w:eastAsia="仿宋_GB2312"/>
          <w:b/>
          <w:bCs/>
          <w:color w:val="auto"/>
          <w:highlight w:val="none"/>
          <w:u w:val="single"/>
        </w:rPr>
        <w:t>的1-5项为工业，</w:t>
      </w:r>
      <w:r>
        <w:rPr>
          <w:rFonts w:hint="eastAsia" w:ascii="仿宋_GB2312" w:eastAsia="仿宋_GB2312"/>
          <w:b/>
          <w:bCs/>
          <w:color w:val="auto"/>
          <w:highlight w:val="none"/>
          <w:u w:val="single"/>
          <w:lang w:eastAsia="zh-CN"/>
        </w:rPr>
        <w:t>“</w:t>
      </w:r>
      <w:r>
        <w:rPr>
          <w:rFonts w:hint="eastAsia" w:ascii="仿宋_GB2312" w:eastAsia="仿宋_GB2312"/>
          <w:b/>
          <w:bCs/>
          <w:color w:val="auto"/>
          <w:highlight w:val="none"/>
          <w:u w:val="single"/>
        </w:rPr>
        <w:t>（二）</w:t>
      </w:r>
      <w:r>
        <w:rPr>
          <w:rFonts w:hint="eastAsia" w:ascii="仿宋_GB2312" w:hAnsi="仿宋_GB2312" w:eastAsia="仿宋_GB2312" w:cs="仿宋_GB2312"/>
          <w:b/>
          <w:bCs/>
          <w:color w:val="auto"/>
          <w:kern w:val="0"/>
          <w:sz w:val="24"/>
          <w:szCs w:val="24"/>
          <w:highlight w:val="none"/>
          <w:lang w:val="en-US" w:eastAsia="zh-CN"/>
        </w:rPr>
        <w:t>2间</w:t>
      </w:r>
      <w:r>
        <w:rPr>
          <w:rFonts w:hint="eastAsia" w:ascii="仿宋_GB2312" w:hAnsi="仿宋_GB2312" w:eastAsia="仿宋_GB2312" w:cs="仿宋_GB2312"/>
          <w:b/>
          <w:bCs/>
          <w:color w:val="auto"/>
          <w:kern w:val="0"/>
          <w:sz w:val="24"/>
          <w:szCs w:val="24"/>
          <w:highlight w:val="none"/>
        </w:rPr>
        <w:t>计算机网络教室</w:t>
      </w:r>
      <w:r>
        <w:rPr>
          <w:rFonts w:hint="eastAsia" w:ascii="仿宋_GB2312" w:eastAsia="仿宋_GB2312"/>
          <w:b/>
          <w:bCs/>
          <w:color w:val="auto"/>
          <w:highlight w:val="none"/>
          <w:u w:val="single"/>
          <w:lang w:eastAsia="zh-CN"/>
        </w:rPr>
        <w:t>”</w:t>
      </w:r>
      <w:r>
        <w:rPr>
          <w:rFonts w:hint="eastAsia" w:ascii="仿宋_GB2312" w:eastAsia="仿宋_GB2312"/>
          <w:b/>
          <w:bCs/>
          <w:color w:val="auto"/>
          <w:highlight w:val="none"/>
          <w:u w:val="single"/>
        </w:rPr>
        <w:t>的第3项为软件与信息技术服务业，其余不</w:t>
      </w:r>
      <w:r>
        <w:rPr>
          <w:rFonts w:hint="eastAsia" w:ascii="仿宋_GB2312" w:eastAsia="仿宋_GB2312"/>
          <w:b/>
          <w:bCs/>
          <w:color w:val="auto"/>
          <w:highlight w:val="none"/>
          <w:u w:val="single"/>
          <w:lang w:val="en-US" w:eastAsia="zh-CN"/>
        </w:rPr>
        <w:t>作中小企业</w:t>
      </w:r>
      <w:r>
        <w:rPr>
          <w:rFonts w:hint="eastAsia" w:ascii="仿宋_GB2312" w:eastAsia="仿宋_GB2312"/>
          <w:b/>
          <w:bCs/>
          <w:color w:val="auto"/>
          <w:highlight w:val="none"/>
          <w:u w:val="single"/>
        </w:rPr>
        <w:t>划分</w:t>
      </w:r>
      <w:r>
        <w:rPr>
          <w:rFonts w:hint="eastAsia" w:ascii="仿宋_GB2312" w:eastAsia="仿宋_GB2312"/>
          <w:b/>
          <w:bCs/>
          <w:color w:val="auto"/>
          <w:highlight w:val="none"/>
          <w:u w:val="single"/>
          <w:lang w:val="en-US" w:eastAsia="zh-CN"/>
        </w:rPr>
        <w:t>要求</w:t>
      </w:r>
      <w:r>
        <w:rPr>
          <w:rFonts w:hint="eastAsia" w:ascii="仿宋_GB2312" w:eastAsia="仿宋_GB2312"/>
          <w:b/>
          <w:bCs/>
          <w:color w:val="auto"/>
          <w:highlight w:val="none"/>
        </w:rPr>
        <w:t>。</w:t>
      </w:r>
      <w:r>
        <w:rPr>
          <w:rFonts w:hint="eastAsia" w:ascii="仿宋_GB2312" w:eastAsia="仿宋_GB2312"/>
          <w:color w:val="auto"/>
          <w:highlight w:val="none"/>
        </w:rPr>
        <w:br w:type="textWrapping"/>
      </w:r>
      <w:r>
        <w:rPr>
          <w:rFonts w:hint="eastAsia" w:ascii="仿宋_GB2312" w:eastAsia="仿宋_GB2312"/>
          <w:color w:val="auto"/>
          <w:highlight w:val="none"/>
        </w:rPr>
        <w:t>  3.从业人员、营业收入、资产总额填报上一年度数据，无上一年度数据的新成立企业可不填报。</w:t>
      </w:r>
      <w:r>
        <w:rPr>
          <w:rFonts w:hint="eastAsia" w:ascii="仿宋_GB2312" w:eastAsia="仿宋_GB2312"/>
          <w:color w:val="auto"/>
          <w:highlight w:val="none"/>
        </w:rPr>
        <w:br w:type="textWrapping"/>
      </w:r>
      <w:r>
        <w:rPr>
          <w:rFonts w:hint="eastAsia" w:ascii="仿宋_GB2312" w:eastAsia="仿宋_GB2312"/>
          <w:color w:val="auto"/>
          <w:highlight w:val="none"/>
        </w:rPr>
        <w:t>  4.为方便投标人识别企业规模类型，投标人可使用工业和信息化部组织开发的中小企业规模类型自测小程序生成企业规模类型测试结果。</w:t>
      </w:r>
      <w:r>
        <w:rPr>
          <w:rFonts w:hint="eastAsia" w:ascii="仿宋_GB2312" w:eastAsia="仿宋_GB2312"/>
          <w:color w:val="auto"/>
          <w:highlight w:val="none"/>
        </w:rPr>
        <w:br w:type="textWrapping"/>
      </w:r>
      <w:r>
        <w:rPr>
          <w:rFonts w:hint="eastAsia" w:ascii="仿宋_GB2312" w:eastAsia="仿宋_GB2312"/>
          <w:color w:val="auto"/>
          <w:highlight w:val="none"/>
        </w:rPr>
        <w:t>  自测小程序链接：https://baosong.miit.gov.cn/ScaleTest</w:t>
      </w:r>
      <w:r>
        <w:rPr>
          <w:rFonts w:hint="eastAsia" w:ascii="仿宋_GB2312" w:eastAsia="仿宋_GB2312"/>
          <w:color w:val="auto"/>
          <w:highlight w:val="none"/>
        </w:rPr>
        <w:br w:type="textWrapping"/>
      </w:r>
      <w:r>
        <w:rPr>
          <w:rFonts w:hint="eastAsia" w:ascii="仿宋_GB2312" w:eastAsia="仿宋_GB2312"/>
          <w:color w:val="auto"/>
          <w:highlight w:val="none"/>
        </w:rPr>
        <w:t>  5.投标人须按上述格式要求如实填写中小企业声明函，并对该声明函的真实性负责，否则不得享受相关中小企业扶持政策；</w:t>
      </w:r>
      <w:r>
        <w:rPr>
          <w:rFonts w:hint="eastAsia" w:ascii="仿宋_GB2312" w:eastAsia="仿宋_GB2312"/>
          <w:color w:val="auto"/>
          <w:highlight w:val="none"/>
        </w:rPr>
        <w:br w:type="textWrapping"/>
      </w:r>
      <w:r>
        <w:rPr>
          <w:rFonts w:hint="eastAsia" w:ascii="仿宋_GB2312" w:eastAsia="仿宋_GB2312"/>
          <w:color w:val="auto"/>
          <w:highlight w:val="none"/>
        </w:rPr>
        <w:t>  6.中标人依法享受中小企业扶持政策的，采购代理机构将在中标结果公告中公告其《中小企业声明函》。</w:t>
      </w:r>
    </w:p>
    <w:p w14:paraId="2D4A5F8C">
      <w:pPr>
        <w:pStyle w:val="929"/>
        <w:spacing w:before="0" w:beforeAutospacing="0" w:line="405"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7.中小微企业划型标准附表</w:t>
      </w:r>
      <w:r>
        <w:rPr>
          <w:rFonts w:hint="eastAsia" w:ascii="仿宋_GB2312" w:eastAsia="仿宋_GB2312"/>
          <w:b/>
          <w:bCs/>
          <w:color w:val="auto"/>
          <w:highlight w:val="none"/>
        </w:rPr>
        <w:t>(若附表有变动，按最新政策执行)</w:t>
      </w:r>
      <w:r>
        <w:rPr>
          <w:rFonts w:hint="eastAsia" w:ascii="仿宋_GB2312" w:eastAsia="仿宋_GB2312"/>
          <w:color w:val="auto"/>
          <w:highlight w:val="none"/>
        </w:rPr>
        <w:t>：</w:t>
      </w:r>
    </w:p>
    <w:p w14:paraId="5BC070D0">
      <w:pPr>
        <w:pStyle w:val="931"/>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中小微企业划型标准</w:t>
      </w:r>
    </w:p>
    <w:tbl>
      <w:tblPr>
        <w:tblStyle w:val="48"/>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05"/>
        <w:gridCol w:w="1845"/>
        <w:gridCol w:w="1155"/>
        <w:gridCol w:w="1890"/>
        <w:gridCol w:w="1590"/>
        <w:gridCol w:w="1155"/>
      </w:tblGrid>
      <w:tr w14:paraId="02B86C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081F12">
            <w:pPr>
              <w:jc w:val="center"/>
              <w:rPr>
                <w:rFonts w:ascii="仿宋_GB2312" w:eastAsia="仿宋_GB2312"/>
                <w:color w:val="auto"/>
                <w:highlight w:val="none"/>
              </w:rPr>
            </w:pPr>
            <w:r>
              <w:rPr>
                <w:rFonts w:hint="eastAsia" w:ascii="仿宋_GB2312" w:eastAsia="仿宋_GB2312"/>
                <w:b/>
                <w:bCs/>
                <w:color w:val="auto"/>
                <w:highlight w:val="none"/>
              </w:rPr>
              <w:t>行业名称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7544D9">
            <w:pPr>
              <w:jc w:val="center"/>
              <w:rPr>
                <w:rFonts w:ascii="仿宋_GB2312" w:eastAsia="仿宋_GB2312"/>
                <w:color w:val="auto"/>
                <w:highlight w:val="none"/>
              </w:rPr>
            </w:pPr>
            <w:r>
              <w:rPr>
                <w:rFonts w:hint="eastAsia" w:ascii="仿宋_GB2312" w:eastAsia="仿宋_GB2312"/>
                <w:b/>
                <w:bCs/>
                <w:color w:val="auto"/>
                <w:highlight w:val="none"/>
              </w:rPr>
              <w:t>指标名称</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13422F">
            <w:pPr>
              <w:jc w:val="center"/>
              <w:rPr>
                <w:rFonts w:ascii="仿宋_GB2312" w:eastAsia="仿宋_GB2312"/>
                <w:color w:val="auto"/>
                <w:highlight w:val="none"/>
              </w:rPr>
            </w:pPr>
            <w:r>
              <w:rPr>
                <w:rFonts w:hint="eastAsia" w:ascii="仿宋_GB2312" w:eastAsia="仿宋_GB2312"/>
                <w:b/>
                <w:bCs/>
                <w:color w:val="auto"/>
                <w:highlight w:val="none"/>
              </w:rPr>
              <w:t>计量单位</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D05AF0">
            <w:pPr>
              <w:jc w:val="center"/>
              <w:rPr>
                <w:rFonts w:ascii="仿宋_GB2312" w:eastAsia="仿宋_GB2312"/>
                <w:color w:val="auto"/>
                <w:highlight w:val="none"/>
              </w:rPr>
            </w:pPr>
            <w:r>
              <w:rPr>
                <w:rFonts w:hint="eastAsia" w:ascii="仿宋_GB2312" w:eastAsia="仿宋_GB2312"/>
                <w:b/>
                <w:bCs/>
                <w:color w:val="auto"/>
                <w:highlight w:val="none"/>
              </w:rPr>
              <w:t>中型</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04927A">
            <w:pPr>
              <w:jc w:val="center"/>
              <w:rPr>
                <w:rFonts w:ascii="仿宋_GB2312" w:eastAsia="仿宋_GB2312"/>
                <w:color w:val="auto"/>
                <w:highlight w:val="none"/>
              </w:rPr>
            </w:pPr>
            <w:r>
              <w:rPr>
                <w:rFonts w:hint="eastAsia" w:ascii="仿宋_GB2312" w:eastAsia="仿宋_GB2312"/>
                <w:b/>
                <w:bCs/>
                <w:color w:val="auto"/>
                <w:highlight w:val="none"/>
              </w:rPr>
              <w:t>小型</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40BC61">
            <w:pPr>
              <w:jc w:val="center"/>
              <w:rPr>
                <w:rFonts w:ascii="仿宋_GB2312" w:eastAsia="仿宋_GB2312"/>
                <w:color w:val="auto"/>
                <w:highlight w:val="none"/>
              </w:rPr>
            </w:pPr>
            <w:r>
              <w:rPr>
                <w:rFonts w:hint="eastAsia" w:ascii="仿宋_GB2312" w:eastAsia="仿宋_GB2312"/>
                <w:b/>
                <w:bCs/>
                <w:color w:val="auto"/>
                <w:highlight w:val="none"/>
              </w:rPr>
              <w:t>微型</w:t>
            </w:r>
          </w:p>
        </w:tc>
      </w:tr>
      <w:tr w14:paraId="026788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02BAEE">
            <w:pPr>
              <w:jc w:val="center"/>
              <w:rPr>
                <w:rFonts w:ascii="仿宋_GB2312" w:eastAsia="仿宋_GB2312"/>
                <w:color w:val="auto"/>
                <w:highlight w:val="none"/>
              </w:rPr>
            </w:pPr>
            <w:r>
              <w:rPr>
                <w:rFonts w:hint="eastAsia" w:ascii="仿宋_GB2312" w:eastAsia="仿宋_GB2312"/>
                <w:b/>
                <w:bCs/>
                <w:color w:val="auto"/>
                <w:highlight w:val="none"/>
              </w:rPr>
              <w:t>农、林、牧、渔</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BCB7B5">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6E3FC6">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470006">
            <w:pPr>
              <w:jc w:val="center"/>
              <w:rPr>
                <w:rFonts w:ascii="仿宋_GB2312" w:eastAsia="仿宋_GB2312"/>
                <w:color w:val="auto"/>
                <w:highlight w:val="none"/>
              </w:rPr>
            </w:pPr>
            <w:r>
              <w:rPr>
                <w:rFonts w:hint="eastAsia" w:ascii="仿宋_GB2312" w:eastAsia="仿宋_GB2312"/>
                <w:color w:val="auto"/>
                <w:highlight w:val="none"/>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F43DB6">
            <w:pPr>
              <w:jc w:val="center"/>
              <w:rPr>
                <w:rFonts w:ascii="仿宋_GB2312" w:eastAsia="仿宋_GB2312"/>
                <w:color w:val="auto"/>
                <w:highlight w:val="none"/>
              </w:rPr>
            </w:pPr>
            <w:r>
              <w:rPr>
                <w:rFonts w:hint="eastAsia" w:ascii="仿宋_GB2312" w:eastAsia="仿宋_GB2312"/>
                <w:color w:val="auto"/>
                <w:highlight w:val="none"/>
              </w:rPr>
              <w:t>50≤Y&lt;500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9D3B50">
            <w:pPr>
              <w:jc w:val="center"/>
              <w:rPr>
                <w:rFonts w:ascii="仿宋_GB2312" w:eastAsia="仿宋_GB2312"/>
                <w:color w:val="auto"/>
                <w:highlight w:val="none"/>
              </w:rPr>
            </w:pPr>
            <w:r>
              <w:rPr>
                <w:rFonts w:hint="eastAsia" w:ascii="仿宋_GB2312" w:eastAsia="仿宋_GB2312"/>
                <w:color w:val="auto"/>
                <w:highlight w:val="none"/>
              </w:rPr>
              <w:t>Y&lt;50</w:t>
            </w:r>
          </w:p>
        </w:tc>
      </w:tr>
      <w:tr w14:paraId="614A9D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9291FD">
            <w:pPr>
              <w:jc w:val="center"/>
              <w:rPr>
                <w:rFonts w:ascii="仿宋_GB2312" w:eastAsia="仿宋_GB2312"/>
                <w:color w:val="auto"/>
                <w:highlight w:val="none"/>
              </w:rPr>
            </w:pPr>
            <w:r>
              <w:rPr>
                <w:rFonts w:hint="eastAsia" w:ascii="仿宋_GB2312" w:eastAsia="仿宋_GB2312"/>
                <w:b/>
                <w:bCs/>
                <w:color w:val="auto"/>
                <w:highlight w:val="none"/>
              </w:rPr>
              <w:t>工业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23AB0E">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181AA9">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1DC312">
            <w:pPr>
              <w:jc w:val="center"/>
              <w:rPr>
                <w:rFonts w:ascii="仿宋_GB2312" w:eastAsia="仿宋_GB2312"/>
                <w:color w:val="auto"/>
                <w:highlight w:val="none"/>
              </w:rPr>
            </w:pPr>
            <w:r>
              <w:rPr>
                <w:rFonts w:hint="eastAsia" w:ascii="仿宋_GB2312" w:eastAsia="仿宋_GB2312"/>
                <w:color w:val="auto"/>
                <w:highlight w:val="none"/>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063C77">
            <w:pPr>
              <w:jc w:val="center"/>
              <w:rPr>
                <w:rFonts w:ascii="仿宋_GB2312" w:eastAsia="仿宋_GB2312"/>
                <w:color w:val="auto"/>
                <w:highlight w:val="none"/>
              </w:rPr>
            </w:pPr>
            <w:r>
              <w:rPr>
                <w:rFonts w:hint="eastAsia" w:ascii="仿宋_GB2312" w:eastAsia="仿宋_GB2312"/>
                <w:color w:val="auto"/>
                <w:highlight w:val="none"/>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A919A5">
            <w:pPr>
              <w:jc w:val="center"/>
              <w:rPr>
                <w:rFonts w:ascii="仿宋_GB2312" w:eastAsia="仿宋_GB2312"/>
                <w:color w:val="auto"/>
                <w:highlight w:val="none"/>
              </w:rPr>
            </w:pPr>
            <w:r>
              <w:rPr>
                <w:rFonts w:hint="eastAsia" w:ascii="仿宋_GB2312" w:eastAsia="仿宋_GB2312"/>
                <w:color w:val="auto"/>
                <w:highlight w:val="none"/>
              </w:rPr>
              <w:t>X&lt;20</w:t>
            </w:r>
          </w:p>
        </w:tc>
      </w:tr>
      <w:tr w14:paraId="5F1230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B966F6C">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8FFA9C">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761E5E">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E6A303">
            <w:pPr>
              <w:jc w:val="center"/>
              <w:rPr>
                <w:rFonts w:ascii="仿宋_GB2312" w:eastAsia="仿宋_GB2312"/>
                <w:color w:val="auto"/>
                <w:highlight w:val="none"/>
              </w:rPr>
            </w:pPr>
            <w:r>
              <w:rPr>
                <w:rFonts w:hint="eastAsia" w:ascii="仿宋_GB2312" w:eastAsia="仿宋_GB2312"/>
                <w:color w:val="auto"/>
                <w:highlight w:val="none"/>
              </w:rPr>
              <w:t>2000≤Y&lt;40000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AAA67B">
            <w:pPr>
              <w:jc w:val="center"/>
              <w:rPr>
                <w:rFonts w:ascii="仿宋_GB2312" w:eastAsia="仿宋_GB2312"/>
                <w:color w:val="auto"/>
                <w:highlight w:val="none"/>
              </w:rPr>
            </w:pPr>
            <w:r>
              <w:rPr>
                <w:rFonts w:hint="eastAsia" w:ascii="仿宋_GB2312" w:eastAsia="仿宋_GB2312"/>
                <w:color w:val="auto"/>
                <w:highlight w:val="none"/>
              </w:rPr>
              <w:t>300≤Y&lt;2000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2EBE17">
            <w:pPr>
              <w:jc w:val="center"/>
              <w:rPr>
                <w:rFonts w:ascii="仿宋_GB2312" w:eastAsia="仿宋_GB2312"/>
                <w:color w:val="auto"/>
                <w:highlight w:val="none"/>
              </w:rPr>
            </w:pPr>
            <w:r>
              <w:rPr>
                <w:rFonts w:hint="eastAsia" w:ascii="仿宋_GB2312" w:eastAsia="仿宋_GB2312"/>
                <w:color w:val="auto"/>
                <w:highlight w:val="none"/>
              </w:rPr>
              <w:t>Y&lt;300</w:t>
            </w:r>
          </w:p>
        </w:tc>
      </w:tr>
      <w:tr w14:paraId="7C2C84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D56EE9">
            <w:pPr>
              <w:jc w:val="center"/>
              <w:rPr>
                <w:rFonts w:ascii="仿宋_GB2312" w:eastAsia="仿宋_GB2312"/>
                <w:color w:val="auto"/>
                <w:highlight w:val="none"/>
              </w:rPr>
            </w:pPr>
            <w:r>
              <w:rPr>
                <w:rFonts w:hint="eastAsia" w:ascii="仿宋_GB2312" w:eastAsia="仿宋_GB2312"/>
                <w:b/>
                <w:bCs/>
                <w:color w:val="auto"/>
                <w:highlight w:val="none"/>
              </w:rPr>
              <w:t>建筑业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0C18D4">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71BE82">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5E903A">
            <w:pPr>
              <w:jc w:val="center"/>
              <w:rPr>
                <w:rFonts w:ascii="仿宋_GB2312" w:eastAsia="仿宋_GB2312"/>
                <w:color w:val="auto"/>
                <w:highlight w:val="none"/>
              </w:rPr>
            </w:pPr>
            <w:r>
              <w:rPr>
                <w:rFonts w:hint="eastAsia" w:ascii="仿宋_GB2312" w:eastAsia="仿宋_GB2312"/>
                <w:color w:val="auto"/>
                <w:highlight w:val="none"/>
              </w:rPr>
              <w:t>6000≤Y&lt;80000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B4967D">
            <w:pPr>
              <w:jc w:val="center"/>
              <w:rPr>
                <w:rFonts w:ascii="仿宋_GB2312" w:eastAsia="仿宋_GB2312"/>
                <w:color w:val="auto"/>
                <w:highlight w:val="none"/>
              </w:rPr>
            </w:pPr>
            <w:r>
              <w:rPr>
                <w:rFonts w:hint="eastAsia" w:ascii="仿宋_GB2312" w:eastAsia="仿宋_GB2312"/>
                <w:color w:val="auto"/>
                <w:highlight w:val="none"/>
              </w:rPr>
              <w:t>300≤Y&lt;6000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834BED">
            <w:pPr>
              <w:jc w:val="center"/>
              <w:rPr>
                <w:rFonts w:ascii="仿宋_GB2312" w:eastAsia="仿宋_GB2312"/>
                <w:color w:val="auto"/>
                <w:highlight w:val="none"/>
              </w:rPr>
            </w:pPr>
            <w:r>
              <w:rPr>
                <w:rFonts w:hint="eastAsia" w:ascii="仿宋_GB2312" w:eastAsia="仿宋_GB2312"/>
                <w:color w:val="auto"/>
                <w:highlight w:val="none"/>
              </w:rPr>
              <w:t>Y&lt;300</w:t>
            </w:r>
          </w:p>
        </w:tc>
      </w:tr>
      <w:tr w14:paraId="16EF1A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4D552C98">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3C8589">
            <w:pPr>
              <w:jc w:val="center"/>
              <w:rPr>
                <w:rFonts w:ascii="仿宋_GB2312" w:eastAsia="仿宋_GB2312"/>
                <w:color w:val="auto"/>
                <w:highlight w:val="none"/>
              </w:rPr>
            </w:pPr>
            <w:r>
              <w:rPr>
                <w:rFonts w:hint="eastAsia" w:ascii="仿宋_GB2312" w:eastAsia="仿宋_GB2312"/>
                <w:color w:val="auto"/>
                <w:highlight w:val="none"/>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436A2D">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178DB4">
            <w:pPr>
              <w:jc w:val="center"/>
              <w:rPr>
                <w:rFonts w:ascii="仿宋_GB2312" w:eastAsia="仿宋_GB2312"/>
                <w:color w:val="auto"/>
                <w:highlight w:val="none"/>
              </w:rPr>
            </w:pPr>
            <w:r>
              <w:rPr>
                <w:rFonts w:hint="eastAsia" w:ascii="仿宋_GB2312" w:eastAsia="仿宋_GB2312"/>
                <w:color w:val="auto"/>
                <w:highlight w:val="none"/>
              </w:rPr>
              <w:t>5000≤Z&lt;80000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67CC1D">
            <w:pPr>
              <w:jc w:val="center"/>
              <w:rPr>
                <w:rFonts w:ascii="仿宋_GB2312" w:eastAsia="仿宋_GB2312"/>
                <w:color w:val="auto"/>
                <w:highlight w:val="none"/>
              </w:rPr>
            </w:pPr>
            <w:r>
              <w:rPr>
                <w:rFonts w:hint="eastAsia" w:ascii="仿宋_GB2312" w:eastAsia="仿宋_GB2312"/>
                <w:color w:val="auto"/>
                <w:highlight w:val="none"/>
              </w:rPr>
              <w:t>300≤Z&lt;5000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3AF4E1">
            <w:pPr>
              <w:jc w:val="center"/>
              <w:rPr>
                <w:rFonts w:ascii="仿宋_GB2312" w:eastAsia="仿宋_GB2312"/>
                <w:color w:val="auto"/>
                <w:highlight w:val="none"/>
              </w:rPr>
            </w:pPr>
            <w:r>
              <w:rPr>
                <w:rFonts w:hint="eastAsia" w:ascii="仿宋_GB2312" w:eastAsia="仿宋_GB2312"/>
                <w:color w:val="auto"/>
                <w:highlight w:val="none"/>
              </w:rPr>
              <w:t>Z&lt;300</w:t>
            </w:r>
          </w:p>
        </w:tc>
      </w:tr>
      <w:tr w14:paraId="45B317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A77589">
            <w:pPr>
              <w:jc w:val="center"/>
              <w:rPr>
                <w:rFonts w:ascii="仿宋_GB2312" w:eastAsia="仿宋_GB2312"/>
                <w:color w:val="auto"/>
                <w:highlight w:val="none"/>
              </w:rPr>
            </w:pPr>
            <w:r>
              <w:rPr>
                <w:rFonts w:hint="eastAsia" w:ascii="仿宋_GB2312" w:eastAsia="仿宋_GB2312"/>
                <w:b/>
                <w:bCs/>
                <w:color w:val="auto"/>
                <w:highlight w:val="none"/>
              </w:rPr>
              <w:t>批发业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1559FC">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887A8A">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21857D">
            <w:pPr>
              <w:jc w:val="center"/>
              <w:rPr>
                <w:rFonts w:ascii="仿宋_GB2312" w:eastAsia="仿宋_GB2312"/>
                <w:color w:val="auto"/>
                <w:highlight w:val="none"/>
              </w:rPr>
            </w:pPr>
            <w:r>
              <w:rPr>
                <w:rFonts w:hint="eastAsia" w:ascii="仿宋_GB2312" w:eastAsia="仿宋_GB2312"/>
                <w:color w:val="auto"/>
                <w:highlight w:val="none"/>
              </w:rPr>
              <w:t>20≤X&lt;200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8C56F3">
            <w:pPr>
              <w:jc w:val="center"/>
              <w:rPr>
                <w:rFonts w:ascii="仿宋_GB2312" w:eastAsia="仿宋_GB2312"/>
                <w:color w:val="auto"/>
                <w:highlight w:val="none"/>
              </w:rPr>
            </w:pPr>
            <w:r>
              <w:rPr>
                <w:rFonts w:hint="eastAsia" w:ascii="仿宋_GB2312" w:eastAsia="仿宋_GB2312"/>
                <w:color w:val="auto"/>
                <w:highlight w:val="none"/>
              </w:rPr>
              <w:t>5≤X&lt;20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28E92E">
            <w:pPr>
              <w:jc w:val="center"/>
              <w:rPr>
                <w:rFonts w:ascii="仿宋_GB2312" w:eastAsia="仿宋_GB2312"/>
                <w:color w:val="auto"/>
                <w:highlight w:val="none"/>
              </w:rPr>
            </w:pPr>
            <w:r>
              <w:rPr>
                <w:rFonts w:hint="eastAsia" w:ascii="仿宋_GB2312" w:eastAsia="仿宋_GB2312"/>
                <w:color w:val="auto"/>
                <w:highlight w:val="none"/>
              </w:rPr>
              <w:t>X&lt;5</w:t>
            </w:r>
          </w:p>
        </w:tc>
      </w:tr>
      <w:tr w14:paraId="106FC7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92FEA04">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3EFAC5">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6102B9">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0FC025">
            <w:pPr>
              <w:jc w:val="center"/>
              <w:rPr>
                <w:rFonts w:ascii="仿宋_GB2312" w:eastAsia="仿宋_GB2312"/>
                <w:color w:val="auto"/>
                <w:highlight w:val="none"/>
              </w:rPr>
            </w:pPr>
            <w:r>
              <w:rPr>
                <w:rFonts w:hint="eastAsia" w:ascii="仿宋_GB2312" w:eastAsia="仿宋_GB2312"/>
                <w:color w:val="auto"/>
                <w:highlight w:val="none"/>
              </w:rPr>
              <w:t>5000≤Y&lt;40000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3E15B8">
            <w:pPr>
              <w:jc w:val="center"/>
              <w:rPr>
                <w:rFonts w:ascii="仿宋_GB2312" w:eastAsia="仿宋_GB2312"/>
                <w:color w:val="auto"/>
                <w:highlight w:val="none"/>
              </w:rPr>
            </w:pPr>
            <w:r>
              <w:rPr>
                <w:rFonts w:hint="eastAsia" w:ascii="仿宋_GB2312" w:eastAsia="仿宋_GB2312"/>
                <w:color w:val="auto"/>
                <w:highlight w:val="none"/>
              </w:rPr>
              <w:t>1000≤Y&lt;5000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6AF3EF">
            <w:pPr>
              <w:jc w:val="center"/>
              <w:rPr>
                <w:rFonts w:ascii="仿宋_GB2312" w:eastAsia="仿宋_GB2312"/>
                <w:color w:val="auto"/>
                <w:highlight w:val="none"/>
              </w:rPr>
            </w:pPr>
            <w:r>
              <w:rPr>
                <w:rFonts w:hint="eastAsia" w:ascii="仿宋_GB2312" w:eastAsia="仿宋_GB2312"/>
                <w:color w:val="auto"/>
                <w:highlight w:val="none"/>
              </w:rPr>
              <w:t>Y&lt;1000</w:t>
            </w:r>
          </w:p>
        </w:tc>
      </w:tr>
      <w:tr w14:paraId="5A202B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3A82A3">
            <w:pPr>
              <w:jc w:val="center"/>
              <w:rPr>
                <w:rFonts w:ascii="仿宋_GB2312" w:eastAsia="仿宋_GB2312"/>
                <w:color w:val="auto"/>
                <w:highlight w:val="none"/>
              </w:rPr>
            </w:pPr>
            <w:r>
              <w:rPr>
                <w:rFonts w:hint="eastAsia" w:ascii="仿宋_GB2312" w:eastAsia="仿宋_GB2312"/>
                <w:b/>
                <w:bCs/>
                <w:color w:val="auto"/>
                <w:highlight w:val="none"/>
              </w:rPr>
              <w:t>零售业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8FFFDF">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78870F">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ABC5AE">
            <w:pPr>
              <w:jc w:val="center"/>
              <w:rPr>
                <w:rFonts w:ascii="仿宋_GB2312" w:eastAsia="仿宋_GB2312"/>
                <w:color w:val="auto"/>
                <w:highlight w:val="none"/>
              </w:rPr>
            </w:pPr>
            <w:r>
              <w:rPr>
                <w:rFonts w:hint="eastAsia" w:ascii="仿宋_GB2312" w:eastAsia="仿宋_GB2312"/>
                <w:color w:val="auto"/>
                <w:highlight w:val="none"/>
              </w:rPr>
              <w:t>50≤X&lt;300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E242E4">
            <w:pPr>
              <w:jc w:val="center"/>
              <w:rPr>
                <w:rFonts w:ascii="仿宋_GB2312" w:eastAsia="仿宋_GB2312"/>
                <w:color w:val="auto"/>
                <w:highlight w:val="none"/>
              </w:rPr>
            </w:pPr>
            <w:r>
              <w:rPr>
                <w:rFonts w:hint="eastAsia" w:ascii="仿宋_GB2312" w:eastAsia="仿宋_GB2312"/>
                <w:color w:val="auto"/>
                <w:highlight w:val="none"/>
              </w:rPr>
              <w:t>10≤X&lt;50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F24891">
            <w:pPr>
              <w:jc w:val="center"/>
              <w:rPr>
                <w:rFonts w:ascii="仿宋_GB2312" w:eastAsia="仿宋_GB2312"/>
                <w:color w:val="auto"/>
                <w:highlight w:val="none"/>
              </w:rPr>
            </w:pPr>
            <w:r>
              <w:rPr>
                <w:rFonts w:hint="eastAsia" w:ascii="仿宋_GB2312" w:eastAsia="仿宋_GB2312"/>
                <w:color w:val="auto"/>
                <w:highlight w:val="none"/>
              </w:rPr>
              <w:t>X&lt;10</w:t>
            </w:r>
          </w:p>
        </w:tc>
      </w:tr>
      <w:tr w14:paraId="3B9EFC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73F5AC3">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F10E2F">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2C1CAE">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0AF45D">
            <w:pPr>
              <w:jc w:val="center"/>
              <w:rPr>
                <w:rFonts w:ascii="仿宋_GB2312" w:eastAsia="仿宋_GB2312"/>
                <w:color w:val="auto"/>
                <w:highlight w:val="none"/>
              </w:rPr>
            </w:pPr>
            <w:r>
              <w:rPr>
                <w:rFonts w:hint="eastAsia" w:ascii="仿宋_GB2312" w:eastAsia="仿宋_GB2312"/>
                <w:color w:val="auto"/>
                <w:highlight w:val="none"/>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C4DF27">
            <w:pPr>
              <w:jc w:val="center"/>
              <w:rPr>
                <w:rFonts w:ascii="仿宋_GB2312" w:eastAsia="仿宋_GB2312"/>
                <w:color w:val="auto"/>
                <w:highlight w:val="none"/>
              </w:rPr>
            </w:pPr>
            <w:r>
              <w:rPr>
                <w:rFonts w:hint="eastAsia" w:ascii="仿宋_GB2312" w:eastAsia="仿宋_GB2312"/>
                <w:color w:val="auto"/>
                <w:highlight w:val="none"/>
              </w:rPr>
              <w:t>100≤Y&lt;500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948E57">
            <w:pPr>
              <w:jc w:val="center"/>
              <w:rPr>
                <w:rFonts w:ascii="仿宋_GB2312" w:eastAsia="仿宋_GB2312"/>
                <w:color w:val="auto"/>
                <w:highlight w:val="none"/>
              </w:rPr>
            </w:pPr>
            <w:r>
              <w:rPr>
                <w:rFonts w:hint="eastAsia" w:ascii="仿宋_GB2312" w:eastAsia="仿宋_GB2312"/>
                <w:color w:val="auto"/>
                <w:highlight w:val="none"/>
              </w:rPr>
              <w:t>Y&lt;100</w:t>
            </w:r>
          </w:p>
        </w:tc>
      </w:tr>
      <w:tr w14:paraId="328267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907DC6">
            <w:pPr>
              <w:jc w:val="center"/>
              <w:rPr>
                <w:rFonts w:ascii="仿宋_GB2312" w:eastAsia="仿宋_GB2312"/>
                <w:color w:val="auto"/>
                <w:highlight w:val="none"/>
              </w:rPr>
            </w:pPr>
            <w:r>
              <w:rPr>
                <w:rFonts w:hint="eastAsia" w:ascii="仿宋_GB2312" w:eastAsia="仿宋_GB2312"/>
                <w:b/>
                <w:bCs/>
                <w:color w:val="auto"/>
                <w:highlight w:val="none"/>
              </w:rPr>
              <w:t>交通运输业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E6B06C">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6D8B34">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D2F58D">
            <w:pPr>
              <w:jc w:val="center"/>
              <w:rPr>
                <w:rFonts w:ascii="仿宋_GB2312" w:eastAsia="仿宋_GB2312"/>
                <w:color w:val="auto"/>
                <w:highlight w:val="none"/>
              </w:rPr>
            </w:pPr>
            <w:r>
              <w:rPr>
                <w:rFonts w:hint="eastAsia" w:ascii="仿宋_GB2312" w:eastAsia="仿宋_GB2312"/>
                <w:color w:val="auto"/>
                <w:highlight w:val="none"/>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44974F">
            <w:pPr>
              <w:jc w:val="center"/>
              <w:rPr>
                <w:rFonts w:ascii="仿宋_GB2312" w:eastAsia="仿宋_GB2312"/>
                <w:color w:val="auto"/>
                <w:highlight w:val="none"/>
              </w:rPr>
            </w:pPr>
            <w:r>
              <w:rPr>
                <w:rFonts w:hint="eastAsia" w:ascii="仿宋_GB2312" w:eastAsia="仿宋_GB2312"/>
                <w:color w:val="auto"/>
                <w:highlight w:val="none"/>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106256">
            <w:pPr>
              <w:jc w:val="center"/>
              <w:rPr>
                <w:rFonts w:ascii="仿宋_GB2312" w:eastAsia="仿宋_GB2312"/>
                <w:color w:val="auto"/>
                <w:highlight w:val="none"/>
              </w:rPr>
            </w:pPr>
            <w:r>
              <w:rPr>
                <w:rFonts w:hint="eastAsia" w:ascii="仿宋_GB2312" w:eastAsia="仿宋_GB2312"/>
                <w:color w:val="auto"/>
                <w:highlight w:val="none"/>
              </w:rPr>
              <w:t>X&lt;20</w:t>
            </w:r>
          </w:p>
        </w:tc>
      </w:tr>
      <w:tr w14:paraId="176C21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5D4CD990">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E809C3">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8C8ADF">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4E58F3">
            <w:pPr>
              <w:jc w:val="center"/>
              <w:rPr>
                <w:rFonts w:ascii="仿宋_GB2312" w:eastAsia="仿宋_GB2312"/>
                <w:color w:val="auto"/>
                <w:highlight w:val="none"/>
              </w:rPr>
            </w:pPr>
            <w:r>
              <w:rPr>
                <w:rFonts w:hint="eastAsia" w:ascii="仿宋_GB2312" w:eastAsia="仿宋_GB2312"/>
                <w:color w:val="auto"/>
                <w:highlight w:val="none"/>
              </w:rPr>
              <w:t>3000≤Y&lt;30000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988F09">
            <w:pPr>
              <w:jc w:val="center"/>
              <w:rPr>
                <w:rFonts w:ascii="仿宋_GB2312" w:eastAsia="仿宋_GB2312"/>
                <w:color w:val="auto"/>
                <w:highlight w:val="none"/>
              </w:rPr>
            </w:pPr>
            <w:r>
              <w:rPr>
                <w:rFonts w:hint="eastAsia" w:ascii="仿宋_GB2312" w:eastAsia="仿宋_GB2312"/>
                <w:color w:val="auto"/>
                <w:highlight w:val="none"/>
              </w:rPr>
              <w:t>200≤Y&lt;3000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C67B0E">
            <w:pPr>
              <w:jc w:val="center"/>
              <w:rPr>
                <w:rFonts w:ascii="仿宋_GB2312" w:eastAsia="仿宋_GB2312"/>
                <w:color w:val="auto"/>
                <w:highlight w:val="none"/>
              </w:rPr>
            </w:pPr>
            <w:r>
              <w:rPr>
                <w:rFonts w:hint="eastAsia" w:ascii="仿宋_GB2312" w:eastAsia="仿宋_GB2312"/>
                <w:color w:val="auto"/>
                <w:highlight w:val="none"/>
              </w:rPr>
              <w:t>Y&lt;200</w:t>
            </w:r>
          </w:p>
        </w:tc>
      </w:tr>
      <w:tr w14:paraId="297DF0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85FD23">
            <w:pPr>
              <w:jc w:val="center"/>
              <w:rPr>
                <w:rFonts w:ascii="仿宋_GB2312" w:eastAsia="仿宋_GB2312"/>
                <w:color w:val="auto"/>
                <w:highlight w:val="none"/>
              </w:rPr>
            </w:pPr>
            <w:r>
              <w:rPr>
                <w:rFonts w:hint="eastAsia" w:ascii="仿宋_GB2312" w:eastAsia="仿宋_GB2312"/>
                <w:b/>
                <w:bCs/>
                <w:color w:val="auto"/>
                <w:highlight w:val="none"/>
              </w:rPr>
              <w:t>仓储业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1F321C">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97A244">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B7C8C8">
            <w:pPr>
              <w:jc w:val="center"/>
              <w:rPr>
                <w:rFonts w:ascii="仿宋_GB2312" w:eastAsia="仿宋_GB2312"/>
                <w:color w:val="auto"/>
                <w:highlight w:val="none"/>
              </w:rPr>
            </w:pPr>
            <w:r>
              <w:rPr>
                <w:rFonts w:hint="eastAsia" w:ascii="仿宋_GB2312" w:eastAsia="仿宋_GB2312"/>
                <w:color w:val="auto"/>
                <w:highlight w:val="none"/>
              </w:rPr>
              <w:t>100≤X&lt;200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C6D7B3">
            <w:pPr>
              <w:jc w:val="center"/>
              <w:rPr>
                <w:rFonts w:ascii="仿宋_GB2312" w:eastAsia="仿宋_GB2312"/>
                <w:color w:val="auto"/>
                <w:highlight w:val="none"/>
              </w:rPr>
            </w:pPr>
            <w:r>
              <w:rPr>
                <w:rFonts w:hint="eastAsia" w:ascii="仿宋_GB2312" w:eastAsia="仿宋_GB2312"/>
                <w:color w:val="auto"/>
                <w:highlight w:val="none"/>
              </w:rPr>
              <w:t>20≤X&lt;100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C46589">
            <w:pPr>
              <w:jc w:val="center"/>
              <w:rPr>
                <w:rFonts w:ascii="仿宋_GB2312" w:eastAsia="仿宋_GB2312"/>
                <w:color w:val="auto"/>
                <w:highlight w:val="none"/>
              </w:rPr>
            </w:pPr>
            <w:r>
              <w:rPr>
                <w:rFonts w:hint="eastAsia" w:ascii="仿宋_GB2312" w:eastAsia="仿宋_GB2312"/>
                <w:color w:val="auto"/>
                <w:highlight w:val="none"/>
              </w:rPr>
              <w:t>X&lt;20</w:t>
            </w:r>
          </w:p>
        </w:tc>
      </w:tr>
      <w:tr w14:paraId="351890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4ED50ABA">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9CF3FE">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E856A5">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027DCE">
            <w:pPr>
              <w:jc w:val="center"/>
              <w:rPr>
                <w:rFonts w:ascii="仿宋_GB2312" w:eastAsia="仿宋_GB2312"/>
                <w:color w:val="auto"/>
                <w:highlight w:val="none"/>
              </w:rPr>
            </w:pPr>
            <w:r>
              <w:rPr>
                <w:rFonts w:hint="eastAsia" w:ascii="仿宋_GB2312" w:eastAsia="仿宋_GB2312"/>
                <w:color w:val="auto"/>
                <w:highlight w:val="none"/>
              </w:rPr>
              <w:t>1000≤Y&lt;30000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EF8F6A">
            <w:pPr>
              <w:jc w:val="center"/>
              <w:rPr>
                <w:rFonts w:ascii="仿宋_GB2312" w:eastAsia="仿宋_GB2312"/>
                <w:color w:val="auto"/>
                <w:highlight w:val="none"/>
              </w:rPr>
            </w:pPr>
            <w:r>
              <w:rPr>
                <w:rFonts w:hint="eastAsia" w:ascii="仿宋_GB2312" w:eastAsia="仿宋_GB2312"/>
                <w:color w:val="auto"/>
                <w:highlight w:val="none"/>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45E94F">
            <w:pPr>
              <w:jc w:val="center"/>
              <w:rPr>
                <w:rFonts w:ascii="仿宋_GB2312" w:eastAsia="仿宋_GB2312"/>
                <w:color w:val="auto"/>
                <w:highlight w:val="none"/>
              </w:rPr>
            </w:pPr>
            <w:r>
              <w:rPr>
                <w:rFonts w:hint="eastAsia" w:ascii="仿宋_GB2312" w:eastAsia="仿宋_GB2312"/>
                <w:color w:val="auto"/>
                <w:highlight w:val="none"/>
              </w:rPr>
              <w:t>Y&lt;100</w:t>
            </w:r>
          </w:p>
        </w:tc>
      </w:tr>
      <w:tr w14:paraId="2047F5C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8831EC">
            <w:pPr>
              <w:jc w:val="center"/>
              <w:rPr>
                <w:rFonts w:ascii="仿宋_GB2312" w:eastAsia="仿宋_GB2312"/>
                <w:color w:val="auto"/>
                <w:highlight w:val="none"/>
              </w:rPr>
            </w:pPr>
            <w:r>
              <w:rPr>
                <w:rFonts w:hint="eastAsia" w:ascii="仿宋_GB2312" w:eastAsia="仿宋_GB2312"/>
                <w:b/>
                <w:bCs/>
                <w:color w:val="auto"/>
                <w:highlight w:val="none"/>
              </w:rPr>
              <w:t>邮政业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339442">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7F4DC2">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F95B95">
            <w:pPr>
              <w:jc w:val="center"/>
              <w:rPr>
                <w:rFonts w:ascii="仿宋_GB2312" w:eastAsia="仿宋_GB2312"/>
                <w:color w:val="auto"/>
                <w:highlight w:val="none"/>
              </w:rPr>
            </w:pPr>
            <w:r>
              <w:rPr>
                <w:rFonts w:hint="eastAsia" w:ascii="仿宋_GB2312" w:eastAsia="仿宋_GB2312"/>
                <w:color w:val="auto"/>
                <w:highlight w:val="none"/>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0C10B2">
            <w:pPr>
              <w:jc w:val="center"/>
              <w:rPr>
                <w:rFonts w:ascii="仿宋_GB2312" w:eastAsia="仿宋_GB2312"/>
                <w:color w:val="auto"/>
                <w:highlight w:val="none"/>
              </w:rPr>
            </w:pPr>
            <w:r>
              <w:rPr>
                <w:rFonts w:hint="eastAsia" w:ascii="仿宋_GB2312" w:eastAsia="仿宋_GB2312"/>
                <w:color w:val="auto"/>
                <w:highlight w:val="none"/>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76B5DD">
            <w:pPr>
              <w:jc w:val="center"/>
              <w:rPr>
                <w:rFonts w:ascii="仿宋_GB2312" w:eastAsia="仿宋_GB2312"/>
                <w:color w:val="auto"/>
                <w:highlight w:val="none"/>
              </w:rPr>
            </w:pPr>
            <w:r>
              <w:rPr>
                <w:rFonts w:hint="eastAsia" w:ascii="仿宋_GB2312" w:eastAsia="仿宋_GB2312"/>
                <w:color w:val="auto"/>
                <w:highlight w:val="none"/>
              </w:rPr>
              <w:t>X&lt;20</w:t>
            </w:r>
          </w:p>
        </w:tc>
      </w:tr>
      <w:tr w14:paraId="75CBAA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030D4645">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910569">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154E5C">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7864F3">
            <w:pPr>
              <w:jc w:val="center"/>
              <w:rPr>
                <w:rFonts w:ascii="仿宋_GB2312" w:eastAsia="仿宋_GB2312"/>
                <w:color w:val="auto"/>
                <w:highlight w:val="none"/>
              </w:rPr>
            </w:pPr>
            <w:r>
              <w:rPr>
                <w:rFonts w:hint="eastAsia" w:ascii="仿宋_GB2312" w:eastAsia="仿宋_GB2312"/>
                <w:color w:val="auto"/>
                <w:highlight w:val="none"/>
              </w:rPr>
              <w:t>2000≤Y&lt;30000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E4383F">
            <w:pPr>
              <w:jc w:val="center"/>
              <w:rPr>
                <w:rFonts w:ascii="仿宋_GB2312" w:eastAsia="仿宋_GB2312"/>
                <w:color w:val="auto"/>
                <w:highlight w:val="none"/>
              </w:rPr>
            </w:pPr>
            <w:r>
              <w:rPr>
                <w:rFonts w:hint="eastAsia" w:ascii="仿宋_GB2312" w:eastAsia="仿宋_GB2312"/>
                <w:color w:val="auto"/>
                <w:highlight w:val="none"/>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8E86F5">
            <w:pPr>
              <w:jc w:val="center"/>
              <w:rPr>
                <w:rFonts w:ascii="仿宋_GB2312" w:eastAsia="仿宋_GB2312"/>
                <w:color w:val="auto"/>
                <w:highlight w:val="none"/>
              </w:rPr>
            </w:pPr>
            <w:r>
              <w:rPr>
                <w:rFonts w:hint="eastAsia" w:ascii="仿宋_GB2312" w:eastAsia="仿宋_GB2312"/>
                <w:color w:val="auto"/>
                <w:highlight w:val="none"/>
              </w:rPr>
              <w:t>Y&lt;100</w:t>
            </w:r>
          </w:p>
        </w:tc>
      </w:tr>
      <w:tr w14:paraId="399AE57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AA06AB">
            <w:pPr>
              <w:jc w:val="center"/>
              <w:rPr>
                <w:rFonts w:ascii="仿宋_GB2312" w:eastAsia="仿宋_GB2312"/>
                <w:color w:val="auto"/>
                <w:highlight w:val="none"/>
              </w:rPr>
            </w:pPr>
            <w:r>
              <w:rPr>
                <w:rFonts w:hint="eastAsia" w:ascii="仿宋_GB2312" w:eastAsia="仿宋_GB2312"/>
                <w:b/>
                <w:bCs/>
                <w:color w:val="auto"/>
                <w:highlight w:val="none"/>
              </w:rPr>
              <w:t>住宿业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7EDCA7">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BDCB5A">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6CAF82">
            <w:pPr>
              <w:jc w:val="center"/>
              <w:rPr>
                <w:rFonts w:ascii="仿宋_GB2312" w:eastAsia="仿宋_GB2312"/>
                <w:color w:val="auto"/>
                <w:highlight w:val="none"/>
              </w:rPr>
            </w:pPr>
            <w:r>
              <w:rPr>
                <w:rFonts w:hint="eastAsia" w:ascii="仿宋_GB2312" w:eastAsia="仿宋_GB2312"/>
                <w:color w:val="auto"/>
                <w:highlight w:val="none"/>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7D823C">
            <w:pPr>
              <w:jc w:val="center"/>
              <w:rPr>
                <w:rFonts w:ascii="仿宋_GB2312" w:eastAsia="仿宋_GB2312"/>
                <w:color w:val="auto"/>
                <w:highlight w:val="none"/>
              </w:rPr>
            </w:pPr>
            <w:r>
              <w:rPr>
                <w:rFonts w:hint="eastAsia" w:ascii="仿宋_GB2312" w:eastAsia="仿宋_GB2312"/>
                <w:color w:val="auto"/>
                <w:highlight w:val="none"/>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8691E5">
            <w:pPr>
              <w:jc w:val="center"/>
              <w:rPr>
                <w:rFonts w:ascii="仿宋_GB2312" w:eastAsia="仿宋_GB2312"/>
                <w:color w:val="auto"/>
                <w:highlight w:val="none"/>
              </w:rPr>
            </w:pPr>
            <w:r>
              <w:rPr>
                <w:rFonts w:hint="eastAsia" w:ascii="仿宋_GB2312" w:eastAsia="仿宋_GB2312"/>
                <w:color w:val="auto"/>
                <w:highlight w:val="none"/>
              </w:rPr>
              <w:t>X&lt;10</w:t>
            </w:r>
          </w:p>
        </w:tc>
      </w:tr>
      <w:tr w14:paraId="384950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7D32A1A">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AD799C">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8F720A">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D23E5E">
            <w:pPr>
              <w:jc w:val="center"/>
              <w:rPr>
                <w:rFonts w:ascii="仿宋_GB2312" w:eastAsia="仿宋_GB2312"/>
                <w:color w:val="auto"/>
                <w:highlight w:val="none"/>
              </w:rPr>
            </w:pPr>
            <w:r>
              <w:rPr>
                <w:rFonts w:hint="eastAsia" w:ascii="仿宋_GB2312" w:eastAsia="仿宋_GB2312"/>
                <w:color w:val="auto"/>
                <w:highlight w:val="none"/>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621C39">
            <w:pPr>
              <w:jc w:val="center"/>
              <w:rPr>
                <w:rFonts w:ascii="仿宋_GB2312" w:eastAsia="仿宋_GB2312"/>
                <w:color w:val="auto"/>
                <w:highlight w:val="none"/>
              </w:rPr>
            </w:pPr>
            <w:r>
              <w:rPr>
                <w:rFonts w:hint="eastAsia" w:ascii="仿宋_GB2312" w:eastAsia="仿宋_GB2312"/>
                <w:color w:val="auto"/>
                <w:highlight w:val="none"/>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C36789">
            <w:pPr>
              <w:jc w:val="center"/>
              <w:rPr>
                <w:rFonts w:ascii="仿宋_GB2312" w:eastAsia="仿宋_GB2312"/>
                <w:color w:val="auto"/>
                <w:highlight w:val="none"/>
              </w:rPr>
            </w:pPr>
            <w:r>
              <w:rPr>
                <w:rFonts w:hint="eastAsia" w:ascii="仿宋_GB2312" w:eastAsia="仿宋_GB2312"/>
                <w:color w:val="auto"/>
                <w:highlight w:val="none"/>
              </w:rPr>
              <w:t>Y&lt;100</w:t>
            </w:r>
          </w:p>
        </w:tc>
      </w:tr>
      <w:tr w14:paraId="692CF2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0B8F6C">
            <w:pPr>
              <w:jc w:val="center"/>
              <w:rPr>
                <w:rFonts w:ascii="仿宋_GB2312" w:eastAsia="仿宋_GB2312"/>
                <w:color w:val="auto"/>
                <w:highlight w:val="none"/>
              </w:rPr>
            </w:pPr>
            <w:r>
              <w:rPr>
                <w:rFonts w:hint="eastAsia" w:ascii="仿宋_GB2312" w:eastAsia="仿宋_GB2312"/>
                <w:b/>
                <w:bCs/>
                <w:color w:val="auto"/>
                <w:highlight w:val="none"/>
              </w:rPr>
              <w:t>餐饮业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A93DE8">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C3772E">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A85461">
            <w:pPr>
              <w:jc w:val="center"/>
              <w:rPr>
                <w:rFonts w:ascii="仿宋_GB2312" w:eastAsia="仿宋_GB2312"/>
                <w:color w:val="auto"/>
                <w:highlight w:val="none"/>
              </w:rPr>
            </w:pPr>
            <w:r>
              <w:rPr>
                <w:rFonts w:hint="eastAsia" w:ascii="仿宋_GB2312" w:eastAsia="仿宋_GB2312"/>
                <w:color w:val="auto"/>
                <w:highlight w:val="none"/>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85C3D7">
            <w:pPr>
              <w:jc w:val="center"/>
              <w:rPr>
                <w:rFonts w:ascii="仿宋_GB2312" w:eastAsia="仿宋_GB2312"/>
                <w:color w:val="auto"/>
                <w:highlight w:val="none"/>
              </w:rPr>
            </w:pPr>
            <w:r>
              <w:rPr>
                <w:rFonts w:hint="eastAsia" w:ascii="仿宋_GB2312" w:eastAsia="仿宋_GB2312"/>
                <w:color w:val="auto"/>
                <w:highlight w:val="none"/>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A65B66">
            <w:pPr>
              <w:jc w:val="center"/>
              <w:rPr>
                <w:rFonts w:ascii="仿宋_GB2312" w:eastAsia="仿宋_GB2312"/>
                <w:color w:val="auto"/>
                <w:highlight w:val="none"/>
              </w:rPr>
            </w:pPr>
            <w:r>
              <w:rPr>
                <w:rFonts w:hint="eastAsia" w:ascii="仿宋_GB2312" w:eastAsia="仿宋_GB2312"/>
                <w:color w:val="auto"/>
                <w:highlight w:val="none"/>
              </w:rPr>
              <w:t>X&lt;10</w:t>
            </w:r>
          </w:p>
        </w:tc>
      </w:tr>
      <w:tr w14:paraId="1BF658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C07447F">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DD7A6B">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2C61D6">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A36A92">
            <w:pPr>
              <w:jc w:val="center"/>
              <w:rPr>
                <w:rFonts w:ascii="仿宋_GB2312" w:eastAsia="仿宋_GB2312"/>
                <w:color w:val="auto"/>
                <w:highlight w:val="none"/>
              </w:rPr>
            </w:pPr>
            <w:r>
              <w:rPr>
                <w:rFonts w:hint="eastAsia" w:ascii="仿宋_GB2312" w:eastAsia="仿宋_GB2312"/>
                <w:color w:val="auto"/>
                <w:highlight w:val="none"/>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81982D">
            <w:pPr>
              <w:jc w:val="center"/>
              <w:rPr>
                <w:rFonts w:ascii="仿宋_GB2312" w:eastAsia="仿宋_GB2312"/>
                <w:color w:val="auto"/>
                <w:highlight w:val="none"/>
              </w:rPr>
            </w:pPr>
            <w:r>
              <w:rPr>
                <w:rFonts w:hint="eastAsia" w:ascii="仿宋_GB2312" w:eastAsia="仿宋_GB2312"/>
                <w:color w:val="auto"/>
                <w:highlight w:val="none"/>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404998">
            <w:pPr>
              <w:jc w:val="center"/>
              <w:rPr>
                <w:rFonts w:ascii="仿宋_GB2312" w:eastAsia="仿宋_GB2312"/>
                <w:color w:val="auto"/>
                <w:highlight w:val="none"/>
              </w:rPr>
            </w:pPr>
            <w:r>
              <w:rPr>
                <w:rFonts w:hint="eastAsia" w:ascii="仿宋_GB2312" w:eastAsia="仿宋_GB2312"/>
                <w:color w:val="auto"/>
                <w:highlight w:val="none"/>
              </w:rPr>
              <w:t>Y&lt;100</w:t>
            </w:r>
          </w:p>
        </w:tc>
      </w:tr>
      <w:tr w14:paraId="226295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DD494D">
            <w:pPr>
              <w:jc w:val="center"/>
              <w:rPr>
                <w:rFonts w:ascii="仿宋_GB2312" w:eastAsia="仿宋_GB2312"/>
                <w:color w:val="auto"/>
                <w:highlight w:val="none"/>
              </w:rPr>
            </w:pPr>
            <w:r>
              <w:rPr>
                <w:rFonts w:hint="eastAsia" w:ascii="仿宋_GB2312" w:eastAsia="仿宋_GB2312"/>
                <w:b/>
                <w:bCs/>
                <w:color w:val="auto"/>
                <w:highlight w:val="none"/>
              </w:rPr>
              <w:t>信息传输业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93D5A9">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877BCE">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EB6F9A">
            <w:pPr>
              <w:jc w:val="center"/>
              <w:rPr>
                <w:rFonts w:ascii="仿宋_GB2312" w:eastAsia="仿宋_GB2312"/>
                <w:color w:val="auto"/>
                <w:highlight w:val="none"/>
              </w:rPr>
            </w:pPr>
            <w:r>
              <w:rPr>
                <w:rFonts w:hint="eastAsia" w:ascii="仿宋_GB2312" w:eastAsia="仿宋_GB2312"/>
                <w:color w:val="auto"/>
                <w:highlight w:val="none"/>
              </w:rPr>
              <w:t>100≤X&lt;2000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B5C82F">
            <w:pPr>
              <w:jc w:val="center"/>
              <w:rPr>
                <w:rFonts w:ascii="仿宋_GB2312" w:eastAsia="仿宋_GB2312"/>
                <w:color w:val="auto"/>
                <w:highlight w:val="none"/>
              </w:rPr>
            </w:pPr>
            <w:r>
              <w:rPr>
                <w:rFonts w:hint="eastAsia" w:ascii="仿宋_GB2312" w:eastAsia="仿宋_GB2312"/>
                <w:color w:val="auto"/>
                <w:highlight w:val="none"/>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601DDA">
            <w:pPr>
              <w:jc w:val="center"/>
              <w:rPr>
                <w:rFonts w:ascii="仿宋_GB2312" w:eastAsia="仿宋_GB2312"/>
                <w:color w:val="auto"/>
                <w:highlight w:val="none"/>
              </w:rPr>
            </w:pPr>
            <w:r>
              <w:rPr>
                <w:rFonts w:hint="eastAsia" w:ascii="仿宋_GB2312" w:eastAsia="仿宋_GB2312"/>
                <w:color w:val="auto"/>
                <w:highlight w:val="none"/>
              </w:rPr>
              <w:t>X&lt;10</w:t>
            </w:r>
          </w:p>
        </w:tc>
      </w:tr>
      <w:tr w14:paraId="5E1992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5C97C218">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C89EE4">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92C02C">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185AC3">
            <w:pPr>
              <w:jc w:val="center"/>
              <w:rPr>
                <w:rFonts w:ascii="仿宋_GB2312" w:eastAsia="仿宋_GB2312"/>
                <w:color w:val="auto"/>
                <w:highlight w:val="none"/>
              </w:rPr>
            </w:pPr>
            <w:r>
              <w:rPr>
                <w:rFonts w:hint="eastAsia" w:ascii="仿宋_GB2312" w:eastAsia="仿宋_GB2312"/>
                <w:color w:val="auto"/>
                <w:highlight w:val="none"/>
              </w:rPr>
              <w:t>1000≤Y&lt;100000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D295B5">
            <w:pPr>
              <w:jc w:val="center"/>
              <w:rPr>
                <w:rFonts w:ascii="仿宋_GB2312" w:eastAsia="仿宋_GB2312"/>
                <w:color w:val="auto"/>
                <w:highlight w:val="none"/>
              </w:rPr>
            </w:pPr>
            <w:r>
              <w:rPr>
                <w:rFonts w:hint="eastAsia" w:ascii="仿宋_GB2312" w:eastAsia="仿宋_GB2312"/>
                <w:color w:val="auto"/>
                <w:highlight w:val="none"/>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B71F4E">
            <w:pPr>
              <w:jc w:val="center"/>
              <w:rPr>
                <w:rFonts w:ascii="仿宋_GB2312" w:eastAsia="仿宋_GB2312"/>
                <w:color w:val="auto"/>
                <w:highlight w:val="none"/>
              </w:rPr>
            </w:pPr>
            <w:r>
              <w:rPr>
                <w:rFonts w:hint="eastAsia" w:ascii="仿宋_GB2312" w:eastAsia="仿宋_GB2312"/>
                <w:color w:val="auto"/>
                <w:highlight w:val="none"/>
              </w:rPr>
              <w:t>Y&lt;100</w:t>
            </w:r>
          </w:p>
        </w:tc>
      </w:tr>
      <w:tr w14:paraId="6AF4904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CF8174">
            <w:pPr>
              <w:jc w:val="center"/>
              <w:rPr>
                <w:rFonts w:ascii="仿宋_GB2312" w:eastAsia="仿宋_GB2312"/>
                <w:color w:val="auto"/>
                <w:highlight w:val="none"/>
              </w:rPr>
            </w:pPr>
            <w:r>
              <w:rPr>
                <w:rFonts w:hint="eastAsia" w:ascii="仿宋_GB2312" w:eastAsia="仿宋_GB2312"/>
                <w:b/>
                <w:bCs/>
                <w:color w:val="auto"/>
                <w:highlight w:val="none"/>
              </w:rPr>
              <w:t>软件和信息</w:t>
            </w:r>
            <w:r>
              <w:rPr>
                <w:rFonts w:hint="eastAsia" w:ascii="仿宋_GB2312" w:eastAsia="仿宋_GB2312"/>
                <w:color w:val="auto"/>
                <w:highlight w:val="none"/>
              </w:rPr>
              <w:t xml:space="preserve"> </w:t>
            </w:r>
            <w:r>
              <w:rPr>
                <w:rFonts w:hint="eastAsia" w:ascii="仿宋_GB2312" w:eastAsia="仿宋_GB2312"/>
                <w:b/>
                <w:bCs/>
                <w:color w:val="auto"/>
                <w:highlight w:val="none"/>
              </w:rPr>
              <w:t>技术服务业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7A3AE0">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FBAC1C">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665904">
            <w:pPr>
              <w:jc w:val="center"/>
              <w:rPr>
                <w:rFonts w:ascii="仿宋_GB2312" w:eastAsia="仿宋_GB2312"/>
                <w:color w:val="auto"/>
                <w:highlight w:val="none"/>
              </w:rPr>
            </w:pPr>
            <w:r>
              <w:rPr>
                <w:rFonts w:hint="eastAsia" w:ascii="仿宋_GB2312" w:eastAsia="仿宋_GB2312"/>
                <w:color w:val="auto"/>
                <w:highlight w:val="none"/>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A72BDC">
            <w:pPr>
              <w:jc w:val="center"/>
              <w:rPr>
                <w:rFonts w:ascii="仿宋_GB2312" w:eastAsia="仿宋_GB2312"/>
                <w:color w:val="auto"/>
                <w:highlight w:val="none"/>
              </w:rPr>
            </w:pPr>
            <w:r>
              <w:rPr>
                <w:rFonts w:hint="eastAsia" w:ascii="仿宋_GB2312" w:eastAsia="仿宋_GB2312"/>
                <w:color w:val="auto"/>
                <w:highlight w:val="none"/>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0C6F83">
            <w:pPr>
              <w:jc w:val="center"/>
              <w:rPr>
                <w:rFonts w:ascii="仿宋_GB2312" w:eastAsia="仿宋_GB2312"/>
                <w:color w:val="auto"/>
                <w:highlight w:val="none"/>
              </w:rPr>
            </w:pPr>
            <w:r>
              <w:rPr>
                <w:rFonts w:hint="eastAsia" w:ascii="仿宋_GB2312" w:eastAsia="仿宋_GB2312"/>
                <w:color w:val="auto"/>
                <w:highlight w:val="none"/>
              </w:rPr>
              <w:t>X&lt;10</w:t>
            </w:r>
          </w:p>
        </w:tc>
      </w:tr>
      <w:tr w14:paraId="385453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3A54B94">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4F35F4">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13BC7B">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045D67">
            <w:pPr>
              <w:jc w:val="center"/>
              <w:rPr>
                <w:rFonts w:ascii="仿宋_GB2312" w:eastAsia="仿宋_GB2312"/>
                <w:color w:val="auto"/>
                <w:highlight w:val="none"/>
              </w:rPr>
            </w:pPr>
            <w:r>
              <w:rPr>
                <w:rFonts w:hint="eastAsia" w:ascii="仿宋_GB2312" w:eastAsia="仿宋_GB2312"/>
                <w:color w:val="auto"/>
                <w:highlight w:val="none"/>
              </w:rPr>
              <w:t>1000≤Y&lt;10000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0D9805">
            <w:pPr>
              <w:jc w:val="center"/>
              <w:rPr>
                <w:rFonts w:ascii="仿宋_GB2312" w:eastAsia="仿宋_GB2312"/>
                <w:color w:val="auto"/>
                <w:highlight w:val="none"/>
              </w:rPr>
            </w:pPr>
            <w:r>
              <w:rPr>
                <w:rFonts w:hint="eastAsia" w:ascii="仿宋_GB2312" w:eastAsia="仿宋_GB2312"/>
                <w:color w:val="auto"/>
                <w:highlight w:val="none"/>
              </w:rPr>
              <w:t>50≤Y&lt;1000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BFA159">
            <w:pPr>
              <w:jc w:val="center"/>
              <w:rPr>
                <w:rFonts w:ascii="仿宋_GB2312" w:eastAsia="仿宋_GB2312"/>
                <w:color w:val="auto"/>
                <w:highlight w:val="none"/>
              </w:rPr>
            </w:pPr>
            <w:r>
              <w:rPr>
                <w:rFonts w:hint="eastAsia" w:ascii="仿宋_GB2312" w:eastAsia="仿宋_GB2312"/>
                <w:color w:val="auto"/>
                <w:highlight w:val="none"/>
              </w:rPr>
              <w:t>Y&lt;50</w:t>
            </w:r>
          </w:p>
        </w:tc>
      </w:tr>
      <w:tr w14:paraId="244040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CE14FB">
            <w:pPr>
              <w:jc w:val="center"/>
              <w:rPr>
                <w:rFonts w:ascii="仿宋_GB2312" w:eastAsia="仿宋_GB2312"/>
                <w:color w:val="auto"/>
                <w:highlight w:val="none"/>
              </w:rPr>
            </w:pPr>
            <w:r>
              <w:rPr>
                <w:rFonts w:hint="eastAsia" w:ascii="仿宋_GB2312" w:eastAsia="仿宋_GB2312"/>
                <w:b/>
                <w:bCs/>
                <w:color w:val="auto"/>
                <w:highlight w:val="none"/>
              </w:rPr>
              <w:t>房地产</w:t>
            </w:r>
            <w:r>
              <w:rPr>
                <w:rFonts w:hint="eastAsia" w:ascii="仿宋_GB2312" w:eastAsia="仿宋_GB2312"/>
                <w:color w:val="auto"/>
                <w:highlight w:val="none"/>
              </w:rPr>
              <w:t xml:space="preserve"> </w:t>
            </w:r>
            <w:r>
              <w:rPr>
                <w:rFonts w:hint="eastAsia" w:ascii="仿宋_GB2312" w:eastAsia="仿宋_GB2312"/>
                <w:b/>
                <w:bCs/>
                <w:color w:val="auto"/>
                <w:highlight w:val="none"/>
              </w:rPr>
              <w:t>开发经营</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CE5C33">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8C5AB5">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A2B978">
            <w:pPr>
              <w:jc w:val="center"/>
              <w:rPr>
                <w:rFonts w:ascii="仿宋_GB2312" w:eastAsia="仿宋_GB2312"/>
                <w:color w:val="auto"/>
                <w:highlight w:val="none"/>
              </w:rPr>
            </w:pPr>
            <w:r>
              <w:rPr>
                <w:rFonts w:hint="eastAsia" w:ascii="仿宋_GB2312" w:eastAsia="仿宋_GB2312"/>
                <w:color w:val="auto"/>
                <w:highlight w:val="none"/>
              </w:rPr>
              <w:t>1000≤Y&lt;200000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D393EA">
            <w:pPr>
              <w:jc w:val="center"/>
              <w:rPr>
                <w:rFonts w:ascii="仿宋_GB2312" w:eastAsia="仿宋_GB2312"/>
                <w:color w:val="auto"/>
                <w:highlight w:val="none"/>
              </w:rPr>
            </w:pPr>
            <w:r>
              <w:rPr>
                <w:rFonts w:hint="eastAsia" w:ascii="仿宋_GB2312" w:eastAsia="仿宋_GB2312"/>
                <w:color w:val="auto"/>
                <w:highlight w:val="none"/>
              </w:rPr>
              <w:t>100≤X&lt;1000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CF8D58">
            <w:pPr>
              <w:jc w:val="center"/>
              <w:rPr>
                <w:rFonts w:ascii="仿宋_GB2312" w:eastAsia="仿宋_GB2312"/>
                <w:color w:val="auto"/>
                <w:highlight w:val="none"/>
              </w:rPr>
            </w:pPr>
            <w:r>
              <w:rPr>
                <w:rFonts w:hint="eastAsia" w:ascii="仿宋_GB2312" w:eastAsia="仿宋_GB2312"/>
                <w:color w:val="auto"/>
                <w:highlight w:val="none"/>
              </w:rPr>
              <w:t>X&lt;100</w:t>
            </w:r>
          </w:p>
        </w:tc>
      </w:tr>
      <w:tr w14:paraId="3159E7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6CA29101">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2A37E2">
            <w:pPr>
              <w:jc w:val="center"/>
              <w:rPr>
                <w:rFonts w:ascii="仿宋_GB2312" w:eastAsia="仿宋_GB2312"/>
                <w:color w:val="auto"/>
                <w:highlight w:val="none"/>
              </w:rPr>
            </w:pPr>
            <w:r>
              <w:rPr>
                <w:rFonts w:hint="eastAsia" w:ascii="仿宋_GB2312" w:eastAsia="仿宋_GB2312"/>
                <w:color w:val="auto"/>
                <w:highlight w:val="none"/>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3E9BDA">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AD15FC">
            <w:pPr>
              <w:jc w:val="center"/>
              <w:rPr>
                <w:rFonts w:ascii="仿宋_GB2312" w:eastAsia="仿宋_GB2312"/>
                <w:color w:val="auto"/>
                <w:highlight w:val="none"/>
              </w:rPr>
            </w:pPr>
            <w:r>
              <w:rPr>
                <w:rFonts w:hint="eastAsia" w:ascii="仿宋_GB2312" w:eastAsia="仿宋_GB2312"/>
                <w:color w:val="auto"/>
                <w:highlight w:val="none"/>
              </w:rPr>
              <w:t>5000≤Z&lt;10000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FFDE9E">
            <w:pPr>
              <w:jc w:val="center"/>
              <w:rPr>
                <w:rFonts w:ascii="仿宋_GB2312" w:eastAsia="仿宋_GB2312"/>
                <w:color w:val="auto"/>
                <w:highlight w:val="none"/>
              </w:rPr>
            </w:pPr>
            <w:r>
              <w:rPr>
                <w:rFonts w:hint="eastAsia" w:ascii="仿宋_GB2312" w:eastAsia="仿宋_GB2312"/>
                <w:color w:val="auto"/>
                <w:highlight w:val="none"/>
              </w:rPr>
              <w:t>2000≤Y&lt;5000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42FE1E">
            <w:pPr>
              <w:jc w:val="center"/>
              <w:rPr>
                <w:rFonts w:ascii="仿宋_GB2312" w:eastAsia="仿宋_GB2312"/>
                <w:color w:val="auto"/>
                <w:highlight w:val="none"/>
              </w:rPr>
            </w:pPr>
            <w:r>
              <w:rPr>
                <w:rFonts w:hint="eastAsia" w:ascii="仿宋_GB2312" w:eastAsia="仿宋_GB2312"/>
                <w:color w:val="auto"/>
                <w:highlight w:val="none"/>
              </w:rPr>
              <w:t>Y&lt;2000</w:t>
            </w:r>
          </w:p>
        </w:tc>
      </w:tr>
      <w:tr w14:paraId="3D7612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683A39">
            <w:pPr>
              <w:jc w:val="center"/>
              <w:rPr>
                <w:rFonts w:ascii="仿宋_GB2312" w:eastAsia="仿宋_GB2312"/>
                <w:color w:val="auto"/>
                <w:highlight w:val="none"/>
              </w:rPr>
            </w:pPr>
            <w:r>
              <w:rPr>
                <w:rFonts w:hint="eastAsia" w:ascii="仿宋_GB2312" w:eastAsia="仿宋_GB2312"/>
                <w:b/>
                <w:bCs/>
                <w:color w:val="auto"/>
                <w:highlight w:val="none"/>
              </w:rPr>
              <w:t>物业管理</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FAC1C6">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B2272A">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F1517E">
            <w:pPr>
              <w:jc w:val="center"/>
              <w:rPr>
                <w:rFonts w:ascii="仿宋_GB2312" w:eastAsia="仿宋_GB2312"/>
                <w:color w:val="auto"/>
                <w:highlight w:val="none"/>
              </w:rPr>
            </w:pPr>
            <w:r>
              <w:rPr>
                <w:rFonts w:hint="eastAsia" w:ascii="仿宋_GB2312" w:eastAsia="仿宋_GB2312"/>
                <w:color w:val="auto"/>
                <w:highlight w:val="none"/>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A90F68">
            <w:pPr>
              <w:jc w:val="center"/>
              <w:rPr>
                <w:rFonts w:ascii="仿宋_GB2312" w:eastAsia="仿宋_GB2312"/>
                <w:color w:val="auto"/>
                <w:highlight w:val="none"/>
              </w:rPr>
            </w:pPr>
            <w:r>
              <w:rPr>
                <w:rFonts w:hint="eastAsia" w:ascii="仿宋_GB2312" w:eastAsia="仿宋_GB2312"/>
                <w:color w:val="auto"/>
                <w:highlight w:val="none"/>
              </w:rPr>
              <w:t>100≤X&lt;300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CBF2C2">
            <w:pPr>
              <w:jc w:val="center"/>
              <w:rPr>
                <w:rFonts w:ascii="仿宋_GB2312" w:eastAsia="仿宋_GB2312"/>
                <w:color w:val="auto"/>
                <w:highlight w:val="none"/>
              </w:rPr>
            </w:pPr>
            <w:r>
              <w:rPr>
                <w:rFonts w:hint="eastAsia" w:ascii="仿宋_GB2312" w:eastAsia="仿宋_GB2312"/>
                <w:color w:val="auto"/>
                <w:highlight w:val="none"/>
              </w:rPr>
              <w:t>X&lt;100</w:t>
            </w:r>
          </w:p>
        </w:tc>
      </w:tr>
      <w:tr w14:paraId="63705F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55B9B396">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9E0672">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2DEFE6">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EB2291">
            <w:pPr>
              <w:jc w:val="center"/>
              <w:rPr>
                <w:rFonts w:ascii="仿宋_GB2312" w:eastAsia="仿宋_GB2312"/>
                <w:color w:val="auto"/>
                <w:highlight w:val="none"/>
              </w:rPr>
            </w:pPr>
            <w:r>
              <w:rPr>
                <w:rFonts w:hint="eastAsia" w:ascii="仿宋_GB2312" w:eastAsia="仿宋_GB2312"/>
                <w:color w:val="auto"/>
                <w:highlight w:val="none"/>
              </w:rPr>
              <w:t>1000≤Y&lt;5000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89588F">
            <w:pPr>
              <w:jc w:val="center"/>
              <w:rPr>
                <w:rFonts w:ascii="仿宋_GB2312" w:eastAsia="仿宋_GB2312"/>
                <w:color w:val="auto"/>
                <w:highlight w:val="none"/>
              </w:rPr>
            </w:pPr>
            <w:r>
              <w:rPr>
                <w:rFonts w:hint="eastAsia" w:ascii="仿宋_GB2312" w:eastAsia="仿宋_GB2312"/>
                <w:color w:val="auto"/>
                <w:highlight w:val="none"/>
              </w:rPr>
              <w:t>500≤Y&lt;1000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79C1F5">
            <w:pPr>
              <w:jc w:val="center"/>
              <w:rPr>
                <w:rFonts w:ascii="仿宋_GB2312" w:eastAsia="仿宋_GB2312"/>
                <w:color w:val="auto"/>
                <w:highlight w:val="none"/>
              </w:rPr>
            </w:pPr>
            <w:r>
              <w:rPr>
                <w:rFonts w:hint="eastAsia" w:ascii="仿宋_GB2312" w:eastAsia="仿宋_GB2312"/>
                <w:color w:val="auto"/>
                <w:highlight w:val="none"/>
              </w:rPr>
              <w:t>Y&lt;500</w:t>
            </w:r>
          </w:p>
        </w:tc>
      </w:tr>
      <w:tr w14:paraId="285D26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5EB3A9">
            <w:pPr>
              <w:jc w:val="center"/>
              <w:rPr>
                <w:rFonts w:ascii="仿宋_GB2312" w:eastAsia="仿宋_GB2312"/>
                <w:color w:val="auto"/>
                <w:highlight w:val="none"/>
              </w:rPr>
            </w:pPr>
            <w:r>
              <w:rPr>
                <w:rFonts w:hint="eastAsia" w:ascii="仿宋_GB2312" w:eastAsia="仿宋_GB2312"/>
                <w:b/>
                <w:bCs/>
                <w:color w:val="auto"/>
                <w:highlight w:val="none"/>
              </w:rPr>
              <w:t>租赁和商务服务业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72F03D">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66364C">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7E9F0B">
            <w:pPr>
              <w:jc w:val="center"/>
              <w:rPr>
                <w:rFonts w:ascii="仿宋_GB2312" w:eastAsia="仿宋_GB2312"/>
                <w:color w:val="auto"/>
                <w:highlight w:val="none"/>
              </w:rPr>
            </w:pPr>
            <w:r>
              <w:rPr>
                <w:rFonts w:hint="eastAsia" w:ascii="仿宋_GB2312" w:eastAsia="仿宋_GB2312"/>
                <w:color w:val="auto"/>
                <w:highlight w:val="none"/>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820992">
            <w:pPr>
              <w:jc w:val="center"/>
              <w:rPr>
                <w:rFonts w:ascii="仿宋_GB2312" w:eastAsia="仿宋_GB2312"/>
                <w:color w:val="auto"/>
                <w:highlight w:val="none"/>
              </w:rPr>
            </w:pPr>
            <w:r>
              <w:rPr>
                <w:rFonts w:hint="eastAsia" w:ascii="仿宋_GB2312" w:eastAsia="仿宋_GB2312"/>
                <w:color w:val="auto"/>
                <w:highlight w:val="none"/>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FFF528">
            <w:pPr>
              <w:jc w:val="center"/>
              <w:rPr>
                <w:rFonts w:ascii="仿宋_GB2312" w:eastAsia="仿宋_GB2312"/>
                <w:color w:val="auto"/>
                <w:highlight w:val="none"/>
              </w:rPr>
            </w:pPr>
            <w:r>
              <w:rPr>
                <w:rFonts w:hint="eastAsia" w:ascii="仿宋_GB2312" w:eastAsia="仿宋_GB2312"/>
                <w:color w:val="auto"/>
                <w:highlight w:val="none"/>
              </w:rPr>
              <w:t>X&lt;10</w:t>
            </w:r>
          </w:p>
        </w:tc>
      </w:tr>
      <w:tr w14:paraId="54759E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4C1DC2D">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6FB1A1">
            <w:pPr>
              <w:jc w:val="center"/>
              <w:rPr>
                <w:rFonts w:ascii="仿宋_GB2312" w:eastAsia="仿宋_GB2312"/>
                <w:color w:val="auto"/>
                <w:highlight w:val="none"/>
              </w:rPr>
            </w:pPr>
            <w:r>
              <w:rPr>
                <w:rFonts w:hint="eastAsia" w:ascii="仿宋_GB2312" w:eastAsia="仿宋_GB2312"/>
                <w:color w:val="auto"/>
                <w:highlight w:val="none"/>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93B30E">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19E4AE">
            <w:pPr>
              <w:jc w:val="center"/>
              <w:rPr>
                <w:rFonts w:ascii="仿宋_GB2312" w:eastAsia="仿宋_GB2312"/>
                <w:color w:val="auto"/>
                <w:highlight w:val="none"/>
              </w:rPr>
            </w:pPr>
            <w:r>
              <w:rPr>
                <w:rFonts w:hint="eastAsia" w:ascii="仿宋_GB2312" w:eastAsia="仿宋_GB2312"/>
                <w:color w:val="auto"/>
                <w:highlight w:val="none"/>
              </w:rPr>
              <w:t>8000≤Z&lt;120000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F7DC43">
            <w:pPr>
              <w:jc w:val="center"/>
              <w:rPr>
                <w:rFonts w:ascii="仿宋_GB2312" w:eastAsia="仿宋_GB2312"/>
                <w:color w:val="auto"/>
                <w:highlight w:val="none"/>
              </w:rPr>
            </w:pPr>
            <w:r>
              <w:rPr>
                <w:rFonts w:hint="eastAsia" w:ascii="仿宋_GB2312" w:eastAsia="仿宋_GB2312"/>
                <w:color w:val="auto"/>
                <w:highlight w:val="none"/>
              </w:rPr>
              <w:t>100≤Z&lt;8000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7E0A8F">
            <w:pPr>
              <w:jc w:val="center"/>
              <w:rPr>
                <w:rFonts w:ascii="仿宋_GB2312" w:eastAsia="仿宋_GB2312"/>
                <w:color w:val="auto"/>
                <w:highlight w:val="none"/>
              </w:rPr>
            </w:pPr>
            <w:r>
              <w:rPr>
                <w:rFonts w:hint="eastAsia" w:ascii="仿宋_GB2312" w:eastAsia="仿宋_GB2312"/>
                <w:color w:val="auto"/>
                <w:highlight w:val="none"/>
              </w:rPr>
              <w:t>Y&lt;100</w:t>
            </w:r>
          </w:p>
        </w:tc>
      </w:tr>
      <w:tr w14:paraId="2A864D7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D1BEBF">
            <w:pPr>
              <w:jc w:val="center"/>
              <w:rPr>
                <w:rFonts w:ascii="仿宋_GB2312" w:eastAsia="仿宋_GB2312"/>
                <w:color w:val="auto"/>
                <w:highlight w:val="none"/>
              </w:rPr>
            </w:pPr>
            <w:r>
              <w:rPr>
                <w:rFonts w:hint="eastAsia" w:ascii="仿宋_GB2312" w:eastAsia="仿宋_GB2312"/>
                <w:b/>
                <w:bCs/>
                <w:color w:val="auto"/>
                <w:highlight w:val="none"/>
              </w:rPr>
              <w:t>其他未列明</w:t>
            </w:r>
            <w:r>
              <w:rPr>
                <w:rFonts w:hint="eastAsia" w:ascii="仿宋_GB2312" w:eastAsia="仿宋_GB2312"/>
                <w:color w:val="auto"/>
                <w:highlight w:val="none"/>
              </w:rPr>
              <w:t xml:space="preserve"> </w:t>
            </w:r>
            <w:r>
              <w:rPr>
                <w:rFonts w:hint="eastAsia" w:ascii="仿宋_GB2312" w:eastAsia="仿宋_GB2312"/>
                <w:b/>
                <w:bCs/>
                <w:color w:val="auto"/>
                <w:highlight w:val="none"/>
              </w:rPr>
              <w:t>行业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07C4E2">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05AA24">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BE53D2">
            <w:pPr>
              <w:jc w:val="center"/>
              <w:rPr>
                <w:rFonts w:ascii="仿宋_GB2312" w:eastAsia="仿宋_GB2312"/>
                <w:color w:val="auto"/>
                <w:highlight w:val="none"/>
              </w:rPr>
            </w:pPr>
            <w:r>
              <w:rPr>
                <w:rFonts w:hint="eastAsia" w:ascii="仿宋_GB2312" w:eastAsia="仿宋_GB2312"/>
                <w:color w:val="auto"/>
                <w:highlight w:val="none"/>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E824E9">
            <w:pPr>
              <w:jc w:val="center"/>
              <w:rPr>
                <w:rFonts w:ascii="仿宋_GB2312" w:eastAsia="仿宋_GB2312"/>
                <w:color w:val="auto"/>
                <w:highlight w:val="none"/>
              </w:rPr>
            </w:pPr>
            <w:r>
              <w:rPr>
                <w:rFonts w:hint="eastAsia" w:ascii="仿宋_GB2312" w:eastAsia="仿宋_GB2312"/>
                <w:color w:val="auto"/>
                <w:highlight w:val="none"/>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88131C">
            <w:pPr>
              <w:jc w:val="center"/>
              <w:rPr>
                <w:rFonts w:ascii="仿宋_GB2312" w:eastAsia="仿宋_GB2312"/>
                <w:color w:val="auto"/>
                <w:highlight w:val="none"/>
              </w:rPr>
            </w:pPr>
            <w:r>
              <w:rPr>
                <w:rFonts w:hint="eastAsia" w:ascii="仿宋_GB2312" w:eastAsia="仿宋_GB2312"/>
                <w:color w:val="auto"/>
                <w:highlight w:val="none"/>
              </w:rPr>
              <w:t>X&lt;10</w:t>
            </w:r>
          </w:p>
        </w:tc>
      </w:tr>
    </w:tbl>
    <w:p w14:paraId="571A02D2">
      <w:pPr>
        <w:pStyle w:val="931"/>
        <w:spacing w:line="405" w:lineRule="atLeast"/>
        <w:rPr>
          <w:rFonts w:hint="eastAsia" w:ascii="仿宋_GB2312" w:eastAsia="仿宋_GB2312"/>
          <w:color w:val="auto"/>
          <w:highlight w:val="none"/>
        </w:rPr>
      </w:pPr>
      <w:r>
        <w:rPr>
          <w:rFonts w:hint="eastAsia" w:ascii="仿宋_GB2312" w:eastAsia="仿宋_GB2312"/>
          <w:b/>
          <w:bCs/>
          <w:color w:val="auto"/>
          <w:highlight w:val="none"/>
        </w:rPr>
        <w:t>  说明:上述标准参照《关于印发中小企业划型标准规定的通知》(工信部联企业〔2011〕300号)，大型、中型和小型企业须同时满足所列指标的下限，否则下划一档;微型企业只须满足所列指标中的一项即可。</w:t>
      </w:r>
    </w:p>
    <w:p w14:paraId="1A38A29A">
      <w:pPr>
        <w:pStyle w:val="390"/>
        <w:jc w:val="center"/>
        <w:rPr>
          <w:rFonts w:hint="eastAsia" w:ascii="仿宋_GB2312" w:eastAsia="仿宋_GB2312"/>
          <w:color w:val="auto"/>
          <w:highlight w:val="none"/>
        </w:rPr>
      </w:pPr>
      <w:r>
        <w:rPr>
          <w:rFonts w:hint="eastAsia" w:ascii="仿宋_GB2312" w:eastAsia="仿宋_GB2312"/>
          <w:color w:val="auto"/>
          <w:highlight w:val="none"/>
        </w:rPr>
        <w:br w:type="page"/>
      </w:r>
      <w:r>
        <w:rPr>
          <w:rFonts w:hint="eastAsia" w:ascii="仿宋_GB2312" w:eastAsia="仿宋_GB2312"/>
          <w:b/>
          <w:bCs/>
          <w:color w:val="auto"/>
          <w:sz w:val="33"/>
          <w:szCs w:val="33"/>
          <w:highlight w:val="none"/>
        </w:rPr>
        <w:t>中小企业声明函（</w:t>
      </w:r>
      <w:r>
        <w:rPr>
          <w:rFonts w:hint="eastAsia" w:ascii="仿宋_GB2312" w:eastAsia="仿宋_GB2312"/>
          <w:b/>
          <w:bCs/>
          <w:color w:val="auto"/>
          <w:sz w:val="33"/>
          <w:szCs w:val="33"/>
          <w:highlight w:val="none"/>
          <w:lang w:eastAsia="zh-CN"/>
        </w:rPr>
        <w:t>分标</w:t>
      </w:r>
      <w:r>
        <w:rPr>
          <w:rFonts w:hint="eastAsia" w:ascii="仿宋_GB2312" w:eastAsia="仿宋_GB2312"/>
          <w:b/>
          <w:bCs/>
          <w:color w:val="auto"/>
          <w:sz w:val="33"/>
          <w:szCs w:val="33"/>
          <w:highlight w:val="none"/>
          <w:lang w:val="en-US" w:eastAsia="zh-CN"/>
        </w:rPr>
        <w:t>2</w:t>
      </w:r>
      <w:r>
        <w:rPr>
          <w:rFonts w:hint="eastAsia" w:ascii="仿宋_GB2312" w:eastAsia="仿宋_GB2312"/>
          <w:b/>
          <w:bCs/>
          <w:color w:val="auto"/>
          <w:sz w:val="33"/>
          <w:szCs w:val="33"/>
          <w:highlight w:val="none"/>
        </w:rPr>
        <w:t>）</w:t>
      </w:r>
    </w:p>
    <w:p w14:paraId="77BB2EDD">
      <w:pPr>
        <w:pStyle w:val="390"/>
        <w:spacing w:line="405" w:lineRule="atLeast"/>
        <w:rPr>
          <w:rFonts w:hint="eastAsia" w:ascii="仿宋_GB2312" w:eastAsia="仿宋_GB2312"/>
          <w:color w:val="auto"/>
          <w:highlight w:val="none"/>
        </w:rPr>
      </w:pPr>
      <w:r>
        <w:rPr>
          <w:rFonts w:hint="eastAsia" w:ascii="仿宋_GB2312" w:eastAsia="仿宋_GB2312"/>
          <w:color w:val="auto"/>
          <w:highlight w:val="none"/>
        </w:rPr>
        <w:t>  本公司郑重声明，根据《政府采购促进中小企业发展管理办法》（财库﹝2020﹞46 号）的规定，本公司参加</w:t>
      </w:r>
      <w:r>
        <w:rPr>
          <w:rFonts w:hint="eastAsia" w:ascii="仿宋_GB2312" w:eastAsia="仿宋_GB2312"/>
          <w:color w:val="auto"/>
          <w:highlight w:val="none"/>
          <w:u w:val="single"/>
        </w:rPr>
        <w:t>柳州市电化教育站</w:t>
      </w:r>
      <w:r>
        <w:rPr>
          <w:rFonts w:hint="eastAsia" w:ascii="仿宋_GB2312" w:eastAsia="仿宋_GB2312"/>
          <w:color w:val="auto"/>
          <w:highlight w:val="none"/>
        </w:rPr>
        <w:t>的</w:t>
      </w:r>
      <w:r>
        <w:rPr>
          <w:rFonts w:hint="eastAsia" w:ascii="仿宋_GB2312" w:eastAsia="仿宋_GB2312"/>
          <w:color w:val="auto"/>
          <w:highlight w:val="none"/>
          <w:u w:val="single"/>
        </w:rPr>
        <w:t>中小学增补设备采购</w:t>
      </w:r>
      <w:r>
        <w:rPr>
          <w:rFonts w:hint="eastAsia" w:ascii="仿宋_GB2312" w:eastAsia="仿宋_GB2312"/>
          <w:color w:val="auto"/>
          <w:highlight w:val="none"/>
        </w:rPr>
        <w:t>活动，提供的货物全部由符合政策要求的中小企业制造。相关企业的具体情况如下：</w:t>
      </w:r>
      <w:r>
        <w:rPr>
          <w:rFonts w:hint="eastAsia" w:ascii="仿宋_GB2312" w:eastAsia="仿宋_GB2312"/>
          <w:color w:val="auto"/>
          <w:highlight w:val="none"/>
        </w:rPr>
        <w:br w:type="textWrapping"/>
      </w:r>
      <w:r>
        <w:rPr>
          <w:rFonts w:hint="eastAsia" w:ascii="仿宋_GB2312" w:eastAsia="仿宋_GB2312"/>
          <w:color w:val="auto"/>
          <w:highlight w:val="none"/>
        </w:rPr>
        <w:t xml:space="preserve">  1. </w:t>
      </w:r>
      <w:r>
        <w:rPr>
          <w:rStyle w:val="391"/>
          <w:rFonts w:hint="eastAsia" w:ascii="仿宋_GB2312" w:eastAsia="仿宋_GB2312"/>
          <w:i w:val="0"/>
          <w:iCs w:val="0"/>
          <w:color w:val="auto"/>
          <w:highlight w:val="none"/>
          <w:u w:val="single"/>
          <w:lang w:eastAsia="zh-CN"/>
        </w:rPr>
        <w:t>网络教室教师机</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7A542F01">
      <w:pPr>
        <w:pStyle w:val="390"/>
        <w:numPr>
          <w:ilvl w:val="0"/>
          <w:numId w:val="0"/>
        </w:numPr>
        <w:spacing w:line="405"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lang w:val="en-US" w:eastAsia="zh-CN"/>
        </w:rPr>
        <w:t>2</w:t>
      </w:r>
      <w:r>
        <w:rPr>
          <w:rFonts w:hint="eastAsia" w:ascii="仿宋_GB2312" w:eastAsia="仿宋_GB2312"/>
          <w:color w:val="auto"/>
          <w:highlight w:val="none"/>
        </w:rPr>
        <w:t xml:space="preserve">. </w:t>
      </w:r>
      <w:r>
        <w:rPr>
          <w:rStyle w:val="391"/>
          <w:rFonts w:hint="eastAsia" w:ascii="仿宋_GB2312" w:eastAsia="仿宋_GB2312"/>
          <w:i w:val="0"/>
          <w:iCs w:val="0"/>
          <w:color w:val="auto"/>
          <w:highlight w:val="none"/>
          <w:u w:val="single"/>
          <w:lang w:eastAsia="zh-CN"/>
        </w:rPr>
        <w:t>网络教室学生机</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31FBA70B">
      <w:pPr>
        <w:pStyle w:val="390"/>
        <w:spacing w:line="405"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lang w:val="en-US" w:eastAsia="zh-CN"/>
        </w:rPr>
        <w:t>3</w:t>
      </w:r>
      <w:r>
        <w:rPr>
          <w:rFonts w:hint="eastAsia" w:ascii="仿宋_GB2312" w:eastAsia="仿宋_GB2312"/>
          <w:color w:val="auto"/>
          <w:highlight w:val="none"/>
        </w:rPr>
        <w:t xml:space="preserve">. </w:t>
      </w:r>
      <w:r>
        <w:rPr>
          <w:rStyle w:val="391"/>
          <w:rFonts w:hint="eastAsia" w:ascii="仿宋_GB2312" w:eastAsia="仿宋_GB2312"/>
          <w:i w:val="0"/>
          <w:iCs w:val="0"/>
          <w:color w:val="auto"/>
          <w:highlight w:val="none"/>
          <w:u w:val="single"/>
          <w:lang w:eastAsia="zh-CN"/>
        </w:rPr>
        <w:t>网络教室教学软件</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软件与信息技术服务业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0501E886">
      <w:pPr>
        <w:pStyle w:val="390"/>
        <w:spacing w:line="405" w:lineRule="atLeast"/>
        <w:ind w:firstLine="480" w:firstLineChars="200"/>
        <w:rPr>
          <w:rFonts w:hint="eastAsia" w:ascii="仿宋_GB2312" w:eastAsia="仿宋_GB2312"/>
          <w:b/>
          <w:bCs/>
          <w:color w:val="auto"/>
          <w:highlight w:val="none"/>
        </w:rPr>
      </w:pPr>
      <w:r>
        <w:rPr>
          <w:rFonts w:hint="eastAsia" w:ascii="仿宋_GB2312" w:eastAsia="仿宋_GB2312"/>
          <w:color w:val="auto"/>
          <w:highlight w:val="none"/>
          <w:lang w:val="en-US" w:eastAsia="zh-CN"/>
        </w:rPr>
        <w:t>4</w:t>
      </w:r>
      <w:r>
        <w:rPr>
          <w:rFonts w:hint="eastAsia" w:ascii="仿宋_GB2312" w:eastAsia="仿宋_GB2312"/>
          <w:color w:val="auto"/>
          <w:highlight w:val="none"/>
        </w:rPr>
        <w:t xml:space="preserve">. </w:t>
      </w:r>
      <w:r>
        <w:rPr>
          <w:rStyle w:val="391"/>
          <w:rFonts w:hint="eastAsia" w:ascii="仿宋_GB2312" w:eastAsia="仿宋_GB2312"/>
          <w:i w:val="0"/>
          <w:iCs w:val="0"/>
          <w:color w:val="auto"/>
          <w:highlight w:val="none"/>
          <w:u w:val="single"/>
          <w:lang w:eastAsia="zh-CN"/>
        </w:rPr>
        <w:t>24口千兆交换机</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098B7964">
      <w:pPr>
        <w:pStyle w:val="390"/>
        <w:spacing w:line="405" w:lineRule="atLeast"/>
        <w:ind w:firstLine="480" w:firstLineChars="200"/>
        <w:rPr>
          <w:rFonts w:hint="eastAsia" w:ascii="仿宋_GB2312" w:eastAsia="仿宋_GB2312"/>
          <w:b/>
          <w:bCs/>
          <w:color w:val="auto"/>
          <w:highlight w:val="none"/>
        </w:rPr>
      </w:pPr>
      <w:r>
        <w:rPr>
          <w:rFonts w:hint="eastAsia" w:ascii="仿宋_GB2312" w:eastAsia="仿宋_GB2312"/>
          <w:color w:val="auto"/>
          <w:highlight w:val="none"/>
          <w:lang w:val="en-US" w:eastAsia="zh-CN"/>
        </w:rPr>
        <w:t>5</w:t>
      </w:r>
      <w:r>
        <w:rPr>
          <w:rFonts w:hint="eastAsia" w:ascii="仿宋_GB2312" w:eastAsia="仿宋_GB2312"/>
          <w:color w:val="auto"/>
          <w:highlight w:val="none"/>
        </w:rPr>
        <w:t xml:space="preserve">. </w:t>
      </w:r>
      <w:r>
        <w:rPr>
          <w:rStyle w:val="391"/>
          <w:rFonts w:hint="eastAsia" w:ascii="仿宋_GB2312" w:eastAsia="仿宋_GB2312"/>
          <w:i w:val="0"/>
          <w:iCs w:val="0"/>
          <w:color w:val="auto"/>
          <w:highlight w:val="none"/>
          <w:u w:val="single"/>
          <w:lang w:eastAsia="zh-CN"/>
        </w:rPr>
        <w:t>挂墙式机柜</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3349895C">
      <w:pPr>
        <w:pStyle w:val="390"/>
        <w:spacing w:line="405" w:lineRule="atLeast"/>
        <w:ind w:firstLine="480" w:firstLineChars="200"/>
        <w:rPr>
          <w:rFonts w:hint="eastAsia" w:ascii="仿宋_GB2312" w:eastAsia="仿宋_GB2312"/>
          <w:b/>
          <w:bCs/>
          <w:color w:val="auto"/>
          <w:highlight w:val="none"/>
        </w:rPr>
      </w:pPr>
      <w:r>
        <w:rPr>
          <w:rFonts w:hint="eastAsia" w:ascii="仿宋_GB2312" w:eastAsia="仿宋_GB2312"/>
          <w:color w:val="auto"/>
          <w:highlight w:val="none"/>
          <w:lang w:val="en-US" w:eastAsia="zh-CN"/>
        </w:rPr>
        <w:t>6</w:t>
      </w:r>
      <w:r>
        <w:rPr>
          <w:rFonts w:hint="eastAsia" w:ascii="仿宋_GB2312" w:eastAsia="仿宋_GB2312"/>
          <w:color w:val="auto"/>
          <w:highlight w:val="none"/>
        </w:rPr>
        <w:t xml:space="preserve">. </w:t>
      </w:r>
      <w:r>
        <w:rPr>
          <w:rStyle w:val="391"/>
          <w:rFonts w:hint="eastAsia" w:ascii="仿宋_GB2312" w:eastAsia="仿宋_GB2312"/>
          <w:i w:val="0"/>
          <w:iCs w:val="0"/>
          <w:color w:val="auto"/>
          <w:highlight w:val="none"/>
          <w:u w:val="single"/>
          <w:lang w:eastAsia="zh-CN"/>
        </w:rPr>
        <w:t>电脑桌</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242DF700">
      <w:pPr>
        <w:pStyle w:val="390"/>
        <w:spacing w:line="405" w:lineRule="atLeast"/>
        <w:ind w:firstLine="480" w:firstLineChars="200"/>
        <w:rPr>
          <w:rFonts w:hint="eastAsia" w:ascii="仿宋_GB2312" w:eastAsia="仿宋_GB2312"/>
          <w:b/>
          <w:bCs/>
          <w:color w:val="auto"/>
          <w:highlight w:val="none"/>
        </w:rPr>
      </w:pPr>
      <w:r>
        <w:rPr>
          <w:rFonts w:hint="eastAsia" w:ascii="仿宋_GB2312" w:eastAsia="仿宋_GB2312"/>
          <w:color w:val="auto"/>
          <w:highlight w:val="none"/>
          <w:lang w:val="en-US" w:eastAsia="zh-CN"/>
        </w:rPr>
        <w:t>7</w:t>
      </w:r>
      <w:r>
        <w:rPr>
          <w:rFonts w:hint="eastAsia" w:ascii="仿宋_GB2312" w:eastAsia="仿宋_GB2312"/>
          <w:color w:val="auto"/>
          <w:highlight w:val="none"/>
        </w:rPr>
        <w:t xml:space="preserve">. </w:t>
      </w:r>
      <w:r>
        <w:rPr>
          <w:rStyle w:val="391"/>
          <w:rFonts w:hint="eastAsia" w:ascii="仿宋_GB2312" w:eastAsia="仿宋_GB2312"/>
          <w:i w:val="0"/>
          <w:iCs w:val="0"/>
          <w:color w:val="auto"/>
          <w:highlight w:val="none"/>
          <w:u w:val="single"/>
          <w:lang w:eastAsia="zh-CN"/>
        </w:rPr>
        <w:t>电脑凳</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35DAAD83">
      <w:pPr>
        <w:pStyle w:val="390"/>
        <w:spacing w:line="405" w:lineRule="atLeast"/>
        <w:ind w:firstLine="480" w:firstLineChars="200"/>
        <w:rPr>
          <w:rFonts w:hint="eastAsia" w:ascii="仿宋_GB2312" w:eastAsia="仿宋_GB2312"/>
          <w:b/>
          <w:bCs/>
          <w:color w:val="auto"/>
          <w:highlight w:val="none"/>
        </w:rPr>
      </w:pPr>
      <w:r>
        <w:rPr>
          <w:rFonts w:hint="eastAsia" w:ascii="仿宋_GB2312" w:eastAsia="仿宋_GB2312"/>
          <w:color w:val="auto"/>
          <w:highlight w:val="none"/>
          <w:lang w:val="en-US" w:eastAsia="zh-CN"/>
        </w:rPr>
        <w:t>8</w:t>
      </w:r>
      <w:r>
        <w:rPr>
          <w:rFonts w:hint="eastAsia" w:ascii="仿宋_GB2312" w:eastAsia="仿宋_GB2312"/>
          <w:color w:val="auto"/>
          <w:highlight w:val="none"/>
        </w:rPr>
        <w:t xml:space="preserve">. </w:t>
      </w:r>
      <w:r>
        <w:rPr>
          <w:rStyle w:val="391"/>
          <w:rFonts w:hint="eastAsia" w:ascii="仿宋_GB2312" w:eastAsia="仿宋_GB2312"/>
          <w:i w:val="0"/>
          <w:iCs w:val="0"/>
          <w:color w:val="auto"/>
          <w:highlight w:val="none"/>
          <w:u w:val="single"/>
          <w:lang w:eastAsia="zh-CN"/>
        </w:rPr>
        <w:t>教师讲台</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215CAB67">
      <w:pPr>
        <w:pStyle w:val="390"/>
        <w:spacing w:line="405" w:lineRule="atLeast"/>
        <w:ind w:firstLine="480" w:firstLineChars="200"/>
        <w:rPr>
          <w:rFonts w:hint="eastAsia" w:ascii="仿宋_GB2312" w:eastAsia="仿宋_GB2312"/>
          <w:b/>
          <w:bCs/>
          <w:color w:val="auto"/>
          <w:highlight w:val="none"/>
        </w:rPr>
      </w:pPr>
      <w:r>
        <w:rPr>
          <w:rFonts w:hint="eastAsia" w:ascii="仿宋_GB2312" w:eastAsia="仿宋_GB2312"/>
          <w:color w:val="auto"/>
          <w:highlight w:val="none"/>
          <w:lang w:val="en-US" w:eastAsia="zh-CN"/>
        </w:rPr>
        <w:t>9</w:t>
      </w:r>
      <w:r>
        <w:rPr>
          <w:rFonts w:hint="eastAsia" w:ascii="仿宋_GB2312" w:eastAsia="仿宋_GB2312"/>
          <w:color w:val="auto"/>
          <w:highlight w:val="none"/>
        </w:rPr>
        <w:t xml:space="preserve">. </w:t>
      </w:r>
      <w:r>
        <w:rPr>
          <w:rStyle w:val="391"/>
          <w:rFonts w:hint="eastAsia" w:ascii="仿宋_GB2312" w:eastAsia="仿宋_GB2312"/>
          <w:i w:val="0"/>
          <w:iCs w:val="0"/>
          <w:color w:val="auto"/>
          <w:highlight w:val="none"/>
          <w:u w:val="single"/>
          <w:lang w:eastAsia="zh-CN"/>
        </w:rPr>
        <w:t>电脑椅</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12F9EBDE">
      <w:pPr>
        <w:pStyle w:val="390"/>
        <w:spacing w:line="405" w:lineRule="atLeast"/>
        <w:ind w:firstLine="480" w:firstLineChars="200"/>
        <w:rPr>
          <w:rFonts w:hint="eastAsia" w:ascii="仿宋_GB2312" w:eastAsia="仿宋_GB2312"/>
          <w:b/>
          <w:bCs/>
          <w:color w:val="auto"/>
          <w:highlight w:val="none"/>
        </w:rPr>
      </w:pPr>
      <w:r>
        <w:rPr>
          <w:rFonts w:hint="eastAsia" w:ascii="仿宋_GB2312" w:eastAsia="仿宋_GB2312"/>
          <w:color w:val="auto"/>
          <w:highlight w:val="none"/>
          <w:lang w:val="en-US" w:eastAsia="zh-CN"/>
        </w:rPr>
        <w:t>10</w:t>
      </w:r>
      <w:r>
        <w:rPr>
          <w:rFonts w:hint="eastAsia" w:ascii="仿宋_GB2312" w:eastAsia="仿宋_GB2312"/>
          <w:color w:val="auto"/>
          <w:highlight w:val="none"/>
        </w:rPr>
        <w:t xml:space="preserve">. </w:t>
      </w:r>
      <w:r>
        <w:rPr>
          <w:rStyle w:val="391"/>
          <w:rFonts w:hint="eastAsia" w:ascii="仿宋_GB2312" w:eastAsia="仿宋_GB2312"/>
          <w:i w:val="0"/>
          <w:iCs w:val="0"/>
          <w:color w:val="auto"/>
          <w:highlight w:val="none"/>
          <w:u w:val="single"/>
          <w:lang w:eastAsia="zh-CN"/>
        </w:rPr>
        <w:t>互动平板一体机</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0C8168D4">
      <w:pPr>
        <w:pStyle w:val="390"/>
        <w:spacing w:line="405" w:lineRule="atLeast"/>
        <w:ind w:firstLine="480" w:firstLineChars="200"/>
        <w:rPr>
          <w:rFonts w:hint="eastAsia" w:ascii="仿宋_GB2312" w:eastAsia="仿宋_GB2312"/>
          <w:b/>
          <w:bCs/>
          <w:color w:val="auto"/>
          <w:highlight w:val="none"/>
        </w:rPr>
      </w:pPr>
      <w:r>
        <w:rPr>
          <w:rFonts w:hint="eastAsia" w:ascii="仿宋_GB2312" w:eastAsia="仿宋_GB2312"/>
          <w:color w:val="auto"/>
          <w:highlight w:val="none"/>
          <w:lang w:val="en-US" w:eastAsia="zh-CN"/>
        </w:rPr>
        <w:t>11</w:t>
      </w:r>
      <w:r>
        <w:rPr>
          <w:rFonts w:hint="eastAsia" w:ascii="仿宋_GB2312" w:eastAsia="仿宋_GB2312"/>
          <w:color w:val="auto"/>
          <w:highlight w:val="none"/>
        </w:rPr>
        <w:t xml:space="preserve">. </w:t>
      </w:r>
      <w:r>
        <w:rPr>
          <w:rStyle w:val="391"/>
          <w:rFonts w:hint="eastAsia" w:ascii="仿宋_GB2312" w:eastAsia="仿宋_GB2312"/>
          <w:i w:val="0"/>
          <w:iCs w:val="0"/>
          <w:color w:val="auto"/>
          <w:highlight w:val="none"/>
          <w:u w:val="single"/>
          <w:lang w:eastAsia="zh-CN"/>
        </w:rPr>
        <w:t>壁挂视频展台</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37D463BB">
      <w:pPr>
        <w:pStyle w:val="390"/>
        <w:spacing w:line="405"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lang w:val="en-US" w:eastAsia="zh-CN"/>
        </w:rPr>
        <w:t>12</w:t>
      </w:r>
      <w:r>
        <w:rPr>
          <w:rFonts w:hint="eastAsia" w:ascii="仿宋_GB2312" w:eastAsia="仿宋_GB2312"/>
          <w:color w:val="auto"/>
          <w:highlight w:val="none"/>
        </w:rPr>
        <w:t xml:space="preserve">. </w:t>
      </w:r>
      <w:r>
        <w:rPr>
          <w:rFonts w:hint="eastAsia" w:ascii="仿宋_GB2312" w:eastAsia="仿宋_GB2312"/>
          <w:color w:val="auto"/>
          <w:highlight w:val="none"/>
          <w:u w:val="single"/>
          <w:lang w:eastAsia="zh-CN"/>
        </w:rPr>
        <w:t>讲</w:t>
      </w:r>
      <w:r>
        <w:rPr>
          <w:rStyle w:val="391"/>
          <w:rFonts w:hint="eastAsia" w:ascii="仿宋_GB2312" w:eastAsia="仿宋_GB2312"/>
          <w:i w:val="0"/>
          <w:iCs w:val="0"/>
          <w:color w:val="auto"/>
          <w:highlight w:val="none"/>
          <w:u w:val="single"/>
          <w:lang w:eastAsia="zh-CN"/>
        </w:rPr>
        <w:t>台</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229CAE28">
      <w:pPr>
        <w:pStyle w:val="390"/>
        <w:spacing w:line="405" w:lineRule="atLeast"/>
        <w:ind w:firstLine="480" w:firstLineChars="200"/>
        <w:rPr>
          <w:rFonts w:hint="eastAsia" w:ascii="仿宋_GB2312" w:eastAsia="仿宋_GB2312"/>
          <w:b/>
          <w:bCs/>
          <w:color w:val="auto"/>
          <w:highlight w:val="none"/>
        </w:rPr>
      </w:pPr>
      <w:r>
        <w:rPr>
          <w:rFonts w:hint="eastAsia" w:ascii="仿宋_GB2312" w:eastAsia="仿宋_GB2312"/>
          <w:color w:val="auto"/>
          <w:highlight w:val="none"/>
          <w:lang w:val="en-US" w:eastAsia="zh-CN"/>
        </w:rPr>
        <w:t>13</w:t>
      </w:r>
      <w:r>
        <w:rPr>
          <w:rFonts w:hint="eastAsia" w:ascii="仿宋_GB2312" w:eastAsia="仿宋_GB2312"/>
          <w:color w:val="auto"/>
          <w:highlight w:val="none"/>
        </w:rPr>
        <w:t xml:space="preserve">. </w:t>
      </w:r>
      <w:r>
        <w:rPr>
          <w:rStyle w:val="391"/>
          <w:rFonts w:hint="eastAsia" w:ascii="仿宋_GB2312" w:eastAsia="仿宋_GB2312"/>
          <w:i w:val="0"/>
          <w:iCs w:val="0"/>
          <w:color w:val="auto"/>
          <w:highlight w:val="none"/>
          <w:u w:val="single"/>
          <w:lang w:val="en-US" w:eastAsia="zh-CN"/>
        </w:rPr>
        <w:t>变轨</w:t>
      </w:r>
      <w:r>
        <w:rPr>
          <w:rStyle w:val="391"/>
          <w:rFonts w:hint="eastAsia" w:ascii="仿宋_GB2312" w:eastAsia="仿宋_GB2312"/>
          <w:i w:val="0"/>
          <w:iCs w:val="0"/>
          <w:color w:val="auto"/>
          <w:highlight w:val="none"/>
          <w:u w:val="single"/>
          <w:lang w:eastAsia="zh-CN"/>
        </w:rPr>
        <w:t>无尘书写板</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7B57A85B">
      <w:pPr>
        <w:pStyle w:val="390"/>
        <w:spacing w:line="405" w:lineRule="atLeast"/>
        <w:ind w:firstLine="480" w:firstLineChars="200"/>
        <w:rPr>
          <w:rFonts w:hint="eastAsia" w:ascii="仿宋_GB2312" w:eastAsia="仿宋_GB2312"/>
          <w:b/>
          <w:bCs/>
          <w:color w:val="auto"/>
          <w:highlight w:val="none"/>
        </w:rPr>
      </w:pPr>
      <w:r>
        <w:rPr>
          <w:rFonts w:hint="eastAsia" w:ascii="仿宋_GB2312" w:eastAsia="仿宋_GB2312"/>
          <w:color w:val="auto"/>
          <w:highlight w:val="none"/>
          <w:lang w:val="en-US" w:eastAsia="zh-CN"/>
        </w:rPr>
        <w:t>14</w:t>
      </w:r>
      <w:r>
        <w:rPr>
          <w:rFonts w:hint="eastAsia" w:ascii="仿宋_GB2312" w:eastAsia="仿宋_GB2312"/>
          <w:color w:val="auto"/>
          <w:highlight w:val="none"/>
        </w:rPr>
        <w:t xml:space="preserve">. </w:t>
      </w:r>
      <w:r>
        <w:rPr>
          <w:rStyle w:val="391"/>
          <w:rFonts w:hint="eastAsia" w:ascii="仿宋_GB2312" w:eastAsia="仿宋_GB2312"/>
          <w:i w:val="0"/>
          <w:iCs w:val="0"/>
          <w:color w:val="auto"/>
          <w:highlight w:val="none"/>
          <w:u w:val="single"/>
          <w:lang w:val="en-US" w:eastAsia="zh-CN"/>
        </w:rPr>
        <w:t>有源音箱</w:t>
      </w:r>
      <w:r>
        <w:rPr>
          <w:rFonts w:hint="eastAsia" w:ascii="仿宋_GB2312" w:eastAsia="仿宋_GB2312"/>
          <w:color w:val="auto"/>
          <w:highlight w:val="none"/>
        </w:rPr>
        <w:t xml:space="preserve"> ，属于</w:t>
      </w:r>
      <w:r>
        <w:rPr>
          <w:rStyle w:val="391"/>
          <w:rFonts w:hint="eastAsia" w:ascii="仿宋_GB2312" w:eastAsia="仿宋_GB2312"/>
          <w:b/>
          <w:bCs/>
          <w:i w:val="0"/>
          <w:iCs w:val="0"/>
          <w:color w:val="auto"/>
          <w:highlight w:val="none"/>
          <w:u w:val="single"/>
          <w:lang w:eastAsia="zh-CN"/>
        </w:rPr>
        <w:t>工业</w:t>
      </w:r>
      <w:r>
        <w:rPr>
          <w:rFonts w:hint="eastAsia" w:ascii="仿宋_GB2312" w:eastAsia="仿宋_GB2312"/>
          <w:color w:val="auto"/>
          <w:highlight w:val="none"/>
        </w:rPr>
        <w:t xml:space="preserve"> ；制造商为</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（企业名称）</w:t>
      </w:r>
      <w:r>
        <w:rPr>
          <w:rFonts w:hint="eastAsia" w:ascii="仿宋_GB2312" w:eastAsia="仿宋_GB2312"/>
          <w:color w:val="auto"/>
          <w:highlight w:val="none"/>
        </w:rPr>
        <w:t>，从业人员</w:t>
      </w:r>
      <w:r>
        <w:rPr>
          <w:rFonts w:hint="eastAsia" w:ascii="仿宋_GB2312" w:eastAsia="仿宋_GB2312"/>
          <w:color w:val="auto"/>
          <w:highlight w:val="none"/>
          <w:u w:val="single"/>
        </w:rPr>
        <w:t>   </w:t>
      </w:r>
      <w:r>
        <w:rPr>
          <w:rFonts w:hint="eastAsia" w:ascii="仿宋_GB2312" w:eastAsia="仿宋_GB2312"/>
          <w:color w:val="auto"/>
          <w:highlight w:val="none"/>
        </w:rPr>
        <w:t>人，营业收入为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万元，资产总额为</w:t>
      </w:r>
      <w:r>
        <w:rPr>
          <w:rFonts w:hint="eastAsia" w:ascii="仿宋_GB2312" w:eastAsia="仿宋_GB2312"/>
          <w:color w:val="auto"/>
          <w:highlight w:val="none"/>
          <w:u w:val="single"/>
        </w:rPr>
        <w:t xml:space="preserve">    </w:t>
      </w:r>
      <w:r>
        <w:rPr>
          <w:rFonts w:hint="eastAsia" w:ascii="仿宋_GB2312" w:eastAsia="仿宋_GB2312"/>
          <w:color w:val="auto"/>
          <w:highlight w:val="none"/>
        </w:rPr>
        <w:t>万元，属于</w:t>
      </w:r>
      <w:r>
        <w:rPr>
          <w:rFonts w:hint="eastAsia" w:ascii="仿宋_GB2312" w:eastAsia="仿宋_GB2312"/>
          <w:color w:val="auto"/>
          <w:highlight w:val="none"/>
          <w:u w:val="single"/>
          <w:lang w:val="en-US" w:eastAsia="zh-CN"/>
        </w:rPr>
        <w:t xml:space="preserve">     </w:t>
      </w:r>
      <w:r>
        <w:rPr>
          <w:rStyle w:val="391"/>
          <w:rFonts w:hint="eastAsia" w:ascii="仿宋_GB2312" w:eastAsia="仿宋_GB2312"/>
          <w:color w:val="auto"/>
          <w:highlight w:val="none"/>
          <w:u w:val="single"/>
        </w:rPr>
        <w:t>（中型企业、小型企业、微型企业）</w:t>
      </w:r>
      <w:r>
        <w:rPr>
          <w:rFonts w:hint="eastAsia" w:ascii="仿宋_GB2312" w:eastAsia="仿宋_GB2312"/>
          <w:color w:val="auto"/>
          <w:highlight w:val="none"/>
        </w:rPr>
        <w:t>；</w:t>
      </w:r>
    </w:p>
    <w:p w14:paraId="0A3ABB94">
      <w:pPr>
        <w:pStyle w:val="390"/>
        <w:spacing w:line="405" w:lineRule="atLeast"/>
        <w:rPr>
          <w:rFonts w:hint="eastAsia" w:ascii="仿宋_GB2312" w:eastAsia="仿宋_GB2312"/>
          <w:color w:val="auto"/>
          <w:highlight w:val="none"/>
        </w:rPr>
      </w:pPr>
      <w:r>
        <w:rPr>
          <w:rFonts w:hint="eastAsia" w:ascii="仿宋_GB2312" w:eastAsia="仿宋_GB2312"/>
          <w:color w:val="auto"/>
          <w:highlight w:val="none"/>
        </w:rPr>
        <w:br w:type="textWrapping"/>
      </w:r>
      <w:r>
        <w:rPr>
          <w:rFonts w:hint="eastAsia" w:ascii="仿宋_GB2312" w:eastAsia="仿宋_GB2312"/>
          <w:color w:val="auto"/>
          <w:highlight w:val="none"/>
        </w:rPr>
        <w:t>  以上企业，不属于大企业的分支机构，不存在控股股东为大企业的情形，也不存在与大企业的负责人为同一人的情形。</w:t>
      </w:r>
      <w:r>
        <w:rPr>
          <w:rFonts w:hint="eastAsia" w:ascii="仿宋_GB2312" w:eastAsia="仿宋_GB2312"/>
          <w:color w:val="auto"/>
          <w:highlight w:val="none"/>
        </w:rPr>
        <w:br w:type="textWrapping"/>
      </w:r>
      <w:r>
        <w:rPr>
          <w:rFonts w:hint="eastAsia" w:ascii="仿宋_GB2312" w:eastAsia="仿宋_GB2312"/>
          <w:color w:val="auto"/>
          <w:highlight w:val="none"/>
        </w:rPr>
        <w:t>  本企业对上述声明内容的真实性负责。如有虚假，将依法承担相应责任。</w:t>
      </w:r>
    </w:p>
    <w:p w14:paraId="20AC3D85">
      <w:pPr>
        <w:pStyle w:val="390"/>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0932741A">
      <w:pPr>
        <w:pStyle w:val="390"/>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53D22C91">
      <w:pPr>
        <w:pStyle w:val="390"/>
        <w:jc w:val="right"/>
        <w:rPr>
          <w:rFonts w:hint="eastAsia" w:ascii="仿宋_GB2312" w:eastAsia="仿宋_GB2312"/>
          <w:color w:val="auto"/>
          <w:highlight w:val="none"/>
        </w:rPr>
      </w:pPr>
      <w:r>
        <w:rPr>
          <w:rFonts w:hint="eastAsia" w:ascii="仿宋_GB2312" w:eastAsia="仿宋_GB2312"/>
          <w:color w:val="auto"/>
          <w:highlight w:val="none"/>
        </w:rPr>
        <w:t>  投标人（</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w:t>
      </w:r>
    </w:p>
    <w:p w14:paraId="11A08797">
      <w:pPr>
        <w:pStyle w:val="390"/>
        <w:jc w:val="right"/>
        <w:rPr>
          <w:rFonts w:hint="eastAsia" w:ascii="仿宋_GB2312" w:eastAsia="仿宋_GB2312"/>
          <w:color w:val="auto"/>
          <w:highlight w:val="none"/>
        </w:rPr>
      </w:pPr>
      <w:r>
        <w:rPr>
          <w:rFonts w:hint="eastAsia" w:ascii="仿宋_GB2312" w:eastAsia="仿宋_GB2312"/>
          <w:color w:val="auto"/>
          <w:highlight w:val="none"/>
        </w:rPr>
        <w:t> </w:t>
      </w:r>
    </w:p>
    <w:p w14:paraId="2DB7628D">
      <w:pPr>
        <w:pStyle w:val="390"/>
        <w:jc w:val="right"/>
        <w:rPr>
          <w:rFonts w:hint="eastAsia" w:ascii="仿宋_GB2312" w:eastAsia="仿宋_GB2312"/>
          <w:color w:val="auto"/>
          <w:highlight w:val="none"/>
        </w:rPr>
      </w:pPr>
      <w:r>
        <w:rPr>
          <w:rFonts w:hint="eastAsia" w:ascii="仿宋_GB2312" w:eastAsia="仿宋_GB2312"/>
          <w:color w:val="auto"/>
          <w:highlight w:val="none"/>
        </w:rPr>
        <w:t>日期：   年 月 日</w:t>
      </w:r>
    </w:p>
    <w:p w14:paraId="34C0165B">
      <w:pPr>
        <w:pStyle w:val="390"/>
        <w:keepNext w:val="0"/>
        <w:keepLines w:val="0"/>
        <w:pageBreakBefore w:val="0"/>
        <w:widowControl/>
        <w:kinsoku/>
        <w:wordWrap/>
        <w:overflowPunct/>
        <w:topLinePunct w:val="0"/>
        <w:autoSpaceDE/>
        <w:autoSpaceDN/>
        <w:bidi w:val="0"/>
        <w:adjustRightInd/>
        <w:snapToGrid/>
        <w:spacing w:after="0" w:afterAutospacing="0" w:line="405" w:lineRule="atLeast"/>
        <w:textAlignment w:val="auto"/>
        <w:rPr>
          <w:rFonts w:hint="eastAsia" w:ascii="仿宋_GB2312" w:eastAsia="仿宋_GB2312"/>
          <w:color w:val="auto"/>
          <w:highlight w:val="none"/>
        </w:rPr>
      </w:pPr>
      <w:r>
        <w:rPr>
          <w:rFonts w:hint="eastAsia" w:ascii="仿宋_GB2312" w:eastAsia="仿宋_GB2312"/>
          <w:b/>
          <w:bCs/>
          <w:color w:val="auto"/>
          <w:highlight w:val="none"/>
        </w:rPr>
        <w:t>  注：1.此项材料</w:t>
      </w:r>
      <w:r>
        <w:rPr>
          <w:rFonts w:hint="eastAsia" w:ascii="仿宋_GB2312" w:eastAsia="仿宋_GB2312"/>
          <w:b/>
          <w:bCs/>
          <w:color w:val="auto"/>
          <w:highlight w:val="none"/>
          <w:lang w:val="en-US" w:eastAsia="zh-CN"/>
        </w:rPr>
        <w:t>如有</w:t>
      </w:r>
      <w:r>
        <w:rPr>
          <w:rFonts w:hint="eastAsia" w:ascii="仿宋_GB2312" w:eastAsia="仿宋_GB2312"/>
          <w:b/>
          <w:bCs/>
          <w:color w:val="auto"/>
          <w:highlight w:val="none"/>
        </w:rPr>
        <w:t>以PDF格式上传；</w:t>
      </w:r>
      <w:r>
        <w:rPr>
          <w:rFonts w:hint="eastAsia" w:ascii="仿宋_GB2312" w:eastAsia="仿宋_GB2312"/>
          <w:b/>
          <w:bCs/>
          <w:color w:val="auto"/>
          <w:highlight w:val="none"/>
        </w:rPr>
        <w:br w:type="textWrapping"/>
      </w:r>
      <w:r>
        <w:rPr>
          <w:rFonts w:hint="eastAsia" w:ascii="仿宋_GB2312" w:eastAsia="仿宋_GB2312"/>
          <w:b/>
          <w:bCs/>
          <w:color w:val="auto"/>
          <w:highlight w:val="none"/>
        </w:rPr>
        <w:t>  2.投标人出具的《中小企业声明函》中填写的“所属行业”应与采购文件明确的“所属行业”内容一致。</w:t>
      </w:r>
      <w:r>
        <w:rPr>
          <w:rFonts w:hint="eastAsia" w:ascii="仿宋_GB2312" w:eastAsia="仿宋_GB2312"/>
          <w:b/>
          <w:bCs/>
          <w:color w:val="auto"/>
          <w:highlight w:val="none"/>
        </w:rPr>
        <w:br w:type="textWrapping"/>
      </w:r>
      <w:r>
        <w:rPr>
          <w:rFonts w:hint="eastAsia" w:ascii="仿宋_GB2312" w:eastAsia="仿宋_GB2312"/>
          <w:b/>
          <w:bCs/>
          <w:color w:val="auto"/>
          <w:highlight w:val="none"/>
        </w:rPr>
        <w:t>采购标的对应的中小企业划分标准所属行业：</w:t>
      </w:r>
      <w:r>
        <w:rPr>
          <w:rStyle w:val="596"/>
          <w:rFonts w:hint="eastAsia" w:ascii="仿宋_GB2312" w:eastAsia="仿宋_GB2312"/>
          <w:color w:val="auto"/>
          <w:highlight w:val="none"/>
          <w:lang w:eastAsia="zh-CN"/>
        </w:rPr>
        <w:t>“</w:t>
      </w:r>
      <w:r>
        <w:rPr>
          <w:rFonts w:hint="eastAsia" w:ascii="仿宋_GB2312" w:eastAsia="仿宋_GB2312"/>
          <w:b/>
          <w:bCs/>
          <w:color w:val="auto"/>
          <w:highlight w:val="none"/>
          <w:u w:val="single"/>
        </w:rPr>
        <w:t>（</w:t>
      </w:r>
      <w:r>
        <w:rPr>
          <w:rFonts w:hint="eastAsia" w:ascii="仿宋_GB2312" w:eastAsia="仿宋_GB2312"/>
          <w:b/>
          <w:bCs/>
          <w:color w:val="auto"/>
          <w:highlight w:val="none"/>
          <w:u w:val="single"/>
          <w:lang w:eastAsia="zh-CN"/>
        </w:rPr>
        <w:t>一</w:t>
      </w:r>
      <w:r>
        <w:rPr>
          <w:rFonts w:hint="eastAsia" w:ascii="仿宋_GB2312" w:eastAsia="仿宋_GB2312"/>
          <w:b/>
          <w:bCs/>
          <w:color w:val="auto"/>
          <w:highlight w:val="none"/>
          <w:u w:val="single"/>
        </w:rPr>
        <w:t>）</w:t>
      </w:r>
      <w:r>
        <w:rPr>
          <w:rFonts w:hint="eastAsia" w:ascii="仿宋_GB2312" w:hAnsi="仿宋_GB2312" w:eastAsia="仿宋_GB2312" w:cs="仿宋_GB2312"/>
          <w:b/>
          <w:bCs/>
          <w:color w:val="auto"/>
          <w:kern w:val="0"/>
          <w:sz w:val="24"/>
          <w:szCs w:val="24"/>
          <w:highlight w:val="none"/>
          <w:lang w:val="en-US" w:eastAsia="zh-CN"/>
        </w:rPr>
        <w:t>2</w:t>
      </w:r>
      <w:r>
        <w:rPr>
          <w:rFonts w:hint="eastAsia" w:ascii="仿宋_GB2312" w:hAnsi="仿宋_GB2312" w:eastAsia="仿宋_GB2312" w:cs="仿宋_GB2312"/>
          <w:b/>
          <w:bCs/>
          <w:color w:val="auto"/>
          <w:kern w:val="0"/>
          <w:sz w:val="24"/>
          <w:szCs w:val="24"/>
          <w:highlight w:val="none"/>
        </w:rPr>
        <w:t>间计算机网络教室</w:t>
      </w:r>
      <w:r>
        <w:rPr>
          <w:rStyle w:val="596"/>
          <w:rFonts w:hint="eastAsia" w:ascii="仿宋_GB2312" w:eastAsia="仿宋_GB2312"/>
          <w:color w:val="auto"/>
          <w:highlight w:val="none"/>
          <w:lang w:eastAsia="zh-CN"/>
        </w:rPr>
        <w:t>”</w:t>
      </w:r>
      <w:r>
        <w:rPr>
          <w:rFonts w:hint="eastAsia" w:ascii="仿宋_GB2312" w:eastAsia="仿宋_GB2312"/>
          <w:b/>
          <w:bCs/>
          <w:color w:val="auto"/>
          <w:highlight w:val="none"/>
          <w:u w:val="single"/>
        </w:rPr>
        <w:t>的第1、2、4-</w:t>
      </w:r>
      <w:r>
        <w:rPr>
          <w:rFonts w:hint="eastAsia" w:ascii="仿宋_GB2312" w:eastAsia="仿宋_GB2312"/>
          <w:b/>
          <w:bCs/>
          <w:color w:val="auto"/>
          <w:highlight w:val="none"/>
          <w:u w:val="single"/>
          <w:lang w:val="en-US" w:eastAsia="zh-CN"/>
        </w:rPr>
        <w:t>8</w:t>
      </w:r>
      <w:r>
        <w:rPr>
          <w:rFonts w:hint="eastAsia" w:ascii="仿宋_GB2312" w:eastAsia="仿宋_GB2312"/>
          <w:b/>
          <w:bCs/>
          <w:color w:val="auto"/>
          <w:highlight w:val="none"/>
          <w:u w:val="single"/>
        </w:rPr>
        <w:t>项</w:t>
      </w:r>
      <w:r>
        <w:rPr>
          <w:rFonts w:hint="eastAsia" w:ascii="仿宋_GB2312" w:eastAsia="仿宋_GB2312"/>
          <w:b/>
          <w:bCs/>
          <w:color w:val="auto"/>
          <w:highlight w:val="none"/>
          <w:u w:val="single"/>
          <w:lang w:eastAsia="zh-CN"/>
        </w:rPr>
        <w:t>、“</w:t>
      </w:r>
      <w:r>
        <w:rPr>
          <w:rFonts w:hint="eastAsia" w:ascii="仿宋_GB2312" w:eastAsia="仿宋_GB2312"/>
          <w:b/>
          <w:bCs/>
          <w:color w:val="auto"/>
          <w:highlight w:val="none"/>
          <w:u w:val="single"/>
        </w:rPr>
        <w:t>（</w:t>
      </w:r>
      <w:r>
        <w:rPr>
          <w:rFonts w:hint="eastAsia" w:ascii="仿宋_GB2312" w:eastAsia="仿宋_GB2312"/>
          <w:b/>
          <w:bCs/>
          <w:color w:val="auto"/>
          <w:highlight w:val="none"/>
          <w:u w:val="single"/>
          <w:lang w:eastAsia="zh-CN"/>
        </w:rPr>
        <w:t>二</w:t>
      </w:r>
      <w:r>
        <w:rPr>
          <w:rFonts w:hint="eastAsia" w:ascii="仿宋_GB2312" w:eastAsia="仿宋_GB2312"/>
          <w:b/>
          <w:bCs/>
          <w:color w:val="auto"/>
          <w:highlight w:val="none"/>
          <w:u w:val="single"/>
        </w:rPr>
        <w:t>）</w:t>
      </w:r>
      <w:r>
        <w:rPr>
          <w:rFonts w:hint="eastAsia" w:ascii="仿宋_GB2312" w:hAnsi="仿宋_GB2312" w:eastAsia="仿宋_GB2312" w:cs="仿宋_GB2312"/>
          <w:b/>
          <w:bCs/>
          <w:color w:val="auto"/>
          <w:kern w:val="0"/>
          <w:sz w:val="24"/>
          <w:szCs w:val="24"/>
          <w:highlight w:val="none"/>
          <w:lang w:val="en-US" w:eastAsia="zh-CN"/>
        </w:rPr>
        <w:t>33套普通教室互动平板一体机教学系统</w:t>
      </w:r>
      <w:r>
        <w:rPr>
          <w:rFonts w:hint="eastAsia" w:ascii="仿宋_GB2312" w:eastAsia="仿宋_GB2312"/>
          <w:b/>
          <w:bCs/>
          <w:color w:val="auto"/>
          <w:highlight w:val="none"/>
          <w:u w:val="single"/>
          <w:lang w:eastAsia="zh-CN"/>
        </w:rPr>
        <w:t>”</w:t>
      </w:r>
      <w:r>
        <w:rPr>
          <w:rFonts w:hint="eastAsia" w:ascii="仿宋_GB2312" w:eastAsia="仿宋_GB2312"/>
          <w:b/>
          <w:bCs/>
          <w:color w:val="auto"/>
          <w:highlight w:val="none"/>
          <w:u w:val="single"/>
        </w:rPr>
        <w:t>的1-5项为工业，</w:t>
      </w:r>
      <w:r>
        <w:rPr>
          <w:rStyle w:val="596"/>
          <w:rFonts w:hint="eastAsia" w:ascii="仿宋_GB2312" w:eastAsia="仿宋_GB2312"/>
          <w:color w:val="auto"/>
          <w:highlight w:val="none"/>
          <w:lang w:eastAsia="zh-CN"/>
        </w:rPr>
        <w:t>“</w:t>
      </w:r>
      <w:r>
        <w:rPr>
          <w:rFonts w:hint="eastAsia" w:ascii="仿宋_GB2312" w:eastAsia="仿宋_GB2312"/>
          <w:b/>
          <w:bCs/>
          <w:color w:val="auto"/>
          <w:highlight w:val="none"/>
          <w:u w:val="single"/>
        </w:rPr>
        <w:t>（</w:t>
      </w:r>
      <w:r>
        <w:rPr>
          <w:rFonts w:hint="eastAsia" w:ascii="仿宋_GB2312" w:eastAsia="仿宋_GB2312"/>
          <w:b/>
          <w:bCs/>
          <w:color w:val="auto"/>
          <w:highlight w:val="none"/>
          <w:u w:val="single"/>
          <w:lang w:eastAsia="zh-CN"/>
        </w:rPr>
        <w:t>一</w:t>
      </w:r>
      <w:r>
        <w:rPr>
          <w:rFonts w:hint="eastAsia" w:ascii="仿宋_GB2312" w:eastAsia="仿宋_GB2312"/>
          <w:b/>
          <w:bCs/>
          <w:color w:val="auto"/>
          <w:highlight w:val="none"/>
          <w:u w:val="single"/>
        </w:rPr>
        <w:t>）</w:t>
      </w:r>
      <w:r>
        <w:rPr>
          <w:rFonts w:hint="eastAsia" w:ascii="仿宋_GB2312" w:hAnsi="仿宋_GB2312" w:eastAsia="仿宋_GB2312" w:cs="仿宋_GB2312"/>
          <w:b/>
          <w:bCs/>
          <w:color w:val="auto"/>
          <w:kern w:val="0"/>
          <w:sz w:val="24"/>
          <w:szCs w:val="24"/>
          <w:highlight w:val="none"/>
          <w:lang w:val="en-US" w:eastAsia="zh-CN"/>
        </w:rPr>
        <w:t>2</w:t>
      </w:r>
      <w:r>
        <w:rPr>
          <w:rFonts w:hint="eastAsia" w:ascii="仿宋_GB2312" w:hAnsi="仿宋_GB2312" w:eastAsia="仿宋_GB2312" w:cs="仿宋_GB2312"/>
          <w:b/>
          <w:bCs/>
          <w:color w:val="auto"/>
          <w:kern w:val="0"/>
          <w:sz w:val="24"/>
          <w:szCs w:val="24"/>
          <w:highlight w:val="none"/>
        </w:rPr>
        <w:t>间计算机网络教室</w:t>
      </w:r>
      <w:r>
        <w:rPr>
          <w:rStyle w:val="596"/>
          <w:rFonts w:hint="eastAsia" w:ascii="仿宋_GB2312" w:eastAsia="仿宋_GB2312"/>
          <w:color w:val="auto"/>
          <w:highlight w:val="none"/>
          <w:lang w:eastAsia="zh-CN"/>
        </w:rPr>
        <w:t>”</w:t>
      </w:r>
      <w:r>
        <w:rPr>
          <w:rFonts w:hint="eastAsia" w:ascii="仿宋_GB2312" w:eastAsia="仿宋_GB2312"/>
          <w:b/>
          <w:bCs/>
          <w:color w:val="auto"/>
          <w:highlight w:val="none"/>
          <w:u w:val="single"/>
        </w:rPr>
        <w:t>的第3项为软件与信息技术服务业，其余不</w:t>
      </w:r>
      <w:r>
        <w:rPr>
          <w:rFonts w:hint="eastAsia" w:ascii="仿宋_GB2312" w:eastAsia="仿宋_GB2312"/>
          <w:b/>
          <w:bCs/>
          <w:color w:val="auto"/>
          <w:highlight w:val="none"/>
          <w:u w:val="single"/>
          <w:lang w:val="en-US" w:eastAsia="zh-CN"/>
        </w:rPr>
        <w:t>作中小企业</w:t>
      </w:r>
      <w:r>
        <w:rPr>
          <w:rFonts w:hint="eastAsia" w:ascii="仿宋_GB2312" w:eastAsia="仿宋_GB2312"/>
          <w:b/>
          <w:bCs/>
          <w:color w:val="auto"/>
          <w:highlight w:val="none"/>
          <w:u w:val="single"/>
        </w:rPr>
        <w:t>划分</w:t>
      </w:r>
      <w:r>
        <w:rPr>
          <w:rFonts w:hint="eastAsia" w:ascii="仿宋_GB2312" w:eastAsia="仿宋_GB2312"/>
          <w:b/>
          <w:bCs/>
          <w:color w:val="auto"/>
          <w:highlight w:val="none"/>
          <w:u w:val="single"/>
          <w:lang w:val="en-US" w:eastAsia="zh-CN"/>
        </w:rPr>
        <w:t>要求；</w:t>
      </w:r>
      <w:r>
        <w:rPr>
          <w:rFonts w:hint="eastAsia" w:ascii="仿宋_GB2312" w:eastAsia="仿宋_GB2312"/>
          <w:color w:val="auto"/>
          <w:highlight w:val="none"/>
        </w:rPr>
        <w:t> </w:t>
      </w:r>
      <w:r>
        <w:rPr>
          <w:rFonts w:hint="eastAsia" w:ascii="仿宋_GB2312" w:eastAsia="仿宋_GB2312"/>
          <w:color w:val="auto"/>
          <w:highlight w:val="none"/>
        </w:rPr>
        <w:br w:type="textWrapping"/>
      </w:r>
      <w:r>
        <w:rPr>
          <w:rFonts w:hint="eastAsia" w:ascii="仿宋_GB2312" w:eastAsia="仿宋_GB2312"/>
          <w:color w:val="auto"/>
          <w:highlight w:val="none"/>
        </w:rPr>
        <w:t>  3.从业人员、营业收入、资产总额填报上一年度数据，无上一年度数据的新成立企业可不填报。</w:t>
      </w:r>
      <w:r>
        <w:rPr>
          <w:rFonts w:hint="eastAsia" w:ascii="仿宋_GB2312" w:eastAsia="仿宋_GB2312"/>
          <w:color w:val="auto"/>
          <w:highlight w:val="none"/>
        </w:rPr>
        <w:br w:type="textWrapping"/>
      </w:r>
      <w:r>
        <w:rPr>
          <w:rFonts w:hint="eastAsia" w:ascii="仿宋_GB2312" w:eastAsia="仿宋_GB2312"/>
          <w:color w:val="auto"/>
          <w:highlight w:val="none"/>
        </w:rPr>
        <w:t>  4.为方便投标人识别企业规模类型，投标人可使用工业和信息化部组织开发的中小企业规模类型自测小程序生成企业规模类型测试结果。</w:t>
      </w:r>
      <w:r>
        <w:rPr>
          <w:rFonts w:hint="eastAsia" w:ascii="仿宋_GB2312" w:eastAsia="仿宋_GB2312"/>
          <w:color w:val="auto"/>
          <w:highlight w:val="none"/>
        </w:rPr>
        <w:br w:type="textWrapping"/>
      </w:r>
      <w:r>
        <w:rPr>
          <w:rFonts w:hint="eastAsia" w:ascii="仿宋_GB2312" w:eastAsia="仿宋_GB2312"/>
          <w:color w:val="auto"/>
          <w:highlight w:val="none"/>
        </w:rPr>
        <w:t>  自测小程序链接：https://baosong.miit.gov.cn/ScaleTest</w:t>
      </w:r>
      <w:r>
        <w:rPr>
          <w:rFonts w:hint="eastAsia" w:ascii="仿宋_GB2312" w:eastAsia="仿宋_GB2312"/>
          <w:color w:val="auto"/>
          <w:highlight w:val="none"/>
        </w:rPr>
        <w:br w:type="textWrapping"/>
      </w:r>
      <w:r>
        <w:rPr>
          <w:rFonts w:hint="eastAsia" w:ascii="仿宋_GB2312" w:eastAsia="仿宋_GB2312"/>
          <w:color w:val="auto"/>
          <w:highlight w:val="none"/>
        </w:rPr>
        <w:t>  5.投标人须按上述格式要求如实填写中小企业声明函，并对该声明函的真实性负责，否则不得享受相关中小企业扶持政策；</w:t>
      </w:r>
      <w:r>
        <w:rPr>
          <w:rFonts w:hint="eastAsia" w:ascii="仿宋_GB2312" w:eastAsia="仿宋_GB2312"/>
          <w:color w:val="auto"/>
          <w:highlight w:val="none"/>
        </w:rPr>
        <w:br w:type="textWrapping"/>
      </w:r>
      <w:r>
        <w:rPr>
          <w:rFonts w:hint="eastAsia" w:ascii="仿宋_GB2312" w:eastAsia="仿宋_GB2312"/>
          <w:color w:val="auto"/>
          <w:highlight w:val="none"/>
        </w:rPr>
        <w:t>  6.中标人依法享受中小企业扶持政策的，采购代理机构将在中标结果公告中公告其《中小企业声明函》。</w:t>
      </w:r>
    </w:p>
    <w:p w14:paraId="1D1C9A93">
      <w:pPr>
        <w:pStyle w:val="929"/>
        <w:spacing w:before="0" w:beforeAutospacing="0" w:line="405"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7.中小微企业划型标准附表</w:t>
      </w:r>
      <w:r>
        <w:rPr>
          <w:rFonts w:hint="eastAsia" w:ascii="仿宋_GB2312" w:eastAsia="仿宋_GB2312"/>
          <w:b/>
          <w:bCs/>
          <w:color w:val="auto"/>
          <w:highlight w:val="none"/>
        </w:rPr>
        <w:t>(若附表有变动，按最新政策执行)</w:t>
      </w:r>
      <w:r>
        <w:rPr>
          <w:rFonts w:hint="eastAsia" w:ascii="仿宋_GB2312" w:eastAsia="仿宋_GB2312"/>
          <w:color w:val="auto"/>
          <w:highlight w:val="none"/>
        </w:rPr>
        <w:t>：</w:t>
      </w:r>
    </w:p>
    <w:p w14:paraId="2E0D9674">
      <w:pPr>
        <w:pStyle w:val="931"/>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中小微企业划型标准</w:t>
      </w:r>
    </w:p>
    <w:tbl>
      <w:tblPr>
        <w:tblStyle w:val="48"/>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05"/>
        <w:gridCol w:w="1845"/>
        <w:gridCol w:w="1155"/>
        <w:gridCol w:w="1890"/>
        <w:gridCol w:w="1590"/>
        <w:gridCol w:w="1155"/>
      </w:tblGrid>
      <w:tr w14:paraId="3A937C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72BDC6">
            <w:pPr>
              <w:jc w:val="center"/>
              <w:rPr>
                <w:rFonts w:ascii="仿宋_GB2312" w:eastAsia="仿宋_GB2312"/>
                <w:color w:val="auto"/>
                <w:highlight w:val="none"/>
              </w:rPr>
            </w:pPr>
            <w:r>
              <w:rPr>
                <w:rFonts w:hint="eastAsia" w:ascii="仿宋_GB2312" w:eastAsia="仿宋_GB2312"/>
                <w:b/>
                <w:bCs/>
                <w:color w:val="auto"/>
                <w:highlight w:val="none"/>
              </w:rPr>
              <w:t>行业名称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E2CFA9">
            <w:pPr>
              <w:jc w:val="center"/>
              <w:rPr>
                <w:rFonts w:ascii="仿宋_GB2312" w:eastAsia="仿宋_GB2312"/>
                <w:color w:val="auto"/>
                <w:highlight w:val="none"/>
              </w:rPr>
            </w:pPr>
            <w:r>
              <w:rPr>
                <w:rFonts w:hint="eastAsia" w:ascii="仿宋_GB2312" w:eastAsia="仿宋_GB2312"/>
                <w:b/>
                <w:bCs/>
                <w:color w:val="auto"/>
                <w:highlight w:val="none"/>
              </w:rPr>
              <w:t>指标名称</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5C3CFC">
            <w:pPr>
              <w:jc w:val="center"/>
              <w:rPr>
                <w:rFonts w:ascii="仿宋_GB2312" w:eastAsia="仿宋_GB2312"/>
                <w:color w:val="auto"/>
                <w:highlight w:val="none"/>
              </w:rPr>
            </w:pPr>
            <w:r>
              <w:rPr>
                <w:rFonts w:hint="eastAsia" w:ascii="仿宋_GB2312" w:eastAsia="仿宋_GB2312"/>
                <w:b/>
                <w:bCs/>
                <w:color w:val="auto"/>
                <w:highlight w:val="none"/>
              </w:rPr>
              <w:t>计量单位</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B43112">
            <w:pPr>
              <w:jc w:val="center"/>
              <w:rPr>
                <w:rFonts w:ascii="仿宋_GB2312" w:eastAsia="仿宋_GB2312"/>
                <w:color w:val="auto"/>
                <w:highlight w:val="none"/>
              </w:rPr>
            </w:pPr>
            <w:r>
              <w:rPr>
                <w:rFonts w:hint="eastAsia" w:ascii="仿宋_GB2312" w:eastAsia="仿宋_GB2312"/>
                <w:b/>
                <w:bCs/>
                <w:color w:val="auto"/>
                <w:highlight w:val="none"/>
              </w:rPr>
              <w:t>中型</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A6A9E6">
            <w:pPr>
              <w:jc w:val="center"/>
              <w:rPr>
                <w:rFonts w:ascii="仿宋_GB2312" w:eastAsia="仿宋_GB2312"/>
                <w:color w:val="auto"/>
                <w:highlight w:val="none"/>
              </w:rPr>
            </w:pPr>
            <w:r>
              <w:rPr>
                <w:rFonts w:hint="eastAsia" w:ascii="仿宋_GB2312" w:eastAsia="仿宋_GB2312"/>
                <w:b/>
                <w:bCs/>
                <w:color w:val="auto"/>
                <w:highlight w:val="none"/>
              </w:rPr>
              <w:t>小型</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2A14A6">
            <w:pPr>
              <w:jc w:val="center"/>
              <w:rPr>
                <w:rFonts w:ascii="仿宋_GB2312" w:eastAsia="仿宋_GB2312"/>
                <w:color w:val="auto"/>
                <w:highlight w:val="none"/>
              </w:rPr>
            </w:pPr>
            <w:r>
              <w:rPr>
                <w:rFonts w:hint="eastAsia" w:ascii="仿宋_GB2312" w:eastAsia="仿宋_GB2312"/>
                <w:b/>
                <w:bCs/>
                <w:color w:val="auto"/>
                <w:highlight w:val="none"/>
              </w:rPr>
              <w:t>微型</w:t>
            </w:r>
          </w:p>
        </w:tc>
      </w:tr>
      <w:tr w14:paraId="713695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8E2F61">
            <w:pPr>
              <w:jc w:val="center"/>
              <w:rPr>
                <w:rFonts w:ascii="仿宋_GB2312" w:eastAsia="仿宋_GB2312"/>
                <w:color w:val="auto"/>
                <w:highlight w:val="none"/>
              </w:rPr>
            </w:pPr>
            <w:r>
              <w:rPr>
                <w:rFonts w:hint="eastAsia" w:ascii="仿宋_GB2312" w:eastAsia="仿宋_GB2312"/>
                <w:b/>
                <w:bCs/>
                <w:color w:val="auto"/>
                <w:highlight w:val="none"/>
              </w:rPr>
              <w:t>农、林、牧、渔</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323C10">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BD2753">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BC118D">
            <w:pPr>
              <w:jc w:val="center"/>
              <w:rPr>
                <w:rFonts w:ascii="仿宋_GB2312" w:eastAsia="仿宋_GB2312"/>
                <w:color w:val="auto"/>
                <w:highlight w:val="none"/>
              </w:rPr>
            </w:pPr>
            <w:r>
              <w:rPr>
                <w:rFonts w:hint="eastAsia" w:ascii="仿宋_GB2312" w:eastAsia="仿宋_GB2312"/>
                <w:color w:val="auto"/>
                <w:highlight w:val="none"/>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181F34">
            <w:pPr>
              <w:jc w:val="center"/>
              <w:rPr>
                <w:rFonts w:ascii="仿宋_GB2312" w:eastAsia="仿宋_GB2312"/>
                <w:color w:val="auto"/>
                <w:highlight w:val="none"/>
              </w:rPr>
            </w:pPr>
            <w:r>
              <w:rPr>
                <w:rFonts w:hint="eastAsia" w:ascii="仿宋_GB2312" w:eastAsia="仿宋_GB2312"/>
                <w:color w:val="auto"/>
                <w:highlight w:val="none"/>
              </w:rPr>
              <w:t>50≤Y&lt;500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444569">
            <w:pPr>
              <w:jc w:val="center"/>
              <w:rPr>
                <w:rFonts w:ascii="仿宋_GB2312" w:eastAsia="仿宋_GB2312"/>
                <w:color w:val="auto"/>
                <w:highlight w:val="none"/>
              </w:rPr>
            </w:pPr>
            <w:r>
              <w:rPr>
                <w:rFonts w:hint="eastAsia" w:ascii="仿宋_GB2312" w:eastAsia="仿宋_GB2312"/>
                <w:color w:val="auto"/>
                <w:highlight w:val="none"/>
              </w:rPr>
              <w:t>Y&lt;50</w:t>
            </w:r>
          </w:p>
        </w:tc>
      </w:tr>
      <w:tr w14:paraId="18B2EF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B3D780">
            <w:pPr>
              <w:jc w:val="center"/>
              <w:rPr>
                <w:rFonts w:ascii="仿宋_GB2312" w:eastAsia="仿宋_GB2312"/>
                <w:color w:val="auto"/>
                <w:highlight w:val="none"/>
              </w:rPr>
            </w:pPr>
            <w:r>
              <w:rPr>
                <w:rFonts w:hint="eastAsia" w:ascii="仿宋_GB2312" w:eastAsia="仿宋_GB2312"/>
                <w:b/>
                <w:bCs/>
                <w:color w:val="auto"/>
                <w:highlight w:val="none"/>
              </w:rPr>
              <w:t>工业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CA6ED6">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7F8892">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B8E3BB">
            <w:pPr>
              <w:jc w:val="center"/>
              <w:rPr>
                <w:rFonts w:ascii="仿宋_GB2312" w:eastAsia="仿宋_GB2312"/>
                <w:color w:val="auto"/>
                <w:highlight w:val="none"/>
              </w:rPr>
            </w:pPr>
            <w:r>
              <w:rPr>
                <w:rFonts w:hint="eastAsia" w:ascii="仿宋_GB2312" w:eastAsia="仿宋_GB2312"/>
                <w:color w:val="auto"/>
                <w:highlight w:val="none"/>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B9C412">
            <w:pPr>
              <w:jc w:val="center"/>
              <w:rPr>
                <w:rFonts w:ascii="仿宋_GB2312" w:eastAsia="仿宋_GB2312"/>
                <w:color w:val="auto"/>
                <w:highlight w:val="none"/>
              </w:rPr>
            </w:pPr>
            <w:r>
              <w:rPr>
                <w:rFonts w:hint="eastAsia" w:ascii="仿宋_GB2312" w:eastAsia="仿宋_GB2312"/>
                <w:color w:val="auto"/>
                <w:highlight w:val="none"/>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0C499D">
            <w:pPr>
              <w:jc w:val="center"/>
              <w:rPr>
                <w:rFonts w:ascii="仿宋_GB2312" w:eastAsia="仿宋_GB2312"/>
                <w:color w:val="auto"/>
                <w:highlight w:val="none"/>
              </w:rPr>
            </w:pPr>
            <w:r>
              <w:rPr>
                <w:rFonts w:hint="eastAsia" w:ascii="仿宋_GB2312" w:eastAsia="仿宋_GB2312"/>
                <w:color w:val="auto"/>
                <w:highlight w:val="none"/>
              </w:rPr>
              <w:t>X&lt;20</w:t>
            </w:r>
          </w:p>
        </w:tc>
      </w:tr>
      <w:tr w14:paraId="0148FC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9FEF622">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54A87A">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7AA8EA">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4FE530">
            <w:pPr>
              <w:jc w:val="center"/>
              <w:rPr>
                <w:rFonts w:ascii="仿宋_GB2312" w:eastAsia="仿宋_GB2312"/>
                <w:color w:val="auto"/>
                <w:highlight w:val="none"/>
              </w:rPr>
            </w:pPr>
            <w:r>
              <w:rPr>
                <w:rFonts w:hint="eastAsia" w:ascii="仿宋_GB2312" w:eastAsia="仿宋_GB2312"/>
                <w:color w:val="auto"/>
                <w:highlight w:val="none"/>
              </w:rPr>
              <w:t>2000≤Y&lt;40000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AB5ACC">
            <w:pPr>
              <w:jc w:val="center"/>
              <w:rPr>
                <w:rFonts w:ascii="仿宋_GB2312" w:eastAsia="仿宋_GB2312"/>
                <w:color w:val="auto"/>
                <w:highlight w:val="none"/>
              </w:rPr>
            </w:pPr>
            <w:r>
              <w:rPr>
                <w:rFonts w:hint="eastAsia" w:ascii="仿宋_GB2312" w:eastAsia="仿宋_GB2312"/>
                <w:color w:val="auto"/>
                <w:highlight w:val="none"/>
              </w:rPr>
              <w:t>300≤Y&lt;2000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2B1C4C">
            <w:pPr>
              <w:jc w:val="center"/>
              <w:rPr>
                <w:rFonts w:ascii="仿宋_GB2312" w:eastAsia="仿宋_GB2312"/>
                <w:color w:val="auto"/>
                <w:highlight w:val="none"/>
              </w:rPr>
            </w:pPr>
            <w:r>
              <w:rPr>
                <w:rFonts w:hint="eastAsia" w:ascii="仿宋_GB2312" w:eastAsia="仿宋_GB2312"/>
                <w:color w:val="auto"/>
                <w:highlight w:val="none"/>
              </w:rPr>
              <w:t>Y&lt;300</w:t>
            </w:r>
          </w:p>
        </w:tc>
      </w:tr>
      <w:tr w14:paraId="04A316F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0F66AF">
            <w:pPr>
              <w:jc w:val="center"/>
              <w:rPr>
                <w:rFonts w:ascii="仿宋_GB2312" w:eastAsia="仿宋_GB2312"/>
                <w:color w:val="auto"/>
                <w:highlight w:val="none"/>
              </w:rPr>
            </w:pPr>
            <w:r>
              <w:rPr>
                <w:rFonts w:hint="eastAsia" w:ascii="仿宋_GB2312" w:eastAsia="仿宋_GB2312"/>
                <w:b/>
                <w:bCs/>
                <w:color w:val="auto"/>
                <w:highlight w:val="none"/>
              </w:rPr>
              <w:t>建筑业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95EFC3">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C0E616">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A10A06">
            <w:pPr>
              <w:jc w:val="center"/>
              <w:rPr>
                <w:rFonts w:ascii="仿宋_GB2312" w:eastAsia="仿宋_GB2312"/>
                <w:color w:val="auto"/>
                <w:highlight w:val="none"/>
              </w:rPr>
            </w:pPr>
            <w:r>
              <w:rPr>
                <w:rFonts w:hint="eastAsia" w:ascii="仿宋_GB2312" w:eastAsia="仿宋_GB2312"/>
                <w:color w:val="auto"/>
                <w:highlight w:val="none"/>
              </w:rPr>
              <w:t>6000≤Y&lt;80000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85E403">
            <w:pPr>
              <w:jc w:val="center"/>
              <w:rPr>
                <w:rFonts w:ascii="仿宋_GB2312" w:eastAsia="仿宋_GB2312"/>
                <w:color w:val="auto"/>
                <w:highlight w:val="none"/>
              </w:rPr>
            </w:pPr>
            <w:r>
              <w:rPr>
                <w:rFonts w:hint="eastAsia" w:ascii="仿宋_GB2312" w:eastAsia="仿宋_GB2312"/>
                <w:color w:val="auto"/>
                <w:highlight w:val="none"/>
              </w:rPr>
              <w:t>300≤Y&lt;6000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37FBCF">
            <w:pPr>
              <w:jc w:val="center"/>
              <w:rPr>
                <w:rFonts w:ascii="仿宋_GB2312" w:eastAsia="仿宋_GB2312"/>
                <w:color w:val="auto"/>
                <w:highlight w:val="none"/>
              </w:rPr>
            </w:pPr>
            <w:r>
              <w:rPr>
                <w:rFonts w:hint="eastAsia" w:ascii="仿宋_GB2312" w:eastAsia="仿宋_GB2312"/>
                <w:color w:val="auto"/>
                <w:highlight w:val="none"/>
              </w:rPr>
              <w:t>Y&lt;300</w:t>
            </w:r>
          </w:p>
        </w:tc>
      </w:tr>
      <w:tr w14:paraId="4672D1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8546A66">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E9DE3A">
            <w:pPr>
              <w:jc w:val="center"/>
              <w:rPr>
                <w:rFonts w:ascii="仿宋_GB2312" w:eastAsia="仿宋_GB2312"/>
                <w:color w:val="auto"/>
                <w:highlight w:val="none"/>
              </w:rPr>
            </w:pPr>
            <w:r>
              <w:rPr>
                <w:rFonts w:hint="eastAsia" w:ascii="仿宋_GB2312" w:eastAsia="仿宋_GB2312"/>
                <w:color w:val="auto"/>
                <w:highlight w:val="none"/>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9C1016">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A2E030">
            <w:pPr>
              <w:jc w:val="center"/>
              <w:rPr>
                <w:rFonts w:ascii="仿宋_GB2312" w:eastAsia="仿宋_GB2312"/>
                <w:color w:val="auto"/>
                <w:highlight w:val="none"/>
              </w:rPr>
            </w:pPr>
            <w:r>
              <w:rPr>
                <w:rFonts w:hint="eastAsia" w:ascii="仿宋_GB2312" w:eastAsia="仿宋_GB2312"/>
                <w:color w:val="auto"/>
                <w:highlight w:val="none"/>
              </w:rPr>
              <w:t>5000≤Z&lt;80000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53E3BF">
            <w:pPr>
              <w:jc w:val="center"/>
              <w:rPr>
                <w:rFonts w:ascii="仿宋_GB2312" w:eastAsia="仿宋_GB2312"/>
                <w:color w:val="auto"/>
                <w:highlight w:val="none"/>
              </w:rPr>
            </w:pPr>
            <w:r>
              <w:rPr>
                <w:rFonts w:hint="eastAsia" w:ascii="仿宋_GB2312" w:eastAsia="仿宋_GB2312"/>
                <w:color w:val="auto"/>
                <w:highlight w:val="none"/>
              </w:rPr>
              <w:t>300≤Z&lt;5000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6E33BD">
            <w:pPr>
              <w:jc w:val="center"/>
              <w:rPr>
                <w:rFonts w:ascii="仿宋_GB2312" w:eastAsia="仿宋_GB2312"/>
                <w:color w:val="auto"/>
                <w:highlight w:val="none"/>
              </w:rPr>
            </w:pPr>
            <w:r>
              <w:rPr>
                <w:rFonts w:hint="eastAsia" w:ascii="仿宋_GB2312" w:eastAsia="仿宋_GB2312"/>
                <w:color w:val="auto"/>
                <w:highlight w:val="none"/>
              </w:rPr>
              <w:t>Z&lt;300</w:t>
            </w:r>
          </w:p>
        </w:tc>
      </w:tr>
      <w:tr w14:paraId="1A5BE9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2BE783">
            <w:pPr>
              <w:jc w:val="center"/>
              <w:rPr>
                <w:rFonts w:ascii="仿宋_GB2312" w:eastAsia="仿宋_GB2312"/>
                <w:color w:val="auto"/>
                <w:highlight w:val="none"/>
              </w:rPr>
            </w:pPr>
            <w:r>
              <w:rPr>
                <w:rFonts w:hint="eastAsia" w:ascii="仿宋_GB2312" w:eastAsia="仿宋_GB2312"/>
                <w:b/>
                <w:bCs/>
                <w:color w:val="auto"/>
                <w:highlight w:val="none"/>
              </w:rPr>
              <w:t>批发业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706405">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0D44FE">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798421">
            <w:pPr>
              <w:jc w:val="center"/>
              <w:rPr>
                <w:rFonts w:ascii="仿宋_GB2312" w:eastAsia="仿宋_GB2312"/>
                <w:color w:val="auto"/>
                <w:highlight w:val="none"/>
              </w:rPr>
            </w:pPr>
            <w:r>
              <w:rPr>
                <w:rFonts w:hint="eastAsia" w:ascii="仿宋_GB2312" w:eastAsia="仿宋_GB2312"/>
                <w:color w:val="auto"/>
                <w:highlight w:val="none"/>
              </w:rPr>
              <w:t>20≤X&lt;200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DC29DC">
            <w:pPr>
              <w:jc w:val="center"/>
              <w:rPr>
                <w:rFonts w:ascii="仿宋_GB2312" w:eastAsia="仿宋_GB2312"/>
                <w:color w:val="auto"/>
                <w:highlight w:val="none"/>
              </w:rPr>
            </w:pPr>
            <w:r>
              <w:rPr>
                <w:rFonts w:hint="eastAsia" w:ascii="仿宋_GB2312" w:eastAsia="仿宋_GB2312"/>
                <w:color w:val="auto"/>
                <w:highlight w:val="none"/>
              </w:rPr>
              <w:t>5≤X&lt;20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B1CECE">
            <w:pPr>
              <w:jc w:val="center"/>
              <w:rPr>
                <w:rFonts w:ascii="仿宋_GB2312" w:eastAsia="仿宋_GB2312"/>
                <w:color w:val="auto"/>
                <w:highlight w:val="none"/>
              </w:rPr>
            </w:pPr>
            <w:r>
              <w:rPr>
                <w:rFonts w:hint="eastAsia" w:ascii="仿宋_GB2312" w:eastAsia="仿宋_GB2312"/>
                <w:color w:val="auto"/>
                <w:highlight w:val="none"/>
              </w:rPr>
              <w:t>X&lt;5</w:t>
            </w:r>
          </w:p>
        </w:tc>
      </w:tr>
      <w:tr w14:paraId="6A6F22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4CB279A7">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8733E3">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8F5CA9">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6BA21B">
            <w:pPr>
              <w:jc w:val="center"/>
              <w:rPr>
                <w:rFonts w:ascii="仿宋_GB2312" w:eastAsia="仿宋_GB2312"/>
                <w:color w:val="auto"/>
                <w:highlight w:val="none"/>
              </w:rPr>
            </w:pPr>
            <w:r>
              <w:rPr>
                <w:rFonts w:hint="eastAsia" w:ascii="仿宋_GB2312" w:eastAsia="仿宋_GB2312"/>
                <w:color w:val="auto"/>
                <w:highlight w:val="none"/>
              </w:rPr>
              <w:t>5000≤Y&lt;40000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A4A256">
            <w:pPr>
              <w:jc w:val="center"/>
              <w:rPr>
                <w:rFonts w:ascii="仿宋_GB2312" w:eastAsia="仿宋_GB2312"/>
                <w:color w:val="auto"/>
                <w:highlight w:val="none"/>
              </w:rPr>
            </w:pPr>
            <w:r>
              <w:rPr>
                <w:rFonts w:hint="eastAsia" w:ascii="仿宋_GB2312" w:eastAsia="仿宋_GB2312"/>
                <w:color w:val="auto"/>
                <w:highlight w:val="none"/>
              </w:rPr>
              <w:t>1000≤Y&lt;5000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FAF6DE">
            <w:pPr>
              <w:jc w:val="center"/>
              <w:rPr>
                <w:rFonts w:ascii="仿宋_GB2312" w:eastAsia="仿宋_GB2312"/>
                <w:color w:val="auto"/>
                <w:highlight w:val="none"/>
              </w:rPr>
            </w:pPr>
            <w:r>
              <w:rPr>
                <w:rFonts w:hint="eastAsia" w:ascii="仿宋_GB2312" w:eastAsia="仿宋_GB2312"/>
                <w:color w:val="auto"/>
                <w:highlight w:val="none"/>
              </w:rPr>
              <w:t>Y&lt;1000</w:t>
            </w:r>
          </w:p>
        </w:tc>
      </w:tr>
      <w:tr w14:paraId="7F034E9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A269CB">
            <w:pPr>
              <w:jc w:val="center"/>
              <w:rPr>
                <w:rFonts w:ascii="仿宋_GB2312" w:eastAsia="仿宋_GB2312"/>
                <w:color w:val="auto"/>
                <w:highlight w:val="none"/>
              </w:rPr>
            </w:pPr>
            <w:r>
              <w:rPr>
                <w:rFonts w:hint="eastAsia" w:ascii="仿宋_GB2312" w:eastAsia="仿宋_GB2312"/>
                <w:b/>
                <w:bCs/>
                <w:color w:val="auto"/>
                <w:highlight w:val="none"/>
              </w:rPr>
              <w:t>零售业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D0F2FD">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829509">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9037FA">
            <w:pPr>
              <w:jc w:val="center"/>
              <w:rPr>
                <w:rFonts w:ascii="仿宋_GB2312" w:eastAsia="仿宋_GB2312"/>
                <w:color w:val="auto"/>
                <w:highlight w:val="none"/>
              </w:rPr>
            </w:pPr>
            <w:r>
              <w:rPr>
                <w:rFonts w:hint="eastAsia" w:ascii="仿宋_GB2312" w:eastAsia="仿宋_GB2312"/>
                <w:color w:val="auto"/>
                <w:highlight w:val="none"/>
              </w:rPr>
              <w:t>50≤X&lt;300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6B4612">
            <w:pPr>
              <w:jc w:val="center"/>
              <w:rPr>
                <w:rFonts w:ascii="仿宋_GB2312" w:eastAsia="仿宋_GB2312"/>
                <w:color w:val="auto"/>
                <w:highlight w:val="none"/>
              </w:rPr>
            </w:pPr>
            <w:r>
              <w:rPr>
                <w:rFonts w:hint="eastAsia" w:ascii="仿宋_GB2312" w:eastAsia="仿宋_GB2312"/>
                <w:color w:val="auto"/>
                <w:highlight w:val="none"/>
              </w:rPr>
              <w:t>10≤X&lt;50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F04467">
            <w:pPr>
              <w:jc w:val="center"/>
              <w:rPr>
                <w:rFonts w:ascii="仿宋_GB2312" w:eastAsia="仿宋_GB2312"/>
                <w:color w:val="auto"/>
                <w:highlight w:val="none"/>
              </w:rPr>
            </w:pPr>
            <w:r>
              <w:rPr>
                <w:rFonts w:hint="eastAsia" w:ascii="仿宋_GB2312" w:eastAsia="仿宋_GB2312"/>
                <w:color w:val="auto"/>
                <w:highlight w:val="none"/>
              </w:rPr>
              <w:t>X&lt;10</w:t>
            </w:r>
          </w:p>
        </w:tc>
      </w:tr>
      <w:tr w14:paraId="77A04B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44B47DD0">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1F2D5D">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9D0081">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F793E8">
            <w:pPr>
              <w:jc w:val="center"/>
              <w:rPr>
                <w:rFonts w:ascii="仿宋_GB2312" w:eastAsia="仿宋_GB2312"/>
                <w:color w:val="auto"/>
                <w:highlight w:val="none"/>
              </w:rPr>
            </w:pPr>
            <w:r>
              <w:rPr>
                <w:rFonts w:hint="eastAsia" w:ascii="仿宋_GB2312" w:eastAsia="仿宋_GB2312"/>
                <w:color w:val="auto"/>
                <w:highlight w:val="none"/>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4684C2">
            <w:pPr>
              <w:jc w:val="center"/>
              <w:rPr>
                <w:rFonts w:ascii="仿宋_GB2312" w:eastAsia="仿宋_GB2312"/>
                <w:color w:val="auto"/>
                <w:highlight w:val="none"/>
              </w:rPr>
            </w:pPr>
            <w:r>
              <w:rPr>
                <w:rFonts w:hint="eastAsia" w:ascii="仿宋_GB2312" w:eastAsia="仿宋_GB2312"/>
                <w:color w:val="auto"/>
                <w:highlight w:val="none"/>
              </w:rPr>
              <w:t>100≤Y&lt;500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CB227C">
            <w:pPr>
              <w:jc w:val="center"/>
              <w:rPr>
                <w:rFonts w:ascii="仿宋_GB2312" w:eastAsia="仿宋_GB2312"/>
                <w:color w:val="auto"/>
                <w:highlight w:val="none"/>
              </w:rPr>
            </w:pPr>
            <w:r>
              <w:rPr>
                <w:rFonts w:hint="eastAsia" w:ascii="仿宋_GB2312" w:eastAsia="仿宋_GB2312"/>
                <w:color w:val="auto"/>
                <w:highlight w:val="none"/>
              </w:rPr>
              <w:t>Y&lt;100</w:t>
            </w:r>
          </w:p>
        </w:tc>
      </w:tr>
      <w:tr w14:paraId="1B8B44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DD2F82">
            <w:pPr>
              <w:jc w:val="center"/>
              <w:rPr>
                <w:rFonts w:ascii="仿宋_GB2312" w:eastAsia="仿宋_GB2312"/>
                <w:color w:val="auto"/>
                <w:highlight w:val="none"/>
              </w:rPr>
            </w:pPr>
            <w:r>
              <w:rPr>
                <w:rFonts w:hint="eastAsia" w:ascii="仿宋_GB2312" w:eastAsia="仿宋_GB2312"/>
                <w:b/>
                <w:bCs/>
                <w:color w:val="auto"/>
                <w:highlight w:val="none"/>
              </w:rPr>
              <w:t>交通运输业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90E695">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71C8DC">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7BECAD">
            <w:pPr>
              <w:jc w:val="center"/>
              <w:rPr>
                <w:rFonts w:ascii="仿宋_GB2312" w:eastAsia="仿宋_GB2312"/>
                <w:color w:val="auto"/>
                <w:highlight w:val="none"/>
              </w:rPr>
            </w:pPr>
            <w:r>
              <w:rPr>
                <w:rFonts w:hint="eastAsia" w:ascii="仿宋_GB2312" w:eastAsia="仿宋_GB2312"/>
                <w:color w:val="auto"/>
                <w:highlight w:val="none"/>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7A3B9C">
            <w:pPr>
              <w:jc w:val="center"/>
              <w:rPr>
                <w:rFonts w:ascii="仿宋_GB2312" w:eastAsia="仿宋_GB2312"/>
                <w:color w:val="auto"/>
                <w:highlight w:val="none"/>
              </w:rPr>
            </w:pPr>
            <w:r>
              <w:rPr>
                <w:rFonts w:hint="eastAsia" w:ascii="仿宋_GB2312" w:eastAsia="仿宋_GB2312"/>
                <w:color w:val="auto"/>
                <w:highlight w:val="none"/>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38C70F">
            <w:pPr>
              <w:jc w:val="center"/>
              <w:rPr>
                <w:rFonts w:ascii="仿宋_GB2312" w:eastAsia="仿宋_GB2312"/>
                <w:color w:val="auto"/>
                <w:highlight w:val="none"/>
              </w:rPr>
            </w:pPr>
            <w:r>
              <w:rPr>
                <w:rFonts w:hint="eastAsia" w:ascii="仿宋_GB2312" w:eastAsia="仿宋_GB2312"/>
                <w:color w:val="auto"/>
                <w:highlight w:val="none"/>
              </w:rPr>
              <w:t>X&lt;20</w:t>
            </w:r>
          </w:p>
        </w:tc>
      </w:tr>
      <w:tr w14:paraId="45D7A5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62114C5">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F4348E">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BC366E">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EDD3CC">
            <w:pPr>
              <w:jc w:val="center"/>
              <w:rPr>
                <w:rFonts w:ascii="仿宋_GB2312" w:eastAsia="仿宋_GB2312"/>
                <w:color w:val="auto"/>
                <w:highlight w:val="none"/>
              </w:rPr>
            </w:pPr>
            <w:r>
              <w:rPr>
                <w:rFonts w:hint="eastAsia" w:ascii="仿宋_GB2312" w:eastAsia="仿宋_GB2312"/>
                <w:color w:val="auto"/>
                <w:highlight w:val="none"/>
              </w:rPr>
              <w:t>3000≤Y&lt;30000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D671FB">
            <w:pPr>
              <w:jc w:val="center"/>
              <w:rPr>
                <w:rFonts w:ascii="仿宋_GB2312" w:eastAsia="仿宋_GB2312"/>
                <w:color w:val="auto"/>
                <w:highlight w:val="none"/>
              </w:rPr>
            </w:pPr>
            <w:r>
              <w:rPr>
                <w:rFonts w:hint="eastAsia" w:ascii="仿宋_GB2312" w:eastAsia="仿宋_GB2312"/>
                <w:color w:val="auto"/>
                <w:highlight w:val="none"/>
              </w:rPr>
              <w:t>200≤Y&lt;3000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782F26">
            <w:pPr>
              <w:jc w:val="center"/>
              <w:rPr>
                <w:rFonts w:ascii="仿宋_GB2312" w:eastAsia="仿宋_GB2312"/>
                <w:color w:val="auto"/>
                <w:highlight w:val="none"/>
              </w:rPr>
            </w:pPr>
            <w:r>
              <w:rPr>
                <w:rFonts w:hint="eastAsia" w:ascii="仿宋_GB2312" w:eastAsia="仿宋_GB2312"/>
                <w:color w:val="auto"/>
                <w:highlight w:val="none"/>
              </w:rPr>
              <w:t>Y&lt;200</w:t>
            </w:r>
          </w:p>
        </w:tc>
      </w:tr>
      <w:tr w14:paraId="69CC4D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532345">
            <w:pPr>
              <w:jc w:val="center"/>
              <w:rPr>
                <w:rFonts w:ascii="仿宋_GB2312" w:eastAsia="仿宋_GB2312"/>
                <w:color w:val="auto"/>
                <w:highlight w:val="none"/>
              </w:rPr>
            </w:pPr>
            <w:r>
              <w:rPr>
                <w:rFonts w:hint="eastAsia" w:ascii="仿宋_GB2312" w:eastAsia="仿宋_GB2312"/>
                <w:b/>
                <w:bCs/>
                <w:color w:val="auto"/>
                <w:highlight w:val="none"/>
              </w:rPr>
              <w:t>仓储业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B5111C">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9671A5">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7F4221">
            <w:pPr>
              <w:jc w:val="center"/>
              <w:rPr>
                <w:rFonts w:ascii="仿宋_GB2312" w:eastAsia="仿宋_GB2312"/>
                <w:color w:val="auto"/>
                <w:highlight w:val="none"/>
              </w:rPr>
            </w:pPr>
            <w:r>
              <w:rPr>
                <w:rFonts w:hint="eastAsia" w:ascii="仿宋_GB2312" w:eastAsia="仿宋_GB2312"/>
                <w:color w:val="auto"/>
                <w:highlight w:val="none"/>
              </w:rPr>
              <w:t>100≤X&lt;200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2F2BF1">
            <w:pPr>
              <w:jc w:val="center"/>
              <w:rPr>
                <w:rFonts w:ascii="仿宋_GB2312" w:eastAsia="仿宋_GB2312"/>
                <w:color w:val="auto"/>
                <w:highlight w:val="none"/>
              </w:rPr>
            </w:pPr>
            <w:r>
              <w:rPr>
                <w:rFonts w:hint="eastAsia" w:ascii="仿宋_GB2312" w:eastAsia="仿宋_GB2312"/>
                <w:color w:val="auto"/>
                <w:highlight w:val="none"/>
              </w:rPr>
              <w:t>20≤X&lt;100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130A22">
            <w:pPr>
              <w:jc w:val="center"/>
              <w:rPr>
                <w:rFonts w:ascii="仿宋_GB2312" w:eastAsia="仿宋_GB2312"/>
                <w:color w:val="auto"/>
                <w:highlight w:val="none"/>
              </w:rPr>
            </w:pPr>
            <w:r>
              <w:rPr>
                <w:rFonts w:hint="eastAsia" w:ascii="仿宋_GB2312" w:eastAsia="仿宋_GB2312"/>
                <w:color w:val="auto"/>
                <w:highlight w:val="none"/>
              </w:rPr>
              <w:t>X&lt;20</w:t>
            </w:r>
          </w:p>
        </w:tc>
      </w:tr>
      <w:tr w14:paraId="17563D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5991CB7E">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771BDD">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4F3676">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97964B">
            <w:pPr>
              <w:jc w:val="center"/>
              <w:rPr>
                <w:rFonts w:ascii="仿宋_GB2312" w:eastAsia="仿宋_GB2312"/>
                <w:color w:val="auto"/>
                <w:highlight w:val="none"/>
              </w:rPr>
            </w:pPr>
            <w:r>
              <w:rPr>
                <w:rFonts w:hint="eastAsia" w:ascii="仿宋_GB2312" w:eastAsia="仿宋_GB2312"/>
                <w:color w:val="auto"/>
                <w:highlight w:val="none"/>
              </w:rPr>
              <w:t>1000≤Y&lt;30000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729479">
            <w:pPr>
              <w:jc w:val="center"/>
              <w:rPr>
                <w:rFonts w:ascii="仿宋_GB2312" w:eastAsia="仿宋_GB2312"/>
                <w:color w:val="auto"/>
                <w:highlight w:val="none"/>
              </w:rPr>
            </w:pPr>
            <w:r>
              <w:rPr>
                <w:rFonts w:hint="eastAsia" w:ascii="仿宋_GB2312" w:eastAsia="仿宋_GB2312"/>
                <w:color w:val="auto"/>
                <w:highlight w:val="none"/>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7EEFBC">
            <w:pPr>
              <w:jc w:val="center"/>
              <w:rPr>
                <w:rFonts w:ascii="仿宋_GB2312" w:eastAsia="仿宋_GB2312"/>
                <w:color w:val="auto"/>
                <w:highlight w:val="none"/>
              </w:rPr>
            </w:pPr>
            <w:r>
              <w:rPr>
                <w:rFonts w:hint="eastAsia" w:ascii="仿宋_GB2312" w:eastAsia="仿宋_GB2312"/>
                <w:color w:val="auto"/>
                <w:highlight w:val="none"/>
              </w:rPr>
              <w:t>Y&lt;100</w:t>
            </w:r>
          </w:p>
        </w:tc>
      </w:tr>
      <w:tr w14:paraId="47206F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BB8670">
            <w:pPr>
              <w:jc w:val="center"/>
              <w:rPr>
                <w:rFonts w:ascii="仿宋_GB2312" w:eastAsia="仿宋_GB2312"/>
                <w:color w:val="auto"/>
                <w:highlight w:val="none"/>
              </w:rPr>
            </w:pPr>
            <w:r>
              <w:rPr>
                <w:rFonts w:hint="eastAsia" w:ascii="仿宋_GB2312" w:eastAsia="仿宋_GB2312"/>
                <w:b/>
                <w:bCs/>
                <w:color w:val="auto"/>
                <w:highlight w:val="none"/>
              </w:rPr>
              <w:t>邮政业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0222DC">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F3EC84">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7C1746">
            <w:pPr>
              <w:jc w:val="center"/>
              <w:rPr>
                <w:rFonts w:ascii="仿宋_GB2312" w:eastAsia="仿宋_GB2312"/>
                <w:color w:val="auto"/>
                <w:highlight w:val="none"/>
              </w:rPr>
            </w:pPr>
            <w:r>
              <w:rPr>
                <w:rFonts w:hint="eastAsia" w:ascii="仿宋_GB2312" w:eastAsia="仿宋_GB2312"/>
                <w:color w:val="auto"/>
                <w:highlight w:val="none"/>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B7C713">
            <w:pPr>
              <w:jc w:val="center"/>
              <w:rPr>
                <w:rFonts w:ascii="仿宋_GB2312" w:eastAsia="仿宋_GB2312"/>
                <w:color w:val="auto"/>
                <w:highlight w:val="none"/>
              </w:rPr>
            </w:pPr>
            <w:r>
              <w:rPr>
                <w:rFonts w:hint="eastAsia" w:ascii="仿宋_GB2312" w:eastAsia="仿宋_GB2312"/>
                <w:color w:val="auto"/>
                <w:highlight w:val="none"/>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F39CDD">
            <w:pPr>
              <w:jc w:val="center"/>
              <w:rPr>
                <w:rFonts w:ascii="仿宋_GB2312" w:eastAsia="仿宋_GB2312"/>
                <w:color w:val="auto"/>
                <w:highlight w:val="none"/>
              </w:rPr>
            </w:pPr>
            <w:r>
              <w:rPr>
                <w:rFonts w:hint="eastAsia" w:ascii="仿宋_GB2312" w:eastAsia="仿宋_GB2312"/>
                <w:color w:val="auto"/>
                <w:highlight w:val="none"/>
              </w:rPr>
              <w:t>X&lt;20</w:t>
            </w:r>
          </w:p>
        </w:tc>
      </w:tr>
      <w:tr w14:paraId="3AD534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31D02FD8">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146159">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74ABF2">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51DDAD">
            <w:pPr>
              <w:jc w:val="center"/>
              <w:rPr>
                <w:rFonts w:ascii="仿宋_GB2312" w:eastAsia="仿宋_GB2312"/>
                <w:color w:val="auto"/>
                <w:highlight w:val="none"/>
              </w:rPr>
            </w:pPr>
            <w:r>
              <w:rPr>
                <w:rFonts w:hint="eastAsia" w:ascii="仿宋_GB2312" w:eastAsia="仿宋_GB2312"/>
                <w:color w:val="auto"/>
                <w:highlight w:val="none"/>
              </w:rPr>
              <w:t>2000≤Y&lt;30000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A6BB0B">
            <w:pPr>
              <w:jc w:val="center"/>
              <w:rPr>
                <w:rFonts w:ascii="仿宋_GB2312" w:eastAsia="仿宋_GB2312"/>
                <w:color w:val="auto"/>
                <w:highlight w:val="none"/>
              </w:rPr>
            </w:pPr>
            <w:r>
              <w:rPr>
                <w:rFonts w:hint="eastAsia" w:ascii="仿宋_GB2312" w:eastAsia="仿宋_GB2312"/>
                <w:color w:val="auto"/>
                <w:highlight w:val="none"/>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77857C">
            <w:pPr>
              <w:jc w:val="center"/>
              <w:rPr>
                <w:rFonts w:ascii="仿宋_GB2312" w:eastAsia="仿宋_GB2312"/>
                <w:color w:val="auto"/>
                <w:highlight w:val="none"/>
              </w:rPr>
            </w:pPr>
            <w:r>
              <w:rPr>
                <w:rFonts w:hint="eastAsia" w:ascii="仿宋_GB2312" w:eastAsia="仿宋_GB2312"/>
                <w:color w:val="auto"/>
                <w:highlight w:val="none"/>
              </w:rPr>
              <w:t>Y&lt;100</w:t>
            </w:r>
          </w:p>
        </w:tc>
      </w:tr>
      <w:tr w14:paraId="7D5B7F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615C16">
            <w:pPr>
              <w:jc w:val="center"/>
              <w:rPr>
                <w:rFonts w:ascii="仿宋_GB2312" w:eastAsia="仿宋_GB2312"/>
                <w:color w:val="auto"/>
                <w:highlight w:val="none"/>
              </w:rPr>
            </w:pPr>
            <w:r>
              <w:rPr>
                <w:rFonts w:hint="eastAsia" w:ascii="仿宋_GB2312" w:eastAsia="仿宋_GB2312"/>
                <w:b/>
                <w:bCs/>
                <w:color w:val="auto"/>
                <w:highlight w:val="none"/>
              </w:rPr>
              <w:t>住宿业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613245">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E5C06E">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6D20EC">
            <w:pPr>
              <w:jc w:val="center"/>
              <w:rPr>
                <w:rFonts w:ascii="仿宋_GB2312" w:eastAsia="仿宋_GB2312"/>
                <w:color w:val="auto"/>
                <w:highlight w:val="none"/>
              </w:rPr>
            </w:pPr>
            <w:r>
              <w:rPr>
                <w:rFonts w:hint="eastAsia" w:ascii="仿宋_GB2312" w:eastAsia="仿宋_GB2312"/>
                <w:color w:val="auto"/>
                <w:highlight w:val="none"/>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3982AB">
            <w:pPr>
              <w:jc w:val="center"/>
              <w:rPr>
                <w:rFonts w:ascii="仿宋_GB2312" w:eastAsia="仿宋_GB2312"/>
                <w:color w:val="auto"/>
                <w:highlight w:val="none"/>
              </w:rPr>
            </w:pPr>
            <w:r>
              <w:rPr>
                <w:rFonts w:hint="eastAsia" w:ascii="仿宋_GB2312" w:eastAsia="仿宋_GB2312"/>
                <w:color w:val="auto"/>
                <w:highlight w:val="none"/>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5AE4F1">
            <w:pPr>
              <w:jc w:val="center"/>
              <w:rPr>
                <w:rFonts w:ascii="仿宋_GB2312" w:eastAsia="仿宋_GB2312"/>
                <w:color w:val="auto"/>
                <w:highlight w:val="none"/>
              </w:rPr>
            </w:pPr>
            <w:r>
              <w:rPr>
                <w:rFonts w:hint="eastAsia" w:ascii="仿宋_GB2312" w:eastAsia="仿宋_GB2312"/>
                <w:color w:val="auto"/>
                <w:highlight w:val="none"/>
              </w:rPr>
              <w:t>X&lt;10</w:t>
            </w:r>
          </w:p>
        </w:tc>
      </w:tr>
      <w:tr w14:paraId="736897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CCF33C7">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EA04FC">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355E08">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3B25BD">
            <w:pPr>
              <w:jc w:val="center"/>
              <w:rPr>
                <w:rFonts w:ascii="仿宋_GB2312" w:eastAsia="仿宋_GB2312"/>
                <w:color w:val="auto"/>
                <w:highlight w:val="none"/>
              </w:rPr>
            </w:pPr>
            <w:r>
              <w:rPr>
                <w:rFonts w:hint="eastAsia" w:ascii="仿宋_GB2312" w:eastAsia="仿宋_GB2312"/>
                <w:color w:val="auto"/>
                <w:highlight w:val="none"/>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272B20">
            <w:pPr>
              <w:jc w:val="center"/>
              <w:rPr>
                <w:rFonts w:ascii="仿宋_GB2312" w:eastAsia="仿宋_GB2312"/>
                <w:color w:val="auto"/>
                <w:highlight w:val="none"/>
              </w:rPr>
            </w:pPr>
            <w:r>
              <w:rPr>
                <w:rFonts w:hint="eastAsia" w:ascii="仿宋_GB2312" w:eastAsia="仿宋_GB2312"/>
                <w:color w:val="auto"/>
                <w:highlight w:val="none"/>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581204">
            <w:pPr>
              <w:jc w:val="center"/>
              <w:rPr>
                <w:rFonts w:ascii="仿宋_GB2312" w:eastAsia="仿宋_GB2312"/>
                <w:color w:val="auto"/>
                <w:highlight w:val="none"/>
              </w:rPr>
            </w:pPr>
            <w:r>
              <w:rPr>
                <w:rFonts w:hint="eastAsia" w:ascii="仿宋_GB2312" w:eastAsia="仿宋_GB2312"/>
                <w:color w:val="auto"/>
                <w:highlight w:val="none"/>
              </w:rPr>
              <w:t>Y&lt;100</w:t>
            </w:r>
          </w:p>
        </w:tc>
      </w:tr>
      <w:tr w14:paraId="689E717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B17938">
            <w:pPr>
              <w:jc w:val="center"/>
              <w:rPr>
                <w:rFonts w:ascii="仿宋_GB2312" w:eastAsia="仿宋_GB2312"/>
                <w:color w:val="auto"/>
                <w:highlight w:val="none"/>
              </w:rPr>
            </w:pPr>
            <w:r>
              <w:rPr>
                <w:rFonts w:hint="eastAsia" w:ascii="仿宋_GB2312" w:eastAsia="仿宋_GB2312"/>
                <w:b/>
                <w:bCs/>
                <w:color w:val="auto"/>
                <w:highlight w:val="none"/>
              </w:rPr>
              <w:t>餐饮业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C081C3">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5D6C2A">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B19045">
            <w:pPr>
              <w:jc w:val="center"/>
              <w:rPr>
                <w:rFonts w:ascii="仿宋_GB2312" w:eastAsia="仿宋_GB2312"/>
                <w:color w:val="auto"/>
                <w:highlight w:val="none"/>
              </w:rPr>
            </w:pPr>
            <w:r>
              <w:rPr>
                <w:rFonts w:hint="eastAsia" w:ascii="仿宋_GB2312" w:eastAsia="仿宋_GB2312"/>
                <w:color w:val="auto"/>
                <w:highlight w:val="none"/>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6B00D7">
            <w:pPr>
              <w:jc w:val="center"/>
              <w:rPr>
                <w:rFonts w:ascii="仿宋_GB2312" w:eastAsia="仿宋_GB2312"/>
                <w:color w:val="auto"/>
                <w:highlight w:val="none"/>
              </w:rPr>
            </w:pPr>
            <w:r>
              <w:rPr>
                <w:rFonts w:hint="eastAsia" w:ascii="仿宋_GB2312" w:eastAsia="仿宋_GB2312"/>
                <w:color w:val="auto"/>
                <w:highlight w:val="none"/>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6A5574">
            <w:pPr>
              <w:jc w:val="center"/>
              <w:rPr>
                <w:rFonts w:ascii="仿宋_GB2312" w:eastAsia="仿宋_GB2312"/>
                <w:color w:val="auto"/>
                <w:highlight w:val="none"/>
              </w:rPr>
            </w:pPr>
            <w:r>
              <w:rPr>
                <w:rFonts w:hint="eastAsia" w:ascii="仿宋_GB2312" w:eastAsia="仿宋_GB2312"/>
                <w:color w:val="auto"/>
                <w:highlight w:val="none"/>
              </w:rPr>
              <w:t>X&lt;10</w:t>
            </w:r>
          </w:p>
        </w:tc>
      </w:tr>
      <w:tr w14:paraId="71FDE5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53D42871">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BE4D79">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02FF01">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081376">
            <w:pPr>
              <w:jc w:val="center"/>
              <w:rPr>
                <w:rFonts w:ascii="仿宋_GB2312" w:eastAsia="仿宋_GB2312"/>
                <w:color w:val="auto"/>
                <w:highlight w:val="none"/>
              </w:rPr>
            </w:pPr>
            <w:r>
              <w:rPr>
                <w:rFonts w:hint="eastAsia" w:ascii="仿宋_GB2312" w:eastAsia="仿宋_GB2312"/>
                <w:color w:val="auto"/>
                <w:highlight w:val="none"/>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97F7F9">
            <w:pPr>
              <w:jc w:val="center"/>
              <w:rPr>
                <w:rFonts w:ascii="仿宋_GB2312" w:eastAsia="仿宋_GB2312"/>
                <w:color w:val="auto"/>
                <w:highlight w:val="none"/>
              </w:rPr>
            </w:pPr>
            <w:r>
              <w:rPr>
                <w:rFonts w:hint="eastAsia" w:ascii="仿宋_GB2312" w:eastAsia="仿宋_GB2312"/>
                <w:color w:val="auto"/>
                <w:highlight w:val="none"/>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EB0DF8">
            <w:pPr>
              <w:jc w:val="center"/>
              <w:rPr>
                <w:rFonts w:ascii="仿宋_GB2312" w:eastAsia="仿宋_GB2312"/>
                <w:color w:val="auto"/>
                <w:highlight w:val="none"/>
              </w:rPr>
            </w:pPr>
            <w:r>
              <w:rPr>
                <w:rFonts w:hint="eastAsia" w:ascii="仿宋_GB2312" w:eastAsia="仿宋_GB2312"/>
                <w:color w:val="auto"/>
                <w:highlight w:val="none"/>
              </w:rPr>
              <w:t>Y&lt;100</w:t>
            </w:r>
          </w:p>
        </w:tc>
      </w:tr>
      <w:tr w14:paraId="229DCB5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184551">
            <w:pPr>
              <w:jc w:val="center"/>
              <w:rPr>
                <w:rFonts w:ascii="仿宋_GB2312" w:eastAsia="仿宋_GB2312"/>
                <w:color w:val="auto"/>
                <w:highlight w:val="none"/>
              </w:rPr>
            </w:pPr>
            <w:r>
              <w:rPr>
                <w:rFonts w:hint="eastAsia" w:ascii="仿宋_GB2312" w:eastAsia="仿宋_GB2312"/>
                <w:b/>
                <w:bCs/>
                <w:color w:val="auto"/>
                <w:highlight w:val="none"/>
              </w:rPr>
              <w:t>信息传输业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9FCD2C">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883117">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EDF546">
            <w:pPr>
              <w:jc w:val="center"/>
              <w:rPr>
                <w:rFonts w:ascii="仿宋_GB2312" w:eastAsia="仿宋_GB2312"/>
                <w:color w:val="auto"/>
                <w:highlight w:val="none"/>
              </w:rPr>
            </w:pPr>
            <w:r>
              <w:rPr>
                <w:rFonts w:hint="eastAsia" w:ascii="仿宋_GB2312" w:eastAsia="仿宋_GB2312"/>
                <w:color w:val="auto"/>
                <w:highlight w:val="none"/>
              </w:rPr>
              <w:t>100≤X&lt;2000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B24F0E">
            <w:pPr>
              <w:jc w:val="center"/>
              <w:rPr>
                <w:rFonts w:ascii="仿宋_GB2312" w:eastAsia="仿宋_GB2312"/>
                <w:color w:val="auto"/>
                <w:highlight w:val="none"/>
              </w:rPr>
            </w:pPr>
            <w:r>
              <w:rPr>
                <w:rFonts w:hint="eastAsia" w:ascii="仿宋_GB2312" w:eastAsia="仿宋_GB2312"/>
                <w:color w:val="auto"/>
                <w:highlight w:val="none"/>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2770B4">
            <w:pPr>
              <w:jc w:val="center"/>
              <w:rPr>
                <w:rFonts w:ascii="仿宋_GB2312" w:eastAsia="仿宋_GB2312"/>
                <w:color w:val="auto"/>
                <w:highlight w:val="none"/>
              </w:rPr>
            </w:pPr>
            <w:r>
              <w:rPr>
                <w:rFonts w:hint="eastAsia" w:ascii="仿宋_GB2312" w:eastAsia="仿宋_GB2312"/>
                <w:color w:val="auto"/>
                <w:highlight w:val="none"/>
              </w:rPr>
              <w:t>X&lt;10</w:t>
            </w:r>
          </w:p>
        </w:tc>
      </w:tr>
      <w:tr w14:paraId="2497F2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B279E11">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0428A4">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EF85B3">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3CD6BD">
            <w:pPr>
              <w:jc w:val="center"/>
              <w:rPr>
                <w:rFonts w:ascii="仿宋_GB2312" w:eastAsia="仿宋_GB2312"/>
                <w:color w:val="auto"/>
                <w:highlight w:val="none"/>
              </w:rPr>
            </w:pPr>
            <w:r>
              <w:rPr>
                <w:rFonts w:hint="eastAsia" w:ascii="仿宋_GB2312" w:eastAsia="仿宋_GB2312"/>
                <w:color w:val="auto"/>
                <w:highlight w:val="none"/>
              </w:rPr>
              <w:t>1000≤Y&lt;100000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AAF696">
            <w:pPr>
              <w:jc w:val="center"/>
              <w:rPr>
                <w:rFonts w:ascii="仿宋_GB2312" w:eastAsia="仿宋_GB2312"/>
                <w:color w:val="auto"/>
                <w:highlight w:val="none"/>
              </w:rPr>
            </w:pPr>
            <w:r>
              <w:rPr>
                <w:rFonts w:hint="eastAsia" w:ascii="仿宋_GB2312" w:eastAsia="仿宋_GB2312"/>
                <w:color w:val="auto"/>
                <w:highlight w:val="none"/>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BFB38E">
            <w:pPr>
              <w:jc w:val="center"/>
              <w:rPr>
                <w:rFonts w:ascii="仿宋_GB2312" w:eastAsia="仿宋_GB2312"/>
                <w:color w:val="auto"/>
                <w:highlight w:val="none"/>
              </w:rPr>
            </w:pPr>
            <w:r>
              <w:rPr>
                <w:rFonts w:hint="eastAsia" w:ascii="仿宋_GB2312" w:eastAsia="仿宋_GB2312"/>
                <w:color w:val="auto"/>
                <w:highlight w:val="none"/>
              </w:rPr>
              <w:t>Y&lt;100</w:t>
            </w:r>
          </w:p>
        </w:tc>
      </w:tr>
      <w:tr w14:paraId="2EF963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5D7D27">
            <w:pPr>
              <w:jc w:val="center"/>
              <w:rPr>
                <w:rFonts w:ascii="仿宋_GB2312" w:eastAsia="仿宋_GB2312"/>
                <w:color w:val="auto"/>
                <w:highlight w:val="none"/>
              </w:rPr>
            </w:pPr>
            <w:r>
              <w:rPr>
                <w:rFonts w:hint="eastAsia" w:ascii="仿宋_GB2312" w:eastAsia="仿宋_GB2312"/>
                <w:b/>
                <w:bCs/>
                <w:color w:val="auto"/>
                <w:highlight w:val="none"/>
              </w:rPr>
              <w:t>软件和信息</w:t>
            </w:r>
            <w:r>
              <w:rPr>
                <w:rFonts w:hint="eastAsia" w:ascii="仿宋_GB2312" w:eastAsia="仿宋_GB2312"/>
                <w:color w:val="auto"/>
                <w:highlight w:val="none"/>
              </w:rPr>
              <w:t xml:space="preserve"> </w:t>
            </w:r>
            <w:r>
              <w:rPr>
                <w:rFonts w:hint="eastAsia" w:ascii="仿宋_GB2312" w:eastAsia="仿宋_GB2312"/>
                <w:b/>
                <w:bCs/>
                <w:color w:val="auto"/>
                <w:highlight w:val="none"/>
              </w:rPr>
              <w:t>技术服务业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46C696">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D40C59">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FDB682">
            <w:pPr>
              <w:jc w:val="center"/>
              <w:rPr>
                <w:rFonts w:ascii="仿宋_GB2312" w:eastAsia="仿宋_GB2312"/>
                <w:color w:val="auto"/>
                <w:highlight w:val="none"/>
              </w:rPr>
            </w:pPr>
            <w:r>
              <w:rPr>
                <w:rFonts w:hint="eastAsia" w:ascii="仿宋_GB2312" w:eastAsia="仿宋_GB2312"/>
                <w:color w:val="auto"/>
                <w:highlight w:val="none"/>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D7FAE0">
            <w:pPr>
              <w:jc w:val="center"/>
              <w:rPr>
                <w:rFonts w:ascii="仿宋_GB2312" w:eastAsia="仿宋_GB2312"/>
                <w:color w:val="auto"/>
                <w:highlight w:val="none"/>
              </w:rPr>
            </w:pPr>
            <w:r>
              <w:rPr>
                <w:rFonts w:hint="eastAsia" w:ascii="仿宋_GB2312" w:eastAsia="仿宋_GB2312"/>
                <w:color w:val="auto"/>
                <w:highlight w:val="none"/>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DC76A0">
            <w:pPr>
              <w:jc w:val="center"/>
              <w:rPr>
                <w:rFonts w:ascii="仿宋_GB2312" w:eastAsia="仿宋_GB2312"/>
                <w:color w:val="auto"/>
                <w:highlight w:val="none"/>
              </w:rPr>
            </w:pPr>
            <w:r>
              <w:rPr>
                <w:rFonts w:hint="eastAsia" w:ascii="仿宋_GB2312" w:eastAsia="仿宋_GB2312"/>
                <w:color w:val="auto"/>
                <w:highlight w:val="none"/>
              </w:rPr>
              <w:t>X&lt;10</w:t>
            </w:r>
          </w:p>
        </w:tc>
      </w:tr>
      <w:tr w14:paraId="30A11E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41B211AF">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110E2B">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06475A">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600A3E">
            <w:pPr>
              <w:jc w:val="center"/>
              <w:rPr>
                <w:rFonts w:ascii="仿宋_GB2312" w:eastAsia="仿宋_GB2312"/>
                <w:color w:val="auto"/>
                <w:highlight w:val="none"/>
              </w:rPr>
            </w:pPr>
            <w:r>
              <w:rPr>
                <w:rFonts w:hint="eastAsia" w:ascii="仿宋_GB2312" w:eastAsia="仿宋_GB2312"/>
                <w:color w:val="auto"/>
                <w:highlight w:val="none"/>
              </w:rPr>
              <w:t>1000≤Y&lt;10000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DCC769">
            <w:pPr>
              <w:jc w:val="center"/>
              <w:rPr>
                <w:rFonts w:ascii="仿宋_GB2312" w:eastAsia="仿宋_GB2312"/>
                <w:color w:val="auto"/>
                <w:highlight w:val="none"/>
              </w:rPr>
            </w:pPr>
            <w:r>
              <w:rPr>
                <w:rFonts w:hint="eastAsia" w:ascii="仿宋_GB2312" w:eastAsia="仿宋_GB2312"/>
                <w:color w:val="auto"/>
                <w:highlight w:val="none"/>
              </w:rPr>
              <w:t>50≤Y&lt;1000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5284FC">
            <w:pPr>
              <w:jc w:val="center"/>
              <w:rPr>
                <w:rFonts w:ascii="仿宋_GB2312" w:eastAsia="仿宋_GB2312"/>
                <w:color w:val="auto"/>
                <w:highlight w:val="none"/>
              </w:rPr>
            </w:pPr>
            <w:r>
              <w:rPr>
                <w:rFonts w:hint="eastAsia" w:ascii="仿宋_GB2312" w:eastAsia="仿宋_GB2312"/>
                <w:color w:val="auto"/>
                <w:highlight w:val="none"/>
              </w:rPr>
              <w:t>Y&lt;50</w:t>
            </w:r>
          </w:p>
        </w:tc>
      </w:tr>
      <w:tr w14:paraId="0197AFB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45DE96">
            <w:pPr>
              <w:jc w:val="center"/>
              <w:rPr>
                <w:rFonts w:ascii="仿宋_GB2312" w:eastAsia="仿宋_GB2312"/>
                <w:color w:val="auto"/>
                <w:highlight w:val="none"/>
              </w:rPr>
            </w:pPr>
            <w:r>
              <w:rPr>
                <w:rFonts w:hint="eastAsia" w:ascii="仿宋_GB2312" w:eastAsia="仿宋_GB2312"/>
                <w:b/>
                <w:bCs/>
                <w:color w:val="auto"/>
                <w:highlight w:val="none"/>
              </w:rPr>
              <w:t>房地产</w:t>
            </w:r>
            <w:r>
              <w:rPr>
                <w:rFonts w:hint="eastAsia" w:ascii="仿宋_GB2312" w:eastAsia="仿宋_GB2312"/>
                <w:color w:val="auto"/>
                <w:highlight w:val="none"/>
              </w:rPr>
              <w:t xml:space="preserve"> </w:t>
            </w:r>
            <w:r>
              <w:rPr>
                <w:rFonts w:hint="eastAsia" w:ascii="仿宋_GB2312" w:eastAsia="仿宋_GB2312"/>
                <w:b/>
                <w:bCs/>
                <w:color w:val="auto"/>
                <w:highlight w:val="none"/>
              </w:rPr>
              <w:t>开发经营</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667731">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10D049">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84B35F">
            <w:pPr>
              <w:jc w:val="center"/>
              <w:rPr>
                <w:rFonts w:ascii="仿宋_GB2312" w:eastAsia="仿宋_GB2312"/>
                <w:color w:val="auto"/>
                <w:highlight w:val="none"/>
              </w:rPr>
            </w:pPr>
            <w:r>
              <w:rPr>
                <w:rFonts w:hint="eastAsia" w:ascii="仿宋_GB2312" w:eastAsia="仿宋_GB2312"/>
                <w:color w:val="auto"/>
                <w:highlight w:val="none"/>
              </w:rPr>
              <w:t>1000≤Y&lt;200000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86C962">
            <w:pPr>
              <w:jc w:val="center"/>
              <w:rPr>
                <w:rFonts w:ascii="仿宋_GB2312" w:eastAsia="仿宋_GB2312"/>
                <w:color w:val="auto"/>
                <w:highlight w:val="none"/>
              </w:rPr>
            </w:pPr>
            <w:r>
              <w:rPr>
                <w:rFonts w:hint="eastAsia" w:ascii="仿宋_GB2312" w:eastAsia="仿宋_GB2312"/>
                <w:color w:val="auto"/>
                <w:highlight w:val="none"/>
              </w:rPr>
              <w:t>100≤X&lt;1000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60F69E">
            <w:pPr>
              <w:jc w:val="center"/>
              <w:rPr>
                <w:rFonts w:ascii="仿宋_GB2312" w:eastAsia="仿宋_GB2312"/>
                <w:color w:val="auto"/>
                <w:highlight w:val="none"/>
              </w:rPr>
            </w:pPr>
            <w:r>
              <w:rPr>
                <w:rFonts w:hint="eastAsia" w:ascii="仿宋_GB2312" w:eastAsia="仿宋_GB2312"/>
                <w:color w:val="auto"/>
                <w:highlight w:val="none"/>
              </w:rPr>
              <w:t>X&lt;100</w:t>
            </w:r>
          </w:p>
        </w:tc>
      </w:tr>
      <w:tr w14:paraId="0F4BDE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AF2A6DA">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064968">
            <w:pPr>
              <w:jc w:val="center"/>
              <w:rPr>
                <w:rFonts w:ascii="仿宋_GB2312" w:eastAsia="仿宋_GB2312"/>
                <w:color w:val="auto"/>
                <w:highlight w:val="none"/>
              </w:rPr>
            </w:pPr>
            <w:r>
              <w:rPr>
                <w:rFonts w:hint="eastAsia" w:ascii="仿宋_GB2312" w:eastAsia="仿宋_GB2312"/>
                <w:color w:val="auto"/>
                <w:highlight w:val="none"/>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A69936">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1A587A">
            <w:pPr>
              <w:jc w:val="center"/>
              <w:rPr>
                <w:rFonts w:ascii="仿宋_GB2312" w:eastAsia="仿宋_GB2312"/>
                <w:color w:val="auto"/>
                <w:highlight w:val="none"/>
              </w:rPr>
            </w:pPr>
            <w:r>
              <w:rPr>
                <w:rFonts w:hint="eastAsia" w:ascii="仿宋_GB2312" w:eastAsia="仿宋_GB2312"/>
                <w:color w:val="auto"/>
                <w:highlight w:val="none"/>
              </w:rPr>
              <w:t>5000≤Z&lt;10000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CCB0DA">
            <w:pPr>
              <w:jc w:val="center"/>
              <w:rPr>
                <w:rFonts w:ascii="仿宋_GB2312" w:eastAsia="仿宋_GB2312"/>
                <w:color w:val="auto"/>
                <w:highlight w:val="none"/>
              </w:rPr>
            </w:pPr>
            <w:r>
              <w:rPr>
                <w:rFonts w:hint="eastAsia" w:ascii="仿宋_GB2312" w:eastAsia="仿宋_GB2312"/>
                <w:color w:val="auto"/>
                <w:highlight w:val="none"/>
              </w:rPr>
              <w:t>2000≤Y&lt;5000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EDC67E">
            <w:pPr>
              <w:jc w:val="center"/>
              <w:rPr>
                <w:rFonts w:ascii="仿宋_GB2312" w:eastAsia="仿宋_GB2312"/>
                <w:color w:val="auto"/>
                <w:highlight w:val="none"/>
              </w:rPr>
            </w:pPr>
            <w:r>
              <w:rPr>
                <w:rFonts w:hint="eastAsia" w:ascii="仿宋_GB2312" w:eastAsia="仿宋_GB2312"/>
                <w:color w:val="auto"/>
                <w:highlight w:val="none"/>
              </w:rPr>
              <w:t>Y&lt;2000</w:t>
            </w:r>
          </w:p>
        </w:tc>
      </w:tr>
      <w:tr w14:paraId="014EB0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F1ABC2">
            <w:pPr>
              <w:jc w:val="center"/>
              <w:rPr>
                <w:rFonts w:ascii="仿宋_GB2312" w:eastAsia="仿宋_GB2312"/>
                <w:color w:val="auto"/>
                <w:highlight w:val="none"/>
              </w:rPr>
            </w:pPr>
            <w:r>
              <w:rPr>
                <w:rFonts w:hint="eastAsia" w:ascii="仿宋_GB2312" w:eastAsia="仿宋_GB2312"/>
                <w:b/>
                <w:bCs/>
                <w:color w:val="auto"/>
                <w:highlight w:val="none"/>
              </w:rPr>
              <w:t>物业管理</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A0FDDF">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AEE35F">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A319D4">
            <w:pPr>
              <w:jc w:val="center"/>
              <w:rPr>
                <w:rFonts w:ascii="仿宋_GB2312" w:eastAsia="仿宋_GB2312"/>
                <w:color w:val="auto"/>
                <w:highlight w:val="none"/>
              </w:rPr>
            </w:pPr>
            <w:r>
              <w:rPr>
                <w:rFonts w:hint="eastAsia" w:ascii="仿宋_GB2312" w:eastAsia="仿宋_GB2312"/>
                <w:color w:val="auto"/>
                <w:highlight w:val="none"/>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61B176">
            <w:pPr>
              <w:jc w:val="center"/>
              <w:rPr>
                <w:rFonts w:ascii="仿宋_GB2312" w:eastAsia="仿宋_GB2312"/>
                <w:color w:val="auto"/>
                <w:highlight w:val="none"/>
              </w:rPr>
            </w:pPr>
            <w:r>
              <w:rPr>
                <w:rFonts w:hint="eastAsia" w:ascii="仿宋_GB2312" w:eastAsia="仿宋_GB2312"/>
                <w:color w:val="auto"/>
                <w:highlight w:val="none"/>
              </w:rPr>
              <w:t>100≤X&lt;300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792BB5">
            <w:pPr>
              <w:jc w:val="center"/>
              <w:rPr>
                <w:rFonts w:ascii="仿宋_GB2312" w:eastAsia="仿宋_GB2312"/>
                <w:color w:val="auto"/>
                <w:highlight w:val="none"/>
              </w:rPr>
            </w:pPr>
            <w:r>
              <w:rPr>
                <w:rFonts w:hint="eastAsia" w:ascii="仿宋_GB2312" w:eastAsia="仿宋_GB2312"/>
                <w:color w:val="auto"/>
                <w:highlight w:val="none"/>
              </w:rPr>
              <w:t>X&lt;100</w:t>
            </w:r>
          </w:p>
        </w:tc>
      </w:tr>
      <w:tr w14:paraId="6580EF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34D76303">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9B0B3D">
            <w:pPr>
              <w:jc w:val="center"/>
              <w:rPr>
                <w:rFonts w:ascii="仿宋_GB2312" w:eastAsia="仿宋_GB2312"/>
                <w:color w:val="auto"/>
                <w:highlight w:val="none"/>
              </w:rPr>
            </w:pPr>
            <w:r>
              <w:rPr>
                <w:rFonts w:hint="eastAsia" w:ascii="仿宋_GB2312" w:eastAsia="仿宋_GB2312"/>
                <w:color w:val="auto"/>
                <w:highlight w:val="none"/>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E17C2F">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D2DBD5">
            <w:pPr>
              <w:jc w:val="center"/>
              <w:rPr>
                <w:rFonts w:ascii="仿宋_GB2312" w:eastAsia="仿宋_GB2312"/>
                <w:color w:val="auto"/>
                <w:highlight w:val="none"/>
              </w:rPr>
            </w:pPr>
            <w:r>
              <w:rPr>
                <w:rFonts w:hint="eastAsia" w:ascii="仿宋_GB2312" w:eastAsia="仿宋_GB2312"/>
                <w:color w:val="auto"/>
                <w:highlight w:val="none"/>
              </w:rPr>
              <w:t>1000≤Y&lt;5000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9A802D">
            <w:pPr>
              <w:jc w:val="center"/>
              <w:rPr>
                <w:rFonts w:ascii="仿宋_GB2312" w:eastAsia="仿宋_GB2312"/>
                <w:color w:val="auto"/>
                <w:highlight w:val="none"/>
              </w:rPr>
            </w:pPr>
            <w:r>
              <w:rPr>
                <w:rFonts w:hint="eastAsia" w:ascii="仿宋_GB2312" w:eastAsia="仿宋_GB2312"/>
                <w:color w:val="auto"/>
                <w:highlight w:val="none"/>
              </w:rPr>
              <w:t>500≤Y&lt;1000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919E68">
            <w:pPr>
              <w:jc w:val="center"/>
              <w:rPr>
                <w:rFonts w:ascii="仿宋_GB2312" w:eastAsia="仿宋_GB2312"/>
                <w:color w:val="auto"/>
                <w:highlight w:val="none"/>
              </w:rPr>
            </w:pPr>
            <w:r>
              <w:rPr>
                <w:rFonts w:hint="eastAsia" w:ascii="仿宋_GB2312" w:eastAsia="仿宋_GB2312"/>
                <w:color w:val="auto"/>
                <w:highlight w:val="none"/>
              </w:rPr>
              <w:t>Y&lt;500</w:t>
            </w:r>
          </w:p>
        </w:tc>
      </w:tr>
      <w:tr w14:paraId="2DD880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9B3127">
            <w:pPr>
              <w:jc w:val="center"/>
              <w:rPr>
                <w:rFonts w:ascii="仿宋_GB2312" w:eastAsia="仿宋_GB2312"/>
                <w:color w:val="auto"/>
                <w:highlight w:val="none"/>
              </w:rPr>
            </w:pPr>
            <w:r>
              <w:rPr>
                <w:rFonts w:hint="eastAsia" w:ascii="仿宋_GB2312" w:eastAsia="仿宋_GB2312"/>
                <w:b/>
                <w:bCs/>
                <w:color w:val="auto"/>
                <w:highlight w:val="none"/>
              </w:rPr>
              <w:t>租赁和商务服务业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0905EC">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C72F36">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DF6627">
            <w:pPr>
              <w:jc w:val="center"/>
              <w:rPr>
                <w:rFonts w:ascii="仿宋_GB2312" w:eastAsia="仿宋_GB2312"/>
                <w:color w:val="auto"/>
                <w:highlight w:val="none"/>
              </w:rPr>
            </w:pPr>
            <w:r>
              <w:rPr>
                <w:rFonts w:hint="eastAsia" w:ascii="仿宋_GB2312" w:eastAsia="仿宋_GB2312"/>
                <w:color w:val="auto"/>
                <w:highlight w:val="none"/>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C7B4CC">
            <w:pPr>
              <w:jc w:val="center"/>
              <w:rPr>
                <w:rFonts w:ascii="仿宋_GB2312" w:eastAsia="仿宋_GB2312"/>
                <w:color w:val="auto"/>
                <w:highlight w:val="none"/>
              </w:rPr>
            </w:pPr>
            <w:r>
              <w:rPr>
                <w:rFonts w:hint="eastAsia" w:ascii="仿宋_GB2312" w:eastAsia="仿宋_GB2312"/>
                <w:color w:val="auto"/>
                <w:highlight w:val="none"/>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D13675">
            <w:pPr>
              <w:jc w:val="center"/>
              <w:rPr>
                <w:rFonts w:ascii="仿宋_GB2312" w:eastAsia="仿宋_GB2312"/>
                <w:color w:val="auto"/>
                <w:highlight w:val="none"/>
              </w:rPr>
            </w:pPr>
            <w:r>
              <w:rPr>
                <w:rFonts w:hint="eastAsia" w:ascii="仿宋_GB2312" w:eastAsia="仿宋_GB2312"/>
                <w:color w:val="auto"/>
                <w:highlight w:val="none"/>
              </w:rPr>
              <w:t>X&lt;10</w:t>
            </w:r>
          </w:p>
        </w:tc>
      </w:tr>
      <w:tr w14:paraId="1B6FB4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1E816F0">
            <w:pPr>
              <w:rPr>
                <w:rFonts w:ascii="仿宋_GB2312" w:eastAsia="仿宋_GB2312"/>
                <w:color w:val="auto"/>
                <w:highlight w:val="none"/>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521033">
            <w:pPr>
              <w:jc w:val="center"/>
              <w:rPr>
                <w:rFonts w:ascii="仿宋_GB2312" w:eastAsia="仿宋_GB2312"/>
                <w:color w:val="auto"/>
                <w:highlight w:val="none"/>
              </w:rPr>
            </w:pPr>
            <w:r>
              <w:rPr>
                <w:rFonts w:hint="eastAsia" w:ascii="仿宋_GB2312" w:eastAsia="仿宋_GB2312"/>
                <w:color w:val="auto"/>
                <w:highlight w:val="none"/>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ADC8B2">
            <w:pPr>
              <w:jc w:val="center"/>
              <w:rPr>
                <w:rFonts w:ascii="仿宋_GB2312" w:eastAsia="仿宋_GB2312"/>
                <w:color w:val="auto"/>
                <w:highlight w:val="none"/>
              </w:rPr>
            </w:pPr>
            <w:r>
              <w:rPr>
                <w:rFonts w:hint="eastAsia" w:ascii="仿宋_GB2312" w:eastAsia="仿宋_GB2312"/>
                <w:color w:val="auto"/>
                <w:highlight w:val="none"/>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DB1153">
            <w:pPr>
              <w:jc w:val="center"/>
              <w:rPr>
                <w:rFonts w:ascii="仿宋_GB2312" w:eastAsia="仿宋_GB2312"/>
                <w:color w:val="auto"/>
                <w:highlight w:val="none"/>
              </w:rPr>
            </w:pPr>
            <w:r>
              <w:rPr>
                <w:rFonts w:hint="eastAsia" w:ascii="仿宋_GB2312" w:eastAsia="仿宋_GB2312"/>
                <w:color w:val="auto"/>
                <w:highlight w:val="none"/>
              </w:rPr>
              <w:t>8000≤Z&lt;120000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2618FA">
            <w:pPr>
              <w:jc w:val="center"/>
              <w:rPr>
                <w:rFonts w:ascii="仿宋_GB2312" w:eastAsia="仿宋_GB2312"/>
                <w:color w:val="auto"/>
                <w:highlight w:val="none"/>
              </w:rPr>
            </w:pPr>
            <w:r>
              <w:rPr>
                <w:rFonts w:hint="eastAsia" w:ascii="仿宋_GB2312" w:eastAsia="仿宋_GB2312"/>
                <w:color w:val="auto"/>
                <w:highlight w:val="none"/>
              </w:rPr>
              <w:t>100≤Z&lt;8000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353633">
            <w:pPr>
              <w:jc w:val="center"/>
              <w:rPr>
                <w:rFonts w:ascii="仿宋_GB2312" w:eastAsia="仿宋_GB2312"/>
                <w:color w:val="auto"/>
                <w:highlight w:val="none"/>
              </w:rPr>
            </w:pPr>
            <w:r>
              <w:rPr>
                <w:rFonts w:hint="eastAsia" w:ascii="仿宋_GB2312" w:eastAsia="仿宋_GB2312"/>
                <w:color w:val="auto"/>
                <w:highlight w:val="none"/>
              </w:rPr>
              <w:t>Y&lt;100</w:t>
            </w:r>
          </w:p>
        </w:tc>
      </w:tr>
      <w:tr w14:paraId="58613E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F09B3D">
            <w:pPr>
              <w:jc w:val="center"/>
              <w:rPr>
                <w:rFonts w:ascii="仿宋_GB2312" w:eastAsia="仿宋_GB2312"/>
                <w:color w:val="auto"/>
                <w:highlight w:val="none"/>
              </w:rPr>
            </w:pPr>
            <w:r>
              <w:rPr>
                <w:rFonts w:hint="eastAsia" w:ascii="仿宋_GB2312" w:eastAsia="仿宋_GB2312"/>
                <w:b/>
                <w:bCs/>
                <w:color w:val="auto"/>
                <w:highlight w:val="none"/>
              </w:rPr>
              <w:t>其他未列明</w:t>
            </w:r>
            <w:r>
              <w:rPr>
                <w:rFonts w:hint="eastAsia" w:ascii="仿宋_GB2312" w:eastAsia="仿宋_GB2312"/>
                <w:color w:val="auto"/>
                <w:highlight w:val="none"/>
              </w:rPr>
              <w:t xml:space="preserve"> </w:t>
            </w:r>
            <w:r>
              <w:rPr>
                <w:rFonts w:hint="eastAsia" w:ascii="仿宋_GB2312" w:eastAsia="仿宋_GB2312"/>
                <w:b/>
                <w:bCs/>
                <w:color w:val="auto"/>
                <w:highlight w:val="none"/>
              </w:rPr>
              <w:t>行业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8F9193">
            <w:pPr>
              <w:jc w:val="center"/>
              <w:rPr>
                <w:rFonts w:ascii="仿宋_GB2312" w:eastAsia="仿宋_GB2312"/>
                <w:color w:val="auto"/>
                <w:highlight w:val="none"/>
              </w:rPr>
            </w:pPr>
            <w:r>
              <w:rPr>
                <w:rFonts w:hint="eastAsia" w:ascii="仿宋_GB2312" w:eastAsia="仿宋_GB2312"/>
                <w:color w:val="auto"/>
                <w:highlight w:val="none"/>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9BF2DC">
            <w:pPr>
              <w:jc w:val="center"/>
              <w:rPr>
                <w:rFonts w:ascii="仿宋_GB2312" w:eastAsia="仿宋_GB2312"/>
                <w:color w:val="auto"/>
                <w:highlight w:val="none"/>
              </w:rPr>
            </w:pPr>
            <w:r>
              <w:rPr>
                <w:rFonts w:hint="eastAsia" w:ascii="仿宋_GB2312" w:eastAsia="仿宋_GB2312"/>
                <w:color w:val="auto"/>
                <w:highlight w:val="none"/>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DFE0E8">
            <w:pPr>
              <w:jc w:val="center"/>
              <w:rPr>
                <w:rFonts w:ascii="仿宋_GB2312" w:eastAsia="仿宋_GB2312"/>
                <w:color w:val="auto"/>
                <w:highlight w:val="none"/>
              </w:rPr>
            </w:pPr>
            <w:r>
              <w:rPr>
                <w:rFonts w:hint="eastAsia" w:ascii="仿宋_GB2312" w:eastAsia="仿宋_GB2312"/>
                <w:color w:val="auto"/>
                <w:highlight w:val="none"/>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B6F334">
            <w:pPr>
              <w:jc w:val="center"/>
              <w:rPr>
                <w:rFonts w:ascii="仿宋_GB2312" w:eastAsia="仿宋_GB2312"/>
                <w:color w:val="auto"/>
                <w:highlight w:val="none"/>
              </w:rPr>
            </w:pPr>
            <w:r>
              <w:rPr>
                <w:rFonts w:hint="eastAsia" w:ascii="仿宋_GB2312" w:eastAsia="仿宋_GB2312"/>
                <w:color w:val="auto"/>
                <w:highlight w:val="none"/>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697670">
            <w:pPr>
              <w:jc w:val="center"/>
              <w:rPr>
                <w:rFonts w:ascii="仿宋_GB2312" w:eastAsia="仿宋_GB2312"/>
                <w:color w:val="auto"/>
                <w:highlight w:val="none"/>
              </w:rPr>
            </w:pPr>
            <w:r>
              <w:rPr>
                <w:rFonts w:hint="eastAsia" w:ascii="仿宋_GB2312" w:eastAsia="仿宋_GB2312"/>
                <w:color w:val="auto"/>
                <w:highlight w:val="none"/>
              </w:rPr>
              <w:t>X&lt;10</w:t>
            </w:r>
          </w:p>
        </w:tc>
      </w:tr>
    </w:tbl>
    <w:p w14:paraId="72176EA9">
      <w:pPr>
        <w:pStyle w:val="931"/>
        <w:spacing w:line="405" w:lineRule="atLeast"/>
        <w:rPr>
          <w:rFonts w:hint="eastAsia" w:ascii="仿宋_GB2312" w:eastAsia="仿宋_GB2312"/>
          <w:color w:val="auto"/>
          <w:highlight w:val="none"/>
        </w:rPr>
      </w:pPr>
      <w:r>
        <w:rPr>
          <w:rFonts w:hint="eastAsia" w:ascii="仿宋_GB2312" w:eastAsia="仿宋_GB2312"/>
          <w:b/>
          <w:bCs/>
          <w:color w:val="auto"/>
          <w:highlight w:val="none"/>
        </w:rPr>
        <w:t>  说明:上述标准参照《关于印发中小企业划型标准规定的通知》(工信部联企业〔2011〕300号)，大型、中型和小型企业须同时满足所列指标的下限，否则下划一档;微型企业只须满足所列指标中的一项即可。</w:t>
      </w:r>
    </w:p>
    <w:p w14:paraId="233E05D3">
      <w:pPr>
        <w:rPr>
          <w:rFonts w:hint="eastAsia" w:ascii="仿宋_GB2312" w:eastAsia="仿宋_GB2312"/>
          <w:b/>
          <w:bCs/>
          <w:color w:val="auto"/>
          <w:sz w:val="33"/>
          <w:szCs w:val="33"/>
          <w:highlight w:val="none"/>
        </w:rPr>
      </w:pPr>
      <w:r>
        <w:rPr>
          <w:rFonts w:hint="eastAsia" w:ascii="仿宋_GB2312" w:eastAsia="仿宋_GB2312"/>
          <w:b/>
          <w:bCs/>
          <w:color w:val="auto"/>
          <w:sz w:val="33"/>
          <w:szCs w:val="33"/>
          <w:highlight w:val="none"/>
        </w:rPr>
        <w:br w:type="page"/>
      </w:r>
    </w:p>
    <w:p w14:paraId="15D6DBF2">
      <w:pPr>
        <w:pStyle w:val="390"/>
        <w:rPr>
          <w:rFonts w:hint="eastAsia" w:ascii="仿宋_GB2312" w:eastAsia="仿宋_GB2312"/>
          <w:b/>
          <w:bCs/>
          <w:color w:val="auto"/>
          <w:sz w:val="33"/>
          <w:szCs w:val="33"/>
          <w:highlight w:val="none"/>
        </w:rPr>
      </w:pPr>
      <w:r>
        <w:rPr>
          <w:rFonts w:hint="eastAsia" w:ascii="仿宋_GB2312" w:eastAsia="仿宋_GB2312"/>
          <w:b/>
          <w:bCs/>
          <w:color w:val="auto"/>
          <w:sz w:val="33"/>
          <w:szCs w:val="33"/>
          <w:highlight w:val="none"/>
        </w:rPr>
        <w:t>附件2：残疾人福利性单位声明函格式（如有）：</w:t>
      </w:r>
    </w:p>
    <w:p w14:paraId="6E769C3F">
      <w:pPr>
        <w:pStyle w:val="390"/>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残疾人福利性单位声明函</w:t>
      </w:r>
    </w:p>
    <w:p w14:paraId="35E742FF">
      <w:pPr>
        <w:pStyle w:val="390"/>
        <w:spacing w:line="405" w:lineRule="atLeast"/>
        <w:rPr>
          <w:rFonts w:hint="eastAsia" w:ascii="仿宋_GB2312" w:eastAsia="仿宋_GB2312"/>
          <w:color w:val="auto"/>
          <w:highlight w:val="none"/>
        </w:rPr>
      </w:pPr>
      <w:r>
        <w:rPr>
          <w:rFonts w:hint="eastAsia" w:ascii="仿宋_GB2312" w:eastAsia="仿宋_GB2312"/>
          <w:color w:val="auto"/>
          <w:highlight w:val="none"/>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auto"/>
          <w:highlight w:val="none"/>
          <w:u w:val="single"/>
        </w:rPr>
        <w:t>    </w:t>
      </w:r>
      <w:r>
        <w:rPr>
          <w:rFonts w:hint="eastAsia" w:ascii="仿宋_GB2312" w:eastAsia="仿宋_GB2312"/>
          <w:color w:val="auto"/>
          <w:highlight w:val="none"/>
        </w:rPr>
        <w:t>单位的</w:t>
      </w:r>
      <w:r>
        <w:rPr>
          <w:rFonts w:hint="eastAsia" w:ascii="仿宋_GB2312" w:eastAsia="仿宋_GB2312"/>
          <w:color w:val="auto"/>
          <w:highlight w:val="none"/>
          <w:u w:val="single"/>
        </w:rPr>
        <w:t xml:space="preserve">     </w:t>
      </w:r>
      <w:r>
        <w:rPr>
          <w:rFonts w:hint="eastAsia" w:ascii="仿宋_GB2312" w:eastAsia="仿宋_GB2312"/>
          <w:color w:val="auto"/>
          <w:highlight w:val="none"/>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auto"/>
          <w:highlight w:val="none"/>
        </w:rPr>
        <w:br w:type="textWrapping"/>
      </w:r>
      <w:r>
        <w:rPr>
          <w:rFonts w:hint="eastAsia" w:ascii="仿宋_GB2312" w:eastAsia="仿宋_GB2312"/>
          <w:color w:val="auto"/>
          <w:highlight w:val="none"/>
        </w:rPr>
        <w:t>  本单位对上述声明的真实性负责。如有虚假，将依法承担相应责任。</w:t>
      </w:r>
    </w:p>
    <w:p w14:paraId="16C29124">
      <w:pPr>
        <w:pStyle w:val="390"/>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1A744805">
      <w:pPr>
        <w:pStyle w:val="390"/>
        <w:jc w:val="right"/>
        <w:rPr>
          <w:rFonts w:hint="eastAsia" w:ascii="仿宋_GB2312" w:eastAsia="仿宋_GB2312"/>
          <w:color w:val="auto"/>
          <w:highlight w:val="none"/>
        </w:rPr>
      </w:pPr>
      <w:r>
        <w:rPr>
          <w:rFonts w:hint="eastAsia" w:ascii="仿宋_GB2312" w:eastAsia="仿宋_GB2312"/>
          <w:color w:val="auto"/>
          <w:highlight w:val="none"/>
        </w:rPr>
        <w:t>  单位名称（</w:t>
      </w:r>
      <w:r>
        <w:rPr>
          <w:rFonts w:hint="eastAsia" w:ascii="仿宋_GB2312" w:eastAsia="仿宋_GB2312"/>
          <w:b/>
          <w:bCs/>
          <w:color w:val="auto"/>
          <w:highlight w:val="none"/>
        </w:rPr>
        <w:t>CA电子签章</w:t>
      </w:r>
      <w:r>
        <w:rPr>
          <w:rFonts w:hint="eastAsia" w:ascii="仿宋_GB2312" w:eastAsia="仿宋_GB2312"/>
          <w:color w:val="auto"/>
          <w:highlight w:val="none"/>
        </w:rPr>
        <w:t>）：        </w:t>
      </w:r>
    </w:p>
    <w:p w14:paraId="5AA2EF55">
      <w:pPr>
        <w:pStyle w:val="390"/>
        <w:jc w:val="right"/>
        <w:rPr>
          <w:rFonts w:hint="eastAsia" w:ascii="仿宋_GB2312" w:eastAsia="仿宋_GB2312"/>
          <w:color w:val="auto"/>
          <w:highlight w:val="none"/>
        </w:rPr>
      </w:pPr>
      <w:r>
        <w:rPr>
          <w:rFonts w:hint="eastAsia" w:ascii="仿宋_GB2312" w:eastAsia="仿宋_GB2312"/>
          <w:color w:val="auto"/>
          <w:highlight w:val="none"/>
        </w:rPr>
        <w:t>日期：       </w:t>
      </w:r>
    </w:p>
    <w:p w14:paraId="2D57E49B">
      <w:pPr>
        <w:pStyle w:val="390"/>
        <w:spacing w:before="0" w:beforeAutospacing="0" w:after="0" w:afterAutospacing="0" w:line="405" w:lineRule="atLeast"/>
        <w:rPr>
          <w:rFonts w:hint="eastAsia" w:ascii="仿宋_GB2312" w:eastAsia="仿宋_GB2312"/>
          <w:color w:val="auto"/>
          <w:highlight w:val="none"/>
        </w:rPr>
      </w:pPr>
      <w:r>
        <w:rPr>
          <w:rFonts w:hint="eastAsia" w:ascii="仿宋_GB2312" w:eastAsia="仿宋_GB2312"/>
          <w:b/>
          <w:bCs/>
          <w:color w:val="auto"/>
          <w:highlight w:val="none"/>
        </w:rPr>
        <w:t>  注：1.此项材料如有请以PDF格式上传；</w:t>
      </w:r>
    </w:p>
    <w:p w14:paraId="10D6C952">
      <w:pPr>
        <w:pStyle w:val="390"/>
        <w:spacing w:before="0" w:beforeAutospacing="0" w:after="0" w:afterAutospacing="0" w:line="405" w:lineRule="atLeast"/>
        <w:rPr>
          <w:rFonts w:hint="eastAsia" w:ascii="仿宋_GB2312" w:eastAsia="仿宋_GB2312"/>
          <w:color w:val="auto"/>
          <w:highlight w:val="none"/>
        </w:rPr>
      </w:pPr>
      <w:r>
        <w:rPr>
          <w:rFonts w:hint="eastAsia" w:ascii="仿宋_GB2312" w:eastAsia="仿宋_GB2312"/>
          <w:b/>
          <w:bCs/>
          <w:color w:val="auto"/>
          <w:highlight w:val="none"/>
        </w:rPr>
        <w:t>  2.中标人声明为残疾人福利性单位的，采购代理机构将随中标结果同时公告其《残疾人福利性单位声明函》，接受社会监督；</w:t>
      </w:r>
      <w:r>
        <w:rPr>
          <w:rFonts w:hint="eastAsia" w:ascii="仿宋_GB2312" w:eastAsia="仿宋_GB2312"/>
          <w:b/>
          <w:bCs/>
          <w:color w:val="auto"/>
          <w:highlight w:val="none"/>
        </w:rPr>
        <w:br w:type="textWrapping"/>
      </w:r>
      <w:r>
        <w:rPr>
          <w:rFonts w:hint="eastAsia" w:ascii="仿宋_GB2312" w:eastAsia="仿宋_GB2312"/>
          <w:b/>
          <w:bCs/>
          <w:color w:val="auto"/>
          <w:highlight w:val="none"/>
        </w:rPr>
        <w:t>  3.享受政府采购支持政策的残疾人福利性单位应当同时满足以下条件：</w:t>
      </w:r>
      <w:r>
        <w:rPr>
          <w:rFonts w:hint="eastAsia" w:ascii="仿宋_GB2312" w:eastAsia="仿宋_GB2312"/>
          <w:color w:val="auto"/>
          <w:highlight w:val="none"/>
        </w:rPr>
        <w:br w:type="textWrapping"/>
      </w:r>
      <w:r>
        <w:rPr>
          <w:rFonts w:hint="eastAsia" w:ascii="仿宋_GB2312" w:eastAsia="仿宋_GB2312"/>
          <w:color w:val="auto"/>
          <w:highlight w:val="none"/>
        </w:rPr>
        <w:t>  （1）安置的残疾人占本单位在职职工人数的比例不低于25%（含25%），并且安置的残疾人人数不少于10人（含10人）；</w:t>
      </w:r>
      <w:r>
        <w:rPr>
          <w:rFonts w:hint="eastAsia" w:ascii="仿宋_GB2312" w:eastAsia="仿宋_GB2312"/>
          <w:color w:val="auto"/>
          <w:highlight w:val="none"/>
        </w:rPr>
        <w:br w:type="textWrapping"/>
      </w:r>
      <w:r>
        <w:rPr>
          <w:rFonts w:hint="eastAsia" w:ascii="仿宋_GB2312" w:eastAsia="仿宋_GB2312"/>
          <w:color w:val="auto"/>
          <w:highlight w:val="none"/>
        </w:rPr>
        <w:t>  （2）依法与安置的每位残疾人签订了一年以上（含一年）的劳动合同或服务协议；</w:t>
      </w:r>
      <w:r>
        <w:rPr>
          <w:rFonts w:hint="eastAsia" w:ascii="仿宋_GB2312" w:eastAsia="仿宋_GB2312"/>
          <w:color w:val="auto"/>
          <w:highlight w:val="none"/>
        </w:rPr>
        <w:br w:type="textWrapping"/>
      </w:r>
      <w:r>
        <w:rPr>
          <w:rFonts w:hint="eastAsia" w:ascii="仿宋_GB2312" w:eastAsia="仿宋_GB2312"/>
          <w:color w:val="auto"/>
          <w:highlight w:val="none"/>
        </w:rPr>
        <w:t>  （3）为安置的每位残疾人按月足额缴纳了基本养老保险、基本医疗保险、失业保险、工伤保险和生育保险等社会保险费；</w:t>
      </w:r>
      <w:r>
        <w:rPr>
          <w:rFonts w:hint="eastAsia" w:ascii="仿宋_GB2312" w:eastAsia="仿宋_GB2312"/>
          <w:color w:val="auto"/>
          <w:highlight w:val="none"/>
        </w:rPr>
        <w:br w:type="textWrapping"/>
      </w:r>
      <w:r>
        <w:rPr>
          <w:rFonts w:hint="eastAsia" w:ascii="仿宋_GB2312" w:eastAsia="仿宋_GB2312"/>
          <w:color w:val="auto"/>
          <w:highlight w:val="none"/>
        </w:rPr>
        <w:t>  （4）通过银行等金融机构向安置的每位残疾人，按月支付了不低于单位所在区县适用的经省级人民政府批准的月最低工资标准的工资；</w:t>
      </w:r>
      <w:r>
        <w:rPr>
          <w:rFonts w:hint="eastAsia" w:ascii="仿宋_GB2312" w:eastAsia="仿宋_GB2312"/>
          <w:color w:val="auto"/>
          <w:highlight w:val="none"/>
        </w:rPr>
        <w:br w:type="textWrapping"/>
      </w:r>
      <w:r>
        <w:rPr>
          <w:rFonts w:hint="eastAsia" w:ascii="仿宋_GB2312" w:eastAsia="仿宋_GB2312"/>
          <w:color w:val="auto"/>
          <w:highlight w:val="none"/>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auto"/>
          <w:highlight w:val="none"/>
        </w:rPr>
        <w:br w:type="textWrapping"/>
      </w:r>
      <w:r>
        <w:rPr>
          <w:rFonts w:hint="eastAsia" w:ascii="仿宋_GB2312" w:eastAsia="仿宋_GB2312"/>
          <w:color w:val="auto"/>
          <w:highlight w:val="none"/>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555CA7D2">
      <w:pPr>
        <w:pStyle w:val="390"/>
        <w:rPr>
          <w:rFonts w:hint="eastAsia" w:ascii="仿宋_GB2312" w:eastAsia="仿宋_GB2312"/>
          <w:b/>
          <w:bCs/>
          <w:color w:val="auto"/>
          <w:sz w:val="33"/>
          <w:szCs w:val="33"/>
          <w:highlight w:val="none"/>
        </w:rPr>
      </w:pPr>
      <w:r>
        <w:rPr>
          <w:rFonts w:hint="eastAsia" w:ascii="仿宋_GB2312" w:eastAsia="仿宋_GB2312"/>
          <w:color w:val="auto"/>
          <w:highlight w:val="none"/>
        </w:rPr>
        <w:br w:type="page"/>
      </w:r>
      <w:r>
        <w:rPr>
          <w:rFonts w:hint="eastAsia" w:ascii="仿宋_GB2312" w:eastAsia="仿宋_GB2312"/>
          <w:b/>
          <w:bCs/>
          <w:color w:val="auto"/>
          <w:sz w:val="33"/>
          <w:szCs w:val="33"/>
          <w:highlight w:val="none"/>
        </w:rPr>
        <w:t>附件3：监狱企业由省级以上监狱管理局、戒毒管理局（含新疆生产建设兵团）出具的属于监狱企业的证明文件（如有）</w:t>
      </w:r>
    </w:p>
    <w:p w14:paraId="6773E33C">
      <w:pPr>
        <w:pStyle w:val="390"/>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31291CC5">
      <w:pPr>
        <w:pStyle w:val="390"/>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727BC952">
      <w:pPr>
        <w:pStyle w:val="390"/>
        <w:spacing w:line="405" w:lineRule="atLeast"/>
        <w:rPr>
          <w:rFonts w:hint="eastAsia" w:ascii="仿宋_GB2312" w:eastAsia="仿宋_GB2312"/>
          <w:color w:val="auto"/>
          <w:highlight w:val="none"/>
        </w:rPr>
      </w:pPr>
      <w:r>
        <w:rPr>
          <w:rFonts w:hint="eastAsia" w:ascii="仿宋_GB2312" w:eastAsia="仿宋_GB2312"/>
          <w:b/>
          <w:bCs/>
          <w:color w:val="auto"/>
          <w:sz w:val="33"/>
          <w:szCs w:val="33"/>
          <w:highlight w:val="none"/>
        </w:rPr>
        <w:t xml:space="preserve">    </w:t>
      </w:r>
    </w:p>
    <w:p w14:paraId="6C673D6E">
      <w:pPr>
        <w:pStyle w:val="390"/>
        <w:spacing w:line="405" w:lineRule="atLeast"/>
        <w:rPr>
          <w:rFonts w:hint="eastAsia" w:ascii="仿宋_GB2312" w:eastAsia="仿宋_GB2312"/>
          <w:color w:val="auto"/>
          <w:highlight w:val="none"/>
        </w:rPr>
      </w:pPr>
      <w:r>
        <w:rPr>
          <w:rFonts w:hint="eastAsia" w:ascii="仿宋_GB2312" w:eastAsia="仿宋_GB2312"/>
          <w:b/>
          <w:bCs/>
          <w:color w:val="auto"/>
          <w:sz w:val="33"/>
          <w:szCs w:val="33"/>
          <w:highlight w:val="none"/>
        </w:rPr>
        <w:t>  注：附件3如有，请以PDF格式提供并加盖投标人CA电子签章。</w:t>
      </w:r>
    </w:p>
    <w:p w14:paraId="22B7EAAD">
      <w:pPr>
        <w:pStyle w:val="26"/>
        <w:spacing w:line="240" w:lineRule="atLeast"/>
        <w:jc w:val="left"/>
        <w:rPr>
          <w:rFonts w:hint="eastAsia" w:ascii="仿宋_GB2312" w:hAnsi="宋体" w:eastAsia="仿宋_GB2312"/>
          <w:color w:val="auto"/>
          <w:highlight w:val="none"/>
        </w:rPr>
      </w:pPr>
      <w:r>
        <w:rPr>
          <w:rFonts w:ascii="仿宋_GB2312" w:hAnsi="宋体" w:eastAsia="仿宋_GB2312"/>
          <w:color w:val="auto"/>
          <w:highlight w:val="none"/>
        </w:rPr>
        <w:br w:type="page"/>
      </w:r>
    </w:p>
    <w:p w14:paraId="7E37A065">
      <w:pPr>
        <w:pStyle w:val="929"/>
        <w:rPr>
          <w:rFonts w:hint="eastAsia" w:ascii="仿宋_GB2312" w:eastAsia="仿宋_GB2312"/>
          <w:b/>
          <w:bCs/>
          <w:color w:val="auto"/>
          <w:sz w:val="33"/>
          <w:szCs w:val="33"/>
          <w:highlight w:val="none"/>
        </w:rPr>
      </w:pPr>
      <w:r>
        <w:rPr>
          <w:rFonts w:hint="eastAsia" w:ascii="仿宋_GB2312" w:eastAsia="仿宋_GB2312"/>
          <w:b/>
          <w:bCs/>
          <w:color w:val="auto"/>
          <w:sz w:val="33"/>
          <w:szCs w:val="33"/>
          <w:highlight w:val="none"/>
        </w:rPr>
        <w:t>附件4：关于符合本国产品标准的声明函格式（如有）：</w:t>
      </w:r>
    </w:p>
    <w:p w14:paraId="790286AF">
      <w:pPr>
        <w:pStyle w:val="929"/>
        <w:rPr>
          <w:rFonts w:hint="eastAsia" w:ascii="仿宋_GB2312" w:eastAsia="仿宋_GB2312"/>
          <w:b/>
          <w:bCs/>
          <w:color w:val="auto"/>
          <w:sz w:val="33"/>
          <w:szCs w:val="33"/>
          <w:highlight w:val="none"/>
        </w:rPr>
      </w:pPr>
    </w:p>
    <w:p w14:paraId="598DC755">
      <w:pPr>
        <w:pStyle w:val="929"/>
        <w:jc w:val="center"/>
        <w:rPr>
          <w:rFonts w:hint="eastAsia" w:ascii="仿宋_GB2312" w:eastAsia="仿宋_GB2312"/>
          <w:b/>
          <w:bCs/>
          <w:color w:val="auto"/>
          <w:sz w:val="33"/>
          <w:szCs w:val="33"/>
          <w:highlight w:val="none"/>
        </w:rPr>
      </w:pPr>
      <w:r>
        <w:rPr>
          <w:rFonts w:hint="eastAsia" w:ascii="仿宋_GB2312" w:eastAsia="仿宋_GB2312"/>
          <w:b/>
          <w:bCs/>
          <w:color w:val="auto"/>
          <w:sz w:val="33"/>
          <w:szCs w:val="33"/>
          <w:highlight w:val="none"/>
        </w:rPr>
        <w:t>关于符合本国产品标准的声明函</w:t>
      </w:r>
      <w:r>
        <w:rPr>
          <w:rFonts w:hint="eastAsia" w:ascii="仿宋_GB2312" w:eastAsia="仿宋_GB2312"/>
          <w:b/>
          <w:color w:val="auto"/>
          <w:sz w:val="32"/>
          <w:szCs w:val="32"/>
          <w:highlight w:val="none"/>
          <w:lang w:eastAsia="zh-CN"/>
        </w:rPr>
        <w:t>（分标</w:t>
      </w:r>
      <w:r>
        <w:rPr>
          <w:rFonts w:hint="eastAsia" w:ascii="仿宋_GB2312" w:eastAsia="仿宋_GB2312"/>
          <w:b/>
          <w:color w:val="auto"/>
          <w:sz w:val="32"/>
          <w:szCs w:val="32"/>
          <w:highlight w:val="none"/>
          <w:u w:val="single"/>
          <w:lang w:val="en-US" w:eastAsia="zh-CN"/>
        </w:rPr>
        <w:t xml:space="preserve">  </w:t>
      </w:r>
      <w:r>
        <w:rPr>
          <w:rFonts w:hint="eastAsia" w:ascii="仿宋_GB2312" w:eastAsia="仿宋_GB2312"/>
          <w:b/>
          <w:color w:val="auto"/>
          <w:sz w:val="32"/>
          <w:szCs w:val="32"/>
          <w:highlight w:val="none"/>
          <w:u w:val="none"/>
          <w:lang w:val="en-US" w:eastAsia="zh-CN"/>
        </w:rPr>
        <w:t>）</w:t>
      </w:r>
    </w:p>
    <w:p w14:paraId="47F9975E">
      <w:pPr>
        <w:spacing w:line="360" w:lineRule="auto"/>
        <w:ind w:right="420" w:firstLine="480" w:firstLineChars="200"/>
        <w:rPr>
          <w:rFonts w:hint="eastAsia" w:ascii="宋体" w:hAnsi="宋体" w:cs="宋体"/>
          <w:color w:val="auto"/>
          <w:sz w:val="24"/>
          <w:highlight w:val="none"/>
        </w:rPr>
      </w:pPr>
    </w:p>
    <w:p w14:paraId="2A722CF8">
      <w:pPr>
        <w:spacing w:line="360" w:lineRule="auto"/>
        <w:ind w:right="420" w:firstLine="480" w:firstLineChars="200"/>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14:paraId="2C9FF530">
      <w:pPr>
        <w:spacing w:line="360" w:lineRule="auto"/>
        <w:ind w:right="420" w:firstLine="480" w:firstLineChars="200"/>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1.</w:t>
      </w:r>
      <w:r>
        <w:rPr>
          <w:rFonts w:hint="eastAsia" w:ascii="仿宋_GB2312" w:hAnsi="宋体" w:eastAsia="仿宋_GB2312" w:cs="宋体"/>
          <w:color w:val="auto"/>
          <w:kern w:val="0"/>
          <w:sz w:val="24"/>
          <w:highlight w:val="none"/>
          <w:u w:val="single"/>
        </w:rPr>
        <w:t>（产品名称1）</w:t>
      </w:r>
      <w:r>
        <w:rPr>
          <w:rFonts w:hint="eastAsia" w:ascii="仿宋_GB2312" w:hAnsi="宋体" w:eastAsia="仿宋_GB2312" w:cs="宋体"/>
          <w:color w:val="auto"/>
          <w:kern w:val="0"/>
          <w:sz w:val="24"/>
          <w:highlight w:val="none"/>
        </w:rPr>
        <w:t>，生产厂为</w:t>
      </w:r>
      <w:r>
        <w:rPr>
          <w:rFonts w:hint="eastAsia" w:ascii="仿宋_GB2312" w:hAnsi="宋体" w:eastAsia="仿宋_GB2312" w:cs="宋体"/>
          <w:color w:val="auto"/>
          <w:kern w:val="0"/>
          <w:sz w:val="24"/>
          <w:highlight w:val="none"/>
          <w:u w:val="single"/>
        </w:rPr>
        <w:t>（厂名）</w:t>
      </w:r>
      <w:r>
        <w:rPr>
          <w:rFonts w:hint="eastAsia" w:ascii="仿宋_GB2312" w:hAnsi="宋体" w:eastAsia="仿宋_GB2312" w:cs="宋体"/>
          <w:color w:val="auto"/>
          <w:kern w:val="0"/>
          <w:sz w:val="24"/>
          <w:highlight w:val="none"/>
        </w:rPr>
        <w:t>，厂址为</w:t>
      </w:r>
      <w:r>
        <w:rPr>
          <w:rFonts w:hint="eastAsia" w:ascii="仿宋_GB2312" w:hAnsi="宋体" w:eastAsia="仿宋_GB2312" w:cs="宋体"/>
          <w:color w:val="auto"/>
          <w:kern w:val="0"/>
          <w:sz w:val="24"/>
          <w:highlight w:val="none"/>
          <w:u w:val="single"/>
        </w:rPr>
        <w:t>（生产厂址）</w:t>
      </w:r>
      <w:r>
        <w:rPr>
          <w:rFonts w:hint="eastAsia" w:ascii="仿宋_GB2312" w:hAnsi="宋体" w:eastAsia="仿宋_GB2312" w:cs="宋体"/>
          <w:color w:val="auto"/>
          <w:kern w:val="0"/>
          <w:sz w:val="24"/>
          <w:highlight w:val="none"/>
        </w:rPr>
        <w:t>。</w:t>
      </w:r>
    </w:p>
    <w:p w14:paraId="5BFA8F80">
      <w:pPr>
        <w:spacing w:line="360" w:lineRule="auto"/>
        <w:ind w:right="420" w:firstLine="480" w:firstLineChars="200"/>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2.</w:t>
      </w:r>
      <w:r>
        <w:rPr>
          <w:rFonts w:hint="eastAsia" w:ascii="仿宋_GB2312" w:hAnsi="宋体" w:eastAsia="仿宋_GB2312" w:cs="宋体"/>
          <w:color w:val="auto"/>
          <w:kern w:val="0"/>
          <w:sz w:val="24"/>
          <w:highlight w:val="none"/>
          <w:u w:val="single"/>
        </w:rPr>
        <w:t>（产品名称2）</w:t>
      </w:r>
      <w:r>
        <w:rPr>
          <w:rFonts w:hint="eastAsia" w:ascii="仿宋_GB2312" w:hAnsi="宋体" w:eastAsia="仿宋_GB2312" w:cs="宋体"/>
          <w:color w:val="auto"/>
          <w:kern w:val="0"/>
          <w:sz w:val="24"/>
          <w:highlight w:val="none"/>
        </w:rPr>
        <w:t>，生产厂为</w:t>
      </w:r>
      <w:r>
        <w:rPr>
          <w:rFonts w:hint="eastAsia" w:ascii="仿宋_GB2312" w:hAnsi="宋体" w:eastAsia="仿宋_GB2312" w:cs="宋体"/>
          <w:color w:val="auto"/>
          <w:kern w:val="0"/>
          <w:sz w:val="24"/>
          <w:highlight w:val="none"/>
          <w:u w:val="single"/>
        </w:rPr>
        <w:t>（厂名）</w:t>
      </w:r>
      <w:r>
        <w:rPr>
          <w:rFonts w:hint="eastAsia" w:ascii="仿宋_GB2312" w:hAnsi="宋体" w:eastAsia="仿宋_GB2312" w:cs="宋体"/>
          <w:color w:val="auto"/>
          <w:kern w:val="0"/>
          <w:sz w:val="24"/>
          <w:highlight w:val="none"/>
        </w:rPr>
        <w:t>，厂址为</w:t>
      </w:r>
      <w:r>
        <w:rPr>
          <w:rFonts w:hint="eastAsia" w:ascii="仿宋_GB2312" w:hAnsi="宋体" w:eastAsia="仿宋_GB2312" w:cs="宋体"/>
          <w:color w:val="auto"/>
          <w:kern w:val="0"/>
          <w:sz w:val="24"/>
          <w:highlight w:val="none"/>
          <w:u w:val="single"/>
        </w:rPr>
        <w:t>（生产厂址）</w:t>
      </w:r>
      <w:r>
        <w:rPr>
          <w:rFonts w:hint="eastAsia" w:ascii="仿宋_GB2312" w:hAnsi="宋体" w:eastAsia="仿宋_GB2312" w:cs="宋体"/>
          <w:color w:val="auto"/>
          <w:kern w:val="0"/>
          <w:sz w:val="24"/>
          <w:highlight w:val="none"/>
        </w:rPr>
        <w:t>。</w:t>
      </w:r>
    </w:p>
    <w:p w14:paraId="0B583BD2">
      <w:pPr>
        <w:spacing w:line="360" w:lineRule="auto"/>
        <w:ind w:right="420" w:firstLine="480" w:firstLineChars="200"/>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w:t>
      </w:r>
    </w:p>
    <w:p w14:paraId="0A7A2214">
      <w:pPr>
        <w:spacing w:line="360" w:lineRule="auto"/>
        <w:ind w:right="420" w:firstLine="480" w:firstLineChars="200"/>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本公司（单位）对上述声明内容的真实性负责。如有虚假，愿承担相应法律责任。</w:t>
      </w:r>
    </w:p>
    <w:p w14:paraId="1FF2F328">
      <w:pPr>
        <w:spacing w:line="360" w:lineRule="auto"/>
        <w:ind w:right="420" w:firstLine="480" w:firstLineChars="200"/>
        <w:rPr>
          <w:rFonts w:hint="eastAsia" w:ascii="仿宋_GB2312" w:hAnsi="宋体" w:eastAsia="仿宋_GB2312" w:cs="宋体"/>
          <w:color w:val="auto"/>
          <w:kern w:val="0"/>
          <w:sz w:val="24"/>
          <w:highlight w:val="none"/>
        </w:rPr>
      </w:pPr>
    </w:p>
    <w:p w14:paraId="7D1ADA92">
      <w:pPr>
        <w:spacing w:line="360" w:lineRule="auto"/>
        <w:ind w:right="420" w:firstLine="480" w:firstLineChars="200"/>
        <w:jc w:val="right"/>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公司（单位）名称（CA电子签章）：　        </w:t>
      </w:r>
    </w:p>
    <w:p w14:paraId="3D973198">
      <w:pPr>
        <w:spacing w:line="360" w:lineRule="auto"/>
        <w:ind w:right="180" w:firstLine="480" w:firstLineChars="200"/>
        <w:jc w:val="right"/>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日期：    年 　 月　  日         </w:t>
      </w:r>
    </w:p>
    <w:p w14:paraId="5810E917">
      <w:pPr>
        <w:spacing w:line="360" w:lineRule="auto"/>
        <w:ind w:right="420" w:firstLine="480" w:firstLineChars="200"/>
        <w:rPr>
          <w:rFonts w:hint="eastAsia" w:ascii="仿宋_GB2312" w:hAnsi="宋体" w:eastAsia="仿宋_GB2312" w:cs="宋体"/>
          <w:color w:val="auto"/>
          <w:kern w:val="0"/>
          <w:sz w:val="24"/>
          <w:highlight w:val="none"/>
        </w:rPr>
      </w:pPr>
    </w:p>
    <w:p w14:paraId="1E36E8E3">
      <w:pPr>
        <w:spacing w:line="360" w:lineRule="auto"/>
        <w:ind w:right="420" w:firstLine="482" w:firstLineChars="200"/>
        <w:rPr>
          <w:rFonts w:hint="eastAsia"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注：1.本声明函对应的产品（采购标的）为</w:t>
      </w:r>
      <w:r>
        <w:rPr>
          <w:rFonts w:hint="eastAsia" w:ascii="仿宋_GB2312" w:hAnsi="宋体" w:eastAsia="仿宋_GB2312" w:cs="宋体"/>
          <w:b/>
          <w:bCs/>
          <w:color w:val="auto"/>
          <w:kern w:val="0"/>
          <w:sz w:val="24"/>
          <w:highlight w:val="none"/>
          <w:lang w:eastAsia="zh-CN"/>
        </w:rPr>
        <w:t>分标</w:t>
      </w:r>
      <w:r>
        <w:rPr>
          <w:rFonts w:hint="eastAsia" w:ascii="仿宋_GB2312" w:hAnsi="宋体" w:eastAsia="仿宋_GB2312" w:cs="宋体"/>
          <w:b/>
          <w:bCs/>
          <w:color w:val="auto"/>
          <w:kern w:val="0"/>
          <w:sz w:val="24"/>
          <w:highlight w:val="none"/>
          <w:lang w:val="en-US" w:eastAsia="zh-CN"/>
        </w:rPr>
        <w:t>1</w:t>
      </w:r>
      <w:r>
        <w:rPr>
          <w:rFonts w:hint="eastAsia" w:ascii="仿宋_GB2312" w:hAnsi="宋体" w:eastAsia="仿宋_GB2312" w:cs="宋体"/>
          <w:b/>
          <w:bCs/>
          <w:color w:val="auto"/>
          <w:kern w:val="0"/>
          <w:sz w:val="24"/>
          <w:highlight w:val="none"/>
        </w:rPr>
        <w:t>采购需求</w:t>
      </w:r>
      <w:r>
        <w:rPr>
          <w:rFonts w:hint="eastAsia" w:ascii="仿宋_GB2312" w:eastAsia="仿宋_GB2312"/>
          <w:b/>
          <w:bCs/>
          <w:color w:val="auto"/>
          <w:highlight w:val="none"/>
          <w:u w:val="none"/>
        </w:rPr>
        <w:t>（</w:t>
      </w:r>
      <w:r>
        <w:rPr>
          <w:rFonts w:hint="eastAsia" w:ascii="仿宋_GB2312" w:eastAsia="仿宋_GB2312"/>
          <w:b/>
          <w:bCs/>
          <w:color w:val="auto"/>
          <w:highlight w:val="none"/>
          <w:u w:val="none"/>
          <w:lang w:eastAsia="zh-CN"/>
        </w:rPr>
        <w:t>一</w:t>
      </w:r>
      <w:r>
        <w:rPr>
          <w:rFonts w:hint="eastAsia" w:ascii="仿宋_GB2312" w:eastAsia="仿宋_GB2312"/>
          <w:b/>
          <w:bCs/>
          <w:color w:val="auto"/>
          <w:highlight w:val="none"/>
          <w:u w:val="none"/>
        </w:rPr>
        <w:t>）</w:t>
      </w:r>
      <w:r>
        <w:rPr>
          <w:rFonts w:hint="eastAsia" w:ascii="仿宋_GB2312" w:hAnsi="宋体" w:eastAsia="仿宋_GB2312" w:cs="宋体"/>
          <w:b/>
          <w:bCs/>
          <w:color w:val="auto"/>
          <w:kern w:val="0"/>
          <w:sz w:val="24"/>
          <w:highlight w:val="none"/>
        </w:rPr>
        <w:t>第</w:t>
      </w:r>
      <w:r>
        <w:rPr>
          <w:rFonts w:hint="eastAsia" w:ascii="仿宋_GB2312" w:hAnsi="宋体" w:eastAsia="仿宋_GB2312" w:cs="宋体"/>
          <w:b/>
          <w:bCs/>
          <w:color w:val="auto"/>
          <w:kern w:val="0"/>
          <w:sz w:val="24"/>
          <w:highlight w:val="none"/>
          <w:lang w:val="en-US" w:eastAsia="zh-CN"/>
        </w:rPr>
        <w:t>1项、（二）的1、2、4-9</w:t>
      </w:r>
      <w:r>
        <w:rPr>
          <w:rFonts w:hint="eastAsia" w:ascii="仿宋_GB2312" w:hAnsi="宋体" w:eastAsia="仿宋_GB2312" w:cs="宋体"/>
          <w:b/>
          <w:bCs/>
          <w:color w:val="auto"/>
          <w:kern w:val="0"/>
          <w:sz w:val="24"/>
          <w:highlight w:val="none"/>
        </w:rPr>
        <w:t>项</w:t>
      </w:r>
      <w:r>
        <w:rPr>
          <w:rFonts w:hint="eastAsia" w:ascii="仿宋_GB2312" w:hAnsi="宋体" w:eastAsia="仿宋_GB2312" w:cs="宋体"/>
          <w:b/>
          <w:bCs/>
          <w:color w:val="auto"/>
          <w:kern w:val="0"/>
          <w:sz w:val="24"/>
          <w:highlight w:val="none"/>
          <w:lang w:eastAsia="zh-CN"/>
        </w:rPr>
        <w:t>、（三）的第</w:t>
      </w:r>
      <w:r>
        <w:rPr>
          <w:rFonts w:hint="eastAsia" w:ascii="仿宋_GB2312" w:hAnsi="宋体" w:eastAsia="仿宋_GB2312" w:cs="宋体"/>
          <w:b/>
          <w:bCs/>
          <w:color w:val="auto"/>
          <w:kern w:val="0"/>
          <w:sz w:val="24"/>
          <w:highlight w:val="none"/>
          <w:lang w:val="en-US" w:eastAsia="zh-CN"/>
        </w:rPr>
        <w:t>1至第5项</w:t>
      </w:r>
      <w:r>
        <w:rPr>
          <w:rFonts w:hint="eastAsia" w:ascii="仿宋_GB2312" w:hAnsi="宋体" w:eastAsia="仿宋_GB2312" w:cs="宋体"/>
          <w:b/>
          <w:bCs/>
          <w:color w:val="auto"/>
          <w:kern w:val="0"/>
          <w:sz w:val="24"/>
          <w:highlight w:val="none"/>
        </w:rPr>
        <w:t>标的</w:t>
      </w:r>
      <w:r>
        <w:rPr>
          <w:rFonts w:hint="eastAsia" w:ascii="仿宋_GB2312" w:hAnsi="宋体" w:eastAsia="仿宋_GB2312" w:cs="宋体"/>
          <w:b/>
          <w:bCs/>
          <w:color w:val="auto"/>
          <w:kern w:val="0"/>
          <w:sz w:val="24"/>
          <w:highlight w:val="none"/>
          <w:lang w:eastAsia="zh-CN"/>
        </w:rPr>
        <w:t>；分标</w:t>
      </w:r>
      <w:r>
        <w:rPr>
          <w:rFonts w:hint="eastAsia" w:ascii="仿宋_GB2312" w:hAnsi="宋体" w:eastAsia="仿宋_GB2312" w:cs="宋体"/>
          <w:b/>
          <w:bCs/>
          <w:color w:val="auto"/>
          <w:kern w:val="0"/>
          <w:sz w:val="24"/>
          <w:highlight w:val="none"/>
          <w:lang w:val="en-US" w:eastAsia="zh-CN"/>
        </w:rPr>
        <w:t>2</w:t>
      </w:r>
      <w:r>
        <w:rPr>
          <w:rFonts w:hint="eastAsia" w:ascii="仿宋_GB2312" w:hAnsi="宋体" w:eastAsia="仿宋_GB2312" w:cs="宋体"/>
          <w:b/>
          <w:bCs/>
          <w:color w:val="auto"/>
          <w:kern w:val="0"/>
          <w:sz w:val="24"/>
          <w:highlight w:val="none"/>
        </w:rPr>
        <w:t>采购需求</w:t>
      </w:r>
      <w:r>
        <w:rPr>
          <w:rFonts w:hint="eastAsia" w:ascii="仿宋_GB2312" w:eastAsia="仿宋_GB2312"/>
          <w:b/>
          <w:bCs/>
          <w:color w:val="auto"/>
          <w:highlight w:val="none"/>
          <w:u w:val="none"/>
        </w:rPr>
        <w:t>（</w:t>
      </w:r>
      <w:r>
        <w:rPr>
          <w:rFonts w:hint="eastAsia" w:ascii="仿宋_GB2312" w:eastAsia="仿宋_GB2312"/>
          <w:b/>
          <w:bCs/>
          <w:color w:val="auto"/>
          <w:highlight w:val="none"/>
          <w:u w:val="none"/>
          <w:lang w:eastAsia="zh-CN"/>
        </w:rPr>
        <w:t>一</w:t>
      </w:r>
      <w:r>
        <w:rPr>
          <w:rFonts w:hint="eastAsia" w:ascii="仿宋_GB2312" w:eastAsia="仿宋_GB2312"/>
          <w:b/>
          <w:bCs/>
          <w:color w:val="auto"/>
          <w:highlight w:val="none"/>
          <w:u w:val="none"/>
        </w:rPr>
        <w:t>）</w:t>
      </w:r>
      <w:r>
        <w:rPr>
          <w:rFonts w:hint="eastAsia" w:ascii="仿宋_GB2312" w:hAnsi="宋体" w:eastAsia="仿宋_GB2312" w:cs="宋体"/>
          <w:b/>
          <w:bCs/>
          <w:color w:val="auto"/>
          <w:kern w:val="0"/>
          <w:sz w:val="24"/>
          <w:highlight w:val="none"/>
          <w:lang w:val="en-US" w:eastAsia="zh-CN"/>
        </w:rPr>
        <w:t>的1、2、4-8</w:t>
      </w:r>
      <w:r>
        <w:rPr>
          <w:rFonts w:hint="eastAsia" w:ascii="仿宋_GB2312" w:hAnsi="宋体" w:eastAsia="仿宋_GB2312" w:cs="宋体"/>
          <w:b/>
          <w:bCs/>
          <w:color w:val="auto"/>
          <w:kern w:val="0"/>
          <w:sz w:val="24"/>
          <w:highlight w:val="none"/>
        </w:rPr>
        <w:t>项</w:t>
      </w:r>
      <w:r>
        <w:rPr>
          <w:rFonts w:hint="eastAsia" w:ascii="仿宋_GB2312" w:hAnsi="宋体" w:eastAsia="仿宋_GB2312" w:cs="宋体"/>
          <w:b/>
          <w:bCs/>
          <w:color w:val="auto"/>
          <w:kern w:val="0"/>
          <w:sz w:val="24"/>
          <w:highlight w:val="none"/>
          <w:lang w:eastAsia="zh-CN"/>
        </w:rPr>
        <w:t>、（二）的第</w:t>
      </w:r>
      <w:r>
        <w:rPr>
          <w:rFonts w:hint="eastAsia" w:ascii="仿宋_GB2312" w:hAnsi="宋体" w:eastAsia="仿宋_GB2312" w:cs="宋体"/>
          <w:b/>
          <w:bCs/>
          <w:color w:val="auto"/>
          <w:kern w:val="0"/>
          <w:sz w:val="24"/>
          <w:highlight w:val="none"/>
          <w:lang w:val="en-US" w:eastAsia="zh-CN"/>
        </w:rPr>
        <w:t>1至第5项</w:t>
      </w:r>
      <w:r>
        <w:rPr>
          <w:rFonts w:hint="eastAsia" w:ascii="仿宋_GB2312" w:hAnsi="宋体" w:eastAsia="仿宋_GB2312" w:cs="宋体"/>
          <w:b/>
          <w:bCs/>
          <w:color w:val="auto"/>
          <w:kern w:val="0"/>
          <w:sz w:val="24"/>
          <w:highlight w:val="none"/>
        </w:rPr>
        <w:t>标的</w:t>
      </w:r>
      <w:r>
        <w:rPr>
          <w:rFonts w:hint="eastAsia" w:ascii="仿宋_GB2312" w:hAnsi="宋体" w:eastAsia="仿宋_GB2312" w:cs="宋体"/>
          <w:b/>
          <w:bCs/>
          <w:color w:val="auto"/>
          <w:kern w:val="0"/>
          <w:sz w:val="24"/>
          <w:highlight w:val="none"/>
          <w:lang w:eastAsia="zh-CN"/>
        </w:rPr>
        <w:t>，具体情况由</w:t>
      </w:r>
      <w:r>
        <w:rPr>
          <w:rFonts w:hint="eastAsia" w:ascii="仿宋_GB2312" w:hAnsi="宋体" w:eastAsia="仿宋_GB2312" w:cs="宋体"/>
          <w:b/>
          <w:bCs/>
          <w:color w:val="auto"/>
          <w:kern w:val="0"/>
          <w:sz w:val="24"/>
          <w:highlight w:val="none"/>
          <w:lang w:val="en-US" w:eastAsia="zh-CN"/>
        </w:rPr>
        <w:t>投标人</w:t>
      </w:r>
      <w:r>
        <w:rPr>
          <w:rFonts w:hint="eastAsia" w:ascii="仿宋_GB2312" w:hAnsi="宋体" w:eastAsia="仿宋_GB2312" w:cs="宋体"/>
          <w:b/>
          <w:bCs/>
          <w:color w:val="auto"/>
          <w:kern w:val="0"/>
          <w:sz w:val="24"/>
          <w:highlight w:val="none"/>
          <w:lang w:eastAsia="zh-CN"/>
        </w:rPr>
        <w:t>自行声明。</w:t>
      </w:r>
    </w:p>
    <w:p w14:paraId="57347446">
      <w:pPr>
        <w:spacing w:line="360" w:lineRule="auto"/>
        <w:ind w:right="420" w:firstLine="482" w:firstLineChars="200"/>
        <w:rPr>
          <w:rFonts w:hint="eastAsia"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2.生产厂名与厂址应与生产厂营业执照载明的相关信息保持一致。</w:t>
      </w:r>
    </w:p>
    <w:p w14:paraId="366E75BE">
      <w:pPr>
        <w:spacing w:line="360" w:lineRule="auto"/>
        <w:ind w:right="420" w:firstLine="482" w:firstLineChars="200"/>
        <w:rPr>
          <w:rFonts w:hint="eastAsia"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3.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14:paraId="44069AC4">
      <w:pPr>
        <w:spacing w:line="360" w:lineRule="auto"/>
        <w:ind w:right="420" w:firstLine="482" w:firstLineChars="200"/>
        <w:rPr>
          <w:rFonts w:hint="eastAsia"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4.若</w:t>
      </w:r>
      <w:r>
        <w:rPr>
          <w:rFonts w:hint="eastAsia" w:ascii="仿宋_GB2312" w:hAnsi="宋体" w:eastAsia="仿宋_GB2312" w:cs="宋体"/>
          <w:b/>
          <w:bCs/>
          <w:color w:val="auto"/>
          <w:kern w:val="0"/>
          <w:sz w:val="24"/>
          <w:highlight w:val="none"/>
          <w:lang w:val="en-US" w:eastAsia="zh-CN"/>
        </w:rPr>
        <w:t>中标人</w:t>
      </w:r>
      <w:r>
        <w:rPr>
          <w:rFonts w:hint="eastAsia" w:ascii="仿宋_GB2312" w:hAnsi="宋体" w:eastAsia="仿宋_GB2312" w:cs="宋体"/>
          <w:b/>
          <w:bCs/>
          <w:color w:val="auto"/>
          <w:kern w:val="0"/>
          <w:sz w:val="24"/>
          <w:highlight w:val="none"/>
        </w:rPr>
        <w:t>依法享受本国产品优惠政策的，中标人提供的声明函或有关证明文件应当随中标结果同时公告。其他未尽事宜按照《国务院办公厅关于在政府采购中实施本国产品标准及相关政策的通知》（国办发〔2025〕34号）执行。</w:t>
      </w:r>
    </w:p>
    <w:p w14:paraId="2D707716">
      <w:pPr>
        <w:snapToGrid w:val="0"/>
        <w:spacing w:line="360" w:lineRule="auto"/>
        <w:jc w:val="left"/>
        <w:rPr>
          <w:rFonts w:hint="eastAsia" w:ascii="仿宋_GB2312" w:hAnsi="宋体" w:eastAsia="仿宋_GB2312" w:cs="宋体"/>
          <w:b/>
          <w:bCs/>
          <w:color w:val="auto"/>
          <w:kern w:val="0"/>
          <w:sz w:val="33"/>
          <w:szCs w:val="33"/>
          <w:highlight w:val="none"/>
        </w:rPr>
      </w:pPr>
      <w:r>
        <w:rPr>
          <w:rFonts w:hint="eastAsia" w:ascii="仿宋_GB2312" w:hAnsi="宋体" w:eastAsia="仿宋_GB2312" w:cs="宋体"/>
          <w:b/>
          <w:bCs/>
          <w:color w:val="auto"/>
          <w:kern w:val="0"/>
          <w:sz w:val="33"/>
          <w:szCs w:val="33"/>
          <w:highlight w:val="none"/>
        </w:rPr>
        <w:t>附件5：关于本国产品比例的承诺函格式</w:t>
      </w:r>
      <w:r>
        <w:rPr>
          <w:rFonts w:hint="eastAsia" w:ascii="仿宋_GB2312" w:eastAsia="仿宋_GB2312"/>
          <w:b/>
          <w:bCs/>
          <w:color w:val="auto"/>
          <w:sz w:val="33"/>
          <w:szCs w:val="33"/>
          <w:highlight w:val="none"/>
        </w:rPr>
        <w:t>（当采购项目或者采购包中含有多种产品的，供应商还应当提供本承诺函）：</w:t>
      </w:r>
    </w:p>
    <w:p w14:paraId="6ABB6D5C">
      <w:pPr>
        <w:spacing w:line="360" w:lineRule="auto"/>
        <w:jc w:val="center"/>
        <w:rPr>
          <w:rFonts w:hint="eastAsia" w:ascii="仿宋_GB2312" w:hAnsi="宋体" w:eastAsia="仿宋_GB2312" w:cs="宋体"/>
          <w:b/>
          <w:bCs/>
          <w:color w:val="auto"/>
          <w:kern w:val="0"/>
          <w:sz w:val="33"/>
          <w:szCs w:val="33"/>
          <w:highlight w:val="none"/>
        </w:rPr>
      </w:pPr>
    </w:p>
    <w:p w14:paraId="4798AC26">
      <w:pPr>
        <w:spacing w:line="360" w:lineRule="auto"/>
        <w:jc w:val="center"/>
        <w:rPr>
          <w:rFonts w:hint="eastAsia" w:ascii="仿宋_GB2312" w:hAnsi="宋体" w:eastAsia="仿宋_GB2312" w:cs="宋体"/>
          <w:b/>
          <w:bCs/>
          <w:color w:val="auto"/>
          <w:kern w:val="0"/>
          <w:sz w:val="33"/>
          <w:szCs w:val="33"/>
          <w:highlight w:val="none"/>
        </w:rPr>
      </w:pPr>
      <w:r>
        <w:rPr>
          <w:rFonts w:hint="eastAsia" w:ascii="仿宋_GB2312" w:hAnsi="宋体" w:eastAsia="仿宋_GB2312" w:cs="宋体"/>
          <w:b/>
          <w:bCs/>
          <w:color w:val="auto"/>
          <w:kern w:val="0"/>
          <w:sz w:val="33"/>
          <w:szCs w:val="33"/>
          <w:highlight w:val="none"/>
        </w:rPr>
        <w:t>关于本国产品比例的承诺函</w:t>
      </w:r>
      <w:r>
        <w:rPr>
          <w:rFonts w:hint="eastAsia" w:ascii="仿宋_GB2312" w:eastAsia="仿宋_GB2312"/>
          <w:b/>
          <w:color w:val="auto"/>
          <w:sz w:val="32"/>
          <w:szCs w:val="32"/>
          <w:highlight w:val="none"/>
          <w:lang w:eastAsia="zh-CN"/>
        </w:rPr>
        <w:t>（分标</w:t>
      </w:r>
      <w:r>
        <w:rPr>
          <w:rFonts w:hint="eastAsia" w:ascii="仿宋_GB2312" w:eastAsia="仿宋_GB2312"/>
          <w:b/>
          <w:color w:val="auto"/>
          <w:sz w:val="32"/>
          <w:szCs w:val="32"/>
          <w:highlight w:val="none"/>
          <w:u w:val="single"/>
          <w:lang w:val="en-US" w:eastAsia="zh-CN"/>
        </w:rPr>
        <w:t xml:space="preserve">  </w:t>
      </w:r>
      <w:r>
        <w:rPr>
          <w:rFonts w:hint="eastAsia" w:ascii="仿宋_GB2312" w:eastAsia="仿宋_GB2312"/>
          <w:b/>
          <w:color w:val="auto"/>
          <w:sz w:val="32"/>
          <w:szCs w:val="32"/>
          <w:highlight w:val="none"/>
          <w:u w:val="none"/>
          <w:lang w:val="en-US" w:eastAsia="zh-CN"/>
        </w:rPr>
        <w:t>）</w:t>
      </w:r>
    </w:p>
    <w:p w14:paraId="4125FC2F">
      <w:pPr>
        <w:spacing w:line="360" w:lineRule="auto"/>
        <w:ind w:right="420" w:firstLine="480" w:firstLineChars="200"/>
        <w:rPr>
          <w:rFonts w:hint="eastAsia" w:ascii="宋体" w:hAnsi="宋体" w:cs="宋体"/>
          <w:color w:val="auto"/>
          <w:sz w:val="24"/>
          <w:highlight w:val="none"/>
        </w:rPr>
      </w:pPr>
    </w:p>
    <w:p w14:paraId="171CCF4A">
      <w:pPr>
        <w:spacing w:line="360" w:lineRule="auto"/>
        <w:ind w:right="420" w:firstLine="480" w:firstLineChars="200"/>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 xml:space="preserve"> 本公司（单位）郑重声明，根据《国务院办公厅关于在政府采购中实施本国产品标准及相关政策的通知》（国办发〔2025〕34号）的规定，本公司（单位）本次投标所提供的符合本国产品标准的产品成本之和占我公司（单位）本次投标所提供的全部产品成本之和的比例达到80%以上。</w:t>
      </w:r>
    </w:p>
    <w:p w14:paraId="0C49EC61">
      <w:pPr>
        <w:spacing w:line="360" w:lineRule="auto"/>
        <w:ind w:right="420" w:firstLine="480" w:firstLineChars="200"/>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本公司（单位）对上述声明内容的真实性负责。如有虚假，愿承担相应法律责任。</w:t>
      </w:r>
    </w:p>
    <w:p w14:paraId="7AD7BBB3">
      <w:pPr>
        <w:spacing w:line="360" w:lineRule="auto"/>
        <w:ind w:right="420" w:firstLine="480" w:firstLineChars="200"/>
        <w:rPr>
          <w:rFonts w:hint="eastAsia" w:ascii="仿宋_GB2312" w:hAnsi="宋体" w:eastAsia="仿宋_GB2312" w:cs="宋体"/>
          <w:color w:val="auto"/>
          <w:kern w:val="0"/>
          <w:sz w:val="24"/>
          <w:highlight w:val="none"/>
        </w:rPr>
      </w:pPr>
    </w:p>
    <w:p w14:paraId="44012249">
      <w:pPr>
        <w:spacing w:line="360" w:lineRule="auto"/>
        <w:ind w:right="420" w:firstLine="4320" w:firstLineChars="1800"/>
        <w:jc w:val="left"/>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公司（单位）名称（CA电子签章）：　        </w:t>
      </w:r>
    </w:p>
    <w:p w14:paraId="6CF88A85">
      <w:pPr>
        <w:spacing w:line="360" w:lineRule="auto"/>
        <w:ind w:right="420" w:firstLine="4560" w:firstLineChars="1900"/>
        <w:jc w:val="left"/>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日期：    年 　 月　  日         </w:t>
      </w:r>
    </w:p>
    <w:p w14:paraId="69BA6CF1">
      <w:pPr>
        <w:spacing w:line="360" w:lineRule="auto"/>
        <w:ind w:right="420" w:firstLine="482" w:firstLineChars="200"/>
        <w:rPr>
          <w:rFonts w:hint="eastAsia" w:ascii="仿宋_GB2312" w:hAnsi="宋体" w:eastAsia="仿宋_GB2312" w:cs="宋体"/>
          <w:b/>
          <w:bCs/>
          <w:color w:val="auto"/>
          <w:kern w:val="0"/>
          <w:sz w:val="24"/>
          <w:highlight w:val="none"/>
        </w:rPr>
      </w:pPr>
    </w:p>
    <w:p w14:paraId="17ABE070">
      <w:pPr>
        <w:spacing w:line="360" w:lineRule="auto"/>
        <w:ind w:right="420" w:firstLine="482" w:firstLineChars="200"/>
        <w:rPr>
          <w:rFonts w:hint="eastAsia"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注：1.当采购项目或者采购包中含有多种产品时，投标人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p>
    <w:p w14:paraId="01EAC321">
      <w:pPr>
        <w:spacing w:line="360" w:lineRule="auto"/>
        <w:ind w:right="420" w:firstLine="482" w:firstLineChars="200"/>
        <w:rPr>
          <w:rFonts w:hint="eastAsia"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2.中标人提供的声明函或有关证明文件应当随成交结果同时公告。其他未尽事宜按照《国务院办公厅关于在政府采购中实施本国产品标准及相关政策的通知》（国办发〔2025〕34号）执行。</w:t>
      </w:r>
    </w:p>
    <w:p w14:paraId="4D3E12E1">
      <w:pPr>
        <w:spacing w:line="360" w:lineRule="auto"/>
        <w:ind w:right="420" w:firstLine="482" w:firstLineChars="200"/>
        <w:rPr>
          <w:rFonts w:hint="eastAsia"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3.当采购项目或者采购包中仅含有单一产品时，无须提供本声明函。</w:t>
      </w:r>
    </w:p>
    <w:p w14:paraId="4718EA72">
      <w:pPr>
        <w:rPr>
          <w:rFonts w:ascii="仿宋_GB2312" w:eastAsia="仿宋_GB2312"/>
          <w:b/>
          <w:bCs/>
          <w:color w:val="auto"/>
          <w:highlight w:val="none"/>
        </w:rPr>
      </w:pPr>
      <w:r>
        <w:rPr>
          <w:rFonts w:hint="eastAsia" w:ascii="仿宋_GB2312" w:eastAsia="仿宋_GB2312"/>
          <w:b/>
          <w:bCs/>
          <w:color w:val="auto"/>
          <w:highlight w:val="none"/>
        </w:rPr>
        <w:br w:type="page"/>
      </w:r>
    </w:p>
    <w:p w14:paraId="0763F77A">
      <w:pPr>
        <w:pStyle w:val="411"/>
        <w:rPr>
          <w:rFonts w:ascii="仿宋_GB2312" w:eastAsia="仿宋_GB2312"/>
          <w:b/>
          <w:bCs/>
          <w:color w:val="auto"/>
          <w:highlight w:val="none"/>
        </w:rPr>
      </w:pPr>
      <w:r>
        <w:rPr>
          <w:rFonts w:hint="eastAsia" w:ascii="仿宋_GB2312" w:eastAsia="仿宋_GB2312"/>
          <w:b/>
          <w:bCs/>
          <w:color w:val="auto"/>
          <w:highlight w:val="none"/>
        </w:rPr>
        <w:t>（2）投标报价明细表格式（必须提供）：</w:t>
      </w:r>
    </w:p>
    <w:p w14:paraId="46F456AD">
      <w:pPr>
        <w:pStyle w:val="411"/>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投标报价明细表</w:t>
      </w:r>
      <w:r>
        <w:rPr>
          <w:rFonts w:hint="eastAsia" w:ascii="仿宋_GB2312" w:eastAsia="仿宋_GB2312"/>
          <w:b/>
          <w:color w:val="auto"/>
          <w:sz w:val="32"/>
          <w:szCs w:val="32"/>
          <w:highlight w:val="none"/>
          <w:lang w:eastAsia="zh-CN"/>
        </w:rPr>
        <w:t>（分标</w:t>
      </w:r>
      <w:r>
        <w:rPr>
          <w:rFonts w:hint="eastAsia" w:ascii="仿宋_GB2312" w:eastAsia="仿宋_GB2312"/>
          <w:b/>
          <w:color w:val="auto"/>
          <w:sz w:val="32"/>
          <w:szCs w:val="32"/>
          <w:highlight w:val="none"/>
          <w:u w:val="single"/>
          <w:lang w:val="en-US" w:eastAsia="zh-CN"/>
        </w:rPr>
        <w:t xml:space="preserve">  </w:t>
      </w:r>
      <w:r>
        <w:rPr>
          <w:rFonts w:hint="eastAsia" w:ascii="仿宋_GB2312" w:eastAsia="仿宋_GB2312"/>
          <w:b/>
          <w:color w:val="auto"/>
          <w:sz w:val="32"/>
          <w:szCs w:val="32"/>
          <w:highlight w:val="none"/>
          <w:u w:val="none"/>
          <w:lang w:val="en-US" w:eastAsia="zh-CN"/>
        </w:rPr>
        <w:t>）</w:t>
      </w:r>
    </w:p>
    <w:p w14:paraId="02AF4311">
      <w:pPr>
        <w:pStyle w:val="411"/>
        <w:spacing w:line="405" w:lineRule="atLeast"/>
        <w:rPr>
          <w:rFonts w:hint="eastAsia" w:ascii="仿宋_GB2312" w:eastAsia="仿宋_GB2312"/>
          <w:color w:val="auto"/>
          <w:highlight w:val="none"/>
        </w:rPr>
      </w:pPr>
      <w:r>
        <w:rPr>
          <w:rFonts w:hint="eastAsia" w:ascii="仿宋_GB2312" w:eastAsia="仿宋_GB2312"/>
          <w:color w:val="auto"/>
          <w:highlight w:val="none"/>
        </w:rPr>
        <w:t>    项目名称：</w:t>
      </w:r>
    </w:p>
    <w:p w14:paraId="71BF5A2A">
      <w:pPr>
        <w:pStyle w:val="411"/>
        <w:spacing w:line="405" w:lineRule="atLeast"/>
        <w:rPr>
          <w:rFonts w:hint="eastAsia" w:ascii="仿宋_GB2312" w:eastAsia="仿宋_GB2312"/>
          <w:color w:val="auto"/>
          <w:highlight w:val="none"/>
        </w:rPr>
      </w:pPr>
      <w:r>
        <w:rPr>
          <w:rFonts w:hint="eastAsia" w:ascii="仿宋_GB2312" w:eastAsia="仿宋_GB2312"/>
          <w:color w:val="auto"/>
          <w:highlight w:val="none"/>
        </w:rPr>
        <w:t>    项目编号：</w:t>
      </w:r>
    </w:p>
    <w:p w14:paraId="4B38C1DA">
      <w:pPr>
        <w:pStyle w:val="411"/>
        <w:jc w:val="right"/>
        <w:rPr>
          <w:rFonts w:hint="eastAsia" w:ascii="仿宋_GB2312" w:eastAsia="仿宋_GB2312"/>
          <w:color w:val="auto"/>
          <w:highlight w:val="none"/>
        </w:rPr>
      </w:pPr>
      <w:r>
        <w:rPr>
          <w:rFonts w:hint="eastAsia" w:ascii="仿宋_GB2312" w:eastAsia="仿宋_GB2312"/>
          <w:color w:val="auto"/>
          <w:highlight w:val="none"/>
        </w:rPr>
        <w:t> 金额单位：人民币（元）</w:t>
      </w:r>
    </w:p>
    <w:tbl>
      <w:tblPr>
        <w:tblStyle w:val="48"/>
        <w:tblW w:w="4992"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6"/>
        <w:gridCol w:w="1248"/>
        <w:gridCol w:w="1119"/>
        <w:gridCol w:w="706"/>
        <w:gridCol w:w="1146"/>
        <w:gridCol w:w="862"/>
        <w:gridCol w:w="965"/>
        <w:gridCol w:w="2369"/>
      </w:tblGrid>
      <w:tr w14:paraId="22013A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3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292672">
            <w:pPr>
              <w:pStyle w:val="411"/>
              <w:jc w:val="center"/>
              <w:rPr>
                <w:rFonts w:hint="eastAsia" w:ascii="仿宋_GB2312" w:eastAsia="仿宋_GB2312"/>
                <w:color w:val="auto"/>
                <w:highlight w:val="none"/>
              </w:rPr>
            </w:pPr>
            <w:r>
              <w:rPr>
                <w:rFonts w:hint="eastAsia" w:ascii="仿宋_GB2312" w:eastAsia="仿宋_GB2312"/>
                <w:color w:val="auto"/>
                <w:highlight w:val="none"/>
              </w:rPr>
              <w:t>序号</w:t>
            </w:r>
          </w:p>
        </w:tc>
        <w:tc>
          <w:tcPr>
            <w:tcW w:w="122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DA453B">
            <w:pPr>
              <w:pStyle w:val="411"/>
              <w:jc w:val="center"/>
              <w:rPr>
                <w:rFonts w:hint="eastAsia" w:ascii="仿宋_GB2312" w:eastAsia="仿宋_GB2312"/>
                <w:color w:val="auto"/>
                <w:highlight w:val="none"/>
              </w:rPr>
            </w:pPr>
            <w:r>
              <w:rPr>
                <w:rFonts w:hint="eastAsia" w:ascii="仿宋_GB2312" w:eastAsia="仿宋_GB2312"/>
                <w:color w:val="auto"/>
                <w:highlight w:val="none"/>
              </w:rPr>
              <w:t>货物名称</w:t>
            </w:r>
          </w:p>
        </w:tc>
        <w:tc>
          <w:tcPr>
            <w:tcW w:w="110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54BA0D">
            <w:pPr>
              <w:pStyle w:val="411"/>
              <w:jc w:val="center"/>
              <w:rPr>
                <w:rFonts w:hint="eastAsia" w:ascii="仿宋_GB2312" w:eastAsia="仿宋_GB2312"/>
                <w:color w:val="auto"/>
                <w:highlight w:val="none"/>
              </w:rPr>
            </w:pPr>
            <w:r>
              <w:rPr>
                <w:rFonts w:hint="eastAsia" w:ascii="仿宋_GB2312" w:eastAsia="仿宋_GB2312"/>
                <w:color w:val="auto"/>
                <w:highlight w:val="none"/>
              </w:rPr>
              <w:t>生产厂家</w:t>
            </w:r>
          </w:p>
        </w:tc>
        <w:tc>
          <w:tcPr>
            <w:tcW w:w="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4E47C7">
            <w:pPr>
              <w:pStyle w:val="411"/>
              <w:jc w:val="center"/>
              <w:rPr>
                <w:rFonts w:hint="eastAsia" w:ascii="仿宋_GB2312" w:eastAsia="仿宋_GB2312"/>
                <w:color w:val="auto"/>
                <w:highlight w:val="none"/>
              </w:rPr>
            </w:pPr>
            <w:r>
              <w:rPr>
                <w:rFonts w:hint="eastAsia" w:ascii="仿宋_GB2312" w:eastAsia="仿宋_GB2312"/>
                <w:color w:val="auto"/>
                <w:highlight w:val="none"/>
              </w:rPr>
              <w:t>品牌</w:t>
            </w:r>
          </w:p>
        </w:tc>
        <w:tc>
          <w:tcPr>
            <w:tcW w:w="112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79DAA0">
            <w:pPr>
              <w:pStyle w:val="411"/>
              <w:jc w:val="center"/>
              <w:rPr>
                <w:rFonts w:hint="eastAsia" w:ascii="仿宋_GB2312" w:eastAsia="仿宋_GB2312"/>
                <w:color w:val="auto"/>
                <w:highlight w:val="none"/>
              </w:rPr>
            </w:pPr>
            <w:r>
              <w:rPr>
                <w:rFonts w:hint="eastAsia" w:ascii="仿宋_GB2312" w:eastAsia="仿宋_GB2312"/>
                <w:color w:val="auto"/>
                <w:highlight w:val="none"/>
              </w:rPr>
              <w:t>规格型号</w:t>
            </w:r>
          </w:p>
        </w:tc>
        <w:tc>
          <w:tcPr>
            <w:tcW w:w="8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287440">
            <w:pPr>
              <w:pStyle w:val="411"/>
              <w:jc w:val="center"/>
              <w:rPr>
                <w:rFonts w:hint="eastAsia" w:ascii="仿宋_GB2312" w:eastAsia="仿宋_GB2312"/>
                <w:color w:val="auto"/>
                <w:highlight w:val="none"/>
              </w:rPr>
            </w:pPr>
            <w:r>
              <w:rPr>
                <w:rFonts w:hint="eastAsia" w:ascii="仿宋_GB2312" w:eastAsia="仿宋_GB2312"/>
                <w:color w:val="auto"/>
                <w:highlight w:val="none"/>
              </w:rPr>
              <w:t>数量及单位</w:t>
            </w:r>
          </w:p>
        </w:tc>
        <w:tc>
          <w:tcPr>
            <w:tcW w:w="9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A72413">
            <w:pPr>
              <w:pStyle w:val="411"/>
              <w:jc w:val="center"/>
              <w:rPr>
                <w:rFonts w:hint="eastAsia" w:ascii="仿宋_GB2312" w:eastAsia="仿宋_GB2312"/>
                <w:color w:val="auto"/>
                <w:highlight w:val="none"/>
              </w:rPr>
            </w:pPr>
            <w:r>
              <w:rPr>
                <w:rFonts w:hint="eastAsia" w:ascii="仿宋_GB2312" w:eastAsia="仿宋_GB2312"/>
                <w:color w:val="auto"/>
                <w:highlight w:val="none"/>
              </w:rPr>
              <w:t>单价</w:t>
            </w:r>
          </w:p>
        </w:tc>
        <w:tc>
          <w:tcPr>
            <w:tcW w:w="233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E1971B">
            <w:pPr>
              <w:pStyle w:val="411"/>
              <w:jc w:val="center"/>
              <w:rPr>
                <w:rFonts w:hint="eastAsia" w:ascii="仿宋_GB2312" w:eastAsia="仿宋_GB2312"/>
                <w:color w:val="auto"/>
                <w:highlight w:val="none"/>
              </w:rPr>
            </w:pPr>
            <w:r>
              <w:rPr>
                <w:rFonts w:hint="eastAsia" w:ascii="仿宋_GB2312" w:eastAsia="仿宋_GB2312"/>
                <w:color w:val="auto"/>
                <w:highlight w:val="none"/>
              </w:rPr>
              <w:t>单项合价</w:t>
            </w:r>
          </w:p>
        </w:tc>
      </w:tr>
      <w:tr w14:paraId="7D4FC3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73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2CCFA8">
            <w:pPr>
              <w:pStyle w:val="411"/>
              <w:jc w:val="center"/>
              <w:rPr>
                <w:rFonts w:hint="eastAsia" w:ascii="仿宋_GB2312" w:eastAsia="仿宋_GB2312"/>
                <w:color w:val="auto"/>
                <w:highlight w:val="none"/>
              </w:rPr>
            </w:pPr>
            <w:r>
              <w:rPr>
                <w:rFonts w:hint="eastAsia" w:ascii="仿宋_GB2312" w:eastAsia="仿宋_GB2312"/>
                <w:color w:val="auto"/>
                <w:highlight w:val="none"/>
              </w:rPr>
              <w:t>1</w:t>
            </w:r>
          </w:p>
        </w:tc>
        <w:tc>
          <w:tcPr>
            <w:tcW w:w="122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B9D08E">
            <w:pPr>
              <w:pStyle w:val="411"/>
              <w:jc w:val="center"/>
              <w:rPr>
                <w:rFonts w:hint="eastAsia" w:ascii="仿宋_GB2312" w:eastAsia="仿宋_GB2312"/>
                <w:color w:val="auto"/>
                <w:highlight w:val="none"/>
              </w:rPr>
            </w:pPr>
            <w:r>
              <w:rPr>
                <w:rFonts w:hint="eastAsia" w:ascii="仿宋_GB2312" w:eastAsia="仿宋_GB2312"/>
                <w:color w:val="auto"/>
                <w:highlight w:val="none"/>
              </w:rPr>
              <w:t> </w:t>
            </w:r>
          </w:p>
        </w:tc>
        <w:tc>
          <w:tcPr>
            <w:tcW w:w="110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E19A18">
            <w:pPr>
              <w:pStyle w:val="411"/>
              <w:jc w:val="center"/>
              <w:rPr>
                <w:rFonts w:hint="eastAsia" w:ascii="仿宋_GB2312" w:eastAsia="仿宋_GB2312"/>
                <w:color w:val="auto"/>
                <w:highlight w:val="none"/>
              </w:rPr>
            </w:pPr>
            <w:r>
              <w:rPr>
                <w:rFonts w:hint="eastAsia" w:ascii="仿宋_GB2312" w:eastAsia="仿宋_GB2312"/>
                <w:color w:val="auto"/>
                <w:highlight w:val="none"/>
              </w:rPr>
              <w:t> </w:t>
            </w:r>
          </w:p>
        </w:tc>
        <w:tc>
          <w:tcPr>
            <w:tcW w:w="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C560CB">
            <w:pPr>
              <w:pStyle w:val="411"/>
              <w:jc w:val="center"/>
              <w:rPr>
                <w:rFonts w:hint="eastAsia" w:ascii="仿宋_GB2312" w:eastAsia="仿宋_GB2312"/>
                <w:color w:val="auto"/>
                <w:highlight w:val="none"/>
              </w:rPr>
            </w:pPr>
            <w:r>
              <w:rPr>
                <w:rFonts w:hint="eastAsia" w:ascii="仿宋_GB2312" w:eastAsia="仿宋_GB2312"/>
                <w:color w:val="auto"/>
                <w:highlight w:val="none"/>
              </w:rPr>
              <w:t> </w:t>
            </w:r>
          </w:p>
        </w:tc>
        <w:tc>
          <w:tcPr>
            <w:tcW w:w="112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8B149B">
            <w:pPr>
              <w:pStyle w:val="411"/>
              <w:jc w:val="center"/>
              <w:rPr>
                <w:rFonts w:hint="eastAsia" w:ascii="仿宋_GB2312" w:eastAsia="仿宋_GB2312"/>
                <w:color w:val="auto"/>
                <w:highlight w:val="none"/>
              </w:rPr>
            </w:pPr>
            <w:r>
              <w:rPr>
                <w:rFonts w:hint="eastAsia" w:ascii="仿宋_GB2312" w:eastAsia="仿宋_GB2312"/>
                <w:color w:val="auto"/>
                <w:highlight w:val="none"/>
              </w:rPr>
              <w:t> </w:t>
            </w:r>
          </w:p>
        </w:tc>
        <w:tc>
          <w:tcPr>
            <w:tcW w:w="8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46831D">
            <w:pPr>
              <w:pStyle w:val="411"/>
              <w:jc w:val="center"/>
              <w:rPr>
                <w:rFonts w:hint="eastAsia" w:ascii="仿宋_GB2312" w:eastAsia="仿宋_GB2312"/>
                <w:color w:val="auto"/>
                <w:highlight w:val="none"/>
              </w:rPr>
            </w:pPr>
            <w:r>
              <w:rPr>
                <w:rFonts w:hint="eastAsia" w:ascii="仿宋_GB2312" w:eastAsia="仿宋_GB2312"/>
                <w:color w:val="auto"/>
                <w:highlight w:val="none"/>
              </w:rPr>
              <w:t> </w:t>
            </w:r>
          </w:p>
        </w:tc>
        <w:tc>
          <w:tcPr>
            <w:tcW w:w="9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B21DE8">
            <w:pPr>
              <w:pStyle w:val="411"/>
              <w:jc w:val="center"/>
              <w:rPr>
                <w:rFonts w:hint="eastAsia" w:ascii="仿宋_GB2312" w:eastAsia="仿宋_GB2312"/>
                <w:color w:val="auto"/>
                <w:highlight w:val="none"/>
              </w:rPr>
            </w:pPr>
            <w:r>
              <w:rPr>
                <w:rFonts w:hint="eastAsia" w:ascii="仿宋_GB2312" w:eastAsia="仿宋_GB2312"/>
                <w:color w:val="auto"/>
                <w:highlight w:val="none"/>
              </w:rPr>
              <w:t> </w:t>
            </w:r>
          </w:p>
        </w:tc>
        <w:tc>
          <w:tcPr>
            <w:tcW w:w="233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A92589">
            <w:pPr>
              <w:pStyle w:val="411"/>
              <w:jc w:val="center"/>
              <w:rPr>
                <w:rFonts w:hint="eastAsia" w:ascii="仿宋_GB2312" w:eastAsia="仿宋_GB2312"/>
                <w:color w:val="auto"/>
                <w:highlight w:val="none"/>
              </w:rPr>
            </w:pPr>
            <w:r>
              <w:rPr>
                <w:rFonts w:hint="eastAsia" w:ascii="仿宋_GB2312" w:eastAsia="仿宋_GB2312"/>
                <w:color w:val="auto"/>
                <w:highlight w:val="none"/>
              </w:rPr>
              <w:t>  </w:t>
            </w:r>
          </w:p>
        </w:tc>
      </w:tr>
      <w:tr w14:paraId="471C77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73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7A543E">
            <w:pPr>
              <w:pStyle w:val="411"/>
              <w:jc w:val="center"/>
              <w:rPr>
                <w:rFonts w:hint="eastAsia" w:ascii="仿宋_GB2312" w:eastAsia="仿宋_GB2312"/>
                <w:color w:val="auto"/>
                <w:highlight w:val="none"/>
              </w:rPr>
            </w:pPr>
            <w:r>
              <w:rPr>
                <w:rFonts w:hint="eastAsia" w:ascii="仿宋_GB2312" w:eastAsia="仿宋_GB2312"/>
                <w:color w:val="auto"/>
                <w:highlight w:val="none"/>
              </w:rPr>
              <w:t>2</w:t>
            </w:r>
          </w:p>
        </w:tc>
        <w:tc>
          <w:tcPr>
            <w:tcW w:w="122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70E457">
            <w:pPr>
              <w:pStyle w:val="411"/>
              <w:jc w:val="center"/>
              <w:rPr>
                <w:rFonts w:hint="eastAsia" w:ascii="仿宋_GB2312" w:eastAsia="仿宋_GB2312"/>
                <w:color w:val="auto"/>
                <w:highlight w:val="none"/>
              </w:rPr>
            </w:pPr>
            <w:r>
              <w:rPr>
                <w:rFonts w:hint="eastAsia" w:ascii="仿宋_GB2312" w:eastAsia="仿宋_GB2312"/>
                <w:color w:val="auto"/>
                <w:highlight w:val="none"/>
              </w:rPr>
              <w:t> </w:t>
            </w:r>
          </w:p>
        </w:tc>
        <w:tc>
          <w:tcPr>
            <w:tcW w:w="110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31F92D">
            <w:pPr>
              <w:pStyle w:val="411"/>
              <w:jc w:val="center"/>
              <w:rPr>
                <w:rFonts w:hint="eastAsia" w:ascii="仿宋_GB2312" w:eastAsia="仿宋_GB2312"/>
                <w:color w:val="auto"/>
                <w:highlight w:val="none"/>
              </w:rPr>
            </w:pPr>
            <w:r>
              <w:rPr>
                <w:rFonts w:hint="eastAsia" w:ascii="仿宋_GB2312" w:eastAsia="仿宋_GB2312"/>
                <w:color w:val="auto"/>
                <w:highlight w:val="none"/>
              </w:rPr>
              <w:t> </w:t>
            </w:r>
          </w:p>
        </w:tc>
        <w:tc>
          <w:tcPr>
            <w:tcW w:w="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072FEF">
            <w:pPr>
              <w:pStyle w:val="411"/>
              <w:jc w:val="center"/>
              <w:rPr>
                <w:rFonts w:hint="eastAsia" w:ascii="仿宋_GB2312" w:eastAsia="仿宋_GB2312"/>
                <w:color w:val="auto"/>
                <w:highlight w:val="none"/>
              </w:rPr>
            </w:pPr>
            <w:r>
              <w:rPr>
                <w:rFonts w:hint="eastAsia" w:ascii="仿宋_GB2312" w:eastAsia="仿宋_GB2312"/>
                <w:color w:val="auto"/>
                <w:highlight w:val="none"/>
              </w:rPr>
              <w:t> </w:t>
            </w:r>
          </w:p>
        </w:tc>
        <w:tc>
          <w:tcPr>
            <w:tcW w:w="112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8BEEC4">
            <w:pPr>
              <w:pStyle w:val="411"/>
              <w:jc w:val="center"/>
              <w:rPr>
                <w:rFonts w:hint="eastAsia" w:ascii="仿宋_GB2312" w:eastAsia="仿宋_GB2312"/>
                <w:color w:val="auto"/>
                <w:highlight w:val="none"/>
              </w:rPr>
            </w:pPr>
            <w:r>
              <w:rPr>
                <w:rFonts w:hint="eastAsia" w:ascii="仿宋_GB2312" w:eastAsia="仿宋_GB2312"/>
                <w:color w:val="auto"/>
                <w:highlight w:val="none"/>
              </w:rPr>
              <w:t> </w:t>
            </w:r>
          </w:p>
        </w:tc>
        <w:tc>
          <w:tcPr>
            <w:tcW w:w="8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A334FD">
            <w:pPr>
              <w:pStyle w:val="411"/>
              <w:jc w:val="center"/>
              <w:rPr>
                <w:rFonts w:hint="eastAsia" w:ascii="仿宋_GB2312" w:eastAsia="仿宋_GB2312"/>
                <w:color w:val="auto"/>
                <w:highlight w:val="none"/>
              </w:rPr>
            </w:pPr>
            <w:r>
              <w:rPr>
                <w:rFonts w:hint="eastAsia" w:ascii="仿宋_GB2312" w:eastAsia="仿宋_GB2312"/>
                <w:color w:val="auto"/>
                <w:highlight w:val="none"/>
              </w:rPr>
              <w:t> </w:t>
            </w:r>
          </w:p>
        </w:tc>
        <w:tc>
          <w:tcPr>
            <w:tcW w:w="9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9014AE">
            <w:pPr>
              <w:pStyle w:val="411"/>
              <w:jc w:val="center"/>
              <w:rPr>
                <w:rFonts w:hint="eastAsia" w:ascii="仿宋_GB2312" w:eastAsia="仿宋_GB2312"/>
                <w:color w:val="auto"/>
                <w:highlight w:val="none"/>
              </w:rPr>
            </w:pPr>
            <w:r>
              <w:rPr>
                <w:rFonts w:hint="eastAsia" w:ascii="仿宋_GB2312" w:eastAsia="仿宋_GB2312"/>
                <w:color w:val="auto"/>
                <w:highlight w:val="none"/>
              </w:rPr>
              <w:t> </w:t>
            </w:r>
          </w:p>
        </w:tc>
        <w:tc>
          <w:tcPr>
            <w:tcW w:w="233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D1F00A">
            <w:pPr>
              <w:pStyle w:val="411"/>
              <w:jc w:val="center"/>
              <w:rPr>
                <w:rFonts w:hint="eastAsia" w:ascii="仿宋_GB2312" w:eastAsia="仿宋_GB2312"/>
                <w:color w:val="auto"/>
                <w:highlight w:val="none"/>
              </w:rPr>
            </w:pPr>
            <w:r>
              <w:rPr>
                <w:rFonts w:hint="eastAsia" w:ascii="仿宋_GB2312" w:eastAsia="仿宋_GB2312"/>
                <w:color w:val="auto"/>
                <w:highlight w:val="none"/>
              </w:rPr>
              <w:t>  </w:t>
            </w:r>
          </w:p>
        </w:tc>
      </w:tr>
      <w:tr w14:paraId="7E0DC2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3758"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9C459B">
            <w:pPr>
              <w:pStyle w:val="411"/>
              <w:jc w:val="center"/>
              <w:rPr>
                <w:rFonts w:hint="eastAsia" w:ascii="仿宋_GB2312" w:eastAsia="仿宋_GB2312"/>
                <w:color w:val="auto"/>
                <w:highlight w:val="none"/>
              </w:rPr>
            </w:pPr>
            <w:r>
              <w:rPr>
                <w:rFonts w:hint="eastAsia" w:ascii="仿宋_GB2312" w:eastAsia="仿宋_GB2312"/>
                <w:color w:val="auto"/>
                <w:highlight w:val="none"/>
              </w:rPr>
              <w:t>专用耗材</w:t>
            </w:r>
          </w:p>
        </w:tc>
        <w:tc>
          <w:tcPr>
            <w:tcW w:w="5254"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95A2A8">
            <w:pPr>
              <w:pStyle w:val="411"/>
              <w:jc w:val="center"/>
              <w:rPr>
                <w:rFonts w:hint="eastAsia" w:ascii="仿宋_GB2312" w:eastAsia="仿宋_GB2312"/>
                <w:color w:val="auto"/>
                <w:highlight w:val="none"/>
              </w:rPr>
            </w:pPr>
            <w:r>
              <w:rPr>
                <w:rFonts w:hint="eastAsia" w:ascii="仿宋_GB2312" w:eastAsia="仿宋_GB2312"/>
                <w:color w:val="auto"/>
                <w:highlight w:val="none"/>
              </w:rPr>
              <w:t>已含在投标报价中</w:t>
            </w:r>
          </w:p>
        </w:tc>
      </w:tr>
      <w:tr w14:paraId="446BD4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9012" w:type="dxa"/>
            <w:gridSpan w:val="8"/>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9563B2">
            <w:pPr>
              <w:pStyle w:val="411"/>
              <w:spacing w:line="405" w:lineRule="atLeast"/>
              <w:rPr>
                <w:rFonts w:hint="eastAsia" w:ascii="仿宋_GB2312" w:eastAsia="仿宋_GB2312"/>
                <w:color w:val="auto"/>
                <w:highlight w:val="none"/>
              </w:rPr>
            </w:pPr>
            <w:r>
              <w:rPr>
                <w:rFonts w:hint="eastAsia" w:ascii="仿宋_GB2312" w:eastAsia="仿宋_GB2312"/>
                <w:color w:val="auto"/>
                <w:highlight w:val="none"/>
              </w:rPr>
              <w:t>投标总价大写：</w:t>
            </w:r>
            <w:r>
              <w:rPr>
                <w:rFonts w:hint="eastAsia" w:ascii="仿宋_GB2312" w:eastAsia="仿宋_GB2312"/>
                <w:color w:val="auto"/>
                <w:highlight w:val="none"/>
                <w:u w:val="single"/>
              </w:rPr>
              <w:t>            </w:t>
            </w:r>
            <w:r>
              <w:rPr>
                <w:rFonts w:hint="eastAsia" w:ascii="仿宋_GB2312" w:eastAsia="仿宋_GB2312"/>
                <w:color w:val="auto"/>
                <w:highlight w:val="none"/>
              </w:rPr>
              <w:t>                ¥</w:t>
            </w:r>
            <w:r>
              <w:rPr>
                <w:rFonts w:hint="eastAsia" w:ascii="仿宋_GB2312" w:eastAsia="仿宋_GB2312"/>
                <w:color w:val="auto"/>
                <w:highlight w:val="none"/>
                <w:u w:val="single"/>
              </w:rPr>
              <w:t>       </w:t>
            </w:r>
          </w:p>
        </w:tc>
      </w:tr>
    </w:tbl>
    <w:p w14:paraId="5FD0309A">
      <w:pPr>
        <w:spacing w:before="0" w:beforeAutospacing="0" w:after="0" w:afterAutospacing="0"/>
        <w:rPr>
          <w:rFonts w:hint="eastAsia" w:ascii="仿宋_GB2312" w:eastAsia="仿宋_GB2312"/>
          <w:color w:val="auto"/>
          <w:highlight w:val="none"/>
        </w:rPr>
      </w:pPr>
      <w:r>
        <w:rPr>
          <w:rFonts w:hint="eastAsia" w:ascii="仿宋_GB2312" w:eastAsia="仿宋_GB2312"/>
          <w:color w:val="auto"/>
          <w:highlight w:val="none"/>
        </w:rPr>
        <w:t> </w:t>
      </w:r>
    </w:p>
    <w:p w14:paraId="7ED99DA7">
      <w:pPr>
        <w:pStyle w:val="411"/>
        <w:spacing w:line="405" w:lineRule="atLeast"/>
        <w:rPr>
          <w:rFonts w:hint="eastAsia" w:ascii="仿宋_GB2312" w:eastAsia="仿宋_GB2312"/>
          <w:color w:val="auto"/>
          <w:highlight w:val="none"/>
        </w:rPr>
      </w:pPr>
      <w:r>
        <w:rPr>
          <w:rFonts w:hint="eastAsia" w:ascii="仿宋_GB2312" w:eastAsia="仿宋_GB2312"/>
          <w:color w:val="auto"/>
          <w:highlight w:val="none"/>
        </w:rPr>
        <w:t>    注：</w:t>
      </w:r>
      <w:r>
        <w:rPr>
          <w:rFonts w:hint="eastAsia" w:ascii="仿宋_GB2312" w:eastAsia="仿宋_GB2312"/>
          <w:b/>
          <w:bCs/>
          <w:color w:val="auto"/>
          <w:highlight w:val="none"/>
        </w:rPr>
        <w:t>1.此项材料必须以PDF格式上传；</w:t>
      </w:r>
      <w:r>
        <w:rPr>
          <w:rFonts w:hint="eastAsia" w:ascii="仿宋_GB2312" w:eastAsia="仿宋_GB2312"/>
          <w:color w:val="auto"/>
          <w:highlight w:val="none"/>
        </w:rPr>
        <w:br w:type="textWrapping"/>
      </w:r>
      <w:r>
        <w:rPr>
          <w:rFonts w:hint="eastAsia" w:ascii="仿宋_GB2312" w:eastAsia="仿宋_GB2312"/>
          <w:color w:val="auto"/>
          <w:highlight w:val="none"/>
        </w:rPr>
        <w:t>    2.报价一经涂改，应在涂改处加盖投标人CA电子签章或者由法定代表人或授权委托代理人签字或盖章，否则其投标作无效标处理。</w:t>
      </w:r>
      <w:r>
        <w:rPr>
          <w:rFonts w:hint="eastAsia" w:ascii="仿宋_GB2312" w:eastAsia="仿宋_GB2312"/>
          <w:color w:val="auto"/>
          <w:highlight w:val="none"/>
        </w:rPr>
        <w:br w:type="textWrapping"/>
      </w:r>
      <w:r>
        <w:rPr>
          <w:rFonts w:hint="eastAsia" w:ascii="仿宋_GB2312" w:eastAsia="仿宋_GB2312"/>
          <w:color w:val="auto"/>
          <w:highlight w:val="none"/>
        </w:rPr>
        <w:t>    3.投标报价包括货物及货物运抵指定交付地点的所有成本、各种费用的总和；</w:t>
      </w:r>
      <w:r>
        <w:rPr>
          <w:rFonts w:hint="eastAsia" w:ascii="仿宋_GB2312" w:eastAsia="仿宋_GB2312"/>
          <w:color w:val="auto"/>
          <w:highlight w:val="none"/>
        </w:rPr>
        <w:br w:type="textWrapping"/>
      </w:r>
      <w:r>
        <w:rPr>
          <w:rFonts w:hint="eastAsia" w:ascii="仿宋_GB2312" w:eastAsia="仿宋_GB2312"/>
          <w:b/>
          <w:bCs/>
          <w:color w:val="auto"/>
          <w:highlight w:val="none"/>
        </w:rPr>
        <w:t xml:space="preserve">    </w:t>
      </w:r>
      <w:r>
        <w:rPr>
          <w:rFonts w:hint="eastAsia" w:ascii="仿宋_GB2312" w:eastAsia="仿宋_GB2312"/>
          <w:b/>
          <w:bCs/>
          <w:color w:val="auto"/>
          <w:highlight w:val="none"/>
          <w:lang w:val="en-US" w:eastAsia="zh-CN"/>
        </w:rPr>
        <w:t xml:space="preserve"> </w:t>
      </w:r>
      <w:r>
        <w:rPr>
          <w:rFonts w:hint="eastAsia" w:ascii="仿宋_GB2312" w:hAnsi="宋体" w:eastAsia="仿宋_GB2312" w:cs="宋体"/>
          <w:b w:val="0"/>
          <w:bCs w:val="0"/>
          <w:color w:val="auto"/>
          <w:highlight w:val="none"/>
        </w:rPr>
        <w:t>4.</w:t>
      </w:r>
      <w:r>
        <w:rPr>
          <w:rFonts w:hint="eastAsia" w:ascii="仿宋_GB2312" w:hAnsi="宋体" w:eastAsia="仿宋_GB2312" w:cs="宋体"/>
          <w:color w:val="auto"/>
          <w:highlight w:val="none"/>
        </w:rPr>
        <w:t>投标报价明细表单价汇总须与投标总价一致，投标总价须与开标一览表投标总报价一致。</w:t>
      </w:r>
    </w:p>
    <w:p w14:paraId="63EE4E5C">
      <w:pPr>
        <w:pStyle w:val="411"/>
        <w:spacing w:line="240" w:lineRule="auto"/>
        <w:ind w:left="-2"/>
        <w:rPr>
          <w:rFonts w:hint="eastAsia" w:ascii="仿宋_GB2312" w:eastAsia="仿宋_GB2312"/>
          <w:color w:val="auto"/>
          <w:highlight w:val="none"/>
        </w:rPr>
      </w:pPr>
      <w:r>
        <w:rPr>
          <w:rFonts w:hint="eastAsia" w:ascii="仿宋_GB2312" w:eastAsia="仿宋_GB2312"/>
          <w:color w:val="auto"/>
          <w:highlight w:val="none"/>
        </w:rPr>
        <w:t>  </w:t>
      </w:r>
    </w:p>
    <w:p w14:paraId="12DA1C17">
      <w:pPr>
        <w:pStyle w:val="411"/>
        <w:ind w:left="-2"/>
        <w:jc w:val="right"/>
        <w:rPr>
          <w:rFonts w:hint="eastAsia" w:ascii="仿宋_GB2312" w:eastAsia="仿宋_GB2312"/>
          <w:color w:val="auto"/>
          <w:highlight w:val="none"/>
        </w:rPr>
      </w:pPr>
      <w:r>
        <w:rPr>
          <w:rFonts w:hint="eastAsia" w:ascii="仿宋_GB2312" w:eastAsia="仿宋_GB2312"/>
          <w:color w:val="auto"/>
          <w:highlight w:val="none"/>
        </w:rPr>
        <w:t>法定代表人或委托代理人</w:t>
      </w:r>
      <w:r>
        <w:rPr>
          <w:rFonts w:hint="eastAsia" w:ascii="仿宋_GB2312" w:eastAsia="仿宋_GB2312"/>
          <w:b/>
          <w:bCs/>
          <w:color w:val="auto"/>
          <w:highlight w:val="none"/>
        </w:rPr>
        <w:t>（签字）：</w:t>
      </w:r>
      <w:r>
        <w:rPr>
          <w:rFonts w:hint="eastAsia" w:ascii="仿宋_GB2312" w:eastAsia="仿宋_GB2312"/>
          <w:b/>
          <w:bCs/>
          <w:color w:val="auto"/>
          <w:highlight w:val="none"/>
          <w:u w:val="single"/>
        </w:rPr>
        <w:t>       </w:t>
      </w:r>
    </w:p>
    <w:p w14:paraId="1F8EECFE">
      <w:pPr>
        <w:pStyle w:val="411"/>
        <w:jc w:val="right"/>
        <w:rPr>
          <w:rFonts w:hint="eastAsia" w:ascii="仿宋_GB2312" w:eastAsia="仿宋_GB2312"/>
          <w:color w:val="auto"/>
          <w:highlight w:val="none"/>
        </w:rPr>
      </w:pPr>
      <w:r>
        <w:rPr>
          <w:rFonts w:hint="eastAsia" w:ascii="仿宋_GB2312" w:eastAsia="仿宋_GB2312"/>
          <w:color w:val="auto"/>
          <w:highlight w:val="none"/>
        </w:rPr>
        <w:t>          投标人</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w:t>
      </w:r>
    </w:p>
    <w:p w14:paraId="0789076E">
      <w:pPr>
        <w:pStyle w:val="411"/>
        <w:jc w:val="right"/>
        <w:rPr>
          <w:rFonts w:hint="eastAsia" w:ascii="仿宋_GB2312" w:eastAsia="仿宋_GB2312"/>
          <w:color w:val="auto"/>
          <w:highlight w:val="none"/>
        </w:rPr>
      </w:pPr>
      <w:r>
        <w:rPr>
          <w:rFonts w:hint="eastAsia" w:ascii="仿宋_GB2312" w:eastAsia="仿宋_GB2312"/>
          <w:color w:val="auto"/>
          <w:highlight w:val="none"/>
        </w:rPr>
        <w:t>                                                          日期：   年 月 日</w:t>
      </w:r>
    </w:p>
    <w:p w14:paraId="0B3BED90">
      <w:pPr>
        <w:spacing w:line="320" w:lineRule="exact"/>
        <w:ind w:right="720" w:firstLine="480"/>
        <w:jc w:val="right"/>
        <w:rPr>
          <w:rFonts w:hint="eastAsia" w:ascii="仿宋_GB2312" w:hAnsi="宋体" w:eastAsia="仿宋_GB2312" w:cs="Courier New"/>
          <w:color w:val="auto"/>
          <w:sz w:val="24"/>
          <w:highlight w:val="none"/>
        </w:rPr>
        <w:sectPr>
          <w:pgSz w:w="11906" w:h="16838"/>
          <w:pgMar w:top="1440" w:right="1440" w:bottom="1440" w:left="1440" w:header="851" w:footer="992" w:gutter="0"/>
          <w:cols w:space="720" w:num="1"/>
          <w:docGrid w:linePitch="312" w:charSpace="0"/>
        </w:sectPr>
      </w:pPr>
    </w:p>
    <w:p w14:paraId="5C260384">
      <w:pPr>
        <w:snapToGrid w:val="0"/>
        <w:spacing w:before="120" w:beforeLines="50" w:after="50" w:line="400" w:lineRule="exact"/>
        <w:outlineLvl w:val="1"/>
        <w:rPr>
          <w:rFonts w:ascii="仿宋_GB2312" w:eastAsia="仿宋_GB2312"/>
          <w:b/>
          <w:bCs/>
          <w:color w:val="auto"/>
          <w:szCs w:val="21"/>
          <w:highlight w:val="none"/>
        </w:rPr>
      </w:pPr>
    </w:p>
    <w:p w14:paraId="3961C72E">
      <w:pPr>
        <w:snapToGrid w:val="0"/>
        <w:spacing w:before="120" w:beforeLines="50" w:after="50" w:line="400" w:lineRule="exact"/>
        <w:outlineLvl w:val="1"/>
        <w:rPr>
          <w:rFonts w:ascii="仿宋_GB2312" w:eastAsia="仿宋_GB2312"/>
          <w:b/>
          <w:bCs/>
          <w:color w:val="auto"/>
          <w:szCs w:val="21"/>
          <w:highlight w:val="none"/>
        </w:rPr>
      </w:pPr>
    </w:p>
    <w:p w14:paraId="7722FC96">
      <w:pPr>
        <w:snapToGrid w:val="0"/>
        <w:spacing w:before="120" w:beforeLines="50" w:after="50" w:line="400" w:lineRule="exact"/>
        <w:outlineLvl w:val="1"/>
        <w:rPr>
          <w:rFonts w:ascii="仿宋_GB2312" w:eastAsia="仿宋_GB2312"/>
          <w:b/>
          <w:bCs/>
          <w:color w:val="auto"/>
          <w:szCs w:val="21"/>
          <w:highlight w:val="none"/>
        </w:rPr>
      </w:pPr>
    </w:p>
    <w:p w14:paraId="1440EE45">
      <w:pPr>
        <w:snapToGrid w:val="0"/>
        <w:spacing w:before="120" w:beforeLines="50" w:after="50" w:line="400" w:lineRule="exact"/>
        <w:outlineLvl w:val="1"/>
        <w:rPr>
          <w:rFonts w:ascii="仿宋_GB2312" w:eastAsia="仿宋_GB2312"/>
          <w:b/>
          <w:bCs/>
          <w:color w:val="auto"/>
          <w:szCs w:val="21"/>
          <w:highlight w:val="none"/>
        </w:rPr>
      </w:pPr>
    </w:p>
    <w:p w14:paraId="1A019693">
      <w:pPr>
        <w:snapToGrid w:val="0"/>
        <w:spacing w:before="120" w:beforeLines="50" w:after="50" w:line="400" w:lineRule="exact"/>
        <w:outlineLvl w:val="1"/>
        <w:rPr>
          <w:rFonts w:ascii="仿宋_GB2312" w:eastAsia="仿宋_GB2312"/>
          <w:b/>
          <w:bCs/>
          <w:color w:val="auto"/>
          <w:szCs w:val="21"/>
          <w:highlight w:val="none"/>
        </w:rPr>
      </w:pPr>
    </w:p>
    <w:p w14:paraId="49FA4025">
      <w:pPr>
        <w:snapToGrid w:val="0"/>
        <w:spacing w:before="120" w:beforeLines="50" w:after="50" w:line="400" w:lineRule="exact"/>
        <w:outlineLvl w:val="1"/>
        <w:rPr>
          <w:rFonts w:ascii="仿宋_GB2312" w:eastAsia="仿宋_GB2312"/>
          <w:b/>
          <w:bCs/>
          <w:color w:val="auto"/>
          <w:szCs w:val="21"/>
          <w:highlight w:val="none"/>
        </w:rPr>
      </w:pPr>
    </w:p>
    <w:p w14:paraId="207BB4DE">
      <w:pPr>
        <w:snapToGrid w:val="0"/>
        <w:spacing w:before="120" w:beforeLines="50" w:after="50" w:line="400" w:lineRule="exact"/>
        <w:outlineLvl w:val="1"/>
        <w:rPr>
          <w:rFonts w:ascii="仿宋_GB2312" w:eastAsia="仿宋_GB2312"/>
          <w:b/>
          <w:bCs/>
          <w:color w:val="auto"/>
          <w:szCs w:val="21"/>
          <w:highlight w:val="none"/>
        </w:rPr>
      </w:pPr>
    </w:p>
    <w:p w14:paraId="44D671EE">
      <w:pPr>
        <w:snapToGrid w:val="0"/>
        <w:spacing w:before="120" w:beforeLines="50" w:after="50" w:line="400" w:lineRule="exact"/>
        <w:outlineLvl w:val="1"/>
        <w:rPr>
          <w:rFonts w:ascii="仿宋_GB2312" w:eastAsia="仿宋_GB2312"/>
          <w:b/>
          <w:bCs/>
          <w:color w:val="auto"/>
          <w:szCs w:val="21"/>
          <w:highlight w:val="none"/>
        </w:rPr>
      </w:pPr>
    </w:p>
    <w:p w14:paraId="71DD83A9">
      <w:pPr>
        <w:snapToGrid w:val="0"/>
        <w:spacing w:before="120" w:beforeLines="50" w:after="50" w:line="400" w:lineRule="exact"/>
        <w:outlineLvl w:val="1"/>
        <w:rPr>
          <w:rFonts w:ascii="仿宋_GB2312" w:eastAsia="仿宋_GB2312"/>
          <w:b/>
          <w:bCs/>
          <w:color w:val="auto"/>
          <w:szCs w:val="21"/>
          <w:highlight w:val="none"/>
        </w:rPr>
      </w:pPr>
    </w:p>
    <w:p w14:paraId="5A10E02E">
      <w:pPr>
        <w:snapToGrid w:val="0"/>
        <w:spacing w:before="120" w:beforeLines="50" w:after="50" w:line="400" w:lineRule="exact"/>
        <w:outlineLvl w:val="1"/>
        <w:rPr>
          <w:rFonts w:ascii="仿宋_GB2312" w:eastAsia="仿宋_GB2312"/>
          <w:b/>
          <w:bCs/>
          <w:color w:val="auto"/>
          <w:szCs w:val="21"/>
          <w:highlight w:val="none"/>
        </w:rPr>
      </w:pPr>
    </w:p>
    <w:p w14:paraId="5475333B">
      <w:pPr>
        <w:snapToGrid w:val="0"/>
        <w:spacing w:before="120" w:beforeLines="50" w:after="50" w:line="400" w:lineRule="exact"/>
        <w:outlineLvl w:val="1"/>
        <w:rPr>
          <w:rFonts w:ascii="仿宋_GB2312" w:eastAsia="仿宋_GB2312"/>
          <w:b/>
          <w:bCs/>
          <w:color w:val="auto"/>
          <w:szCs w:val="21"/>
          <w:highlight w:val="none"/>
        </w:rPr>
      </w:pPr>
    </w:p>
    <w:p w14:paraId="2F3B3534">
      <w:pPr>
        <w:spacing w:line="276" w:lineRule="auto"/>
        <w:rPr>
          <w:rFonts w:hint="eastAsia" w:ascii="仿宋_GB2312" w:hAnsi="宋体" w:eastAsia="仿宋_GB2312"/>
          <w:b/>
          <w:bCs/>
          <w:color w:val="auto"/>
          <w:w w:val="95"/>
          <w:sz w:val="56"/>
          <w:szCs w:val="56"/>
          <w:highlight w:val="none"/>
        </w:rPr>
      </w:pPr>
      <w:r>
        <w:rPr>
          <w:rFonts w:hint="eastAsia" w:ascii="仿宋_GB2312" w:hAnsi="宋体" w:eastAsia="仿宋_GB2312"/>
          <w:b/>
          <w:bCs/>
          <w:color w:val="auto"/>
          <w:w w:val="95"/>
          <w:sz w:val="56"/>
          <w:szCs w:val="56"/>
          <w:highlight w:val="none"/>
        </w:rPr>
        <w:t xml:space="preserve">三、商 </w:t>
      </w:r>
      <w:r>
        <w:rPr>
          <w:rFonts w:ascii="仿宋_GB2312" w:hAnsi="宋体" w:eastAsia="仿宋_GB2312"/>
          <w:b/>
          <w:bCs/>
          <w:color w:val="auto"/>
          <w:w w:val="95"/>
          <w:sz w:val="56"/>
          <w:szCs w:val="56"/>
          <w:highlight w:val="none"/>
        </w:rPr>
        <w:t xml:space="preserve"> </w:t>
      </w:r>
      <w:r>
        <w:rPr>
          <w:rFonts w:hint="eastAsia" w:ascii="仿宋_GB2312" w:hAnsi="宋体" w:eastAsia="仿宋_GB2312"/>
          <w:b/>
          <w:bCs/>
          <w:color w:val="auto"/>
          <w:w w:val="95"/>
          <w:sz w:val="56"/>
          <w:szCs w:val="56"/>
          <w:highlight w:val="none"/>
        </w:rPr>
        <w:t xml:space="preserve">务 </w:t>
      </w:r>
      <w:r>
        <w:rPr>
          <w:rFonts w:ascii="仿宋_GB2312" w:hAnsi="宋体" w:eastAsia="仿宋_GB2312"/>
          <w:b/>
          <w:bCs/>
          <w:color w:val="auto"/>
          <w:w w:val="95"/>
          <w:sz w:val="56"/>
          <w:szCs w:val="56"/>
          <w:highlight w:val="none"/>
        </w:rPr>
        <w:t xml:space="preserve"> </w:t>
      </w:r>
      <w:r>
        <w:rPr>
          <w:rFonts w:hint="eastAsia" w:ascii="仿宋_GB2312" w:hAnsi="宋体" w:eastAsia="仿宋_GB2312"/>
          <w:b/>
          <w:bCs/>
          <w:color w:val="auto"/>
          <w:w w:val="95"/>
          <w:sz w:val="56"/>
          <w:szCs w:val="56"/>
          <w:highlight w:val="none"/>
        </w:rPr>
        <w:t xml:space="preserve">技 </w:t>
      </w:r>
      <w:r>
        <w:rPr>
          <w:rFonts w:ascii="仿宋_GB2312" w:hAnsi="宋体" w:eastAsia="仿宋_GB2312"/>
          <w:b/>
          <w:bCs/>
          <w:color w:val="auto"/>
          <w:w w:val="95"/>
          <w:sz w:val="56"/>
          <w:szCs w:val="56"/>
          <w:highlight w:val="none"/>
        </w:rPr>
        <w:t xml:space="preserve"> </w:t>
      </w:r>
      <w:r>
        <w:rPr>
          <w:rFonts w:hint="eastAsia" w:ascii="仿宋_GB2312" w:hAnsi="宋体" w:eastAsia="仿宋_GB2312"/>
          <w:b/>
          <w:bCs/>
          <w:color w:val="auto"/>
          <w:w w:val="95"/>
          <w:sz w:val="56"/>
          <w:szCs w:val="56"/>
          <w:highlight w:val="none"/>
        </w:rPr>
        <w:t xml:space="preserve">术 </w:t>
      </w:r>
      <w:r>
        <w:rPr>
          <w:rFonts w:ascii="仿宋_GB2312" w:hAnsi="宋体" w:eastAsia="仿宋_GB2312"/>
          <w:b/>
          <w:bCs/>
          <w:color w:val="auto"/>
          <w:w w:val="95"/>
          <w:sz w:val="56"/>
          <w:szCs w:val="56"/>
          <w:highlight w:val="none"/>
        </w:rPr>
        <w:t xml:space="preserve"> </w:t>
      </w:r>
      <w:r>
        <w:rPr>
          <w:rFonts w:hint="eastAsia" w:ascii="仿宋_GB2312" w:hAnsi="宋体" w:eastAsia="仿宋_GB2312"/>
          <w:b/>
          <w:bCs/>
          <w:color w:val="auto"/>
          <w:w w:val="95"/>
          <w:sz w:val="56"/>
          <w:szCs w:val="56"/>
          <w:highlight w:val="none"/>
        </w:rPr>
        <w:t xml:space="preserve">文  件 </w:t>
      </w:r>
      <w:r>
        <w:rPr>
          <w:rFonts w:ascii="仿宋_GB2312" w:hAnsi="宋体" w:eastAsia="仿宋_GB2312"/>
          <w:b/>
          <w:bCs/>
          <w:color w:val="auto"/>
          <w:w w:val="95"/>
          <w:sz w:val="56"/>
          <w:szCs w:val="56"/>
          <w:highlight w:val="none"/>
        </w:rPr>
        <w:t xml:space="preserve"> </w:t>
      </w:r>
      <w:r>
        <w:rPr>
          <w:rFonts w:hint="eastAsia" w:ascii="仿宋_GB2312" w:hAnsi="宋体" w:eastAsia="仿宋_GB2312"/>
          <w:b/>
          <w:bCs/>
          <w:color w:val="auto"/>
          <w:w w:val="95"/>
          <w:sz w:val="56"/>
          <w:szCs w:val="56"/>
          <w:highlight w:val="none"/>
        </w:rPr>
        <w:t xml:space="preserve">格 </w:t>
      </w:r>
      <w:r>
        <w:rPr>
          <w:rFonts w:ascii="仿宋_GB2312" w:hAnsi="宋体" w:eastAsia="仿宋_GB2312"/>
          <w:b/>
          <w:bCs/>
          <w:color w:val="auto"/>
          <w:w w:val="95"/>
          <w:sz w:val="56"/>
          <w:szCs w:val="56"/>
          <w:highlight w:val="none"/>
        </w:rPr>
        <w:t xml:space="preserve"> </w:t>
      </w:r>
      <w:r>
        <w:rPr>
          <w:rFonts w:hint="eastAsia" w:ascii="仿宋_GB2312" w:hAnsi="宋体" w:eastAsia="仿宋_GB2312"/>
          <w:b/>
          <w:bCs/>
          <w:color w:val="auto"/>
          <w:w w:val="95"/>
          <w:sz w:val="56"/>
          <w:szCs w:val="56"/>
          <w:highlight w:val="none"/>
        </w:rPr>
        <w:t>式</w:t>
      </w:r>
    </w:p>
    <w:p w14:paraId="470BB187">
      <w:pPr>
        <w:spacing w:line="276" w:lineRule="auto"/>
        <w:rPr>
          <w:rFonts w:hint="eastAsia" w:ascii="仿宋_GB2312" w:hAnsi="宋体" w:eastAsia="仿宋_GB2312"/>
          <w:b/>
          <w:bCs/>
          <w:color w:val="auto"/>
          <w:w w:val="95"/>
          <w:sz w:val="56"/>
          <w:szCs w:val="56"/>
          <w:highlight w:val="none"/>
        </w:rPr>
      </w:pPr>
    </w:p>
    <w:p w14:paraId="7750B31B">
      <w:pPr>
        <w:spacing w:line="320" w:lineRule="exact"/>
        <w:ind w:right="1080"/>
        <w:jc w:val="left"/>
        <w:rPr>
          <w:rFonts w:hint="eastAsia" w:ascii="仿宋_GB2312" w:hAnsi="宋体" w:eastAsia="仿宋_GB2312" w:cs="Courier New"/>
          <w:color w:val="auto"/>
          <w:sz w:val="24"/>
          <w:highlight w:val="none"/>
        </w:rPr>
        <w:sectPr>
          <w:pgSz w:w="11906" w:h="16838"/>
          <w:pgMar w:top="1440" w:right="1440" w:bottom="1440" w:left="1440" w:header="851" w:footer="992" w:gutter="0"/>
          <w:cols w:space="720" w:num="1"/>
          <w:docGrid w:linePitch="312" w:charSpace="0"/>
        </w:sectPr>
      </w:pPr>
    </w:p>
    <w:p w14:paraId="26A65DFD">
      <w:pPr>
        <w:snapToGrid w:val="0"/>
        <w:spacing w:before="50" w:after="50" w:line="400" w:lineRule="exact"/>
        <w:rPr>
          <w:rFonts w:ascii="仿宋_GB2312" w:eastAsia="仿宋_GB2312"/>
          <w:b/>
          <w:bCs/>
          <w:color w:val="auto"/>
          <w:sz w:val="24"/>
          <w:highlight w:val="none"/>
        </w:rPr>
      </w:pPr>
      <w:r>
        <w:rPr>
          <w:rFonts w:hint="eastAsia" w:ascii="仿宋_GB2312" w:eastAsia="仿宋_GB2312"/>
          <w:b/>
          <w:color w:val="auto"/>
          <w:sz w:val="24"/>
          <w:highlight w:val="none"/>
        </w:rPr>
        <w:t>商务技术</w:t>
      </w:r>
      <w:r>
        <w:rPr>
          <w:rFonts w:hint="eastAsia" w:ascii="仿宋_GB2312" w:eastAsia="仿宋_GB2312"/>
          <w:b/>
          <w:bCs/>
          <w:color w:val="auto"/>
          <w:sz w:val="24"/>
          <w:highlight w:val="none"/>
        </w:rPr>
        <w:t>文件目录：</w:t>
      </w:r>
    </w:p>
    <w:p w14:paraId="5770737F">
      <w:pPr>
        <w:snapToGrid w:val="0"/>
        <w:spacing w:before="50" w:after="50"/>
        <w:rPr>
          <w:rFonts w:ascii="仿宋_GB2312" w:eastAsia="仿宋_GB2312"/>
          <w:b/>
          <w:bCs/>
          <w:color w:val="auto"/>
          <w:sz w:val="24"/>
          <w:highlight w:val="none"/>
        </w:rPr>
      </w:pPr>
    </w:p>
    <w:p w14:paraId="100BBF02">
      <w:pPr>
        <w:tabs>
          <w:tab w:val="left" w:pos="3870"/>
          <w:tab w:val="left" w:pos="4085"/>
        </w:tabs>
        <w:snapToGrid w:val="0"/>
        <w:spacing w:line="400" w:lineRule="exact"/>
        <w:jc w:val="center"/>
        <w:rPr>
          <w:color w:val="auto"/>
          <w:sz w:val="44"/>
          <w:szCs w:val="44"/>
          <w:highlight w:val="none"/>
        </w:rPr>
      </w:pPr>
      <w:r>
        <w:rPr>
          <w:color w:val="auto"/>
          <w:sz w:val="44"/>
          <w:szCs w:val="44"/>
          <w:highlight w:val="none"/>
        </w:rPr>
        <w:t>目    录</w:t>
      </w:r>
    </w:p>
    <w:p w14:paraId="692D667E">
      <w:pPr>
        <w:pStyle w:val="431"/>
        <w:spacing w:before="0" w:beforeAutospacing="0" w:after="0" w:afterAutospacing="0" w:line="400" w:lineRule="atLeast"/>
        <w:rPr>
          <w:rFonts w:ascii="仿宋_GB2312" w:eastAsia="仿宋_GB2312"/>
          <w:color w:val="auto"/>
          <w:highlight w:val="none"/>
        </w:rPr>
      </w:pPr>
      <w:r>
        <w:rPr>
          <w:rFonts w:hint="eastAsia" w:ascii="仿宋_GB2312" w:eastAsia="仿宋_GB2312"/>
          <w:color w:val="auto"/>
          <w:highlight w:val="none"/>
        </w:rPr>
        <w:t>  （1）投标函（</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603B99C2">
      <w:pPr>
        <w:pStyle w:val="431"/>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（2）技术响应表（</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0DB4491C">
      <w:pPr>
        <w:pStyle w:val="431"/>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（3）商务响应表（</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47E56E34">
      <w:pPr>
        <w:pStyle w:val="431"/>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4）分标1投标产品“教师台式机”、“网络教室教师机”、“网络教室学生机”和分标2投标产品“网络教室教师机”、“网络教室学生机”为政府强制采购节能产品，由国家确定的认证机构出具的、处于有效期之内的节能产品认证证书（</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2EDF4567">
      <w:pPr>
        <w:pStyle w:val="927"/>
        <w:spacing w:before="0" w:beforeAutospacing="0" w:after="0" w:afterAutospacing="0" w:line="360"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（5）</w:t>
      </w:r>
      <w:r>
        <w:rPr>
          <w:rFonts w:hint="eastAsia" w:ascii="仿宋_GB2312" w:eastAsia="仿宋_GB2312"/>
          <w:color w:val="auto"/>
          <w:highlight w:val="none"/>
          <w:lang w:eastAsia="zh-CN"/>
        </w:rPr>
        <w:t>分标</w:t>
      </w:r>
      <w:r>
        <w:rPr>
          <w:rFonts w:hint="eastAsia" w:ascii="仿宋_GB2312" w:eastAsia="仿宋_GB2312"/>
          <w:color w:val="auto"/>
          <w:highlight w:val="none"/>
          <w:lang w:val="en-US" w:eastAsia="zh-CN"/>
        </w:rPr>
        <w:t>1</w:t>
      </w:r>
      <w:r>
        <w:rPr>
          <w:rFonts w:hint="eastAsia" w:ascii="仿宋_GB2312" w:eastAsia="仿宋_GB2312"/>
          <w:color w:val="auto"/>
          <w:highlight w:val="none"/>
        </w:rPr>
        <w:t>所投产品</w:t>
      </w:r>
      <w:r>
        <w:rPr>
          <w:rFonts w:hint="eastAsia" w:ascii="仿宋_GB2312" w:eastAsia="仿宋_GB2312"/>
          <w:color w:val="auto"/>
          <w:highlight w:val="none"/>
          <w:lang w:eastAsia="zh-CN"/>
        </w:rPr>
        <w:t>满足</w:t>
      </w:r>
      <w:r>
        <w:rPr>
          <w:rFonts w:hint="eastAsia" w:ascii="仿宋_GB2312" w:eastAsia="仿宋_GB2312"/>
          <w:color w:val="auto"/>
          <w:highlight w:val="none"/>
        </w:rPr>
        <w:t>采购</w:t>
      </w:r>
      <w:r>
        <w:rPr>
          <w:rFonts w:hint="eastAsia" w:ascii="仿宋_GB2312" w:eastAsia="仿宋_GB2312"/>
          <w:b w:val="0"/>
          <w:bCs w:val="0"/>
          <w:color w:val="auto"/>
          <w:highlight w:val="none"/>
        </w:rPr>
        <w:t>需求“</w:t>
      </w:r>
      <w:r>
        <w:rPr>
          <w:rFonts w:hint="eastAsia" w:ascii="仿宋_GB2312" w:hAnsi="仿宋_GB2312" w:eastAsia="仿宋_GB2312" w:cs="仿宋_GB2312"/>
          <w:b w:val="0"/>
          <w:bCs w:val="0"/>
          <w:color w:val="auto"/>
          <w:kern w:val="0"/>
          <w:sz w:val="24"/>
          <w:szCs w:val="24"/>
          <w:highlight w:val="none"/>
        </w:rPr>
        <w:t>（</w:t>
      </w:r>
      <w:r>
        <w:rPr>
          <w:rFonts w:hint="eastAsia" w:ascii="仿宋_GB2312" w:hAnsi="仿宋_GB2312" w:eastAsia="仿宋_GB2312" w:cs="仿宋_GB2312"/>
          <w:b w:val="0"/>
          <w:bCs w:val="0"/>
          <w:color w:val="auto"/>
          <w:kern w:val="0"/>
          <w:sz w:val="24"/>
          <w:szCs w:val="24"/>
          <w:highlight w:val="none"/>
          <w:lang w:eastAsia="zh-CN"/>
        </w:rPr>
        <w:t>三</w:t>
      </w:r>
      <w:r>
        <w:rPr>
          <w:rFonts w:hint="eastAsia" w:ascii="仿宋_GB2312" w:hAnsi="仿宋_GB2312" w:eastAsia="仿宋_GB2312" w:cs="仿宋_GB2312"/>
          <w:b w:val="0"/>
          <w:bCs w:val="0"/>
          <w:color w:val="auto"/>
          <w:kern w:val="0"/>
          <w:sz w:val="24"/>
          <w:szCs w:val="24"/>
          <w:highlight w:val="none"/>
        </w:rPr>
        <w:t>）</w:t>
      </w:r>
      <w:r>
        <w:rPr>
          <w:rFonts w:hint="eastAsia" w:ascii="仿宋_GB2312" w:hAnsi="仿宋_GB2312" w:eastAsia="仿宋_GB2312" w:cs="仿宋_GB2312"/>
          <w:b w:val="0"/>
          <w:bCs w:val="0"/>
          <w:color w:val="auto"/>
          <w:kern w:val="0"/>
          <w:sz w:val="24"/>
          <w:szCs w:val="24"/>
          <w:highlight w:val="none"/>
          <w:lang w:val="en-US" w:eastAsia="zh-CN"/>
        </w:rPr>
        <w:t xml:space="preserve">32套普通教室互动平板一体机教学系统 </w:t>
      </w:r>
      <w:r>
        <w:rPr>
          <w:rFonts w:hint="eastAsia" w:ascii="仿宋_GB2312" w:hAnsi="仿宋_GB2312" w:eastAsia="仿宋_GB2312" w:cs="仿宋_GB2312"/>
          <w:b w:val="0"/>
          <w:bCs w:val="0"/>
          <w:color w:val="auto"/>
          <w:sz w:val="24"/>
          <w:szCs w:val="24"/>
          <w:highlight w:val="none"/>
          <w:lang w:val="en-US" w:eastAsia="zh-CN"/>
        </w:rPr>
        <w:t>1.</w:t>
      </w:r>
      <w:r>
        <w:rPr>
          <w:rFonts w:hint="eastAsia" w:ascii="仿宋_GB2312" w:hAnsi="仿宋_GB2312" w:eastAsia="仿宋_GB2312" w:cs="仿宋_GB2312"/>
          <w:b w:val="0"/>
          <w:bCs w:val="0"/>
          <w:color w:val="auto"/>
          <w:kern w:val="0"/>
          <w:sz w:val="24"/>
          <w:highlight w:val="none"/>
        </w:rPr>
        <w:t>互动平板一体机</w:t>
      </w:r>
      <w:r>
        <w:rPr>
          <w:rFonts w:hint="eastAsia" w:ascii="仿宋_GB2312" w:hAnsi="仿宋_GB2312" w:eastAsia="仿宋_GB2312" w:cs="仿宋_GB2312"/>
          <w:b w:val="0"/>
          <w:bCs w:val="0"/>
          <w:color w:val="auto"/>
          <w:kern w:val="0"/>
          <w:sz w:val="24"/>
          <w:highlight w:val="none"/>
          <w:lang w:val="en-US" w:eastAsia="zh-CN"/>
        </w:rPr>
        <w:t xml:space="preserve"> </w:t>
      </w:r>
      <w:r>
        <w:rPr>
          <w:rFonts w:hint="eastAsia" w:ascii="仿宋_GB2312" w:hAnsi="仿宋_GB2312" w:eastAsia="仿宋_GB2312" w:cs="仿宋_GB2312"/>
          <w:b w:val="0"/>
          <w:bCs w:val="0"/>
          <w:color w:val="auto"/>
          <w:sz w:val="24"/>
          <w:highlight w:val="none"/>
          <w:lang w:val="en-US" w:eastAsia="zh-CN"/>
        </w:rPr>
        <w:t xml:space="preserve">二、整机屏幕及护眼设计 </w:t>
      </w:r>
      <w:r>
        <w:rPr>
          <w:rFonts w:hint="eastAsia" w:ascii="仿宋_GB2312" w:hAnsi="仿宋_GB2312" w:eastAsia="仿宋_GB2312" w:cs="仿宋_GB2312"/>
          <w:b w:val="0"/>
          <w:bCs w:val="0"/>
          <w:color w:val="auto"/>
          <w:kern w:val="0"/>
          <w:sz w:val="24"/>
          <w:highlight w:val="none"/>
          <w:lang w:val="en-US" w:eastAsia="zh-CN"/>
        </w:rPr>
        <w:t>第9点、</w:t>
      </w:r>
      <w:r>
        <w:rPr>
          <w:rFonts w:hint="eastAsia" w:ascii="仿宋_GB2312" w:hAnsi="仿宋_GB2312" w:eastAsia="仿宋_GB2312" w:cs="仿宋_GB2312"/>
          <w:b w:val="0"/>
          <w:bCs w:val="0"/>
          <w:color w:val="auto"/>
          <w:sz w:val="24"/>
          <w:highlight w:val="none"/>
          <w:lang w:val="en-US" w:eastAsia="zh-CN"/>
        </w:rPr>
        <w:t>三、音视频功能设计 第1点、第3点”</w:t>
      </w:r>
      <w:r>
        <w:rPr>
          <w:rFonts w:hint="eastAsia" w:ascii="仿宋_GB2312" w:eastAsia="仿宋_GB2312"/>
          <w:b w:val="0"/>
          <w:bCs w:val="0"/>
          <w:color w:val="auto"/>
          <w:highlight w:val="none"/>
        </w:rPr>
        <w:t>的全部技术参数要求的证明材料，证明材料可以是检测（检验）报告、彩页、官网或功能截图等任意一种</w:t>
      </w:r>
      <w:r>
        <w:rPr>
          <w:rFonts w:hint="eastAsia" w:ascii="仿宋_GB2312" w:eastAsia="仿宋_GB2312"/>
          <w:color w:val="auto"/>
          <w:highlight w:val="none"/>
        </w:rPr>
        <w:t>（</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2C4E47AB">
      <w:pPr>
        <w:pStyle w:val="927"/>
        <w:spacing w:before="0" w:beforeAutospacing="0" w:after="0" w:afterAutospacing="0" w:line="360"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w:t>
      </w:r>
      <w:r>
        <w:rPr>
          <w:rFonts w:hint="eastAsia" w:ascii="仿宋_GB2312" w:eastAsia="仿宋_GB2312"/>
          <w:color w:val="auto"/>
          <w:highlight w:val="none"/>
          <w:lang w:val="en-US" w:eastAsia="zh-CN"/>
        </w:rPr>
        <w:t>6</w:t>
      </w:r>
      <w:r>
        <w:rPr>
          <w:rFonts w:hint="eastAsia" w:ascii="仿宋_GB2312" w:eastAsia="仿宋_GB2312"/>
          <w:color w:val="auto"/>
          <w:highlight w:val="none"/>
        </w:rPr>
        <w:t>）</w:t>
      </w:r>
      <w:r>
        <w:rPr>
          <w:rFonts w:hint="eastAsia" w:ascii="仿宋_GB2312" w:eastAsia="仿宋_GB2312"/>
          <w:color w:val="auto"/>
          <w:highlight w:val="none"/>
          <w:lang w:eastAsia="zh-CN"/>
        </w:rPr>
        <w:t>分标</w:t>
      </w:r>
      <w:r>
        <w:rPr>
          <w:rFonts w:hint="eastAsia" w:ascii="仿宋_GB2312" w:eastAsia="仿宋_GB2312"/>
          <w:color w:val="auto"/>
          <w:highlight w:val="none"/>
          <w:lang w:val="en-US" w:eastAsia="zh-CN"/>
        </w:rPr>
        <w:t>2</w:t>
      </w:r>
      <w:r>
        <w:rPr>
          <w:rFonts w:hint="eastAsia" w:ascii="仿宋_GB2312" w:eastAsia="仿宋_GB2312"/>
          <w:color w:val="auto"/>
          <w:highlight w:val="none"/>
        </w:rPr>
        <w:t>所投产品</w:t>
      </w:r>
      <w:r>
        <w:rPr>
          <w:rFonts w:hint="eastAsia" w:ascii="仿宋_GB2312" w:eastAsia="仿宋_GB2312"/>
          <w:color w:val="auto"/>
          <w:highlight w:val="none"/>
          <w:lang w:eastAsia="zh-CN"/>
        </w:rPr>
        <w:t>满足</w:t>
      </w:r>
      <w:r>
        <w:rPr>
          <w:rFonts w:hint="eastAsia" w:ascii="仿宋_GB2312" w:eastAsia="仿宋_GB2312"/>
          <w:color w:val="auto"/>
          <w:highlight w:val="none"/>
        </w:rPr>
        <w:t>采购</w:t>
      </w:r>
      <w:r>
        <w:rPr>
          <w:rFonts w:hint="eastAsia" w:ascii="仿宋_GB2312" w:eastAsia="仿宋_GB2312"/>
          <w:b w:val="0"/>
          <w:bCs w:val="0"/>
          <w:color w:val="auto"/>
          <w:highlight w:val="none"/>
        </w:rPr>
        <w:t>需求“</w:t>
      </w:r>
      <w:r>
        <w:rPr>
          <w:rFonts w:hint="eastAsia" w:ascii="仿宋_GB2312" w:hAnsi="仿宋_GB2312" w:eastAsia="仿宋_GB2312" w:cs="仿宋_GB2312"/>
          <w:b w:val="0"/>
          <w:bCs w:val="0"/>
          <w:color w:val="auto"/>
          <w:kern w:val="0"/>
          <w:sz w:val="24"/>
          <w:szCs w:val="24"/>
          <w:highlight w:val="none"/>
        </w:rPr>
        <w:t>（</w:t>
      </w:r>
      <w:r>
        <w:rPr>
          <w:rFonts w:hint="eastAsia" w:ascii="仿宋_GB2312" w:hAnsi="仿宋_GB2312" w:eastAsia="仿宋_GB2312" w:cs="仿宋_GB2312"/>
          <w:b w:val="0"/>
          <w:bCs w:val="0"/>
          <w:color w:val="auto"/>
          <w:kern w:val="0"/>
          <w:sz w:val="24"/>
          <w:szCs w:val="24"/>
          <w:highlight w:val="none"/>
          <w:lang w:eastAsia="zh-CN"/>
        </w:rPr>
        <w:t>二</w:t>
      </w:r>
      <w:r>
        <w:rPr>
          <w:rFonts w:hint="eastAsia" w:ascii="仿宋_GB2312" w:hAnsi="仿宋_GB2312" w:eastAsia="仿宋_GB2312" w:cs="仿宋_GB2312"/>
          <w:b w:val="0"/>
          <w:bCs w:val="0"/>
          <w:color w:val="auto"/>
          <w:kern w:val="0"/>
          <w:sz w:val="24"/>
          <w:szCs w:val="24"/>
          <w:highlight w:val="none"/>
        </w:rPr>
        <w:t>）</w:t>
      </w:r>
      <w:r>
        <w:rPr>
          <w:rFonts w:hint="eastAsia" w:ascii="仿宋_GB2312" w:hAnsi="仿宋_GB2312" w:eastAsia="仿宋_GB2312" w:cs="仿宋_GB2312"/>
          <w:b w:val="0"/>
          <w:bCs w:val="0"/>
          <w:color w:val="auto"/>
          <w:kern w:val="0"/>
          <w:sz w:val="24"/>
          <w:szCs w:val="24"/>
          <w:highlight w:val="none"/>
          <w:lang w:val="en-US" w:eastAsia="zh-CN"/>
        </w:rPr>
        <w:t xml:space="preserve">33套普通教室互动平板一体机教学系统 </w:t>
      </w:r>
      <w:r>
        <w:rPr>
          <w:rFonts w:hint="eastAsia" w:ascii="仿宋_GB2312" w:hAnsi="仿宋_GB2312" w:eastAsia="仿宋_GB2312" w:cs="仿宋_GB2312"/>
          <w:b w:val="0"/>
          <w:bCs w:val="0"/>
          <w:color w:val="auto"/>
          <w:sz w:val="24"/>
          <w:szCs w:val="24"/>
          <w:highlight w:val="none"/>
          <w:lang w:val="en-US" w:eastAsia="zh-CN"/>
        </w:rPr>
        <w:t>1.</w:t>
      </w:r>
      <w:r>
        <w:rPr>
          <w:rFonts w:hint="eastAsia" w:ascii="仿宋_GB2312" w:hAnsi="仿宋_GB2312" w:eastAsia="仿宋_GB2312" w:cs="仿宋_GB2312"/>
          <w:b w:val="0"/>
          <w:bCs w:val="0"/>
          <w:color w:val="auto"/>
          <w:kern w:val="0"/>
          <w:sz w:val="24"/>
          <w:highlight w:val="none"/>
        </w:rPr>
        <w:t>互动平板一体机</w:t>
      </w:r>
      <w:r>
        <w:rPr>
          <w:rFonts w:hint="eastAsia" w:ascii="仿宋_GB2312" w:hAnsi="仿宋_GB2312" w:eastAsia="仿宋_GB2312" w:cs="仿宋_GB2312"/>
          <w:b w:val="0"/>
          <w:bCs w:val="0"/>
          <w:color w:val="auto"/>
          <w:kern w:val="0"/>
          <w:sz w:val="24"/>
          <w:highlight w:val="none"/>
          <w:lang w:val="en-US" w:eastAsia="zh-CN"/>
        </w:rPr>
        <w:t xml:space="preserve"> </w:t>
      </w:r>
      <w:r>
        <w:rPr>
          <w:rFonts w:hint="eastAsia" w:ascii="仿宋_GB2312" w:hAnsi="仿宋_GB2312" w:eastAsia="仿宋_GB2312" w:cs="仿宋_GB2312"/>
          <w:b w:val="0"/>
          <w:bCs w:val="0"/>
          <w:color w:val="auto"/>
          <w:sz w:val="24"/>
          <w:highlight w:val="none"/>
          <w:lang w:val="en-US" w:eastAsia="zh-CN"/>
        </w:rPr>
        <w:t xml:space="preserve">二、整机屏幕及护眼设计 </w:t>
      </w:r>
      <w:r>
        <w:rPr>
          <w:rFonts w:hint="eastAsia" w:ascii="仿宋_GB2312" w:hAnsi="仿宋_GB2312" w:eastAsia="仿宋_GB2312" w:cs="仿宋_GB2312"/>
          <w:b w:val="0"/>
          <w:bCs w:val="0"/>
          <w:color w:val="auto"/>
          <w:kern w:val="0"/>
          <w:sz w:val="24"/>
          <w:highlight w:val="none"/>
          <w:lang w:val="en-US" w:eastAsia="zh-CN"/>
        </w:rPr>
        <w:t>第9点、</w:t>
      </w:r>
      <w:r>
        <w:rPr>
          <w:rFonts w:hint="eastAsia" w:ascii="仿宋_GB2312" w:hAnsi="仿宋_GB2312" w:eastAsia="仿宋_GB2312" w:cs="仿宋_GB2312"/>
          <w:b w:val="0"/>
          <w:bCs w:val="0"/>
          <w:color w:val="auto"/>
          <w:sz w:val="24"/>
          <w:highlight w:val="none"/>
          <w:lang w:val="en-US" w:eastAsia="zh-CN"/>
        </w:rPr>
        <w:t>三、音视频功能设计 第1点、第3点”</w:t>
      </w:r>
      <w:r>
        <w:rPr>
          <w:rFonts w:hint="eastAsia" w:ascii="仿宋_GB2312" w:eastAsia="仿宋_GB2312"/>
          <w:b w:val="0"/>
          <w:bCs w:val="0"/>
          <w:color w:val="auto"/>
          <w:highlight w:val="none"/>
        </w:rPr>
        <w:t>的全部技术参数要求的证明材料，证明材料可以是检测（检验）报告、彩页、官网或功能截图等任意一种</w:t>
      </w:r>
      <w:r>
        <w:rPr>
          <w:rFonts w:hint="eastAsia" w:ascii="仿宋_GB2312" w:eastAsia="仿宋_GB2312"/>
          <w:color w:val="auto"/>
          <w:highlight w:val="none"/>
        </w:rPr>
        <w:t>（</w:t>
      </w:r>
      <w:r>
        <w:rPr>
          <w:rFonts w:hint="eastAsia" w:ascii="仿宋_GB2312" w:eastAsia="仿宋_GB2312"/>
          <w:b/>
          <w:bCs/>
          <w:color w:val="auto"/>
          <w:highlight w:val="none"/>
        </w:rPr>
        <w:t>必须提供</w:t>
      </w:r>
      <w:r>
        <w:rPr>
          <w:rFonts w:hint="eastAsia" w:ascii="仿宋_GB2312" w:eastAsia="仿宋_GB2312"/>
          <w:color w:val="auto"/>
          <w:highlight w:val="none"/>
        </w:rPr>
        <w:t>）；</w:t>
      </w:r>
    </w:p>
    <w:p w14:paraId="02EE73E9">
      <w:pPr>
        <w:pStyle w:val="431"/>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w:t>
      </w:r>
      <w:r>
        <w:rPr>
          <w:rFonts w:hint="eastAsia" w:ascii="仿宋_GB2312" w:eastAsia="仿宋_GB2312"/>
          <w:color w:val="auto"/>
          <w:highlight w:val="none"/>
          <w:lang w:val="en-US" w:eastAsia="zh-CN"/>
        </w:rPr>
        <w:t>7</w:t>
      </w:r>
      <w:r>
        <w:rPr>
          <w:rFonts w:hint="eastAsia" w:ascii="仿宋_GB2312" w:eastAsia="仿宋_GB2312"/>
          <w:color w:val="auto"/>
          <w:highlight w:val="none"/>
        </w:rPr>
        <w:t>）项目实施组织结构（如有）………………………………………………………</w:t>
      </w:r>
    </w:p>
    <w:p w14:paraId="2A29DC48">
      <w:pPr>
        <w:pStyle w:val="431"/>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w:t>
      </w:r>
      <w:r>
        <w:rPr>
          <w:rFonts w:hint="eastAsia" w:ascii="仿宋_GB2312" w:eastAsia="仿宋_GB2312"/>
          <w:color w:val="auto"/>
          <w:highlight w:val="none"/>
          <w:lang w:val="en-US" w:eastAsia="zh-CN"/>
        </w:rPr>
        <w:t>8</w:t>
      </w:r>
      <w:r>
        <w:rPr>
          <w:rFonts w:hint="eastAsia" w:ascii="仿宋_GB2312" w:eastAsia="仿宋_GB2312"/>
          <w:color w:val="auto"/>
          <w:highlight w:val="none"/>
        </w:rPr>
        <w:t>）安装进度计划和工期保证（如有）………………………………………………</w:t>
      </w:r>
    </w:p>
    <w:p w14:paraId="10202168">
      <w:pPr>
        <w:pStyle w:val="431"/>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w:t>
      </w:r>
      <w:r>
        <w:rPr>
          <w:rFonts w:hint="eastAsia" w:ascii="仿宋_GB2312" w:eastAsia="仿宋_GB2312"/>
          <w:color w:val="auto"/>
          <w:highlight w:val="none"/>
          <w:lang w:val="en-US" w:eastAsia="zh-CN"/>
        </w:rPr>
        <w:t>9</w:t>
      </w:r>
      <w:r>
        <w:rPr>
          <w:rFonts w:hint="eastAsia" w:ascii="仿宋_GB2312" w:eastAsia="仿宋_GB2312"/>
          <w:color w:val="auto"/>
          <w:highlight w:val="none"/>
        </w:rPr>
        <w:t>）</w:t>
      </w:r>
      <w:r>
        <w:rPr>
          <w:rFonts w:hint="eastAsia" w:ascii="仿宋_GB2312" w:eastAsia="仿宋_GB2312"/>
          <w:color w:val="auto"/>
          <w:highlight w:val="none"/>
          <w:lang w:eastAsia="zh-CN"/>
        </w:rPr>
        <w:t>技术培训方案</w:t>
      </w:r>
      <w:r>
        <w:rPr>
          <w:rFonts w:hint="eastAsia" w:ascii="仿宋_GB2312" w:eastAsia="仿宋_GB2312"/>
          <w:color w:val="auto"/>
          <w:highlight w:val="none"/>
        </w:rPr>
        <w:t>（如有）………………………………………………………</w:t>
      </w:r>
    </w:p>
    <w:p w14:paraId="15A2E7D6">
      <w:pPr>
        <w:pStyle w:val="431"/>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w:t>
      </w:r>
      <w:r>
        <w:rPr>
          <w:rFonts w:hint="eastAsia" w:ascii="仿宋_GB2312" w:eastAsia="仿宋_GB2312"/>
          <w:color w:val="auto"/>
          <w:highlight w:val="none"/>
          <w:lang w:val="en-US" w:eastAsia="zh-CN"/>
        </w:rPr>
        <w:t>10</w:t>
      </w:r>
      <w:r>
        <w:rPr>
          <w:rFonts w:hint="eastAsia" w:ascii="仿宋_GB2312" w:eastAsia="仿宋_GB2312"/>
          <w:color w:val="auto"/>
          <w:highlight w:val="none"/>
        </w:rPr>
        <w:t>）售后服务方案（如有）……………………………………………………………</w:t>
      </w:r>
    </w:p>
    <w:p w14:paraId="0A208AC7">
      <w:pPr>
        <w:pStyle w:val="431"/>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w:t>
      </w:r>
      <w:r>
        <w:rPr>
          <w:rFonts w:hint="eastAsia" w:ascii="仿宋_GB2312" w:eastAsia="仿宋_GB2312"/>
          <w:color w:val="auto"/>
          <w:highlight w:val="none"/>
          <w:lang w:val="en-US" w:eastAsia="zh-CN"/>
        </w:rPr>
        <w:t>11</w:t>
      </w:r>
      <w:r>
        <w:rPr>
          <w:rFonts w:hint="eastAsia" w:ascii="仿宋_GB2312" w:eastAsia="仿宋_GB2312"/>
          <w:color w:val="auto"/>
          <w:highlight w:val="none"/>
        </w:rPr>
        <w:t>）所投产品</w:t>
      </w:r>
      <w:r>
        <w:rPr>
          <w:rFonts w:hint="eastAsia" w:ascii="仿宋_GB2312" w:eastAsia="仿宋_GB2312"/>
          <w:color w:val="auto"/>
          <w:highlight w:val="none"/>
          <w:lang w:eastAsia="zh-CN"/>
        </w:rPr>
        <w:t>优于</w:t>
      </w:r>
      <w:r>
        <w:rPr>
          <w:rFonts w:hint="eastAsia" w:ascii="仿宋_GB2312" w:eastAsia="仿宋_GB2312"/>
          <w:color w:val="auto"/>
          <w:highlight w:val="none"/>
        </w:rPr>
        <w:t>采购需求中标记“◆”带下划线“</w:t>
      </w:r>
      <w:r>
        <w:rPr>
          <w:rFonts w:hint="eastAsia" w:ascii="仿宋_GB2312" w:eastAsia="仿宋_GB2312"/>
          <w:color w:val="auto"/>
          <w:highlight w:val="none"/>
          <w:u w:val="wave"/>
          <w:lang w:val="en-US" w:eastAsia="zh-CN"/>
        </w:rPr>
        <w:t xml:space="preserve">    </w:t>
      </w:r>
      <w:r>
        <w:rPr>
          <w:rFonts w:hint="eastAsia" w:ascii="仿宋_GB2312" w:eastAsia="仿宋_GB2312"/>
          <w:color w:val="auto"/>
          <w:highlight w:val="none"/>
        </w:rPr>
        <w:t>”</w:t>
      </w:r>
      <w:r>
        <w:rPr>
          <w:rFonts w:hint="eastAsia" w:ascii="仿宋_GB2312" w:eastAsia="仿宋_GB2312"/>
          <w:color w:val="auto"/>
          <w:highlight w:val="none"/>
          <w:lang w:eastAsia="zh-CN"/>
        </w:rPr>
        <w:t>技术参数</w:t>
      </w:r>
      <w:r>
        <w:rPr>
          <w:rFonts w:hint="eastAsia" w:ascii="仿宋_GB2312" w:eastAsia="仿宋_GB2312"/>
          <w:color w:val="auto"/>
          <w:highlight w:val="none"/>
        </w:rPr>
        <w:t>的证明材料，证明材料可以是检测（检验）报告、彩页、官网或功能截图等任意一种（如有）……………</w:t>
      </w:r>
    </w:p>
    <w:p w14:paraId="265CAF1A">
      <w:pPr>
        <w:pStyle w:val="431"/>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（1</w:t>
      </w:r>
      <w:r>
        <w:rPr>
          <w:rFonts w:hint="eastAsia" w:ascii="仿宋_GB2312" w:eastAsia="仿宋_GB2312"/>
          <w:color w:val="auto"/>
          <w:highlight w:val="none"/>
          <w:lang w:val="en-US" w:eastAsia="zh-CN"/>
        </w:rPr>
        <w:t>2</w:t>
      </w:r>
      <w:r>
        <w:rPr>
          <w:rFonts w:hint="eastAsia" w:ascii="仿宋_GB2312" w:eastAsia="仿宋_GB2312"/>
          <w:color w:val="auto"/>
          <w:highlight w:val="none"/>
        </w:rPr>
        <w:t>）投标人或所投核心产品生产厂商具备有效的质量管理体系认证证书（如有）……</w:t>
      </w:r>
    </w:p>
    <w:p w14:paraId="4DE3AB8C">
      <w:pPr>
        <w:pStyle w:val="431"/>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（1</w:t>
      </w:r>
      <w:r>
        <w:rPr>
          <w:rFonts w:hint="eastAsia" w:ascii="仿宋_GB2312" w:eastAsia="仿宋_GB2312"/>
          <w:color w:val="auto"/>
          <w:highlight w:val="none"/>
          <w:lang w:val="en-US" w:eastAsia="zh-CN"/>
        </w:rPr>
        <w:t>3</w:t>
      </w:r>
      <w:r>
        <w:rPr>
          <w:rFonts w:hint="eastAsia" w:ascii="仿宋_GB2312" w:eastAsia="仿宋_GB2312"/>
          <w:color w:val="auto"/>
          <w:highlight w:val="none"/>
        </w:rPr>
        <w:t>）投标人或所投核心产品生产厂商具备有效的职业健康安全管理体系认证证书（如有）………………………………………………………………………………………</w:t>
      </w:r>
    </w:p>
    <w:p w14:paraId="28A3B869">
      <w:pPr>
        <w:pStyle w:val="431"/>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（1</w:t>
      </w:r>
      <w:r>
        <w:rPr>
          <w:rFonts w:hint="eastAsia" w:ascii="仿宋_GB2312" w:eastAsia="仿宋_GB2312"/>
          <w:color w:val="auto"/>
          <w:highlight w:val="none"/>
          <w:lang w:val="en-US" w:eastAsia="zh-CN"/>
        </w:rPr>
        <w:t>4</w:t>
      </w:r>
      <w:r>
        <w:rPr>
          <w:rFonts w:hint="eastAsia" w:ascii="仿宋_GB2312" w:eastAsia="仿宋_GB2312"/>
          <w:color w:val="auto"/>
          <w:highlight w:val="none"/>
        </w:rPr>
        <w:t>）投标人或所投核心产品生产厂商具备有效的环境管理体系认证证书（如有）</w:t>
      </w:r>
    </w:p>
    <w:p w14:paraId="6AC18C18">
      <w:pPr>
        <w:pStyle w:val="431"/>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（1</w:t>
      </w:r>
      <w:r>
        <w:rPr>
          <w:rFonts w:hint="eastAsia" w:ascii="仿宋_GB2312" w:eastAsia="仿宋_GB2312"/>
          <w:color w:val="auto"/>
          <w:highlight w:val="none"/>
          <w:lang w:val="en-US" w:eastAsia="zh-CN"/>
        </w:rPr>
        <w:t>5</w:t>
      </w:r>
      <w:r>
        <w:rPr>
          <w:rFonts w:hint="eastAsia" w:ascii="仿宋_GB2312" w:eastAsia="仿宋_GB2312"/>
          <w:color w:val="auto"/>
          <w:highlight w:val="none"/>
        </w:rPr>
        <w:t>）投标产品由国家确定的认证机构出具的、处于有效期之内的环境标志产品认证证书（如有）………………………………………………………………………………</w:t>
      </w:r>
    </w:p>
    <w:p w14:paraId="2110BA7C">
      <w:pPr>
        <w:pStyle w:val="431"/>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（1</w:t>
      </w:r>
      <w:r>
        <w:rPr>
          <w:rFonts w:hint="eastAsia" w:ascii="仿宋_GB2312" w:eastAsia="仿宋_GB2312"/>
          <w:color w:val="auto"/>
          <w:highlight w:val="none"/>
          <w:lang w:val="en-US" w:eastAsia="zh-CN"/>
        </w:rPr>
        <w:t>6</w:t>
      </w:r>
      <w:r>
        <w:rPr>
          <w:rFonts w:hint="eastAsia" w:ascii="仿宋_GB2312" w:eastAsia="仿宋_GB2312"/>
          <w:color w:val="auto"/>
          <w:highlight w:val="none"/>
        </w:rPr>
        <w:t>）投标人对本项目的合理化建议和改进措施（如有，格式自拟）………………</w:t>
      </w:r>
    </w:p>
    <w:p w14:paraId="310C7AB9">
      <w:pPr>
        <w:pStyle w:val="431"/>
        <w:spacing w:before="0" w:beforeAutospacing="0" w:after="0" w:afterAutospacing="0" w:line="400" w:lineRule="atLeast"/>
        <w:rPr>
          <w:rFonts w:hint="eastAsia" w:ascii="仿宋_GB2312" w:eastAsia="仿宋_GB2312"/>
          <w:color w:val="auto"/>
          <w:highlight w:val="none"/>
        </w:rPr>
      </w:pPr>
      <w:r>
        <w:rPr>
          <w:rFonts w:hint="eastAsia" w:ascii="仿宋_GB2312" w:eastAsia="仿宋_GB2312"/>
          <w:color w:val="auto"/>
          <w:highlight w:val="none"/>
        </w:rPr>
        <w:t>  （1</w:t>
      </w:r>
      <w:r>
        <w:rPr>
          <w:rFonts w:hint="eastAsia" w:ascii="仿宋_GB2312" w:eastAsia="仿宋_GB2312"/>
          <w:color w:val="auto"/>
          <w:highlight w:val="none"/>
          <w:lang w:val="en-US" w:eastAsia="zh-CN"/>
        </w:rPr>
        <w:t>7</w:t>
      </w:r>
      <w:r>
        <w:rPr>
          <w:rFonts w:hint="eastAsia" w:ascii="仿宋_GB2312" w:eastAsia="仿宋_GB2312"/>
          <w:color w:val="auto"/>
          <w:highlight w:val="none"/>
        </w:rPr>
        <w:t>）投标人认为必要提供的声明及文件资料（如有，格式自拟）…………………</w:t>
      </w:r>
    </w:p>
    <w:p w14:paraId="2838CB70">
      <w:pPr>
        <w:spacing w:line="320" w:lineRule="exact"/>
        <w:ind w:right="95"/>
        <w:jc w:val="left"/>
        <w:rPr>
          <w:rFonts w:hint="eastAsia" w:ascii="仿宋_GB2312" w:hAnsi="宋体" w:eastAsia="仿宋_GB2312" w:cs="Courier New"/>
          <w:color w:val="auto"/>
          <w:sz w:val="24"/>
          <w:highlight w:val="none"/>
        </w:rPr>
        <w:sectPr>
          <w:pgSz w:w="11906" w:h="16838"/>
          <w:pgMar w:top="1440" w:right="707" w:bottom="1440" w:left="1440" w:header="851" w:footer="992" w:gutter="0"/>
          <w:cols w:space="720" w:num="1"/>
          <w:docGrid w:linePitch="312" w:charSpace="0"/>
        </w:sectPr>
      </w:pPr>
    </w:p>
    <w:p w14:paraId="25E14B0D">
      <w:pPr>
        <w:spacing w:line="400" w:lineRule="exact"/>
        <w:jc w:val="left"/>
        <w:rPr>
          <w:rFonts w:ascii="仿宋_GB2312" w:hAnsi="Courier New" w:eastAsia="仿宋_GB2312" w:cs="Courier New"/>
          <w:b/>
          <w:color w:val="auto"/>
          <w:sz w:val="24"/>
          <w:highlight w:val="none"/>
        </w:rPr>
      </w:pPr>
      <w:r>
        <w:rPr>
          <w:rFonts w:hint="eastAsia" w:ascii="仿宋_GB2312" w:hAnsi="Courier New" w:eastAsia="仿宋_GB2312" w:cs="Courier New"/>
          <w:b/>
          <w:color w:val="auto"/>
          <w:sz w:val="24"/>
          <w:highlight w:val="none"/>
        </w:rPr>
        <w:t>（1）投标函格式（必须提供）：</w:t>
      </w:r>
    </w:p>
    <w:p w14:paraId="4F08F083">
      <w:pPr>
        <w:snapToGrid w:val="0"/>
        <w:spacing w:before="50" w:after="50"/>
        <w:ind w:firstLine="3518" w:firstLineChars="1095"/>
        <w:rPr>
          <w:rFonts w:ascii="仿宋_GB2312" w:eastAsia="仿宋_GB2312"/>
          <w:b/>
          <w:color w:val="auto"/>
          <w:sz w:val="32"/>
          <w:highlight w:val="none"/>
        </w:rPr>
      </w:pPr>
      <w:r>
        <w:rPr>
          <w:rFonts w:hint="eastAsia" w:ascii="仿宋_GB2312" w:eastAsia="仿宋_GB2312"/>
          <w:b/>
          <w:color w:val="auto"/>
          <w:sz w:val="32"/>
          <w:szCs w:val="32"/>
          <w:highlight w:val="none"/>
        </w:rPr>
        <w:t>投 标 函</w:t>
      </w:r>
    </w:p>
    <w:p w14:paraId="24FFB3AC">
      <w:pPr>
        <w:pStyle w:val="26"/>
        <w:ind w:left="-10" w:firstLine="6" w:firstLineChars="3"/>
        <w:jc w:val="center"/>
        <w:rPr>
          <w:rFonts w:hint="eastAsia" w:ascii="仿宋_GB2312" w:hAnsi="宋体" w:eastAsia="仿宋_GB2312"/>
          <w:b/>
          <w:color w:val="auto"/>
          <w:highlight w:val="none"/>
        </w:rPr>
      </w:pPr>
    </w:p>
    <w:p w14:paraId="009C9E69">
      <w:pPr>
        <w:snapToGrid w:val="0"/>
        <w:spacing w:line="400" w:lineRule="exact"/>
        <w:ind w:right="-187" w:rightChars="-89"/>
        <w:rPr>
          <w:rFonts w:ascii="仿宋_GB2312" w:eastAsia="仿宋_GB2312"/>
          <w:color w:val="auto"/>
          <w:szCs w:val="21"/>
          <w:highlight w:val="none"/>
        </w:rPr>
      </w:pPr>
      <w:r>
        <w:rPr>
          <w:rFonts w:hint="eastAsia" w:ascii="仿宋_GB2312" w:eastAsia="仿宋_GB2312"/>
          <w:color w:val="auto"/>
          <w:szCs w:val="21"/>
          <w:highlight w:val="none"/>
        </w:rPr>
        <w:t>致：</w:t>
      </w:r>
      <w:r>
        <w:rPr>
          <w:rFonts w:ascii="仿宋_GB2312" w:eastAsia="仿宋_GB2312"/>
          <w:color w:val="auto"/>
          <w:szCs w:val="21"/>
          <w:highlight w:val="none"/>
          <w:u w:val="single"/>
        </w:rPr>
        <w:t>柳州市电化教育站</w:t>
      </w:r>
      <w:r>
        <w:rPr>
          <w:rFonts w:hint="eastAsia" w:ascii="仿宋_GB2312" w:eastAsia="仿宋_GB2312"/>
          <w:color w:val="auto"/>
          <w:szCs w:val="21"/>
          <w:highlight w:val="none"/>
          <w:u w:val="single"/>
        </w:rPr>
        <w:t>、柳州市政府集中采购中心</w:t>
      </w:r>
      <w:r>
        <w:rPr>
          <w:rFonts w:hint="eastAsia" w:ascii="仿宋_GB2312" w:eastAsia="仿宋_GB2312"/>
          <w:color w:val="auto"/>
          <w:szCs w:val="21"/>
          <w:highlight w:val="none"/>
        </w:rPr>
        <w:t>：</w:t>
      </w:r>
    </w:p>
    <w:p w14:paraId="1375DC38">
      <w:pPr>
        <w:snapToGrid w:val="0"/>
        <w:spacing w:line="400" w:lineRule="exact"/>
        <w:ind w:right="-187" w:rightChars="-89" w:firstLine="480"/>
        <w:rPr>
          <w:rFonts w:ascii="仿宋_GB2312" w:eastAsia="仿宋_GB2312"/>
          <w:color w:val="auto"/>
          <w:szCs w:val="21"/>
          <w:highlight w:val="none"/>
        </w:rPr>
      </w:pPr>
      <w:r>
        <w:rPr>
          <w:rFonts w:hint="eastAsia" w:ascii="仿宋_GB2312" w:eastAsia="仿宋_GB2312"/>
          <w:color w:val="auto"/>
          <w:szCs w:val="21"/>
          <w:highlight w:val="none"/>
        </w:rPr>
        <w:t>根据贵方</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项目的招标公告（项目编号：</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 xml:space="preserve">），我方 </w:t>
      </w:r>
    </w:p>
    <w:p w14:paraId="680ADF3E">
      <w:pPr>
        <w:snapToGrid w:val="0"/>
        <w:spacing w:line="400" w:lineRule="exact"/>
        <w:ind w:right="-187" w:rightChars="-89"/>
        <w:rPr>
          <w:rFonts w:ascii="仿宋_GB2312" w:eastAsia="仿宋_GB2312"/>
          <w:color w:val="auto"/>
          <w:szCs w:val="21"/>
          <w:highlight w:val="none"/>
        </w:rPr>
      </w:pP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（姓名及职务）经正式授权并代表投标人</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（投标人名称）提交电子投标文件，包括：资格文件、报价要求文件、商务技术文件三部分。</w:t>
      </w:r>
    </w:p>
    <w:p w14:paraId="49CD81A7">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据此函，授权代表宣布同意如下：</w:t>
      </w:r>
    </w:p>
    <w:p w14:paraId="6BF3D209">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1.已详细审查全部招标文件，包括修改文件（如有的话）以及全部参考资料和有关附件，已经了解我方对于招标文件、采购过程、采购结果有依法进行询问、质疑、投诉的权利及相关渠道和要求。</w:t>
      </w:r>
    </w:p>
    <w:p w14:paraId="03CD9278">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2.在投标之前已经与贵方进行了充分的沟通，完全理解并接受招标文件的各项规定和要求，对招标文件的合理性、合法性不再有异议。</w:t>
      </w:r>
    </w:p>
    <w:p w14:paraId="0078A7FD">
      <w:pPr>
        <w:snapToGrid w:val="0"/>
        <w:spacing w:line="400" w:lineRule="exact"/>
        <w:ind w:firstLine="420" w:firstLineChars="200"/>
        <w:rPr>
          <w:rFonts w:ascii="仿宋_GB2312" w:eastAsia="仿宋_GB2312"/>
          <w:color w:val="auto"/>
          <w:szCs w:val="21"/>
          <w:highlight w:val="none"/>
        </w:rPr>
      </w:pPr>
      <w:r>
        <w:rPr>
          <w:rFonts w:hint="eastAsia" w:ascii="仿宋_GB2312" w:eastAsia="仿宋_GB2312"/>
          <w:color w:val="auto"/>
          <w:szCs w:val="21"/>
          <w:highlight w:val="none"/>
        </w:rPr>
        <w:t>3.本投标有效期自投标截止日期后</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天（日历天）</w:t>
      </w:r>
      <w:r>
        <w:rPr>
          <w:rFonts w:hint="eastAsia" w:ascii="仿宋_GB2312" w:hAnsi="宋体" w:eastAsia="仿宋_GB2312"/>
          <w:b/>
          <w:bCs/>
          <w:color w:val="auto"/>
          <w:szCs w:val="21"/>
          <w:highlight w:val="none"/>
        </w:rPr>
        <w:t>（不得少于90天，否则投标无效）</w:t>
      </w:r>
      <w:r>
        <w:rPr>
          <w:rFonts w:hint="eastAsia" w:ascii="仿宋_GB2312" w:eastAsia="仿宋_GB2312"/>
          <w:color w:val="auto"/>
          <w:szCs w:val="21"/>
          <w:highlight w:val="none"/>
        </w:rPr>
        <w:t>。</w:t>
      </w:r>
    </w:p>
    <w:p w14:paraId="2FD156B3">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4.如中标，本投标文件至本项目合同履行完毕止均保持有效，本投标人将按招标文件及政府采购法律、法规的规定履行合同责任和义务。</w:t>
      </w:r>
    </w:p>
    <w:p w14:paraId="18C04902">
      <w:pPr>
        <w:snapToGrid w:val="0"/>
        <w:spacing w:line="400" w:lineRule="exact"/>
        <w:ind w:firstLine="420" w:firstLineChars="200"/>
        <w:rPr>
          <w:rFonts w:ascii="仿宋_GB2312" w:eastAsia="仿宋_GB2312"/>
          <w:color w:val="auto"/>
          <w:szCs w:val="21"/>
          <w:highlight w:val="none"/>
        </w:rPr>
      </w:pPr>
      <w:r>
        <w:rPr>
          <w:rFonts w:hint="eastAsia" w:ascii="仿宋_GB2312" w:eastAsia="仿宋_GB2312"/>
          <w:color w:val="auto"/>
          <w:szCs w:val="21"/>
          <w:highlight w:val="none"/>
        </w:rPr>
        <w:t>5.同意按照贵方要求提供与投标有关的一切数据或资料</w:t>
      </w:r>
      <w:bookmarkStart w:id="90" w:name="_Hlk101431499"/>
      <w:r>
        <w:rPr>
          <w:rFonts w:hint="eastAsia" w:ascii="仿宋_GB2312" w:eastAsia="仿宋_GB2312"/>
          <w:color w:val="auto"/>
          <w:szCs w:val="21"/>
          <w:highlight w:val="none"/>
        </w:rPr>
        <w:t>，并承诺我方向贵方提交的所有投标文件、资料都是准确的和真实的。</w:t>
      </w:r>
    </w:p>
    <w:p w14:paraId="23BD8B59">
      <w:pPr>
        <w:snapToGrid w:val="0"/>
        <w:spacing w:line="400" w:lineRule="exact"/>
        <w:ind w:firstLine="420" w:firstLineChars="200"/>
        <w:rPr>
          <w:rFonts w:ascii="仿宋_GB2312" w:eastAsia="仿宋_GB2312"/>
          <w:color w:val="auto"/>
          <w:szCs w:val="21"/>
          <w:highlight w:val="none"/>
        </w:rPr>
      </w:pPr>
      <w:r>
        <w:rPr>
          <w:rFonts w:hint="eastAsia" w:ascii="仿宋_GB2312" w:eastAsia="仿宋_GB2312"/>
          <w:color w:val="auto"/>
          <w:szCs w:val="21"/>
          <w:highlight w:val="none"/>
        </w:rPr>
        <w:t>6.我方不是采购人的附属机构；在获知本项目采购信息后，与采购人聘请的为此项目提供咨询服务的公司及其附属机构没有任何联系。</w:t>
      </w:r>
    </w:p>
    <w:p w14:paraId="3997A2F5">
      <w:pPr>
        <w:snapToGrid w:val="0"/>
        <w:spacing w:line="400" w:lineRule="exact"/>
        <w:ind w:firstLine="420" w:firstLineChars="200"/>
        <w:rPr>
          <w:rFonts w:ascii="仿宋_GB2312" w:eastAsia="仿宋_GB2312"/>
          <w:color w:val="auto"/>
          <w:szCs w:val="21"/>
          <w:highlight w:val="none"/>
        </w:rPr>
      </w:pPr>
      <w:r>
        <w:rPr>
          <w:rFonts w:hint="eastAsia" w:ascii="仿宋_GB2312" w:eastAsia="仿宋_GB2312"/>
          <w:color w:val="auto"/>
          <w:szCs w:val="21"/>
          <w:highlight w:val="none"/>
        </w:rPr>
        <w:t>7.以上事项如有虚假或隐瞒，我方愿意承担一切后果，并不再寻求任何旨在减轻或免除法律责任的辩解。</w:t>
      </w:r>
    </w:p>
    <w:p w14:paraId="1AFD863A">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8.与本投标有关的一切正式往来信函请寄：</w:t>
      </w:r>
    </w:p>
    <w:p w14:paraId="0B13106A">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地址：</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邮编：</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电话：</w:t>
      </w:r>
      <w:r>
        <w:rPr>
          <w:rFonts w:hint="eastAsia" w:ascii="仿宋_GB2312" w:eastAsia="仿宋_GB2312"/>
          <w:color w:val="auto"/>
          <w:szCs w:val="21"/>
          <w:highlight w:val="none"/>
          <w:u w:val="single"/>
        </w:rPr>
        <w:t xml:space="preserve">            </w:t>
      </w:r>
    </w:p>
    <w:p w14:paraId="75696A37">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传真：</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投标人代表姓名：</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职务：</w:t>
      </w:r>
      <w:r>
        <w:rPr>
          <w:rFonts w:hint="eastAsia" w:ascii="仿宋_GB2312" w:eastAsia="仿宋_GB2312"/>
          <w:color w:val="auto"/>
          <w:szCs w:val="21"/>
          <w:highlight w:val="none"/>
          <w:u w:val="single"/>
        </w:rPr>
        <w:t xml:space="preserve">            </w:t>
      </w:r>
    </w:p>
    <w:p w14:paraId="681CAEE9">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投标人名称(全称)：</w:t>
      </w:r>
      <w:r>
        <w:rPr>
          <w:rFonts w:hint="eastAsia" w:ascii="仿宋_GB2312" w:eastAsia="仿宋_GB2312"/>
          <w:color w:val="auto"/>
          <w:szCs w:val="21"/>
          <w:highlight w:val="none"/>
          <w:u w:val="single"/>
        </w:rPr>
        <w:t xml:space="preserve">                                                 </w:t>
      </w:r>
    </w:p>
    <w:p w14:paraId="2F6F0AAB">
      <w:pPr>
        <w:snapToGrid w:val="0"/>
        <w:spacing w:line="400" w:lineRule="exact"/>
        <w:ind w:right="-187" w:rightChars="-89" w:firstLine="420" w:firstLineChars="200"/>
        <w:rPr>
          <w:rFonts w:ascii="仿宋_GB2312" w:eastAsia="仿宋_GB2312"/>
          <w:color w:val="auto"/>
          <w:szCs w:val="21"/>
          <w:highlight w:val="none"/>
        </w:rPr>
      </w:pPr>
      <w:r>
        <w:rPr>
          <w:rFonts w:hint="eastAsia" w:ascii="仿宋_GB2312" w:eastAsia="仿宋_GB2312"/>
          <w:color w:val="auto"/>
          <w:szCs w:val="21"/>
          <w:highlight w:val="none"/>
        </w:rPr>
        <w:t>开户银行：</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 xml:space="preserve">   账号：</w:t>
      </w:r>
      <w:r>
        <w:rPr>
          <w:rFonts w:hint="eastAsia" w:ascii="仿宋_GB2312" w:eastAsia="仿宋_GB2312"/>
          <w:color w:val="auto"/>
          <w:szCs w:val="21"/>
          <w:highlight w:val="none"/>
          <w:u w:val="single"/>
        </w:rPr>
        <w:t xml:space="preserve">                        </w:t>
      </w:r>
    </w:p>
    <w:p w14:paraId="51F91CC9">
      <w:pPr>
        <w:snapToGrid w:val="0"/>
        <w:spacing w:line="400" w:lineRule="exact"/>
        <w:ind w:firstLine="420" w:firstLineChars="200"/>
        <w:rPr>
          <w:rFonts w:ascii="仿宋_GB2312" w:eastAsia="仿宋_GB2312"/>
          <w:color w:val="auto"/>
          <w:szCs w:val="21"/>
          <w:highlight w:val="none"/>
        </w:rPr>
      </w:pPr>
      <w:r>
        <w:rPr>
          <w:rFonts w:hint="eastAsia" w:ascii="仿宋_GB2312" w:eastAsia="仿宋_GB2312"/>
          <w:color w:val="auto"/>
          <w:szCs w:val="21"/>
          <w:highlight w:val="none"/>
        </w:rPr>
        <w:t xml:space="preserve">         </w:t>
      </w:r>
    </w:p>
    <w:p w14:paraId="5CD21C9D">
      <w:pPr>
        <w:pStyle w:val="26"/>
        <w:ind w:firstLine="4515" w:firstLineChars="2150"/>
        <w:rPr>
          <w:rFonts w:ascii="仿宋_GB2312" w:eastAsia="仿宋_GB2312"/>
          <w:color w:val="auto"/>
          <w:highlight w:val="none"/>
        </w:rPr>
      </w:pPr>
    </w:p>
    <w:p w14:paraId="03A0ABD3">
      <w:pPr>
        <w:pStyle w:val="26"/>
        <w:ind w:firstLine="4515" w:firstLineChars="2150"/>
        <w:rPr>
          <w:rFonts w:ascii="仿宋_GB2312" w:eastAsia="仿宋_GB2312"/>
          <w:color w:val="auto"/>
          <w:highlight w:val="none"/>
        </w:rPr>
      </w:pPr>
    </w:p>
    <w:p w14:paraId="45EC69A3">
      <w:pPr>
        <w:jc w:val="center"/>
        <w:rPr>
          <w:rFonts w:ascii="仿宋_GB2312" w:eastAsia="仿宋_GB2312"/>
          <w:color w:val="auto"/>
          <w:szCs w:val="21"/>
          <w:highlight w:val="none"/>
          <w:u w:val="single"/>
        </w:rPr>
      </w:pPr>
      <w:r>
        <w:rPr>
          <w:rFonts w:hint="eastAsia" w:ascii="仿宋_GB2312" w:eastAsia="仿宋_GB2312"/>
          <w:color w:val="auto"/>
          <w:szCs w:val="21"/>
          <w:highlight w:val="none"/>
        </w:rPr>
        <w:t xml:space="preserve">                      法定代表人或委托代理人</w:t>
      </w:r>
      <w:r>
        <w:rPr>
          <w:rFonts w:hint="eastAsia" w:ascii="仿宋_GB2312" w:eastAsia="仿宋_GB2312"/>
          <w:b/>
          <w:bCs/>
          <w:color w:val="auto"/>
          <w:szCs w:val="21"/>
          <w:highlight w:val="none"/>
        </w:rPr>
        <w:t>（签字）：</w:t>
      </w:r>
      <w:r>
        <w:rPr>
          <w:rFonts w:hint="eastAsia" w:ascii="仿宋_GB2312" w:eastAsia="仿宋_GB2312"/>
          <w:color w:val="auto"/>
          <w:szCs w:val="21"/>
          <w:highlight w:val="none"/>
          <w:u w:val="single"/>
        </w:rPr>
        <w:t xml:space="preserve">         </w:t>
      </w:r>
    </w:p>
    <w:p w14:paraId="199D5D98">
      <w:pPr>
        <w:jc w:val="center"/>
        <w:rPr>
          <w:rFonts w:ascii="仿宋_GB2312" w:eastAsia="仿宋_GB2312"/>
          <w:color w:val="auto"/>
          <w:szCs w:val="21"/>
          <w:highlight w:val="none"/>
          <w:u w:val="single"/>
        </w:rPr>
      </w:pPr>
    </w:p>
    <w:p w14:paraId="451C5FB8">
      <w:pPr>
        <w:pStyle w:val="26"/>
        <w:ind w:firstLine="4515" w:firstLineChars="2150"/>
        <w:rPr>
          <w:rFonts w:ascii="仿宋_GB2312" w:eastAsia="仿宋_GB2312"/>
          <w:color w:val="auto"/>
          <w:highlight w:val="none"/>
        </w:rPr>
      </w:pPr>
      <w:r>
        <w:rPr>
          <w:rFonts w:hint="eastAsia" w:ascii="仿宋_GB2312" w:eastAsia="仿宋_GB2312"/>
          <w:color w:val="auto"/>
          <w:highlight w:val="none"/>
        </w:rPr>
        <w:t>投标人</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xml:space="preserve">                               </w:t>
      </w:r>
    </w:p>
    <w:p w14:paraId="6C90E4F7">
      <w:pPr>
        <w:pStyle w:val="26"/>
        <w:spacing w:line="400" w:lineRule="exact"/>
        <w:rPr>
          <w:rFonts w:hint="eastAsia" w:ascii="仿宋_GB2312" w:hAnsi="宋体" w:eastAsia="仿宋_GB2312"/>
          <w:color w:val="auto"/>
          <w:highlight w:val="none"/>
        </w:rPr>
      </w:pPr>
    </w:p>
    <w:p w14:paraId="43D582EC">
      <w:pPr>
        <w:pStyle w:val="26"/>
        <w:spacing w:line="240" w:lineRule="atLeast"/>
        <w:jc w:val="right"/>
        <w:rPr>
          <w:rFonts w:hint="eastAsia" w:ascii="仿宋_GB2312" w:hAnsi="宋体" w:eastAsia="仿宋_GB2312"/>
          <w:color w:val="auto"/>
          <w:highlight w:val="none"/>
        </w:rPr>
      </w:pPr>
      <w:r>
        <w:rPr>
          <w:rFonts w:hint="eastAsia" w:ascii="仿宋_GB2312" w:hAnsi="宋体" w:eastAsia="仿宋_GB2312"/>
          <w:color w:val="auto"/>
          <w:highlight w:val="none"/>
        </w:rPr>
        <w:t>日期：       年   月   日</w:t>
      </w:r>
    </w:p>
    <w:p w14:paraId="1161B27D">
      <w:pPr>
        <w:pStyle w:val="26"/>
        <w:spacing w:line="360" w:lineRule="exact"/>
        <w:ind w:firstLine="482" w:firstLineChars="200"/>
        <w:rPr>
          <w:rFonts w:hint="eastAsia" w:ascii="仿宋_GB2312" w:hAnsi="宋体" w:eastAsia="仿宋_GB2312"/>
          <w:b/>
          <w:bCs/>
          <w:color w:val="auto"/>
          <w:sz w:val="24"/>
          <w:highlight w:val="none"/>
        </w:rPr>
      </w:pPr>
      <w:r>
        <w:rPr>
          <w:rFonts w:hint="eastAsia" w:ascii="仿宋_GB2312" w:eastAsia="仿宋_GB2312"/>
          <w:b/>
          <w:color w:val="auto"/>
          <w:sz w:val="24"/>
          <w:highlight w:val="none"/>
        </w:rPr>
        <w:t>注：此项材料必须</w:t>
      </w:r>
      <w:r>
        <w:rPr>
          <w:rFonts w:hint="eastAsia" w:ascii="仿宋_GB2312" w:hAnsi="宋体" w:eastAsia="仿宋_GB2312"/>
          <w:b/>
          <w:bCs/>
          <w:color w:val="auto"/>
          <w:sz w:val="24"/>
          <w:highlight w:val="none"/>
        </w:rPr>
        <w:t>以PDF格式上传。</w:t>
      </w:r>
    </w:p>
    <w:p w14:paraId="0127B0C9">
      <w:pPr>
        <w:pStyle w:val="26"/>
        <w:spacing w:line="360" w:lineRule="exact"/>
        <w:ind w:firstLine="482" w:firstLineChars="200"/>
        <w:rPr>
          <w:rFonts w:hint="eastAsia" w:ascii="仿宋_GB2312" w:hAnsi="宋体" w:eastAsia="仿宋_GB2312"/>
          <w:b/>
          <w:bCs/>
          <w:color w:val="auto"/>
          <w:sz w:val="24"/>
          <w:highlight w:val="none"/>
        </w:rPr>
        <w:sectPr>
          <w:pgSz w:w="11906" w:h="16838"/>
          <w:pgMar w:top="1440" w:right="1440" w:bottom="1440" w:left="1440" w:header="851" w:footer="992" w:gutter="0"/>
          <w:cols w:space="720" w:num="1"/>
          <w:docGrid w:linePitch="312" w:charSpace="0"/>
        </w:sectPr>
      </w:pPr>
    </w:p>
    <w:p w14:paraId="7EAA45D5">
      <w:pPr>
        <w:pStyle w:val="451"/>
        <w:rPr>
          <w:rFonts w:ascii="仿宋_GB2312" w:eastAsia="仿宋_GB2312"/>
          <w:b/>
          <w:bCs/>
          <w:color w:val="auto"/>
          <w:highlight w:val="none"/>
        </w:rPr>
      </w:pPr>
      <w:r>
        <w:rPr>
          <w:rFonts w:hint="eastAsia" w:ascii="仿宋_GB2312" w:eastAsia="仿宋_GB2312"/>
          <w:b/>
          <w:bCs/>
          <w:color w:val="auto"/>
          <w:highlight w:val="none"/>
        </w:rPr>
        <w:t>（2）技术响应表格式（必须提供）：</w:t>
      </w:r>
    </w:p>
    <w:p w14:paraId="54943C5B">
      <w:pPr>
        <w:pStyle w:val="451"/>
        <w:ind w:left="412"/>
        <w:jc w:val="center"/>
        <w:rPr>
          <w:rFonts w:hint="eastAsia" w:ascii="仿宋_GB2312" w:eastAsia="仿宋_GB2312"/>
          <w:color w:val="auto"/>
          <w:highlight w:val="none"/>
        </w:rPr>
      </w:pPr>
      <w:r>
        <w:rPr>
          <w:rFonts w:hint="eastAsia" w:ascii="仿宋_GB2312" w:eastAsia="仿宋_GB2312"/>
          <w:b/>
          <w:bCs/>
          <w:color w:val="auto"/>
          <w:sz w:val="32"/>
          <w:szCs w:val="32"/>
          <w:highlight w:val="none"/>
        </w:rPr>
        <w:t>技术响应表</w:t>
      </w:r>
      <w:r>
        <w:rPr>
          <w:rFonts w:hint="eastAsia" w:ascii="仿宋_GB2312" w:eastAsia="仿宋_GB2312"/>
          <w:b/>
          <w:color w:val="auto"/>
          <w:sz w:val="32"/>
          <w:szCs w:val="32"/>
          <w:highlight w:val="none"/>
          <w:lang w:eastAsia="zh-CN"/>
        </w:rPr>
        <w:t>（分标</w:t>
      </w:r>
      <w:r>
        <w:rPr>
          <w:rFonts w:hint="eastAsia" w:ascii="仿宋_GB2312" w:eastAsia="仿宋_GB2312"/>
          <w:b/>
          <w:color w:val="auto"/>
          <w:sz w:val="32"/>
          <w:szCs w:val="32"/>
          <w:highlight w:val="none"/>
          <w:u w:val="none"/>
          <w:lang w:val="en-US" w:eastAsia="zh-CN"/>
        </w:rPr>
        <w:t>1）</w:t>
      </w:r>
    </w:p>
    <w:p w14:paraId="2EF2345D">
      <w:pPr>
        <w:pStyle w:val="451"/>
        <w:ind w:left="412"/>
        <w:rPr>
          <w:rFonts w:hint="eastAsia" w:ascii="仿宋_GB2312" w:eastAsia="仿宋_GB2312"/>
          <w:color w:val="auto"/>
          <w:highlight w:val="none"/>
        </w:rPr>
      </w:pPr>
      <w:r>
        <w:rPr>
          <w:rFonts w:hint="eastAsia" w:ascii="仿宋_GB2312" w:eastAsia="仿宋_GB2312"/>
          <w:color w:val="auto"/>
          <w:highlight w:val="none"/>
        </w:rPr>
        <w:t> </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9"/>
        <w:gridCol w:w="2103"/>
        <w:gridCol w:w="2852"/>
        <w:gridCol w:w="2246"/>
        <w:gridCol w:w="1959"/>
      </w:tblGrid>
      <w:tr w14:paraId="6CA459E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303DFE">
            <w:pPr>
              <w:pStyle w:val="451"/>
              <w:jc w:val="center"/>
              <w:rPr>
                <w:rFonts w:hint="eastAsia" w:ascii="仿宋_GB2312" w:eastAsia="仿宋_GB2312"/>
                <w:color w:val="auto"/>
                <w:highlight w:val="none"/>
              </w:rPr>
            </w:pPr>
            <w:r>
              <w:rPr>
                <w:rFonts w:hint="eastAsia" w:ascii="仿宋_GB2312" w:eastAsia="仿宋_GB2312"/>
                <w:color w:val="auto"/>
                <w:highlight w:val="none"/>
              </w:rPr>
              <w:t>项号</w:t>
            </w: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95CC9E">
            <w:pPr>
              <w:pStyle w:val="451"/>
              <w:jc w:val="center"/>
              <w:rPr>
                <w:rFonts w:hint="eastAsia" w:ascii="仿宋_GB2312" w:eastAsia="仿宋_GB2312"/>
                <w:color w:val="auto"/>
                <w:highlight w:val="none"/>
              </w:rPr>
            </w:pPr>
            <w:r>
              <w:rPr>
                <w:rFonts w:hint="eastAsia" w:ascii="仿宋_GB2312" w:eastAsia="仿宋_GB2312"/>
                <w:color w:val="auto"/>
                <w:highlight w:val="none"/>
                <w:lang w:eastAsia="zh-CN"/>
              </w:rPr>
              <w:t>标的</w:t>
            </w:r>
            <w:r>
              <w:rPr>
                <w:rFonts w:hint="eastAsia" w:ascii="仿宋_GB2312" w:eastAsia="仿宋_GB2312"/>
                <w:color w:val="auto"/>
                <w:highlight w:val="none"/>
              </w:rPr>
              <w:t>名称</w:t>
            </w: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745479">
            <w:pPr>
              <w:pStyle w:val="451"/>
              <w:jc w:val="center"/>
              <w:rPr>
                <w:rFonts w:hint="eastAsia" w:ascii="仿宋_GB2312" w:eastAsia="仿宋_GB2312"/>
                <w:color w:val="auto"/>
                <w:highlight w:val="none"/>
              </w:rPr>
            </w:pPr>
            <w:r>
              <w:rPr>
                <w:rFonts w:hint="eastAsia" w:ascii="仿宋_GB2312" w:eastAsia="仿宋_GB2312"/>
                <w:color w:val="auto"/>
                <w:highlight w:val="none"/>
              </w:rPr>
              <w:t>招标文件</w:t>
            </w:r>
          </w:p>
          <w:p w14:paraId="1C36C08D">
            <w:pPr>
              <w:pStyle w:val="451"/>
              <w:jc w:val="center"/>
              <w:rPr>
                <w:rFonts w:hint="eastAsia" w:ascii="仿宋_GB2312" w:eastAsia="仿宋_GB2312"/>
                <w:color w:val="auto"/>
                <w:highlight w:val="none"/>
              </w:rPr>
            </w:pPr>
            <w:r>
              <w:rPr>
                <w:rFonts w:hint="eastAsia" w:ascii="仿宋_GB2312" w:eastAsia="仿宋_GB2312"/>
                <w:color w:val="auto"/>
                <w:highlight w:val="none"/>
              </w:rPr>
              <w:t>技术参数要求</w:t>
            </w: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842A98">
            <w:pPr>
              <w:pStyle w:val="451"/>
              <w:jc w:val="center"/>
              <w:rPr>
                <w:rFonts w:hint="eastAsia" w:ascii="仿宋_GB2312" w:eastAsia="仿宋_GB2312"/>
                <w:color w:val="auto"/>
                <w:highlight w:val="none"/>
              </w:rPr>
            </w:pPr>
            <w:r>
              <w:rPr>
                <w:rFonts w:hint="eastAsia" w:ascii="仿宋_GB2312" w:eastAsia="仿宋_GB2312"/>
                <w:color w:val="auto"/>
                <w:highlight w:val="none"/>
              </w:rPr>
              <w:t>投标文件</w:t>
            </w:r>
          </w:p>
          <w:p w14:paraId="23B7AADF">
            <w:pPr>
              <w:pStyle w:val="451"/>
              <w:jc w:val="center"/>
              <w:rPr>
                <w:rFonts w:hint="eastAsia" w:ascii="仿宋_GB2312" w:eastAsia="仿宋_GB2312"/>
                <w:color w:val="auto"/>
                <w:highlight w:val="none"/>
              </w:rPr>
            </w:pPr>
            <w:r>
              <w:rPr>
                <w:rFonts w:hint="eastAsia" w:ascii="仿宋_GB2312" w:eastAsia="仿宋_GB2312"/>
                <w:color w:val="auto"/>
                <w:highlight w:val="none"/>
              </w:rPr>
              <w:t>响应技术参数</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7DDB17">
            <w:pPr>
              <w:pStyle w:val="451"/>
              <w:jc w:val="center"/>
              <w:rPr>
                <w:rFonts w:hint="eastAsia" w:ascii="仿宋_GB2312" w:eastAsia="仿宋_GB2312"/>
                <w:color w:val="auto"/>
                <w:highlight w:val="none"/>
              </w:rPr>
            </w:pPr>
            <w:r>
              <w:rPr>
                <w:rFonts w:hint="eastAsia" w:ascii="仿宋_GB2312" w:eastAsia="仿宋_GB2312"/>
                <w:color w:val="auto"/>
                <w:highlight w:val="none"/>
              </w:rPr>
              <w:t>偏离说明</w:t>
            </w:r>
          </w:p>
        </w:tc>
      </w:tr>
      <w:tr w14:paraId="668D52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909" w:type="dxa"/>
            <w:gridSpan w:val="5"/>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80183B">
            <w:pPr>
              <w:pStyle w:val="451"/>
              <w:jc w:val="left"/>
              <w:rPr>
                <w:rFonts w:hint="eastAsia" w:ascii="仿宋_GB2312" w:eastAsia="仿宋_GB2312"/>
                <w:color w:val="auto"/>
                <w:highlight w:val="none"/>
              </w:rPr>
            </w:pPr>
            <w:r>
              <w:rPr>
                <w:rFonts w:hint="eastAsia" w:ascii="仿宋_GB2312" w:hAnsi="仿宋_GB2312" w:eastAsia="仿宋_GB2312" w:cs="仿宋_GB2312"/>
                <w:b/>
                <w:bCs/>
                <w:color w:val="auto"/>
                <w:kern w:val="0"/>
                <w:sz w:val="24"/>
                <w:szCs w:val="24"/>
                <w:highlight w:val="none"/>
              </w:rPr>
              <w:t>（一）</w:t>
            </w:r>
            <w:r>
              <w:rPr>
                <w:rFonts w:hint="eastAsia" w:ascii="仿宋_GB2312" w:hAnsi="仿宋_GB2312" w:eastAsia="仿宋_GB2312" w:cs="仿宋_GB2312"/>
                <w:b/>
                <w:bCs/>
                <w:color w:val="auto"/>
                <w:kern w:val="0"/>
                <w:sz w:val="24"/>
                <w:szCs w:val="24"/>
                <w:highlight w:val="none"/>
                <w:lang w:val="en-US" w:eastAsia="zh-CN"/>
              </w:rPr>
              <w:t>教师台式机</w:t>
            </w:r>
          </w:p>
        </w:tc>
      </w:tr>
      <w:tr w14:paraId="2E0075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5B2F0EA7">
            <w:pPr>
              <w:pStyle w:val="933"/>
              <w:spacing w:line="405" w:lineRule="atLeast"/>
              <w:rPr>
                <w:rFonts w:hint="eastAsia" w:ascii="仿宋_GB2312" w:hAnsi="宋体" w:eastAsia="仿宋_GB2312" w:cs="宋体"/>
                <w:color w:val="auto"/>
                <w:sz w:val="24"/>
                <w:szCs w:val="24"/>
                <w:highlight w:val="none"/>
                <w:lang w:val="en-US" w:eastAsia="zh-CN" w:bidi="ar-SA"/>
              </w:rPr>
            </w:pPr>
            <w:r>
              <w:rPr>
                <w:rFonts w:hint="eastAsia" w:ascii="仿宋_GB2312" w:eastAsia="仿宋_GB2312"/>
                <w:color w:val="auto"/>
                <w:highlight w:val="none"/>
              </w:rPr>
              <w:t> 1</w:t>
            </w:r>
          </w:p>
        </w:tc>
        <w:tc>
          <w:tcPr>
            <w:tcW w:w="2103"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644BA969">
            <w:pPr>
              <w:pStyle w:val="933"/>
              <w:spacing w:line="405" w:lineRule="atLeast"/>
              <w:rPr>
                <w:rFonts w:hint="eastAsia" w:ascii="仿宋_GB2312" w:hAnsi="宋体" w:eastAsia="仿宋_GB2312" w:cs="宋体"/>
                <w:color w:val="auto"/>
                <w:sz w:val="24"/>
                <w:szCs w:val="24"/>
                <w:highlight w:val="none"/>
                <w:lang w:val="en-US" w:eastAsia="zh-CN" w:bidi="ar-SA"/>
              </w:rPr>
            </w:pPr>
            <w:r>
              <w:rPr>
                <w:rFonts w:hint="eastAsia" w:ascii="仿宋_GB2312" w:eastAsia="仿宋_GB2312"/>
                <w:color w:val="auto"/>
                <w:highlight w:val="none"/>
              </w:rPr>
              <w:t> 教师台式机</w:t>
            </w:r>
            <w:r>
              <w:rPr>
                <w:rFonts w:hint="eastAsia" w:ascii="仿宋_GB2312" w:eastAsia="仿宋_GB2312"/>
                <w:b/>
                <w:bCs/>
                <w:color w:val="auto"/>
                <w:highlight w:val="none"/>
              </w:rPr>
              <w:t>（强制采购节能产品，详见采购需求说明第八点）</w:t>
            </w:r>
          </w:p>
        </w:tc>
        <w:tc>
          <w:tcPr>
            <w:tcW w:w="2852"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1FBBEE65">
            <w:pPr>
              <w:pStyle w:val="933"/>
              <w:spacing w:line="405" w:lineRule="atLeast"/>
              <w:rPr>
                <w:rFonts w:hint="eastAsia" w:ascii="仿宋_GB2312" w:hAnsi="宋体" w:eastAsia="仿宋_GB2312" w:cs="宋体"/>
                <w:color w:val="auto"/>
                <w:sz w:val="24"/>
                <w:szCs w:val="24"/>
                <w:highlight w:val="none"/>
                <w:lang w:val="en-US" w:eastAsia="zh-CN" w:bidi="ar-SA"/>
              </w:rPr>
            </w:pPr>
            <w:r>
              <w:rPr>
                <w:rFonts w:hint="eastAsia" w:ascii="仿宋_GB2312" w:eastAsia="仿宋_GB2312"/>
                <w:color w:val="auto"/>
                <w:highlight w:val="none"/>
              </w:rPr>
              <w:t> </w:t>
            </w:r>
          </w:p>
        </w:tc>
        <w:tc>
          <w:tcPr>
            <w:tcW w:w="2246"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1F07F3D3">
            <w:pPr>
              <w:pStyle w:val="933"/>
              <w:spacing w:line="405" w:lineRule="atLeast"/>
              <w:rPr>
                <w:rFonts w:hint="eastAsia" w:ascii="仿宋_GB2312" w:hAnsi="宋体" w:eastAsia="仿宋_GB2312" w:cs="宋体"/>
                <w:color w:val="auto"/>
                <w:sz w:val="24"/>
                <w:szCs w:val="24"/>
                <w:highlight w:val="none"/>
                <w:lang w:val="en-US" w:eastAsia="zh-CN" w:bidi="ar-SA"/>
              </w:rPr>
            </w:pPr>
            <w:r>
              <w:rPr>
                <w:rFonts w:hint="eastAsia" w:ascii="仿宋_GB2312" w:eastAsia="仿宋_GB2312"/>
                <w:color w:val="auto"/>
                <w:highlight w:val="none"/>
              </w:rPr>
              <w:t> </w:t>
            </w:r>
            <w:r>
              <w:rPr>
                <w:rFonts w:hint="eastAsia" w:ascii="仿宋_GB2312" w:hAnsi="仿宋_GB2312" w:eastAsia="仿宋_GB2312" w:cs="仿宋_GB2312"/>
                <w:b/>
                <w:bCs/>
                <w:color w:val="auto"/>
                <w:highlight w:val="none"/>
              </w:rPr>
              <w:t>注：投标人应明确给出所投教师台式机“CPU型号”及“操作系统”名称，否则视为投标无效。</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795684">
            <w:pPr>
              <w:pStyle w:val="451"/>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r>
      <w:tr w14:paraId="5E8B70D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909" w:type="dxa"/>
            <w:gridSpan w:val="5"/>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35CD60CF">
            <w:pPr>
              <w:pStyle w:val="451"/>
              <w:spacing w:line="405" w:lineRule="atLeast"/>
              <w:rPr>
                <w:rFonts w:hint="eastAsia" w:ascii="仿宋_GB2312" w:eastAsia="仿宋_GB2312"/>
                <w:color w:val="auto"/>
                <w:highlight w:val="none"/>
              </w:rPr>
            </w:pP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eastAsia="zh-CN"/>
              </w:rPr>
              <w:t>二</w:t>
            </w: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val="en-US" w:eastAsia="zh-CN"/>
              </w:rPr>
              <w:t>2间</w:t>
            </w:r>
            <w:r>
              <w:rPr>
                <w:rFonts w:hint="eastAsia" w:ascii="仿宋_GB2312" w:hAnsi="仿宋_GB2312" w:eastAsia="仿宋_GB2312" w:cs="仿宋_GB2312"/>
                <w:b/>
                <w:bCs/>
                <w:color w:val="auto"/>
                <w:kern w:val="0"/>
                <w:sz w:val="24"/>
                <w:szCs w:val="24"/>
                <w:highlight w:val="none"/>
              </w:rPr>
              <w:t>计算机网络教室</w:t>
            </w:r>
          </w:p>
        </w:tc>
      </w:tr>
      <w:tr w14:paraId="3CFBEA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F383AE">
            <w:pPr>
              <w:pStyle w:val="451"/>
              <w:spacing w:line="405" w:lineRule="atLeast"/>
              <w:rPr>
                <w:rFonts w:hint="eastAsia" w:ascii="仿宋_GB2312" w:eastAsia="仿宋_GB2312"/>
                <w:color w:val="auto"/>
                <w:highlight w:val="none"/>
                <w:lang w:val="en-US" w:eastAsia="zh-CN"/>
              </w:rPr>
            </w:pPr>
            <w:r>
              <w:rPr>
                <w:rFonts w:hint="eastAsia" w:ascii="仿宋_GB2312" w:eastAsia="仿宋_GB2312"/>
                <w:color w:val="auto"/>
                <w:highlight w:val="none"/>
              </w:rPr>
              <w:t> </w:t>
            </w:r>
            <w:r>
              <w:rPr>
                <w:rFonts w:hint="eastAsia" w:ascii="仿宋_GB2312" w:eastAsia="仿宋_GB2312"/>
                <w:color w:val="auto"/>
                <w:highlight w:val="none"/>
                <w:lang w:val="en-US" w:eastAsia="zh-CN"/>
              </w:rPr>
              <w:t>1</w:t>
            </w:r>
          </w:p>
        </w:tc>
        <w:tc>
          <w:tcPr>
            <w:tcW w:w="2103"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5D2982C2">
            <w:pPr>
              <w:pStyle w:val="933"/>
              <w:spacing w:line="405" w:lineRule="atLeast"/>
              <w:rPr>
                <w:rFonts w:hint="eastAsia" w:ascii="仿宋_GB2312" w:hAnsi="宋体" w:eastAsia="仿宋_GB2312" w:cs="宋体"/>
                <w:color w:val="auto"/>
                <w:sz w:val="24"/>
                <w:szCs w:val="24"/>
                <w:highlight w:val="none"/>
                <w:lang w:val="en-US" w:eastAsia="zh-CN" w:bidi="ar-SA"/>
              </w:rPr>
            </w:pPr>
            <w:r>
              <w:rPr>
                <w:rFonts w:hint="eastAsia" w:ascii="仿宋_GB2312" w:eastAsia="仿宋_GB2312"/>
                <w:color w:val="auto"/>
                <w:highlight w:val="none"/>
              </w:rPr>
              <w:t> </w:t>
            </w:r>
            <w:r>
              <w:rPr>
                <w:rFonts w:hint="eastAsia" w:ascii="仿宋_GB2312" w:eastAsia="仿宋_GB2312"/>
                <w:color w:val="auto"/>
                <w:highlight w:val="none"/>
                <w:lang w:eastAsia="zh-CN"/>
              </w:rPr>
              <w:t>网络教室</w:t>
            </w:r>
            <w:r>
              <w:rPr>
                <w:rFonts w:hint="eastAsia" w:ascii="仿宋_GB2312" w:eastAsia="仿宋_GB2312"/>
                <w:color w:val="auto"/>
                <w:highlight w:val="none"/>
              </w:rPr>
              <w:t>教师机</w:t>
            </w:r>
            <w:r>
              <w:rPr>
                <w:rFonts w:hint="eastAsia" w:ascii="仿宋_GB2312" w:eastAsia="仿宋_GB2312"/>
                <w:b/>
                <w:bCs/>
                <w:color w:val="auto"/>
                <w:highlight w:val="none"/>
              </w:rPr>
              <w:t>（强制采购节能产品，详见采购需求说明第八点）</w:t>
            </w:r>
          </w:p>
        </w:tc>
        <w:tc>
          <w:tcPr>
            <w:tcW w:w="2852"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6895245A">
            <w:pPr>
              <w:pStyle w:val="933"/>
              <w:spacing w:line="405" w:lineRule="atLeast"/>
              <w:rPr>
                <w:rFonts w:hint="eastAsia" w:ascii="仿宋_GB2312" w:hAnsi="宋体" w:eastAsia="仿宋_GB2312" w:cs="宋体"/>
                <w:color w:val="auto"/>
                <w:sz w:val="24"/>
                <w:szCs w:val="24"/>
                <w:highlight w:val="none"/>
                <w:lang w:val="en-US" w:eastAsia="zh-CN" w:bidi="ar-SA"/>
              </w:rPr>
            </w:pPr>
            <w:r>
              <w:rPr>
                <w:rFonts w:hint="eastAsia" w:ascii="仿宋_GB2312" w:eastAsia="仿宋_GB2312"/>
                <w:color w:val="auto"/>
                <w:highlight w:val="none"/>
              </w:rPr>
              <w:t> </w:t>
            </w:r>
          </w:p>
        </w:tc>
        <w:tc>
          <w:tcPr>
            <w:tcW w:w="2246"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5D82AA77">
            <w:pPr>
              <w:pStyle w:val="933"/>
              <w:spacing w:line="405" w:lineRule="atLeast"/>
              <w:rPr>
                <w:rFonts w:hint="eastAsia" w:ascii="仿宋_GB2312" w:hAnsi="宋体" w:eastAsia="仿宋_GB2312" w:cs="宋体"/>
                <w:color w:val="auto"/>
                <w:sz w:val="24"/>
                <w:szCs w:val="24"/>
                <w:highlight w:val="none"/>
                <w:lang w:val="en-US" w:eastAsia="zh-CN" w:bidi="ar-SA"/>
              </w:rPr>
            </w:pPr>
            <w:r>
              <w:rPr>
                <w:rFonts w:hint="eastAsia" w:ascii="仿宋_GB2312" w:eastAsia="仿宋_GB2312"/>
                <w:color w:val="auto"/>
                <w:highlight w:val="none"/>
              </w:rPr>
              <w:t> </w:t>
            </w:r>
            <w:r>
              <w:rPr>
                <w:rFonts w:hint="eastAsia" w:ascii="仿宋_GB2312" w:hAnsi="仿宋_GB2312" w:eastAsia="仿宋_GB2312" w:cs="仿宋_GB2312"/>
                <w:b/>
                <w:bCs/>
                <w:color w:val="auto"/>
                <w:highlight w:val="none"/>
              </w:rPr>
              <w:t>注：投标人应明确给出所投</w:t>
            </w:r>
            <w:r>
              <w:rPr>
                <w:rFonts w:hint="eastAsia" w:ascii="仿宋_GB2312" w:hAnsi="仿宋_GB2312" w:eastAsia="仿宋_GB2312" w:cs="仿宋_GB2312"/>
                <w:b/>
                <w:bCs/>
                <w:color w:val="auto"/>
                <w:highlight w:val="none"/>
                <w:lang w:eastAsia="zh-CN"/>
              </w:rPr>
              <w:t>网络教室</w:t>
            </w:r>
            <w:r>
              <w:rPr>
                <w:rFonts w:hint="eastAsia" w:ascii="仿宋_GB2312" w:hAnsi="仿宋_GB2312" w:eastAsia="仿宋_GB2312" w:cs="仿宋_GB2312"/>
                <w:b/>
                <w:bCs/>
                <w:color w:val="auto"/>
                <w:highlight w:val="none"/>
              </w:rPr>
              <w:t>教师机“CPU型号”及“操作系统”名称，否则视为投标无效。</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2956FF">
            <w:pPr>
              <w:pStyle w:val="451"/>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r>
      <w:tr w14:paraId="3DE023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224608">
            <w:pPr>
              <w:pStyle w:val="451"/>
              <w:spacing w:line="405" w:lineRule="atLeast"/>
              <w:rPr>
                <w:rFonts w:hint="eastAsia" w:ascii="仿宋_GB2312" w:eastAsia="仿宋_GB2312"/>
                <w:color w:val="auto"/>
                <w:highlight w:val="none"/>
                <w:lang w:val="en-US" w:eastAsia="zh-CN"/>
              </w:rPr>
            </w:pPr>
            <w:r>
              <w:rPr>
                <w:rFonts w:hint="eastAsia" w:ascii="仿宋_GB2312" w:eastAsia="仿宋_GB2312"/>
                <w:color w:val="auto"/>
                <w:highlight w:val="none"/>
              </w:rPr>
              <w:t> </w:t>
            </w:r>
            <w:r>
              <w:rPr>
                <w:rFonts w:hint="eastAsia" w:ascii="仿宋_GB2312" w:eastAsia="仿宋_GB2312"/>
                <w:color w:val="auto"/>
                <w:highlight w:val="none"/>
                <w:lang w:val="en-US" w:eastAsia="zh-CN"/>
              </w:rPr>
              <w:t>2</w:t>
            </w:r>
          </w:p>
        </w:tc>
        <w:tc>
          <w:tcPr>
            <w:tcW w:w="2103"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66BBFC92">
            <w:pPr>
              <w:pStyle w:val="933"/>
              <w:spacing w:line="405" w:lineRule="atLeast"/>
              <w:rPr>
                <w:rFonts w:hint="eastAsia" w:ascii="仿宋_GB2312" w:hAnsi="宋体" w:eastAsia="仿宋_GB2312" w:cs="宋体"/>
                <w:color w:val="auto"/>
                <w:sz w:val="24"/>
                <w:szCs w:val="24"/>
                <w:highlight w:val="none"/>
                <w:lang w:val="en-US" w:eastAsia="zh-CN" w:bidi="ar-SA"/>
              </w:rPr>
            </w:pPr>
            <w:r>
              <w:rPr>
                <w:rFonts w:hint="eastAsia" w:ascii="仿宋_GB2312" w:eastAsia="仿宋_GB2312"/>
                <w:color w:val="auto"/>
                <w:highlight w:val="none"/>
              </w:rPr>
              <w:t> </w:t>
            </w:r>
            <w:r>
              <w:rPr>
                <w:rFonts w:hint="eastAsia" w:ascii="仿宋_GB2312" w:eastAsia="仿宋_GB2312"/>
                <w:color w:val="auto"/>
                <w:highlight w:val="none"/>
                <w:lang w:eastAsia="zh-CN"/>
              </w:rPr>
              <w:t>网络教室学生</w:t>
            </w:r>
            <w:r>
              <w:rPr>
                <w:rFonts w:hint="eastAsia" w:ascii="仿宋_GB2312" w:eastAsia="仿宋_GB2312"/>
                <w:color w:val="auto"/>
                <w:highlight w:val="none"/>
              </w:rPr>
              <w:t>机</w:t>
            </w:r>
            <w:r>
              <w:rPr>
                <w:rFonts w:hint="eastAsia" w:ascii="仿宋_GB2312" w:eastAsia="仿宋_GB2312"/>
                <w:b/>
                <w:bCs/>
                <w:color w:val="auto"/>
                <w:highlight w:val="none"/>
              </w:rPr>
              <w:t>（强制采购节能产品，详见采购需求说明第八点）</w:t>
            </w:r>
          </w:p>
        </w:tc>
        <w:tc>
          <w:tcPr>
            <w:tcW w:w="2852"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40F0AC90">
            <w:pPr>
              <w:pStyle w:val="933"/>
              <w:spacing w:line="405" w:lineRule="atLeast"/>
              <w:rPr>
                <w:rFonts w:hint="eastAsia" w:ascii="仿宋_GB2312" w:hAnsi="宋体" w:eastAsia="仿宋_GB2312" w:cs="宋体"/>
                <w:color w:val="auto"/>
                <w:sz w:val="24"/>
                <w:szCs w:val="24"/>
                <w:highlight w:val="none"/>
                <w:lang w:val="en-US" w:eastAsia="zh-CN" w:bidi="ar-SA"/>
              </w:rPr>
            </w:pPr>
            <w:r>
              <w:rPr>
                <w:rFonts w:hint="eastAsia" w:ascii="仿宋_GB2312" w:eastAsia="仿宋_GB2312"/>
                <w:color w:val="auto"/>
                <w:highlight w:val="none"/>
              </w:rPr>
              <w:t> </w:t>
            </w:r>
          </w:p>
        </w:tc>
        <w:tc>
          <w:tcPr>
            <w:tcW w:w="2246"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33B87039">
            <w:pPr>
              <w:pStyle w:val="933"/>
              <w:spacing w:line="405" w:lineRule="atLeast"/>
              <w:rPr>
                <w:rFonts w:hint="eastAsia" w:ascii="仿宋_GB2312" w:hAnsi="宋体" w:eastAsia="仿宋_GB2312" w:cs="宋体"/>
                <w:color w:val="auto"/>
                <w:sz w:val="24"/>
                <w:szCs w:val="24"/>
                <w:highlight w:val="none"/>
                <w:lang w:val="en-US" w:eastAsia="zh-CN" w:bidi="ar-SA"/>
              </w:rPr>
            </w:pPr>
            <w:r>
              <w:rPr>
                <w:rFonts w:hint="eastAsia" w:ascii="仿宋_GB2312" w:eastAsia="仿宋_GB2312"/>
                <w:color w:val="auto"/>
                <w:highlight w:val="none"/>
              </w:rPr>
              <w:t> </w:t>
            </w:r>
            <w:r>
              <w:rPr>
                <w:rFonts w:hint="eastAsia" w:ascii="仿宋_GB2312" w:hAnsi="仿宋_GB2312" w:eastAsia="仿宋_GB2312" w:cs="仿宋_GB2312"/>
                <w:b/>
                <w:bCs/>
                <w:color w:val="auto"/>
                <w:highlight w:val="none"/>
              </w:rPr>
              <w:t>注：投标人应明确给出所投</w:t>
            </w:r>
            <w:r>
              <w:rPr>
                <w:rFonts w:hint="eastAsia" w:ascii="仿宋_GB2312" w:hAnsi="仿宋_GB2312" w:eastAsia="仿宋_GB2312" w:cs="仿宋_GB2312"/>
                <w:b/>
                <w:bCs/>
                <w:color w:val="auto"/>
                <w:highlight w:val="none"/>
                <w:lang w:eastAsia="zh-CN"/>
              </w:rPr>
              <w:t>网络教室学生</w:t>
            </w:r>
            <w:r>
              <w:rPr>
                <w:rFonts w:hint="eastAsia" w:ascii="仿宋_GB2312" w:hAnsi="仿宋_GB2312" w:eastAsia="仿宋_GB2312" w:cs="仿宋_GB2312"/>
                <w:b/>
                <w:bCs/>
                <w:color w:val="auto"/>
                <w:highlight w:val="none"/>
              </w:rPr>
              <w:t>机“CPU型号”及“操作系统”名称，否则视为投标无效。</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70E42E">
            <w:pPr>
              <w:pStyle w:val="451"/>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r>
      <w:tr w14:paraId="54D77C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0BB0C9">
            <w:pPr>
              <w:pStyle w:val="451"/>
              <w:spacing w:line="405" w:lineRule="atLeast"/>
              <w:rPr>
                <w:rFonts w:hint="eastAsia" w:ascii="仿宋_GB2312" w:eastAsia="仿宋_GB2312"/>
                <w:color w:val="auto"/>
                <w:highlight w:val="none"/>
                <w:lang w:eastAsia="zh-CN"/>
              </w:rPr>
            </w:pPr>
            <w:r>
              <w:rPr>
                <w:rFonts w:hint="eastAsia" w:ascii="仿宋_GB2312" w:eastAsia="仿宋_GB2312"/>
                <w:color w:val="auto"/>
                <w:highlight w:val="none"/>
              </w:rPr>
              <w:t> </w:t>
            </w: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F5D8BF">
            <w:pPr>
              <w:pStyle w:val="451"/>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0D24B2">
            <w:pPr>
              <w:pStyle w:val="451"/>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4EE5C2">
            <w:pPr>
              <w:pStyle w:val="451"/>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A8D902">
            <w:pPr>
              <w:pStyle w:val="451"/>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r>
    </w:tbl>
    <w:p w14:paraId="649E01D9">
      <w:pPr>
        <w:pStyle w:val="451"/>
        <w:spacing w:line="405" w:lineRule="atLeast"/>
        <w:rPr>
          <w:rFonts w:hint="eastAsia" w:ascii="仿宋_GB2312" w:eastAsia="仿宋_GB2312"/>
          <w:color w:val="auto"/>
          <w:highlight w:val="none"/>
        </w:rPr>
      </w:pPr>
      <w:r>
        <w:rPr>
          <w:rFonts w:hint="eastAsia" w:ascii="仿宋_GB2312" w:eastAsia="仿宋_GB2312"/>
          <w:b/>
          <w:bCs/>
          <w:color w:val="auto"/>
          <w:highlight w:val="none"/>
        </w:rPr>
        <w:t xml:space="preserve">  </w:t>
      </w:r>
    </w:p>
    <w:p w14:paraId="3F8BA2C1">
      <w:pPr>
        <w:pStyle w:val="451"/>
        <w:spacing w:after="0" w:afterAutospacing="0" w:line="405" w:lineRule="atLeast"/>
        <w:rPr>
          <w:rFonts w:hint="eastAsia" w:ascii="仿宋_GB2312" w:eastAsia="仿宋_GB2312"/>
          <w:b/>
          <w:bCs/>
          <w:color w:val="auto"/>
          <w:highlight w:val="none"/>
        </w:rPr>
      </w:pPr>
      <w:r>
        <w:rPr>
          <w:rFonts w:hint="eastAsia" w:ascii="仿宋_GB2312" w:eastAsia="仿宋_GB2312"/>
          <w:b/>
          <w:bCs/>
          <w:color w:val="auto"/>
          <w:highlight w:val="none"/>
        </w:rPr>
        <w:t>  注：1.此项材料必须以PDF格式上传。</w:t>
      </w:r>
      <w:r>
        <w:rPr>
          <w:rFonts w:hint="eastAsia" w:ascii="仿宋_GB2312" w:eastAsia="仿宋_GB2312"/>
          <w:b/>
          <w:bCs/>
          <w:color w:val="auto"/>
          <w:highlight w:val="none"/>
        </w:rPr>
        <w:br w:type="textWrapping"/>
      </w:r>
      <w:r>
        <w:rPr>
          <w:rFonts w:hint="eastAsia" w:ascii="仿宋_GB2312" w:eastAsia="仿宋_GB2312"/>
          <w:b/>
          <w:bCs/>
          <w:color w:val="auto"/>
          <w:highlight w:val="none"/>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auto"/>
          <w:highlight w:val="none"/>
        </w:rPr>
        <w:br w:type="textWrapping"/>
      </w:r>
      <w:r>
        <w:rPr>
          <w:rFonts w:hint="eastAsia" w:ascii="仿宋_GB2312" w:eastAsia="仿宋_GB2312"/>
          <w:b/>
          <w:bCs/>
          <w:color w:val="auto"/>
          <w:highlight w:val="none"/>
        </w:rPr>
        <w:t>  3.投标人就标记“★”符号的实质性响应内容发生负偏离一项以上的，视为投标无效。</w:t>
      </w:r>
      <w:r>
        <w:rPr>
          <w:rFonts w:hint="eastAsia" w:ascii="仿宋_GB2312" w:eastAsia="仿宋_GB2312"/>
          <w:b/>
          <w:bCs/>
          <w:color w:val="auto"/>
          <w:highlight w:val="none"/>
        </w:rPr>
        <w:br w:type="textWrapping"/>
      </w:r>
      <w:r>
        <w:rPr>
          <w:rFonts w:hint="eastAsia" w:ascii="仿宋_GB2312" w:eastAsia="仿宋_GB2312"/>
          <w:b/>
          <w:bCs/>
          <w:color w:val="auto"/>
          <w:highlight w:val="none"/>
        </w:rPr>
        <w:t>  4.投标人就没有标记“★”符号的技术参数要求响应内容发生负偏离</w:t>
      </w:r>
      <w:r>
        <w:rPr>
          <w:rFonts w:hint="eastAsia" w:ascii="仿宋_GB2312" w:eastAsia="仿宋_GB2312"/>
          <w:b/>
          <w:bCs/>
          <w:color w:val="auto"/>
          <w:highlight w:val="none"/>
          <w:lang w:eastAsia="zh-CN"/>
        </w:rPr>
        <w:t>三</w:t>
      </w:r>
      <w:r>
        <w:rPr>
          <w:rFonts w:hint="eastAsia" w:ascii="仿宋_GB2312" w:eastAsia="仿宋_GB2312"/>
          <w:b/>
          <w:bCs/>
          <w:color w:val="auto"/>
          <w:highlight w:val="none"/>
        </w:rPr>
        <w:t>项以上的，视为投标无效。</w:t>
      </w:r>
    </w:p>
    <w:p w14:paraId="4B55D414">
      <w:pPr>
        <w:pStyle w:val="933"/>
        <w:spacing w:before="0" w:beforeAutospacing="0" w:line="405" w:lineRule="atLeast"/>
        <w:ind w:firstLine="361" w:firstLineChars="150"/>
        <w:rPr>
          <w:rFonts w:hint="eastAsia" w:ascii="仿宋_GB2312" w:eastAsia="仿宋_GB2312"/>
          <w:b/>
          <w:bCs/>
          <w:color w:val="auto"/>
          <w:highlight w:val="none"/>
        </w:rPr>
      </w:pPr>
      <w:r>
        <w:rPr>
          <w:rFonts w:hint="eastAsia" w:ascii="仿宋_GB2312" w:eastAsia="仿宋_GB2312"/>
          <w:b/>
          <w:bCs/>
          <w:color w:val="auto"/>
          <w:highlight w:val="none"/>
        </w:rPr>
        <w:t>5.第</w:t>
      </w:r>
      <w:r>
        <w:rPr>
          <w:rFonts w:hint="eastAsia" w:ascii="仿宋_GB2312" w:hAnsi="仿宋_GB2312" w:eastAsia="仿宋_GB2312" w:cs="仿宋_GB2312"/>
          <w:b/>
          <w:bCs/>
          <w:color w:val="auto"/>
          <w:kern w:val="0"/>
          <w:sz w:val="24"/>
          <w:szCs w:val="24"/>
          <w:highlight w:val="none"/>
        </w:rPr>
        <w:t>（一）</w:t>
      </w:r>
      <w:r>
        <w:rPr>
          <w:rFonts w:hint="eastAsia" w:ascii="仿宋_GB2312" w:hAnsi="仿宋_GB2312" w:eastAsia="仿宋_GB2312" w:cs="仿宋_GB2312"/>
          <w:b/>
          <w:bCs/>
          <w:color w:val="auto"/>
          <w:kern w:val="0"/>
          <w:sz w:val="24"/>
          <w:szCs w:val="24"/>
          <w:highlight w:val="none"/>
          <w:lang w:val="en-US" w:eastAsia="zh-CN"/>
        </w:rPr>
        <w:t>教师台式机 的第1项</w:t>
      </w:r>
      <w:r>
        <w:rPr>
          <w:rFonts w:hint="eastAsia" w:ascii="仿宋_GB2312" w:eastAsia="仿宋_GB2312"/>
          <w:b/>
          <w:bCs/>
          <w:color w:val="auto"/>
          <w:highlight w:val="none"/>
        </w:rPr>
        <w:t>“教师台式机”</w:t>
      </w:r>
      <w:r>
        <w:rPr>
          <w:rFonts w:hint="eastAsia" w:ascii="仿宋_GB2312" w:eastAsia="仿宋_GB2312"/>
          <w:b/>
          <w:bCs/>
          <w:color w:val="auto"/>
          <w:highlight w:val="none"/>
          <w:lang w:eastAsia="zh-CN"/>
        </w:rPr>
        <w:t>和</w:t>
      </w:r>
      <w:r>
        <w:rPr>
          <w:rFonts w:hint="eastAsia" w:ascii="仿宋_GB2312" w:eastAsia="仿宋_GB2312"/>
          <w:b/>
          <w:bCs/>
          <w:color w:val="auto"/>
          <w:highlight w:val="none"/>
        </w:rPr>
        <w:t>第</w:t>
      </w: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eastAsia="zh-CN"/>
        </w:rPr>
        <w:t>二</w:t>
      </w: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val="en-US" w:eastAsia="zh-CN"/>
        </w:rPr>
        <w:t>2间</w:t>
      </w:r>
      <w:r>
        <w:rPr>
          <w:rFonts w:hint="eastAsia" w:ascii="仿宋_GB2312" w:hAnsi="仿宋_GB2312" w:eastAsia="仿宋_GB2312" w:cs="仿宋_GB2312"/>
          <w:b/>
          <w:bCs/>
          <w:color w:val="auto"/>
          <w:kern w:val="0"/>
          <w:sz w:val="24"/>
          <w:szCs w:val="24"/>
          <w:highlight w:val="none"/>
        </w:rPr>
        <w:t>计算机网络教室</w:t>
      </w:r>
      <w:r>
        <w:rPr>
          <w:rFonts w:hint="eastAsia" w:ascii="仿宋_GB2312" w:hAnsi="仿宋_GB2312" w:eastAsia="仿宋_GB2312" w:cs="仿宋_GB2312"/>
          <w:b/>
          <w:bCs/>
          <w:color w:val="auto"/>
          <w:kern w:val="0"/>
          <w:sz w:val="24"/>
          <w:szCs w:val="24"/>
          <w:highlight w:val="none"/>
          <w:lang w:val="en-US" w:eastAsia="zh-CN"/>
        </w:rPr>
        <w:t xml:space="preserve"> 的第1项</w:t>
      </w:r>
      <w:r>
        <w:rPr>
          <w:rFonts w:hint="eastAsia" w:ascii="仿宋_GB2312" w:eastAsia="仿宋_GB2312"/>
          <w:b/>
          <w:bCs/>
          <w:color w:val="auto"/>
          <w:highlight w:val="none"/>
        </w:rPr>
        <w:t>“</w:t>
      </w:r>
      <w:r>
        <w:rPr>
          <w:rFonts w:hint="eastAsia" w:ascii="仿宋_GB2312" w:eastAsia="仿宋_GB2312"/>
          <w:b/>
          <w:bCs/>
          <w:color w:val="auto"/>
          <w:highlight w:val="none"/>
          <w:lang w:eastAsia="zh-CN"/>
        </w:rPr>
        <w:t>网络教室</w:t>
      </w:r>
      <w:r>
        <w:rPr>
          <w:rFonts w:hint="eastAsia" w:ascii="仿宋_GB2312" w:eastAsia="仿宋_GB2312"/>
          <w:b/>
          <w:bCs/>
          <w:color w:val="auto"/>
          <w:highlight w:val="none"/>
        </w:rPr>
        <w:t>教师机”</w:t>
      </w:r>
      <w:r>
        <w:rPr>
          <w:rFonts w:hint="eastAsia" w:ascii="仿宋_GB2312" w:eastAsia="仿宋_GB2312"/>
          <w:b/>
          <w:bCs/>
          <w:color w:val="auto"/>
          <w:highlight w:val="none"/>
          <w:lang w:eastAsia="zh-CN"/>
        </w:rPr>
        <w:t>、</w:t>
      </w:r>
      <w:r>
        <w:rPr>
          <w:rFonts w:hint="eastAsia" w:ascii="仿宋_GB2312" w:hAnsi="仿宋_GB2312" w:eastAsia="仿宋_GB2312" w:cs="仿宋_GB2312"/>
          <w:b/>
          <w:bCs/>
          <w:color w:val="auto"/>
          <w:kern w:val="0"/>
          <w:sz w:val="24"/>
          <w:szCs w:val="24"/>
          <w:highlight w:val="none"/>
          <w:lang w:val="en-US" w:eastAsia="zh-CN"/>
        </w:rPr>
        <w:t>第2项</w:t>
      </w:r>
      <w:r>
        <w:rPr>
          <w:rFonts w:hint="eastAsia" w:ascii="仿宋_GB2312" w:eastAsia="仿宋_GB2312"/>
          <w:b/>
          <w:bCs/>
          <w:color w:val="auto"/>
          <w:highlight w:val="none"/>
        </w:rPr>
        <w:t>“</w:t>
      </w:r>
      <w:r>
        <w:rPr>
          <w:rFonts w:hint="eastAsia" w:ascii="仿宋_GB2312" w:eastAsia="仿宋_GB2312"/>
          <w:b/>
          <w:bCs/>
          <w:color w:val="auto"/>
          <w:highlight w:val="none"/>
          <w:lang w:eastAsia="zh-CN"/>
        </w:rPr>
        <w:t>网络教室学生</w:t>
      </w:r>
      <w:r>
        <w:rPr>
          <w:rFonts w:hint="eastAsia" w:ascii="仿宋_GB2312" w:eastAsia="仿宋_GB2312"/>
          <w:b/>
          <w:bCs/>
          <w:color w:val="auto"/>
          <w:highlight w:val="none"/>
        </w:rPr>
        <w:t>机”的CPU型号、操作系统应当符合安全可靠测评要求，具体详见《附件一：中国信息安全测评中心和国家保密科技测评中心网站安全可靠测评结果》，否则投标无效。</w:t>
      </w:r>
    </w:p>
    <w:p w14:paraId="067360EF">
      <w:pPr>
        <w:pStyle w:val="451"/>
        <w:spacing w:line="405" w:lineRule="atLeast"/>
        <w:rPr>
          <w:rFonts w:hint="eastAsia" w:ascii="仿宋_GB2312" w:eastAsia="仿宋_GB2312"/>
          <w:b/>
          <w:bCs/>
          <w:color w:val="auto"/>
          <w:highlight w:val="none"/>
        </w:rPr>
      </w:pPr>
    </w:p>
    <w:p w14:paraId="6746897E">
      <w:pPr>
        <w:pStyle w:val="451"/>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284A0DED">
      <w:pPr>
        <w:pStyle w:val="451"/>
        <w:jc w:val="right"/>
        <w:rPr>
          <w:rFonts w:hint="eastAsia" w:ascii="仿宋_GB2312" w:eastAsia="仿宋_GB2312"/>
          <w:color w:val="auto"/>
          <w:highlight w:val="none"/>
        </w:rPr>
      </w:pPr>
      <w:r>
        <w:rPr>
          <w:rFonts w:hint="eastAsia" w:ascii="仿宋_GB2312" w:eastAsia="仿宋_GB2312"/>
          <w:color w:val="auto"/>
          <w:highlight w:val="none"/>
        </w:rPr>
        <w:t>法定代表人或委托代理人</w:t>
      </w:r>
      <w:r>
        <w:rPr>
          <w:rFonts w:hint="eastAsia" w:ascii="仿宋_GB2312" w:eastAsia="仿宋_GB2312"/>
          <w:b/>
          <w:bCs/>
          <w:color w:val="auto"/>
          <w:highlight w:val="none"/>
        </w:rPr>
        <w:t>（签字）：</w:t>
      </w:r>
      <w:r>
        <w:rPr>
          <w:rFonts w:hint="eastAsia" w:ascii="仿宋_GB2312" w:eastAsia="仿宋_GB2312"/>
          <w:color w:val="auto"/>
          <w:highlight w:val="none"/>
          <w:u w:val="single"/>
        </w:rPr>
        <w:t>        </w:t>
      </w:r>
    </w:p>
    <w:p w14:paraId="4E44AB4F">
      <w:pPr>
        <w:pStyle w:val="451"/>
        <w:jc w:val="right"/>
        <w:rPr>
          <w:rFonts w:hint="eastAsia" w:ascii="仿宋_GB2312" w:eastAsia="仿宋_GB2312"/>
          <w:color w:val="auto"/>
          <w:highlight w:val="none"/>
        </w:rPr>
      </w:pPr>
      <w:r>
        <w:rPr>
          <w:rFonts w:hint="eastAsia" w:ascii="仿宋_GB2312" w:eastAsia="仿宋_GB2312"/>
          <w:color w:val="auto"/>
          <w:highlight w:val="none"/>
        </w:rPr>
        <w:t>投标人</w:t>
      </w:r>
      <w:r>
        <w:rPr>
          <w:rFonts w:hint="eastAsia" w:ascii="仿宋_GB2312" w:eastAsia="仿宋_GB2312"/>
          <w:b/>
          <w:bCs/>
          <w:color w:val="auto"/>
          <w:highlight w:val="none"/>
        </w:rPr>
        <w:t>（CA电子签章）：</w:t>
      </w:r>
      <w:r>
        <w:rPr>
          <w:rFonts w:hint="eastAsia" w:ascii="仿宋_GB2312" w:eastAsia="仿宋_GB2312"/>
          <w:color w:val="auto"/>
          <w:highlight w:val="none"/>
          <w:u w:val="single"/>
        </w:rPr>
        <w:t>        </w:t>
      </w:r>
    </w:p>
    <w:p w14:paraId="0F866978">
      <w:pPr>
        <w:pStyle w:val="451"/>
        <w:jc w:val="right"/>
        <w:rPr>
          <w:rFonts w:hint="eastAsia" w:ascii="仿宋_GB2312" w:eastAsia="仿宋_GB2312"/>
          <w:color w:val="auto"/>
          <w:highlight w:val="none"/>
        </w:rPr>
      </w:pPr>
      <w:r>
        <w:rPr>
          <w:rFonts w:hint="eastAsia" w:ascii="仿宋_GB2312" w:eastAsia="仿宋_GB2312"/>
          <w:color w:val="auto"/>
          <w:highlight w:val="none"/>
        </w:rPr>
        <w:t>日期：    年 月 日</w:t>
      </w:r>
    </w:p>
    <w:p w14:paraId="7D439748">
      <w:pPr>
        <w:pStyle w:val="26"/>
        <w:spacing w:line="240" w:lineRule="atLeast"/>
        <w:jc w:val="right"/>
        <w:rPr>
          <w:rFonts w:hint="eastAsia" w:ascii="仿宋_GB2312" w:hAnsi="宋体" w:eastAsia="仿宋_GB2312"/>
          <w:color w:val="auto"/>
          <w:highlight w:val="none"/>
        </w:rPr>
        <w:sectPr>
          <w:pgSz w:w="11906" w:h="16838"/>
          <w:pgMar w:top="1440" w:right="707" w:bottom="1440" w:left="1440" w:header="851" w:footer="992" w:gutter="0"/>
          <w:cols w:space="720" w:num="1"/>
          <w:docGrid w:linePitch="312" w:charSpace="0"/>
        </w:sectPr>
      </w:pPr>
    </w:p>
    <w:p w14:paraId="573F2B91">
      <w:pPr>
        <w:pStyle w:val="451"/>
        <w:ind w:left="412"/>
        <w:jc w:val="center"/>
        <w:rPr>
          <w:rFonts w:hint="eastAsia" w:ascii="仿宋_GB2312" w:eastAsia="仿宋_GB2312"/>
          <w:color w:val="auto"/>
          <w:highlight w:val="none"/>
        </w:rPr>
      </w:pPr>
      <w:r>
        <w:rPr>
          <w:rFonts w:hint="eastAsia" w:ascii="仿宋_GB2312" w:eastAsia="仿宋_GB2312"/>
          <w:b/>
          <w:bCs/>
          <w:color w:val="auto"/>
          <w:sz w:val="32"/>
          <w:szCs w:val="32"/>
          <w:highlight w:val="none"/>
        </w:rPr>
        <w:t>技术响应表</w:t>
      </w:r>
      <w:r>
        <w:rPr>
          <w:rFonts w:hint="eastAsia" w:ascii="仿宋_GB2312" w:eastAsia="仿宋_GB2312"/>
          <w:b/>
          <w:color w:val="auto"/>
          <w:sz w:val="32"/>
          <w:szCs w:val="32"/>
          <w:highlight w:val="none"/>
          <w:lang w:eastAsia="zh-CN"/>
        </w:rPr>
        <w:t>（分标</w:t>
      </w:r>
      <w:r>
        <w:rPr>
          <w:rFonts w:hint="eastAsia" w:ascii="仿宋_GB2312" w:eastAsia="仿宋_GB2312"/>
          <w:b/>
          <w:color w:val="auto"/>
          <w:sz w:val="32"/>
          <w:szCs w:val="32"/>
          <w:highlight w:val="none"/>
          <w:u w:val="none"/>
          <w:lang w:val="en-US" w:eastAsia="zh-CN"/>
        </w:rPr>
        <w:t>2）</w:t>
      </w:r>
    </w:p>
    <w:p w14:paraId="6C8FB305">
      <w:pPr>
        <w:pStyle w:val="451"/>
        <w:ind w:left="412"/>
        <w:rPr>
          <w:rFonts w:hint="eastAsia" w:ascii="仿宋_GB2312" w:eastAsia="仿宋_GB2312"/>
          <w:color w:val="auto"/>
          <w:highlight w:val="none"/>
        </w:rPr>
      </w:pPr>
      <w:r>
        <w:rPr>
          <w:rFonts w:hint="eastAsia" w:ascii="仿宋_GB2312" w:eastAsia="仿宋_GB2312"/>
          <w:color w:val="auto"/>
          <w:highlight w:val="none"/>
        </w:rPr>
        <w:t> </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9"/>
        <w:gridCol w:w="2103"/>
        <w:gridCol w:w="2852"/>
        <w:gridCol w:w="2246"/>
        <w:gridCol w:w="1959"/>
      </w:tblGrid>
      <w:tr w14:paraId="315CAB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233CBD">
            <w:pPr>
              <w:pStyle w:val="451"/>
              <w:jc w:val="center"/>
              <w:rPr>
                <w:rFonts w:hint="eastAsia" w:ascii="仿宋_GB2312" w:eastAsia="仿宋_GB2312"/>
                <w:color w:val="auto"/>
                <w:highlight w:val="none"/>
              </w:rPr>
            </w:pPr>
            <w:r>
              <w:rPr>
                <w:rFonts w:hint="eastAsia" w:ascii="仿宋_GB2312" w:eastAsia="仿宋_GB2312"/>
                <w:color w:val="auto"/>
                <w:highlight w:val="none"/>
              </w:rPr>
              <w:t>项号</w:t>
            </w: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533642">
            <w:pPr>
              <w:pStyle w:val="451"/>
              <w:jc w:val="center"/>
              <w:rPr>
                <w:rFonts w:hint="eastAsia" w:ascii="仿宋_GB2312" w:eastAsia="仿宋_GB2312"/>
                <w:color w:val="auto"/>
                <w:highlight w:val="none"/>
              </w:rPr>
            </w:pPr>
            <w:r>
              <w:rPr>
                <w:rFonts w:hint="eastAsia" w:ascii="仿宋_GB2312" w:eastAsia="仿宋_GB2312"/>
                <w:color w:val="auto"/>
                <w:highlight w:val="none"/>
                <w:lang w:eastAsia="zh-CN"/>
              </w:rPr>
              <w:t>标的</w:t>
            </w:r>
            <w:r>
              <w:rPr>
                <w:rFonts w:hint="eastAsia" w:ascii="仿宋_GB2312" w:eastAsia="仿宋_GB2312"/>
                <w:color w:val="auto"/>
                <w:highlight w:val="none"/>
              </w:rPr>
              <w:t>名称</w:t>
            </w: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887A65">
            <w:pPr>
              <w:pStyle w:val="451"/>
              <w:jc w:val="center"/>
              <w:rPr>
                <w:rFonts w:hint="eastAsia" w:ascii="仿宋_GB2312" w:eastAsia="仿宋_GB2312"/>
                <w:color w:val="auto"/>
                <w:highlight w:val="none"/>
              </w:rPr>
            </w:pPr>
            <w:r>
              <w:rPr>
                <w:rFonts w:hint="eastAsia" w:ascii="仿宋_GB2312" w:eastAsia="仿宋_GB2312"/>
                <w:color w:val="auto"/>
                <w:highlight w:val="none"/>
              </w:rPr>
              <w:t>招标文件</w:t>
            </w:r>
          </w:p>
          <w:p w14:paraId="20E7941B">
            <w:pPr>
              <w:pStyle w:val="451"/>
              <w:jc w:val="center"/>
              <w:rPr>
                <w:rFonts w:hint="eastAsia" w:ascii="仿宋_GB2312" w:eastAsia="仿宋_GB2312"/>
                <w:color w:val="auto"/>
                <w:highlight w:val="none"/>
              </w:rPr>
            </w:pPr>
            <w:r>
              <w:rPr>
                <w:rFonts w:hint="eastAsia" w:ascii="仿宋_GB2312" w:eastAsia="仿宋_GB2312"/>
                <w:color w:val="auto"/>
                <w:highlight w:val="none"/>
              </w:rPr>
              <w:t>技术参数要求</w:t>
            </w: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4E4EDA">
            <w:pPr>
              <w:pStyle w:val="451"/>
              <w:jc w:val="center"/>
              <w:rPr>
                <w:rFonts w:hint="eastAsia" w:ascii="仿宋_GB2312" w:eastAsia="仿宋_GB2312"/>
                <w:color w:val="auto"/>
                <w:highlight w:val="none"/>
              </w:rPr>
            </w:pPr>
            <w:r>
              <w:rPr>
                <w:rFonts w:hint="eastAsia" w:ascii="仿宋_GB2312" w:eastAsia="仿宋_GB2312"/>
                <w:color w:val="auto"/>
                <w:highlight w:val="none"/>
              </w:rPr>
              <w:t>投标文件</w:t>
            </w:r>
          </w:p>
          <w:p w14:paraId="7435B07E">
            <w:pPr>
              <w:pStyle w:val="451"/>
              <w:jc w:val="center"/>
              <w:rPr>
                <w:rFonts w:hint="eastAsia" w:ascii="仿宋_GB2312" w:eastAsia="仿宋_GB2312"/>
                <w:color w:val="auto"/>
                <w:highlight w:val="none"/>
              </w:rPr>
            </w:pPr>
            <w:r>
              <w:rPr>
                <w:rFonts w:hint="eastAsia" w:ascii="仿宋_GB2312" w:eastAsia="仿宋_GB2312"/>
                <w:color w:val="auto"/>
                <w:highlight w:val="none"/>
              </w:rPr>
              <w:t>响应技术参数</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2ACDC9">
            <w:pPr>
              <w:pStyle w:val="451"/>
              <w:jc w:val="center"/>
              <w:rPr>
                <w:rFonts w:hint="eastAsia" w:ascii="仿宋_GB2312" w:eastAsia="仿宋_GB2312"/>
                <w:color w:val="auto"/>
                <w:highlight w:val="none"/>
              </w:rPr>
            </w:pPr>
            <w:r>
              <w:rPr>
                <w:rFonts w:hint="eastAsia" w:ascii="仿宋_GB2312" w:eastAsia="仿宋_GB2312"/>
                <w:color w:val="auto"/>
                <w:highlight w:val="none"/>
              </w:rPr>
              <w:t>偏离说明</w:t>
            </w:r>
          </w:p>
        </w:tc>
      </w:tr>
      <w:tr w14:paraId="05540A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909" w:type="dxa"/>
            <w:gridSpan w:val="5"/>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2A9BF0D0">
            <w:pPr>
              <w:pStyle w:val="451"/>
              <w:spacing w:line="405" w:lineRule="atLeast"/>
              <w:rPr>
                <w:rFonts w:hint="eastAsia" w:ascii="仿宋_GB2312" w:eastAsia="仿宋_GB2312"/>
                <w:color w:val="auto"/>
                <w:highlight w:val="none"/>
              </w:rPr>
            </w:pP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eastAsia="zh-CN"/>
              </w:rPr>
              <w:t>一</w:t>
            </w: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val="en-US" w:eastAsia="zh-CN"/>
              </w:rPr>
              <w:t>2间</w:t>
            </w:r>
            <w:r>
              <w:rPr>
                <w:rFonts w:hint="eastAsia" w:ascii="仿宋_GB2312" w:hAnsi="仿宋_GB2312" w:eastAsia="仿宋_GB2312" w:cs="仿宋_GB2312"/>
                <w:b/>
                <w:bCs/>
                <w:color w:val="auto"/>
                <w:kern w:val="0"/>
                <w:sz w:val="24"/>
                <w:szCs w:val="24"/>
                <w:highlight w:val="none"/>
              </w:rPr>
              <w:t>计算机网络教室</w:t>
            </w:r>
          </w:p>
        </w:tc>
      </w:tr>
      <w:tr w14:paraId="7AAA3CE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A3DC62">
            <w:pPr>
              <w:pStyle w:val="451"/>
              <w:spacing w:line="405" w:lineRule="atLeast"/>
              <w:rPr>
                <w:rFonts w:hint="eastAsia" w:ascii="仿宋_GB2312" w:eastAsia="仿宋_GB2312"/>
                <w:color w:val="auto"/>
                <w:highlight w:val="none"/>
                <w:lang w:val="en-US" w:eastAsia="zh-CN"/>
              </w:rPr>
            </w:pPr>
            <w:r>
              <w:rPr>
                <w:rFonts w:hint="eastAsia" w:ascii="仿宋_GB2312" w:eastAsia="仿宋_GB2312"/>
                <w:color w:val="auto"/>
                <w:highlight w:val="none"/>
              </w:rPr>
              <w:t> </w:t>
            </w:r>
            <w:r>
              <w:rPr>
                <w:rFonts w:hint="eastAsia" w:ascii="仿宋_GB2312" w:eastAsia="仿宋_GB2312"/>
                <w:color w:val="auto"/>
                <w:highlight w:val="none"/>
                <w:lang w:val="en-US" w:eastAsia="zh-CN"/>
              </w:rPr>
              <w:t>1</w:t>
            </w:r>
          </w:p>
        </w:tc>
        <w:tc>
          <w:tcPr>
            <w:tcW w:w="2103"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1FA00D69">
            <w:pPr>
              <w:pStyle w:val="933"/>
              <w:spacing w:line="405" w:lineRule="atLeast"/>
              <w:rPr>
                <w:rFonts w:hint="eastAsia" w:ascii="仿宋_GB2312" w:hAnsi="宋体" w:eastAsia="仿宋_GB2312" w:cs="宋体"/>
                <w:color w:val="auto"/>
                <w:sz w:val="24"/>
                <w:szCs w:val="24"/>
                <w:highlight w:val="none"/>
                <w:lang w:val="en-US" w:eastAsia="zh-CN" w:bidi="ar-SA"/>
              </w:rPr>
            </w:pPr>
            <w:r>
              <w:rPr>
                <w:rFonts w:hint="eastAsia" w:ascii="仿宋_GB2312" w:eastAsia="仿宋_GB2312"/>
                <w:color w:val="auto"/>
                <w:highlight w:val="none"/>
              </w:rPr>
              <w:t> </w:t>
            </w:r>
            <w:r>
              <w:rPr>
                <w:rFonts w:hint="eastAsia" w:ascii="仿宋_GB2312" w:eastAsia="仿宋_GB2312"/>
                <w:color w:val="auto"/>
                <w:highlight w:val="none"/>
                <w:lang w:eastAsia="zh-CN"/>
              </w:rPr>
              <w:t>网络教室</w:t>
            </w:r>
            <w:r>
              <w:rPr>
                <w:rFonts w:hint="eastAsia" w:ascii="仿宋_GB2312" w:eastAsia="仿宋_GB2312"/>
                <w:color w:val="auto"/>
                <w:highlight w:val="none"/>
              </w:rPr>
              <w:t>教师机</w:t>
            </w:r>
            <w:r>
              <w:rPr>
                <w:rFonts w:hint="eastAsia" w:ascii="仿宋_GB2312" w:eastAsia="仿宋_GB2312"/>
                <w:b/>
                <w:bCs/>
                <w:color w:val="auto"/>
                <w:highlight w:val="none"/>
              </w:rPr>
              <w:t>（强制采购节能产品，详见采购需求说明第八点）</w:t>
            </w:r>
          </w:p>
        </w:tc>
        <w:tc>
          <w:tcPr>
            <w:tcW w:w="2852"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20B74D5C">
            <w:pPr>
              <w:pStyle w:val="933"/>
              <w:spacing w:line="405" w:lineRule="atLeast"/>
              <w:rPr>
                <w:rFonts w:hint="eastAsia" w:ascii="仿宋_GB2312" w:hAnsi="宋体" w:eastAsia="仿宋_GB2312" w:cs="宋体"/>
                <w:color w:val="auto"/>
                <w:sz w:val="24"/>
                <w:szCs w:val="24"/>
                <w:highlight w:val="none"/>
                <w:lang w:val="en-US" w:eastAsia="zh-CN" w:bidi="ar-SA"/>
              </w:rPr>
            </w:pPr>
            <w:r>
              <w:rPr>
                <w:rFonts w:hint="eastAsia" w:ascii="仿宋_GB2312" w:eastAsia="仿宋_GB2312"/>
                <w:color w:val="auto"/>
                <w:highlight w:val="none"/>
              </w:rPr>
              <w:t> </w:t>
            </w:r>
          </w:p>
        </w:tc>
        <w:tc>
          <w:tcPr>
            <w:tcW w:w="2246"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79A66579">
            <w:pPr>
              <w:pStyle w:val="933"/>
              <w:spacing w:line="405" w:lineRule="atLeast"/>
              <w:rPr>
                <w:rFonts w:hint="eastAsia" w:ascii="仿宋_GB2312" w:hAnsi="宋体" w:eastAsia="仿宋_GB2312" w:cs="宋体"/>
                <w:color w:val="auto"/>
                <w:sz w:val="24"/>
                <w:szCs w:val="24"/>
                <w:highlight w:val="none"/>
                <w:lang w:val="en-US" w:eastAsia="zh-CN" w:bidi="ar-SA"/>
              </w:rPr>
            </w:pPr>
            <w:r>
              <w:rPr>
                <w:rFonts w:hint="eastAsia" w:ascii="仿宋_GB2312" w:eastAsia="仿宋_GB2312"/>
                <w:color w:val="auto"/>
                <w:highlight w:val="none"/>
              </w:rPr>
              <w:t> </w:t>
            </w:r>
            <w:r>
              <w:rPr>
                <w:rFonts w:hint="eastAsia" w:ascii="仿宋_GB2312" w:hAnsi="仿宋_GB2312" w:eastAsia="仿宋_GB2312" w:cs="仿宋_GB2312"/>
                <w:b/>
                <w:bCs/>
                <w:color w:val="auto"/>
                <w:highlight w:val="none"/>
              </w:rPr>
              <w:t>注：投标人应明确给出所投</w:t>
            </w:r>
            <w:r>
              <w:rPr>
                <w:rFonts w:hint="eastAsia" w:ascii="仿宋_GB2312" w:hAnsi="仿宋_GB2312" w:eastAsia="仿宋_GB2312" w:cs="仿宋_GB2312"/>
                <w:b/>
                <w:bCs/>
                <w:color w:val="auto"/>
                <w:highlight w:val="none"/>
                <w:lang w:eastAsia="zh-CN"/>
              </w:rPr>
              <w:t>网络教室</w:t>
            </w:r>
            <w:r>
              <w:rPr>
                <w:rFonts w:hint="eastAsia" w:ascii="仿宋_GB2312" w:hAnsi="仿宋_GB2312" w:eastAsia="仿宋_GB2312" w:cs="仿宋_GB2312"/>
                <w:b/>
                <w:bCs/>
                <w:color w:val="auto"/>
                <w:highlight w:val="none"/>
              </w:rPr>
              <w:t>教师机“CPU型号”及“操作系统”名称，否则视为投标无效。</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E195C2">
            <w:pPr>
              <w:pStyle w:val="451"/>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r>
      <w:tr w14:paraId="479A60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C07E34">
            <w:pPr>
              <w:pStyle w:val="451"/>
              <w:spacing w:line="405" w:lineRule="atLeast"/>
              <w:rPr>
                <w:rFonts w:hint="eastAsia" w:ascii="仿宋_GB2312" w:eastAsia="仿宋_GB2312"/>
                <w:color w:val="auto"/>
                <w:highlight w:val="none"/>
                <w:lang w:val="en-US" w:eastAsia="zh-CN"/>
              </w:rPr>
            </w:pPr>
            <w:r>
              <w:rPr>
                <w:rFonts w:hint="eastAsia" w:ascii="仿宋_GB2312" w:eastAsia="仿宋_GB2312"/>
                <w:color w:val="auto"/>
                <w:highlight w:val="none"/>
              </w:rPr>
              <w:t> </w:t>
            </w:r>
            <w:r>
              <w:rPr>
                <w:rFonts w:hint="eastAsia" w:ascii="仿宋_GB2312" w:eastAsia="仿宋_GB2312"/>
                <w:color w:val="auto"/>
                <w:highlight w:val="none"/>
                <w:lang w:val="en-US" w:eastAsia="zh-CN"/>
              </w:rPr>
              <w:t>2</w:t>
            </w:r>
          </w:p>
        </w:tc>
        <w:tc>
          <w:tcPr>
            <w:tcW w:w="2103"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12F0304C">
            <w:pPr>
              <w:pStyle w:val="933"/>
              <w:spacing w:line="405" w:lineRule="atLeast"/>
              <w:rPr>
                <w:rFonts w:hint="eastAsia" w:ascii="仿宋_GB2312" w:hAnsi="宋体" w:eastAsia="仿宋_GB2312" w:cs="宋体"/>
                <w:color w:val="auto"/>
                <w:sz w:val="24"/>
                <w:szCs w:val="24"/>
                <w:highlight w:val="none"/>
                <w:lang w:val="en-US" w:eastAsia="zh-CN" w:bidi="ar-SA"/>
              </w:rPr>
            </w:pPr>
            <w:r>
              <w:rPr>
                <w:rFonts w:hint="eastAsia" w:ascii="仿宋_GB2312" w:eastAsia="仿宋_GB2312"/>
                <w:color w:val="auto"/>
                <w:highlight w:val="none"/>
              </w:rPr>
              <w:t> </w:t>
            </w:r>
            <w:r>
              <w:rPr>
                <w:rFonts w:hint="eastAsia" w:ascii="仿宋_GB2312" w:eastAsia="仿宋_GB2312"/>
                <w:color w:val="auto"/>
                <w:highlight w:val="none"/>
                <w:lang w:eastAsia="zh-CN"/>
              </w:rPr>
              <w:t>网络教室学生</w:t>
            </w:r>
            <w:r>
              <w:rPr>
                <w:rFonts w:hint="eastAsia" w:ascii="仿宋_GB2312" w:eastAsia="仿宋_GB2312"/>
                <w:color w:val="auto"/>
                <w:highlight w:val="none"/>
              </w:rPr>
              <w:t>机</w:t>
            </w:r>
            <w:r>
              <w:rPr>
                <w:rFonts w:hint="eastAsia" w:ascii="仿宋_GB2312" w:eastAsia="仿宋_GB2312"/>
                <w:b/>
                <w:bCs/>
                <w:color w:val="auto"/>
                <w:highlight w:val="none"/>
              </w:rPr>
              <w:t>（强制采购节能产品，详见采购需求说明第八点）</w:t>
            </w:r>
          </w:p>
        </w:tc>
        <w:tc>
          <w:tcPr>
            <w:tcW w:w="2852"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3ED202BC">
            <w:pPr>
              <w:pStyle w:val="933"/>
              <w:spacing w:line="405" w:lineRule="atLeast"/>
              <w:rPr>
                <w:rFonts w:hint="eastAsia" w:ascii="仿宋_GB2312" w:hAnsi="宋体" w:eastAsia="仿宋_GB2312" w:cs="宋体"/>
                <w:color w:val="auto"/>
                <w:sz w:val="24"/>
                <w:szCs w:val="24"/>
                <w:highlight w:val="none"/>
                <w:lang w:val="en-US" w:eastAsia="zh-CN" w:bidi="ar-SA"/>
              </w:rPr>
            </w:pPr>
            <w:r>
              <w:rPr>
                <w:rFonts w:hint="eastAsia" w:ascii="仿宋_GB2312" w:eastAsia="仿宋_GB2312"/>
                <w:color w:val="auto"/>
                <w:highlight w:val="none"/>
              </w:rPr>
              <w:t> </w:t>
            </w:r>
          </w:p>
        </w:tc>
        <w:tc>
          <w:tcPr>
            <w:tcW w:w="2246"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3A6478EA">
            <w:pPr>
              <w:pStyle w:val="933"/>
              <w:spacing w:line="405" w:lineRule="atLeast"/>
              <w:rPr>
                <w:rFonts w:hint="eastAsia" w:ascii="仿宋_GB2312" w:hAnsi="宋体" w:eastAsia="仿宋_GB2312" w:cs="宋体"/>
                <w:color w:val="auto"/>
                <w:sz w:val="24"/>
                <w:szCs w:val="24"/>
                <w:highlight w:val="none"/>
                <w:lang w:val="en-US" w:eastAsia="zh-CN" w:bidi="ar-SA"/>
              </w:rPr>
            </w:pPr>
            <w:r>
              <w:rPr>
                <w:rFonts w:hint="eastAsia" w:ascii="仿宋_GB2312" w:eastAsia="仿宋_GB2312"/>
                <w:color w:val="auto"/>
                <w:highlight w:val="none"/>
              </w:rPr>
              <w:t> </w:t>
            </w:r>
            <w:r>
              <w:rPr>
                <w:rFonts w:hint="eastAsia" w:ascii="仿宋_GB2312" w:hAnsi="仿宋_GB2312" w:eastAsia="仿宋_GB2312" w:cs="仿宋_GB2312"/>
                <w:b/>
                <w:bCs/>
                <w:color w:val="auto"/>
                <w:highlight w:val="none"/>
              </w:rPr>
              <w:t>注：投标人应明确给出所投</w:t>
            </w:r>
            <w:r>
              <w:rPr>
                <w:rFonts w:hint="eastAsia" w:ascii="仿宋_GB2312" w:hAnsi="仿宋_GB2312" w:eastAsia="仿宋_GB2312" w:cs="仿宋_GB2312"/>
                <w:b/>
                <w:bCs/>
                <w:color w:val="auto"/>
                <w:highlight w:val="none"/>
                <w:lang w:eastAsia="zh-CN"/>
              </w:rPr>
              <w:t>网络教室学生</w:t>
            </w:r>
            <w:r>
              <w:rPr>
                <w:rFonts w:hint="eastAsia" w:ascii="仿宋_GB2312" w:hAnsi="仿宋_GB2312" w:eastAsia="仿宋_GB2312" w:cs="仿宋_GB2312"/>
                <w:b/>
                <w:bCs/>
                <w:color w:val="auto"/>
                <w:highlight w:val="none"/>
              </w:rPr>
              <w:t>机“CPU型号”及“操作系统”名称，否则视为投标无效。</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8FF9CD">
            <w:pPr>
              <w:pStyle w:val="451"/>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r>
      <w:tr w14:paraId="041BCD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3235E6">
            <w:pPr>
              <w:pStyle w:val="451"/>
              <w:spacing w:line="405" w:lineRule="atLeast"/>
              <w:rPr>
                <w:rFonts w:hint="eastAsia" w:ascii="仿宋_GB2312" w:eastAsia="仿宋_GB2312"/>
                <w:color w:val="auto"/>
                <w:highlight w:val="none"/>
                <w:lang w:val="en-US" w:eastAsia="zh-CN"/>
              </w:rPr>
            </w:pPr>
            <w:r>
              <w:rPr>
                <w:rFonts w:hint="eastAsia" w:ascii="仿宋_GB2312" w:eastAsia="仿宋_GB2312"/>
                <w:color w:val="auto"/>
                <w:highlight w:val="none"/>
              </w:rPr>
              <w:t> </w:t>
            </w: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BD94A2">
            <w:pPr>
              <w:pStyle w:val="451"/>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E7D7E9">
            <w:pPr>
              <w:pStyle w:val="451"/>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AD3870">
            <w:pPr>
              <w:pStyle w:val="451"/>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B88A8C">
            <w:pPr>
              <w:pStyle w:val="451"/>
              <w:spacing w:line="405" w:lineRule="atLeast"/>
              <w:rPr>
                <w:rFonts w:hint="eastAsia" w:ascii="仿宋_GB2312" w:eastAsia="仿宋_GB2312"/>
                <w:color w:val="auto"/>
                <w:highlight w:val="none"/>
              </w:rPr>
            </w:pPr>
            <w:r>
              <w:rPr>
                <w:rFonts w:hint="eastAsia" w:ascii="仿宋_GB2312" w:eastAsia="仿宋_GB2312"/>
                <w:color w:val="auto"/>
                <w:highlight w:val="none"/>
              </w:rPr>
              <w:t> </w:t>
            </w:r>
          </w:p>
        </w:tc>
      </w:tr>
    </w:tbl>
    <w:p w14:paraId="1A9C02E9">
      <w:pPr>
        <w:pStyle w:val="451"/>
        <w:spacing w:line="405" w:lineRule="atLeast"/>
        <w:rPr>
          <w:rFonts w:hint="eastAsia" w:ascii="仿宋_GB2312" w:eastAsia="仿宋_GB2312"/>
          <w:color w:val="auto"/>
          <w:highlight w:val="none"/>
        </w:rPr>
      </w:pPr>
      <w:r>
        <w:rPr>
          <w:rFonts w:hint="eastAsia" w:ascii="仿宋_GB2312" w:eastAsia="仿宋_GB2312"/>
          <w:b/>
          <w:bCs/>
          <w:color w:val="auto"/>
          <w:highlight w:val="none"/>
        </w:rPr>
        <w:t xml:space="preserve">  </w:t>
      </w:r>
    </w:p>
    <w:p w14:paraId="7BA46E6E">
      <w:pPr>
        <w:pStyle w:val="451"/>
        <w:spacing w:after="0" w:afterAutospacing="0" w:line="405" w:lineRule="atLeast"/>
        <w:rPr>
          <w:rFonts w:hint="eastAsia" w:ascii="仿宋_GB2312" w:eastAsia="仿宋_GB2312"/>
          <w:b/>
          <w:bCs/>
          <w:color w:val="auto"/>
          <w:highlight w:val="none"/>
        </w:rPr>
      </w:pPr>
      <w:r>
        <w:rPr>
          <w:rFonts w:hint="eastAsia" w:ascii="仿宋_GB2312" w:eastAsia="仿宋_GB2312"/>
          <w:b/>
          <w:bCs/>
          <w:color w:val="auto"/>
          <w:highlight w:val="none"/>
        </w:rPr>
        <w:t>  注：1.此项材料必须以PDF格式上传。</w:t>
      </w:r>
      <w:r>
        <w:rPr>
          <w:rFonts w:hint="eastAsia" w:ascii="仿宋_GB2312" w:eastAsia="仿宋_GB2312"/>
          <w:b/>
          <w:bCs/>
          <w:color w:val="auto"/>
          <w:highlight w:val="none"/>
        </w:rPr>
        <w:br w:type="textWrapping"/>
      </w:r>
      <w:r>
        <w:rPr>
          <w:rFonts w:hint="eastAsia" w:ascii="仿宋_GB2312" w:eastAsia="仿宋_GB2312"/>
          <w:b/>
          <w:bCs/>
          <w:color w:val="auto"/>
          <w:highlight w:val="none"/>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auto"/>
          <w:highlight w:val="none"/>
        </w:rPr>
        <w:br w:type="textWrapping"/>
      </w:r>
      <w:r>
        <w:rPr>
          <w:rFonts w:hint="eastAsia" w:ascii="仿宋_GB2312" w:eastAsia="仿宋_GB2312"/>
          <w:b/>
          <w:bCs/>
          <w:color w:val="auto"/>
          <w:highlight w:val="none"/>
        </w:rPr>
        <w:t>  3.投标人就标记“★”符号的实质性响应内容发生负偏离一项以上的，视为投标无效。</w:t>
      </w:r>
      <w:r>
        <w:rPr>
          <w:rFonts w:hint="eastAsia" w:ascii="仿宋_GB2312" w:eastAsia="仿宋_GB2312"/>
          <w:b/>
          <w:bCs/>
          <w:color w:val="auto"/>
          <w:highlight w:val="none"/>
        </w:rPr>
        <w:br w:type="textWrapping"/>
      </w:r>
      <w:r>
        <w:rPr>
          <w:rFonts w:hint="eastAsia" w:ascii="仿宋_GB2312" w:eastAsia="仿宋_GB2312"/>
          <w:b/>
          <w:bCs/>
          <w:color w:val="auto"/>
          <w:highlight w:val="none"/>
        </w:rPr>
        <w:t>  4.投标人就没有标记“★”符号的技术参数要求响应内容发生负偏离</w:t>
      </w:r>
      <w:r>
        <w:rPr>
          <w:rFonts w:hint="eastAsia" w:ascii="仿宋_GB2312" w:eastAsia="仿宋_GB2312"/>
          <w:b/>
          <w:bCs/>
          <w:color w:val="auto"/>
          <w:highlight w:val="none"/>
          <w:lang w:eastAsia="zh-CN"/>
        </w:rPr>
        <w:t>三</w:t>
      </w:r>
      <w:r>
        <w:rPr>
          <w:rFonts w:hint="eastAsia" w:ascii="仿宋_GB2312" w:eastAsia="仿宋_GB2312"/>
          <w:b/>
          <w:bCs/>
          <w:color w:val="auto"/>
          <w:highlight w:val="none"/>
        </w:rPr>
        <w:t>项以上的，视为投标无效。</w:t>
      </w:r>
    </w:p>
    <w:p w14:paraId="65283B24">
      <w:pPr>
        <w:pStyle w:val="933"/>
        <w:spacing w:before="0" w:beforeAutospacing="0" w:line="405" w:lineRule="atLeast"/>
        <w:ind w:firstLine="361" w:firstLineChars="150"/>
        <w:rPr>
          <w:rFonts w:hint="eastAsia" w:ascii="仿宋_GB2312" w:eastAsia="仿宋_GB2312"/>
          <w:b/>
          <w:bCs/>
          <w:color w:val="auto"/>
          <w:highlight w:val="none"/>
        </w:rPr>
      </w:pPr>
      <w:r>
        <w:rPr>
          <w:rFonts w:hint="eastAsia" w:ascii="仿宋_GB2312" w:eastAsia="仿宋_GB2312"/>
          <w:b/>
          <w:bCs/>
          <w:color w:val="auto"/>
          <w:highlight w:val="none"/>
        </w:rPr>
        <w:t>5.第</w:t>
      </w: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eastAsia="zh-CN"/>
        </w:rPr>
        <w:t>二</w:t>
      </w: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val="en-US" w:eastAsia="zh-CN"/>
        </w:rPr>
        <w:t>2间</w:t>
      </w:r>
      <w:r>
        <w:rPr>
          <w:rFonts w:hint="eastAsia" w:ascii="仿宋_GB2312" w:hAnsi="仿宋_GB2312" w:eastAsia="仿宋_GB2312" w:cs="仿宋_GB2312"/>
          <w:b/>
          <w:bCs/>
          <w:color w:val="auto"/>
          <w:kern w:val="0"/>
          <w:sz w:val="24"/>
          <w:szCs w:val="24"/>
          <w:highlight w:val="none"/>
        </w:rPr>
        <w:t>计算机网络教室</w:t>
      </w:r>
      <w:r>
        <w:rPr>
          <w:rFonts w:hint="eastAsia" w:ascii="仿宋_GB2312" w:hAnsi="仿宋_GB2312" w:eastAsia="仿宋_GB2312" w:cs="仿宋_GB2312"/>
          <w:b/>
          <w:bCs/>
          <w:color w:val="auto"/>
          <w:kern w:val="0"/>
          <w:sz w:val="24"/>
          <w:szCs w:val="24"/>
          <w:highlight w:val="none"/>
          <w:lang w:val="en-US" w:eastAsia="zh-CN"/>
        </w:rPr>
        <w:t xml:space="preserve"> 的第1项</w:t>
      </w:r>
      <w:r>
        <w:rPr>
          <w:rFonts w:hint="eastAsia" w:ascii="仿宋_GB2312" w:eastAsia="仿宋_GB2312"/>
          <w:b/>
          <w:bCs/>
          <w:color w:val="auto"/>
          <w:highlight w:val="none"/>
        </w:rPr>
        <w:t>“</w:t>
      </w:r>
      <w:r>
        <w:rPr>
          <w:rFonts w:hint="eastAsia" w:ascii="仿宋_GB2312" w:eastAsia="仿宋_GB2312"/>
          <w:b/>
          <w:bCs/>
          <w:color w:val="auto"/>
          <w:highlight w:val="none"/>
          <w:lang w:eastAsia="zh-CN"/>
        </w:rPr>
        <w:t>网络教室</w:t>
      </w:r>
      <w:r>
        <w:rPr>
          <w:rFonts w:hint="eastAsia" w:ascii="仿宋_GB2312" w:eastAsia="仿宋_GB2312"/>
          <w:b/>
          <w:bCs/>
          <w:color w:val="auto"/>
          <w:highlight w:val="none"/>
        </w:rPr>
        <w:t>教师机”</w:t>
      </w:r>
      <w:r>
        <w:rPr>
          <w:rFonts w:hint="eastAsia" w:ascii="仿宋_GB2312" w:eastAsia="仿宋_GB2312"/>
          <w:b/>
          <w:bCs/>
          <w:color w:val="auto"/>
          <w:highlight w:val="none"/>
          <w:lang w:eastAsia="zh-CN"/>
        </w:rPr>
        <w:t>、</w:t>
      </w:r>
      <w:r>
        <w:rPr>
          <w:rFonts w:hint="eastAsia" w:ascii="仿宋_GB2312" w:hAnsi="仿宋_GB2312" w:eastAsia="仿宋_GB2312" w:cs="仿宋_GB2312"/>
          <w:b/>
          <w:bCs/>
          <w:color w:val="auto"/>
          <w:kern w:val="0"/>
          <w:sz w:val="24"/>
          <w:szCs w:val="24"/>
          <w:highlight w:val="none"/>
          <w:lang w:val="en-US" w:eastAsia="zh-CN"/>
        </w:rPr>
        <w:t>第2项</w:t>
      </w:r>
      <w:r>
        <w:rPr>
          <w:rFonts w:hint="eastAsia" w:ascii="仿宋_GB2312" w:eastAsia="仿宋_GB2312"/>
          <w:b/>
          <w:bCs/>
          <w:color w:val="auto"/>
          <w:highlight w:val="none"/>
        </w:rPr>
        <w:t>“</w:t>
      </w:r>
      <w:r>
        <w:rPr>
          <w:rFonts w:hint="eastAsia" w:ascii="仿宋_GB2312" w:eastAsia="仿宋_GB2312"/>
          <w:b/>
          <w:bCs/>
          <w:color w:val="auto"/>
          <w:highlight w:val="none"/>
          <w:lang w:eastAsia="zh-CN"/>
        </w:rPr>
        <w:t>网络教室学生</w:t>
      </w:r>
      <w:r>
        <w:rPr>
          <w:rFonts w:hint="eastAsia" w:ascii="仿宋_GB2312" w:eastAsia="仿宋_GB2312"/>
          <w:b/>
          <w:bCs/>
          <w:color w:val="auto"/>
          <w:highlight w:val="none"/>
        </w:rPr>
        <w:t>机”的CPU型号、操作系统应当符合安全可靠测评要求，具体详见《附件一：中国信息安全测评中心和国家保密科技测评中心网站安全可靠测评结果》，否则投标无效。</w:t>
      </w:r>
    </w:p>
    <w:p w14:paraId="771E9964">
      <w:pPr>
        <w:pStyle w:val="451"/>
        <w:spacing w:line="405" w:lineRule="atLeast"/>
        <w:rPr>
          <w:rFonts w:hint="eastAsia" w:ascii="仿宋_GB2312" w:eastAsia="仿宋_GB2312"/>
          <w:b/>
          <w:bCs/>
          <w:color w:val="auto"/>
          <w:highlight w:val="none"/>
        </w:rPr>
      </w:pPr>
    </w:p>
    <w:p w14:paraId="5003FF94">
      <w:pPr>
        <w:pStyle w:val="451"/>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4C78E898">
      <w:pPr>
        <w:pStyle w:val="451"/>
        <w:jc w:val="right"/>
        <w:rPr>
          <w:rFonts w:hint="eastAsia" w:ascii="仿宋_GB2312" w:eastAsia="仿宋_GB2312"/>
          <w:color w:val="auto"/>
          <w:highlight w:val="none"/>
        </w:rPr>
      </w:pPr>
      <w:r>
        <w:rPr>
          <w:rFonts w:hint="eastAsia" w:ascii="仿宋_GB2312" w:eastAsia="仿宋_GB2312"/>
          <w:color w:val="auto"/>
          <w:highlight w:val="none"/>
        </w:rPr>
        <w:t>法定代表人或委托代理人</w:t>
      </w:r>
      <w:r>
        <w:rPr>
          <w:rFonts w:hint="eastAsia" w:ascii="仿宋_GB2312" w:eastAsia="仿宋_GB2312"/>
          <w:b/>
          <w:bCs/>
          <w:color w:val="auto"/>
          <w:highlight w:val="none"/>
        </w:rPr>
        <w:t>（签字）：</w:t>
      </w:r>
      <w:r>
        <w:rPr>
          <w:rFonts w:hint="eastAsia" w:ascii="仿宋_GB2312" w:eastAsia="仿宋_GB2312"/>
          <w:color w:val="auto"/>
          <w:highlight w:val="none"/>
          <w:u w:val="single"/>
        </w:rPr>
        <w:t>        </w:t>
      </w:r>
    </w:p>
    <w:p w14:paraId="4330CF2C">
      <w:pPr>
        <w:pStyle w:val="451"/>
        <w:jc w:val="right"/>
        <w:rPr>
          <w:rFonts w:hint="eastAsia" w:ascii="仿宋_GB2312" w:eastAsia="仿宋_GB2312"/>
          <w:color w:val="auto"/>
          <w:highlight w:val="none"/>
        </w:rPr>
      </w:pPr>
      <w:r>
        <w:rPr>
          <w:rFonts w:hint="eastAsia" w:ascii="仿宋_GB2312" w:eastAsia="仿宋_GB2312"/>
          <w:color w:val="auto"/>
          <w:highlight w:val="none"/>
        </w:rPr>
        <w:t>投标人</w:t>
      </w:r>
      <w:r>
        <w:rPr>
          <w:rFonts w:hint="eastAsia" w:ascii="仿宋_GB2312" w:eastAsia="仿宋_GB2312"/>
          <w:b/>
          <w:bCs/>
          <w:color w:val="auto"/>
          <w:highlight w:val="none"/>
        </w:rPr>
        <w:t>（CA电子签章）：</w:t>
      </w:r>
      <w:r>
        <w:rPr>
          <w:rFonts w:hint="eastAsia" w:ascii="仿宋_GB2312" w:eastAsia="仿宋_GB2312"/>
          <w:color w:val="auto"/>
          <w:highlight w:val="none"/>
          <w:u w:val="single"/>
        </w:rPr>
        <w:t>        </w:t>
      </w:r>
    </w:p>
    <w:p w14:paraId="049C4D67">
      <w:pPr>
        <w:pStyle w:val="451"/>
        <w:jc w:val="right"/>
        <w:rPr>
          <w:rFonts w:hint="eastAsia" w:ascii="仿宋_GB2312" w:eastAsia="仿宋_GB2312"/>
          <w:color w:val="auto"/>
          <w:highlight w:val="none"/>
        </w:rPr>
      </w:pPr>
      <w:r>
        <w:rPr>
          <w:rFonts w:hint="eastAsia" w:ascii="仿宋_GB2312" w:eastAsia="仿宋_GB2312"/>
          <w:color w:val="auto"/>
          <w:highlight w:val="none"/>
        </w:rPr>
        <w:t>日期：    年 月 日</w:t>
      </w:r>
    </w:p>
    <w:p w14:paraId="04D42801">
      <w:pPr>
        <w:pStyle w:val="26"/>
        <w:spacing w:line="240" w:lineRule="atLeast"/>
        <w:jc w:val="right"/>
        <w:rPr>
          <w:rFonts w:hint="eastAsia" w:ascii="仿宋_GB2312" w:hAnsi="宋体" w:eastAsia="仿宋_GB2312"/>
          <w:color w:val="auto"/>
          <w:highlight w:val="none"/>
        </w:rPr>
        <w:sectPr>
          <w:pgSz w:w="11906" w:h="16838"/>
          <w:pgMar w:top="1440" w:right="707" w:bottom="1440" w:left="1440" w:header="851" w:footer="992" w:gutter="0"/>
          <w:cols w:space="720" w:num="1"/>
          <w:docGrid w:linePitch="312" w:charSpace="0"/>
        </w:sectPr>
      </w:pPr>
    </w:p>
    <w:p w14:paraId="284F40D0">
      <w:pPr>
        <w:snapToGrid w:val="0"/>
        <w:spacing w:before="50"/>
        <w:jc w:val="left"/>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附件一：中国信息安全测评中心和国家保密科技测评中心网站安全可靠测评结果（若附表有变动，按最新政策执行）：</w:t>
      </w:r>
    </w:p>
    <w:p w14:paraId="2BC0603C">
      <w:pPr>
        <w:pStyle w:val="43"/>
        <w:spacing w:before="0" w:beforeAutospacing="0" w:after="0" w:afterAutospacing="0" w:line="420" w:lineRule="atLeast"/>
        <w:ind w:firstLine="420"/>
        <w:jc w:val="center"/>
        <w:rPr>
          <w:rFonts w:ascii="仿宋_GB2312" w:eastAsia="仿宋_GB2312"/>
          <w:b/>
          <w:color w:val="auto"/>
          <w:kern w:val="2"/>
          <w:szCs w:val="24"/>
          <w:highlight w:val="none"/>
        </w:rPr>
      </w:pPr>
      <w:r>
        <w:rPr>
          <w:rFonts w:ascii="仿宋_GB2312" w:eastAsia="仿宋_GB2312"/>
          <w:b/>
          <w:color w:val="auto"/>
          <w:kern w:val="2"/>
          <w:szCs w:val="24"/>
          <w:highlight w:val="none"/>
        </w:rPr>
        <w:t>（2023年第1号）</w:t>
      </w:r>
    </w:p>
    <w:p w14:paraId="32D9A1F2">
      <w:pPr>
        <w:pStyle w:val="43"/>
        <w:spacing w:before="0" w:beforeAutospacing="0" w:after="0" w:afterAutospacing="0" w:line="420" w:lineRule="atLeast"/>
        <w:ind w:firstLine="420"/>
        <w:jc w:val="center"/>
        <w:rPr>
          <w:rFonts w:ascii="仿宋_GB2312" w:eastAsia="仿宋_GB2312"/>
          <w:b/>
          <w:color w:val="auto"/>
          <w:kern w:val="2"/>
          <w:szCs w:val="24"/>
          <w:highlight w:val="none"/>
        </w:rPr>
      </w:pPr>
      <w:r>
        <w:rPr>
          <w:rFonts w:ascii="仿宋_GB2312" w:eastAsia="仿宋_GB2312"/>
          <w:b/>
          <w:color w:val="auto"/>
          <w:kern w:val="2"/>
          <w:szCs w:val="24"/>
          <w:highlight w:val="none"/>
        </w:rPr>
        <w:t>一、中央处理器（CPU）</w:t>
      </w:r>
    </w:p>
    <w:tbl>
      <w:tblPr>
        <w:tblStyle w:val="48"/>
        <w:tblW w:w="0" w:type="auto"/>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3338"/>
        <w:gridCol w:w="3206"/>
        <w:gridCol w:w="1566"/>
      </w:tblGrid>
      <w:tr w14:paraId="75F4F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A9BE5E5">
            <w:pPr>
              <w:widowControl/>
              <w:spacing w:line="240" w:lineRule="exact"/>
              <w:jc w:val="center"/>
              <w:rPr>
                <w:rFonts w:hint="eastAsia"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kern w:val="0"/>
                <w:szCs w:val="21"/>
                <w:highlight w:val="none"/>
                <w:lang w:bidi="ar"/>
              </w:rPr>
              <w:t>序号</w:t>
            </w:r>
          </w:p>
        </w:tc>
        <w:tc>
          <w:tcPr>
            <w:tcW w:w="3338" w:type="dxa"/>
            <w:tcMar>
              <w:top w:w="60" w:type="dxa"/>
              <w:left w:w="60" w:type="dxa"/>
              <w:bottom w:w="60" w:type="dxa"/>
              <w:right w:w="60" w:type="dxa"/>
            </w:tcMar>
            <w:vAlign w:val="center"/>
          </w:tcPr>
          <w:p w14:paraId="5E9F6D39">
            <w:pPr>
              <w:widowControl/>
              <w:spacing w:line="240" w:lineRule="exact"/>
              <w:jc w:val="center"/>
              <w:rPr>
                <w:rFonts w:hint="eastAsia"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kern w:val="0"/>
                <w:szCs w:val="21"/>
                <w:highlight w:val="none"/>
                <w:lang w:bidi="ar"/>
              </w:rPr>
              <w:t>产品名称</w:t>
            </w:r>
          </w:p>
        </w:tc>
        <w:tc>
          <w:tcPr>
            <w:tcW w:w="3206" w:type="dxa"/>
            <w:tcMar>
              <w:top w:w="60" w:type="dxa"/>
              <w:left w:w="60" w:type="dxa"/>
              <w:bottom w:w="60" w:type="dxa"/>
              <w:right w:w="60" w:type="dxa"/>
            </w:tcMar>
            <w:vAlign w:val="center"/>
          </w:tcPr>
          <w:p w14:paraId="1CAB9127">
            <w:pPr>
              <w:widowControl/>
              <w:spacing w:line="240" w:lineRule="exact"/>
              <w:jc w:val="center"/>
              <w:rPr>
                <w:rFonts w:hint="eastAsia"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kern w:val="0"/>
                <w:szCs w:val="21"/>
                <w:highlight w:val="none"/>
                <w:lang w:bidi="ar"/>
              </w:rPr>
              <w:t>送测单位</w:t>
            </w:r>
          </w:p>
        </w:tc>
        <w:tc>
          <w:tcPr>
            <w:tcW w:w="1566" w:type="dxa"/>
            <w:tcMar>
              <w:top w:w="60" w:type="dxa"/>
              <w:left w:w="60" w:type="dxa"/>
              <w:bottom w:w="60" w:type="dxa"/>
              <w:right w:w="60" w:type="dxa"/>
            </w:tcMar>
            <w:vAlign w:val="center"/>
          </w:tcPr>
          <w:p w14:paraId="000E86C5">
            <w:pPr>
              <w:widowControl/>
              <w:spacing w:line="240" w:lineRule="exact"/>
              <w:jc w:val="center"/>
              <w:rPr>
                <w:rFonts w:hint="eastAsia"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kern w:val="0"/>
                <w:szCs w:val="21"/>
                <w:highlight w:val="none"/>
                <w:lang w:bidi="ar"/>
              </w:rPr>
              <w:t>安全可靠等级</w:t>
            </w:r>
          </w:p>
        </w:tc>
      </w:tr>
      <w:tr w14:paraId="11694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tblCellSpacing w:w="0" w:type="dxa"/>
        </w:trPr>
        <w:tc>
          <w:tcPr>
            <w:tcW w:w="660" w:type="dxa"/>
            <w:tcMar>
              <w:top w:w="60" w:type="dxa"/>
              <w:left w:w="60" w:type="dxa"/>
              <w:bottom w:w="60" w:type="dxa"/>
              <w:right w:w="60" w:type="dxa"/>
            </w:tcMar>
            <w:vAlign w:val="center"/>
          </w:tcPr>
          <w:p w14:paraId="32D3333C">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w:t>
            </w:r>
          </w:p>
        </w:tc>
        <w:tc>
          <w:tcPr>
            <w:tcW w:w="3338" w:type="dxa"/>
            <w:tcMar>
              <w:top w:w="60" w:type="dxa"/>
              <w:left w:w="60" w:type="dxa"/>
              <w:bottom w:w="60" w:type="dxa"/>
              <w:right w:w="60" w:type="dxa"/>
            </w:tcMar>
            <w:vAlign w:val="center"/>
          </w:tcPr>
          <w:p w14:paraId="73114215">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鲲鹏920</w:t>
            </w:r>
          </w:p>
        </w:tc>
        <w:tc>
          <w:tcPr>
            <w:tcW w:w="3206" w:type="dxa"/>
            <w:tcMar>
              <w:top w:w="60" w:type="dxa"/>
              <w:left w:w="60" w:type="dxa"/>
              <w:bottom w:w="60" w:type="dxa"/>
              <w:right w:w="60" w:type="dxa"/>
            </w:tcMar>
            <w:vAlign w:val="center"/>
          </w:tcPr>
          <w:p w14:paraId="2F7E2CF0">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深圳市海思半导体有限公司</w:t>
            </w:r>
          </w:p>
        </w:tc>
        <w:tc>
          <w:tcPr>
            <w:tcW w:w="1566" w:type="dxa"/>
            <w:tcMar>
              <w:top w:w="60" w:type="dxa"/>
              <w:left w:w="60" w:type="dxa"/>
              <w:bottom w:w="60" w:type="dxa"/>
              <w:right w:w="60" w:type="dxa"/>
            </w:tcMar>
            <w:vAlign w:val="center"/>
          </w:tcPr>
          <w:p w14:paraId="056B9BC1">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7F66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75E4F54A">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2</w:t>
            </w:r>
          </w:p>
        </w:tc>
        <w:tc>
          <w:tcPr>
            <w:tcW w:w="3338" w:type="dxa"/>
            <w:tcMar>
              <w:top w:w="60" w:type="dxa"/>
              <w:left w:w="60" w:type="dxa"/>
              <w:bottom w:w="60" w:type="dxa"/>
              <w:right w:w="60" w:type="dxa"/>
            </w:tcMar>
            <w:vAlign w:val="center"/>
          </w:tcPr>
          <w:p w14:paraId="378772CF">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龙芯3C5000L</w:t>
            </w:r>
          </w:p>
        </w:tc>
        <w:tc>
          <w:tcPr>
            <w:tcW w:w="3206" w:type="dxa"/>
            <w:tcMar>
              <w:top w:w="60" w:type="dxa"/>
              <w:left w:w="60" w:type="dxa"/>
              <w:bottom w:w="60" w:type="dxa"/>
              <w:right w:w="60" w:type="dxa"/>
            </w:tcMar>
            <w:vAlign w:val="center"/>
          </w:tcPr>
          <w:p w14:paraId="7C0B5FE9">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龙芯中科技术股份有限公司</w:t>
            </w:r>
          </w:p>
        </w:tc>
        <w:tc>
          <w:tcPr>
            <w:tcW w:w="1566" w:type="dxa"/>
            <w:tcMar>
              <w:top w:w="60" w:type="dxa"/>
              <w:left w:w="60" w:type="dxa"/>
              <w:bottom w:w="60" w:type="dxa"/>
              <w:right w:w="60" w:type="dxa"/>
            </w:tcMar>
            <w:vAlign w:val="center"/>
          </w:tcPr>
          <w:p w14:paraId="3F22DD8E">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33BFE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57DC99D">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3</w:t>
            </w:r>
          </w:p>
        </w:tc>
        <w:tc>
          <w:tcPr>
            <w:tcW w:w="3338" w:type="dxa"/>
            <w:tcMar>
              <w:top w:w="60" w:type="dxa"/>
              <w:left w:w="60" w:type="dxa"/>
              <w:bottom w:w="60" w:type="dxa"/>
              <w:right w:w="60" w:type="dxa"/>
            </w:tcMar>
            <w:vAlign w:val="center"/>
          </w:tcPr>
          <w:p w14:paraId="66903F59">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申威1621</w:t>
            </w:r>
          </w:p>
        </w:tc>
        <w:tc>
          <w:tcPr>
            <w:tcW w:w="3206" w:type="dxa"/>
            <w:tcMar>
              <w:top w:w="60" w:type="dxa"/>
              <w:left w:w="60" w:type="dxa"/>
              <w:bottom w:w="60" w:type="dxa"/>
              <w:right w:w="60" w:type="dxa"/>
            </w:tcMar>
            <w:vAlign w:val="center"/>
          </w:tcPr>
          <w:p w14:paraId="0E7B7990">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无锡先进技术研究院</w:t>
            </w:r>
          </w:p>
        </w:tc>
        <w:tc>
          <w:tcPr>
            <w:tcW w:w="1566" w:type="dxa"/>
            <w:tcMar>
              <w:top w:w="60" w:type="dxa"/>
              <w:left w:w="60" w:type="dxa"/>
              <w:bottom w:w="60" w:type="dxa"/>
              <w:right w:w="60" w:type="dxa"/>
            </w:tcMar>
            <w:vAlign w:val="center"/>
          </w:tcPr>
          <w:p w14:paraId="3FEFA380">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6CADA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A0A5F48">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4</w:t>
            </w:r>
          </w:p>
        </w:tc>
        <w:tc>
          <w:tcPr>
            <w:tcW w:w="3338" w:type="dxa"/>
            <w:tcMar>
              <w:top w:w="60" w:type="dxa"/>
              <w:left w:w="60" w:type="dxa"/>
              <w:bottom w:w="60" w:type="dxa"/>
              <w:right w:w="60" w:type="dxa"/>
            </w:tcMar>
            <w:vAlign w:val="center"/>
          </w:tcPr>
          <w:p w14:paraId="33BB7B08">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龙芯3A4000/3B4000</w:t>
            </w:r>
          </w:p>
        </w:tc>
        <w:tc>
          <w:tcPr>
            <w:tcW w:w="3206" w:type="dxa"/>
            <w:tcMar>
              <w:top w:w="60" w:type="dxa"/>
              <w:left w:w="60" w:type="dxa"/>
              <w:bottom w:w="60" w:type="dxa"/>
              <w:right w:w="60" w:type="dxa"/>
            </w:tcMar>
            <w:vAlign w:val="center"/>
          </w:tcPr>
          <w:p w14:paraId="2DA9D00C">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龙芯中科技术股份有限公司</w:t>
            </w:r>
          </w:p>
        </w:tc>
        <w:tc>
          <w:tcPr>
            <w:tcW w:w="1566" w:type="dxa"/>
            <w:tcMar>
              <w:top w:w="60" w:type="dxa"/>
              <w:left w:w="60" w:type="dxa"/>
              <w:bottom w:w="60" w:type="dxa"/>
              <w:right w:w="60" w:type="dxa"/>
            </w:tcMar>
            <w:vAlign w:val="center"/>
          </w:tcPr>
          <w:p w14:paraId="48F526AD">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1AC72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79B1AB5F">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5</w:t>
            </w:r>
          </w:p>
        </w:tc>
        <w:tc>
          <w:tcPr>
            <w:tcW w:w="3338" w:type="dxa"/>
            <w:tcMar>
              <w:top w:w="60" w:type="dxa"/>
              <w:left w:w="60" w:type="dxa"/>
              <w:bottom w:w="60" w:type="dxa"/>
              <w:right w:w="60" w:type="dxa"/>
            </w:tcMar>
            <w:vAlign w:val="center"/>
          </w:tcPr>
          <w:p w14:paraId="18D317D2">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龙芯3A5000/3B5000</w:t>
            </w:r>
          </w:p>
        </w:tc>
        <w:tc>
          <w:tcPr>
            <w:tcW w:w="3206" w:type="dxa"/>
            <w:tcMar>
              <w:top w:w="60" w:type="dxa"/>
              <w:left w:w="60" w:type="dxa"/>
              <w:bottom w:w="60" w:type="dxa"/>
              <w:right w:w="60" w:type="dxa"/>
            </w:tcMar>
            <w:vAlign w:val="center"/>
          </w:tcPr>
          <w:p w14:paraId="0EA4C891">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龙芯中科技术股份有限公司</w:t>
            </w:r>
          </w:p>
        </w:tc>
        <w:tc>
          <w:tcPr>
            <w:tcW w:w="1566" w:type="dxa"/>
            <w:tcMar>
              <w:top w:w="60" w:type="dxa"/>
              <w:left w:w="60" w:type="dxa"/>
              <w:bottom w:w="60" w:type="dxa"/>
              <w:right w:w="60" w:type="dxa"/>
            </w:tcMar>
            <w:vAlign w:val="center"/>
          </w:tcPr>
          <w:p w14:paraId="4E4EF086">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6D36E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7F38318">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6</w:t>
            </w:r>
          </w:p>
        </w:tc>
        <w:tc>
          <w:tcPr>
            <w:tcW w:w="3338" w:type="dxa"/>
            <w:tcMar>
              <w:top w:w="60" w:type="dxa"/>
              <w:left w:w="60" w:type="dxa"/>
              <w:bottom w:w="60" w:type="dxa"/>
              <w:right w:w="60" w:type="dxa"/>
            </w:tcMar>
            <w:vAlign w:val="center"/>
          </w:tcPr>
          <w:p w14:paraId="790766A0">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申威SW421</w:t>
            </w:r>
          </w:p>
        </w:tc>
        <w:tc>
          <w:tcPr>
            <w:tcW w:w="3206" w:type="dxa"/>
            <w:tcMar>
              <w:top w:w="60" w:type="dxa"/>
              <w:left w:w="60" w:type="dxa"/>
              <w:bottom w:w="60" w:type="dxa"/>
              <w:right w:w="60" w:type="dxa"/>
            </w:tcMar>
            <w:vAlign w:val="center"/>
          </w:tcPr>
          <w:p w14:paraId="359B54F6">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无锡先进技术研究院</w:t>
            </w:r>
          </w:p>
        </w:tc>
        <w:tc>
          <w:tcPr>
            <w:tcW w:w="1566" w:type="dxa"/>
            <w:tcMar>
              <w:top w:w="60" w:type="dxa"/>
              <w:left w:w="60" w:type="dxa"/>
              <w:bottom w:w="60" w:type="dxa"/>
              <w:right w:w="60" w:type="dxa"/>
            </w:tcMar>
            <w:vAlign w:val="center"/>
          </w:tcPr>
          <w:p w14:paraId="19AF409D">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1DA2E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B2EA5D2">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7</w:t>
            </w:r>
          </w:p>
        </w:tc>
        <w:tc>
          <w:tcPr>
            <w:tcW w:w="3338" w:type="dxa"/>
            <w:tcMar>
              <w:top w:w="60" w:type="dxa"/>
              <w:left w:w="60" w:type="dxa"/>
              <w:bottom w:w="60" w:type="dxa"/>
              <w:right w:w="60" w:type="dxa"/>
            </w:tcMar>
            <w:vAlign w:val="center"/>
          </w:tcPr>
          <w:p w14:paraId="6317F5D7">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申威3231</w:t>
            </w:r>
          </w:p>
        </w:tc>
        <w:tc>
          <w:tcPr>
            <w:tcW w:w="3206" w:type="dxa"/>
            <w:tcMar>
              <w:top w:w="60" w:type="dxa"/>
              <w:left w:w="60" w:type="dxa"/>
              <w:bottom w:w="60" w:type="dxa"/>
              <w:right w:w="60" w:type="dxa"/>
            </w:tcMar>
            <w:vAlign w:val="center"/>
          </w:tcPr>
          <w:p w14:paraId="1801CAC2">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无锡先进技术研究院</w:t>
            </w:r>
          </w:p>
        </w:tc>
        <w:tc>
          <w:tcPr>
            <w:tcW w:w="1566" w:type="dxa"/>
            <w:tcMar>
              <w:top w:w="60" w:type="dxa"/>
              <w:left w:w="60" w:type="dxa"/>
              <w:bottom w:w="60" w:type="dxa"/>
              <w:right w:w="60" w:type="dxa"/>
            </w:tcMar>
            <w:vAlign w:val="center"/>
          </w:tcPr>
          <w:p w14:paraId="42E2AB5E">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0BC1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23F98B0F">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8</w:t>
            </w:r>
          </w:p>
        </w:tc>
        <w:tc>
          <w:tcPr>
            <w:tcW w:w="3338" w:type="dxa"/>
            <w:tcMar>
              <w:top w:w="60" w:type="dxa"/>
              <w:left w:w="60" w:type="dxa"/>
              <w:bottom w:w="60" w:type="dxa"/>
              <w:right w:w="60" w:type="dxa"/>
            </w:tcMar>
            <w:vAlign w:val="center"/>
          </w:tcPr>
          <w:p w14:paraId="2F9DEA98">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飞腾腾锐D2000</w:t>
            </w:r>
          </w:p>
        </w:tc>
        <w:tc>
          <w:tcPr>
            <w:tcW w:w="3206" w:type="dxa"/>
            <w:tcMar>
              <w:top w:w="60" w:type="dxa"/>
              <w:left w:w="60" w:type="dxa"/>
              <w:bottom w:w="60" w:type="dxa"/>
              <w:right w:w="60" w:type="dxa"/>
            </w:tcMar>
            <w:vAlign w:val="center"/>
          </w:tcPr>
          <w:p w14:paraId="42EECEE0">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飞腾信息技术有限公司</w:t>
            </w:r>
          </w:p>
        </w:tc>
        <w:tc>
          <w:tcPr>
            <w:tcW w:w="1566" w:type="dxa"/>
            <w:tcMar>
              <w:top w:w="60" w:type="dxa"/>
              <w:left w:w="60" w:type="dxa"/>
              <w:bottom w:w="60" w:type="dxa"/>
              <w:right w:w="60" w:type="dxa"/>
            </w:tcMar>
            <w:vAlign w:val="center"/>
          </w:tcPr>
          <w:p w14:paraId="6A8CFFB4">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6386E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6C75348">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9</w:t>
            </w:r>
          </w:p>
        </w:tc>
        <w:tc>
          <w:tcPr>
            <w:tcW w:w="3338" w:type="dxa"/>
            <w:tcMar>
              <w:top w:w="60" w:type="dxa"/>
              <w:left w:w="60" w:type="dxa"/>
              <w:bottom w:w="60" w:type="dxa"/>
              <w:right w:w="60" w:type="dxa"/>
            </w:tcMar>
            <w:vAlign w:val="center"/>
          </w:tcPr>
          <w:p w14:paraId="37C79DB7">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飞腾FT-2000</w:t>
            </w:r>
          </w:p>
        </w:tc>
        <w:tc>
          <w:tcPr>
            <w:tcW w:w="3206" w:type="dxa"/>
            <w:tcMar>
              <w:top w:w="60" w:type="dxa"/>
              <w:left w:w="60" w:type="dxa"/>
              <w:bottom w:w="60" w:type="dxa"/>
              <w:right w:w="60" w:type="dxa"/>
            </w:tcMar>
            <w:vAlign w:val="center"/>
          </w:tcPr>
          <w:p w14:paraId="2575DD76">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飞腾信息技术有限公司</w:t>
            </w:r>
          </w:p>
        </w:tc>
        <w:tc>
          <w:tcPr>
            <w:tcW w:w="1566" w:type="dxa"/>
            <w:tcMar>
              <w:top w:w="60" w:type="dxa"/>
              <w:left w:w="60" w:type="dxa"/>
              <w:bottom w:w="60" w:type="dxa"/>
              <w:right w:w="60" w:type="dxa"/>
            </w:tcMar>
            <w:vAlign w:val="center"/>
          </w:tcPr>
          <w:p w14:paraId="7C788566">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69A7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EB88B3F">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10</w:t>
            </w:r>
          </w:p>
        </w:tc>
        <w:tc>
          <w:tcPr>
            <w:tcW w:w="3338" w:type="dxa"/>
            <w:tcMar>
              <w:top w:w="60" w:type="dxa"/>
              <w:left w:w="60" w:type="dxa"/>
              <w:bottom w:w="60" w:type="dxa"/>
              <w:right w:w="60" w:type="dxa"/>
            </w:tcMar>
            <w:vAlign w:val="center"/>
          </w:tcPr>
          <w:p w14:paraId="63F7E1BB">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飞腾FT-2000+</w:t>
            </w:r>
          </w:p>
        </w:tc>
        <w:tc>
          <w:tcPr>
            <w:tcW w:w="3206" w:type="dxa"/>
            <w:tcMar>
              <w:top w:w="60" w:type="dxa"/>
              <w:left w:w="60" w:type="dxa"/>
              <w:bottom w:w="60" w:type="dxa"/>
              <w:right w:w="60" w:type="dxa"/>
            </w:tcMar>
            <w:vAlign w:val="center"/>
          </w:tcPr>
          <w:p w14:paraId="5BE73D39">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飞腾信息技术有限公司</w:t>
            </w:r>
          </w:p>
        </w:tc>
        <w:tc>
          <w:tcPr>
            <w:tcW w:w="1566" w:type="dxa"/>
            <w:tcMar>
              <w:top w:w="60" w:type="dxa"/>
              <w:left w:w="60" w:type="dxa"/>
              <w:bottom w:w="60" w:type="dxa"/>
              <w:right w:w="60" w:type="dxa"/>
            </w:tcMar>
            <w:vAlign w:val="center"/>
          </w:tcPr>
          <w:p w14:paraId="7C37A51E">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4551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24A7DDE6">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11</w:t>
            </w:r>
          </w:p>
        </w:tc>
        <w:tc>
          <w:tcPr>
            <w:tcW w:w="3338" w:type="dxa"/>
            <w:tcMar>
              <w:top w:w="60" w:type="dxa"/>
              <w:left w:w="60" w:type="dxa"/>
              <w:bottom w:w="60" w:type="dxa"/>
              <w:right w:w="60" w:type="dxa"/>
            </w:tcMar>
            <w:vAlign w:val="center"/>
          </w:tcPr>
          <w:p w14:paraId="2DFDD25C">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盘古M900</w:t>
            </w:r>
          </w:p>
        </w:tc>
        <w:tc>
          <w:tcPr>
            <w:tcW w:w="3206" w:type="dxa"/>
            <w:tcMar>
              <w:top w:w="60" w:type="dxa"/>
              <w:left w:w="60" w:type="dxa"/>
              <w:bottom w:w="60" w:type="dxa"/>
              <w:right w:w="60" w:type="dxa"/>
            </w:tcMar>
            <w:vAlign w:val="center"/>
          </w:tcPr>
          <w:p w14:paraId="7EE02D85">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海思技术有限公司</w:t>
            </w:r>
          </w:p>
        </w:tc>
        <w:tc>
          <w:tcPr>
            <w:tcW w:w="1566" w:type="dxa"/>
            <w:tcMar>
              <w:top w:w="60" w:type="dxa"/>
              <w:left w:w="60" w:type="dxa"/>
              <w:bottom w:w="60" w:type="dxa"/>
              <w:right w:w="60" w:type="dxa"/>
            </w:tcMar>
            <w:vAlign w:val="center"/>
          </w:tcPr>
          <w:p w14:paraId="0509733A">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36135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E37B950">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12</w:t>
            </w:r>
          </w:p>
        </w:tc>
        <w:tc>
          <w:tcPr>
            <w:tcW w:w="3338" w:type="dxa"/>
            <w:tcMar>
              <w:top w:w="60" w:type="dxa"/>
              <w:left w:w="60" w:type="dxa"/>
              <w:bottom w:w="60" w:type="dxa"/>
              <w:right w:w="60" w:type="dxa"/>
            </w:tcMar>
            <w:vAlign w:val="center"/>
          </w:tcPr>
          <w:p w14:paraId="63B72AAF">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飞腾腾云S2500</w:t>
            </w:r>
          </w:p>
        </w:tc>
        <w:tc>
          <w:tcPr>
            <w:tcW w:w="3206" w:type="dxa"/>
            <w:tcMar>
              <w:top w:w="60" w:type="dxa"/>
              <w:left w:w="60" w:type="dxa"/>
              <w:bottom w:w="60" w:type="dxa"/>
              <w:right w:w="60" w:type="dxa"/>
            </w:tcMar>
            <w:vAlign w:val="center"/>
          </w:tcPr>
          <w:p w14:paraId="2DB5D2A3">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飞腾信息技术有限公司</w:t>
            </w:r>
          </w:p>
        </w:tc>
        <w:tc>
          <w:tcPr>
            <w:tcW w:w="1566" w:type="dxa"/>
            <w:tcMar>
              <w:top w:w="60" w:type="dxa"/>
              <w:left w:w="60" w:type="dxa"/>
              <w:bottom w:w="60" w:type="dxa"/>
              <w:right w:w="60" w:type="dxa"/>
            </w:tcMar>
            <w:vAlign w:val="center"/>
          </w:tcPr>
          <w:p w14:paraId="151A3B79">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2CFAA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FC5D2AD">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13</w:t>
            </w:r>
          </w:p>
        </w:tc>
        <w:tc>
          <w:tcPr>
            <w:tcW w:w="3338" w:type="dxa"/>
            <w:tcMar>
              <w:top w:w="60" w:type="dxa"/>
              <w:left w:w="60" w:type="dxa"/>
              <w:bottom w:w="60" w:type="dxa"/>
              <w:right w:w="60" w:type="dxa"/>
            </w:tcMar>
            <w:vAlign w:val="center"/>
          </w:tcPr>
          <w:p w14:paraId="5977D03B">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麒麟9006C</w:t>
            </w:r>
          </w:p>
        </w:tc>
        <w:tc>
          <w:tcPr>
            <w:tcW w:w="3206" w:type="dxa"/>
            <w:tcMar>
              <w:top w:w="60" w:type="dxa"/>
              <w:left w:w="60" w:type="dxa"/>
              <w:bottom w:w="60" w:type="dxa"/>
              <w:right w:w="60" w:type="dxa"/>
            </w:tcMar>
            <w:vAlign w:val="center"/>
          </w:tcPr>
          <w:p w14:paraId="5C8FB0FF">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深圳市海思半导体有限公司</w:t>
            </w:r>
          </w:p>
        </w:tc>
        <w:tc>
          <w:tcPr>
            <w:tcW w:w="1566" w:type="dxa"/>
            <w:tcMar>
              <w:top w:w="60" w:type="dxa"/>
              <w:left w:w="60" w:type="dxa"/>
              <w:bottom w:w="60" w:type="dxa"/>
              <w:right w:w="60" w:type="dxa"/>
            </w:tcMar>
            <w:vAlign w:val="center"/>
          </w:tcPr>
          <w:p w14:paraId="06DB9ED4">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11431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88CC393">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14</w:t>
            </w:r>
          </w:p>
        </w:tc>
        <w:tc>
          <w:tcPr>
            <w:tcW w:w="3338" w:type="dxa"/>
            <w:tcMar>
              <w:top w:w="60" w:type="dxa"/>
              <w:left w:w="60" w:type="dxa"/>
              <w:bottom w:w="60" w:type="dxa"/>
              <w:right w:w="60" w:type="dxa"/>
            </w:tcMar>
            <w:vAlign w:val="center"/>
          </w:tcPr>
          <w:p w14:paraId="49DA2CD7">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海光C86-3G</w:t>
            </w:r>
          </w:p>
        </w:tc>
        <w:tc>
          <w:tcPr>
            <w:tcW w:w="3206" w:type="dxa"/>
            <w:tcMar>
              <w:top w:w="60" w:type="dxa"/>
              <w:left w:w="60" w:type="dxa"/>
              <w:bottom w:w="60" w:type="dxa"/>
              <w:right w:w="60" w:type="dxa"/>
            </w:tcMar>
            <w:vAlign w:val="center"/>
          </w:tcPr>
          <w:p w14:paraId="14B0D8FC">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海光信息技术股份有限公司</w:t>
            </w:r>
          </w:p>
        </w:tc>
        <w:tc>
          <w:tcPr>
            <w:tcW w:w="1566" w:type="dxa"/>
            <w:tcMar>
              <w:top w:w="60" w:type="dxa"/>
              <w:left w:w="60" w:type="dxa"/>
              <w:bottom w:w="60" w:type="dxa"/>
              <w:right w:w="60" w:type="dxa"/>
            </w:tcMar>
            <w:vAlign w:val="center"/>
          </w:tcPr>
          <w:p w14:paraId="123D896E">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3DE95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C90DA2F">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15</w:t>
            </w:r>
          </w:p>
        </w:tc>
        <w:tc>
          <w:tcPr>
            <w:tcW w:w="3338" w:type="dxa"/>
            <w:tcMar>
              <w:top w:w="60" w:type="dxa"/>
              <w:left w:w="60" w:type="dxa"/>
              <w:bottom w:w="60" w:type="dxa"/>
              <w:right w:w="60" w:type="dxa"/>
            </w:tcMar>
            <w:vAlign w:val="center"/>
          </w:tcPr>
          <w:p w14:paraId="26124F75">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麒麟990</w:t>
            </w:r>
          </w:p>
        </w:tc>
        <w:tc>
          <w:tcPr>
            <w:tcW w:w="3206" w:type="dxa"/>
            <w:tcMar>
              <w:top w:w="60" w:type="dxa"/>
              <w:left w:w="60" w:type="dxa"/>
              <w:bottom w:w="60" w:type="dxa"/>
              <w:right w:w="60" w:type="dxa"/>
            </w:tcMar>
            <w:vAlign w:val="center"/>
          </w:tcPr>
          <w:p w14:paraId="47D32B5C">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深圳市海思半导体有限公司</w:t>
            </w:r>
          </w:p>
        </w:tc>
        <w:tc>
          <w:tcPr>
            <w:tcW w:w="1566" w:type="dxa"/>
            <w:tcMar>
              <w:top w:w="60" w:type="dxa"/>
              <w:left w:w="60" w:type="dxa"/>
              <w:bottom w:w="60" w:type="dxa"/>
              <w:right w:w="60" w:type="dxa"/>
            </w:tcMar>
            <w:vAlign w:val="center"/>
          </w:tcPr>
          <w:p w14:paraId="6F352395">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3947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AD8B785">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16</w:t>
            </w:r>
          </w:p>
        </w:tc>
        <w:tc>
          <w:tcPr>
            <w:tcW w:w="3338" w:type="dxa"/>
            <w:tcMar>
              <w:top w:w="60" w:type="dxa"/>
              <w:left w:w="60" w:type="dxa"/>
              <w:bottom w:w="60" w:type="dxa"/>
              <w:right w:w="60" w:type="dxa"/>
            </w:tcMar>
            <w:vAlign w:val="center"/>
          </w:tcPr>
          <w:p w14:paraId="6C25E9EF">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海光2号C86 3230/3250/3280/5280/7250/7260/7280/7285</w:t>
            </w:r>
          </w:p>
        </w:tc>
        <w:tc>
          <w:tcPr>
            <w:tcW w:w="3206" w:type="dxa"/>
            <w:tcMar>
              <w:top w:w="60" w:type="dxa"/>
              <w:left w:w="60" w:type="dxa"/>
              <w:bottom w:w="60" w:type="dxa"/>
              <w:right w:w="60" w:type="dxa"/>
            </w:tcMar>
            <w:vAlign w:val="center"/>
          </w:tcPr>
          <w:p w14:paraId="6B1DB567">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海光信息技术股份有限公司</w:t>
            </w:r>
          </w:p>
        </w:tc>
        <w:tc>
          <w:tcPr>
            <w:tcW w:w="1566" w:type="dxa"/>
            <w:tcMar>
              <w:top w:w="60" w:type="dxa"/>
              <w:left w:w="60" w:type="dxa"/>
              <w:bottom w:w="60" w:type="dxa"/>
              <w:right w:w="60" w:type="dxa"/>
            </w:tcMar>
            <w:vAlign w:val="center"/>
          </w:tcPr>
          <w:p w14:paraId="42355097">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67B1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29BBA84">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17</w:t>
            </w:r>
          </w:p>
        </w:tc>
        <w:tc>
          <w:tcPr>
            <w:tcW w:w="3338" w:type="dxa"/>
            <w:tcMar>
              <w:top w:w="60" w:type="dxa"/>
              <w:left w:w="60" w:type="dxa"/>
              <w:bottom w:w="60" w:type="dxa"/>
              <w:right w:w="60" w:type="dxa"/>
            </w:tcMar>
            <w:vAlign w:val="center"/>
          </w:tcPr>
          <w:p w14:paraId="17E4CB2D">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兆芯ZX-E KX-U6780A/KH-37800D/KX-6640MA/KX-6640A</w:t>
            </w:r>
          </w:p>
        </w:tc>
        <w:tc>
          <w:tcPr>
            <w:tcW w:w="3206" w:type="dxa"/>
            <w:tcMar>
              <w:top w:w="60" w:type="dxa"/>
              <w:left w:w="60" w:type="dxa"/>
              <w:bottom w:w="60" w:type="dxa"/>
              <w:right w:w="60" w:type="dxa"/>
            </w:tcMar>
            <w:vAlign w:val="center"/>
          </w:tcPr>
          <w:p w14:paraId="2D460EEF">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上海兆芯集成电路股份有限公司</w:t>
            </w:r>
          </w:p>
        </w:tc>
        <w:tc>
          <w:tcPr>
            <w:tcW w:w="1566" w:type="dxa"/>
            <w:tcMar>
              <w:top w:w="60" w:type="dxa"/>
              <w:left w:w="60" w:type="dxa"/>
              <w:bottom w:w="60" w:type="dxa"/>
              <w:right w:w="60" w:type="dxa"/>
            </w:tcMar>
            <w:vAlign w:val="center"/>
          </w:tcPr>
          <w:p w14:paraId="447106E5">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6DFED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1B26568">
            <w:pPr>
              <w:widowControl/>
              <w:spacing w:line="24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18</w:t>
            </w:r>
          </w:p>
        </w:tc>
        <w:tc>
          <w:tcPr>
            <w:tcW w:w="3338" w:type="dxa"/>
            <w:tcMar>
              <w:top w:w="60" w:type="dxa"/>
              <w:left w:w="60" w:type="dxa"/>
              <w:bottom w:w="60" w:type="dxa"/>
              <w:right w:w="60" w:type="dxa"/>
            </w:tcMar>
            <w:vAlign w:val="center"/>
          </w:tcPr>
          <w:p w14:paraId="3D4A4A18">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兆芯ZX-D KX-U5580</w:t>
            </w:r>
          </w:p>
        </w:tc>
        <w:tc>
          <w:tcPr>
            <w:tcW w:w="3206" w:type="dxa"/>
            <w:tcMar>
              <w:top w:w="60" w:type="dxa"/>
              <w:left w:w="60" w:type="dxa"/>
              <w:bottom w:w="60" w:type="dxa"/>
              <w:right w:w="60" w:type="dxa"/>
            </w:tcMar>
            <w:vAlign w:val="center"/>
          </w:tcPr>
          <w:p w14:paraId="2304C1B9">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上海兆芯集成电路股份有限公司</w:t>
            </w:r>
          </w:p>
        </w:tc>
        <w:tc>
          <w:tcPr>
            <w:tcW w:w="1566" w:type="dxa"/>
            <w:tcMar>
              <w:top w:w="60" w:type="dxa"/>
              <w:left w:w="60" w:type="dxa"/>
              <w:bottom w:w="60" w:type="dxa"/>
              <w:right w:w="60" w:type="dxa"/>
            </w:tcMar>
            <w:vAlign w:val="center"/>
          </w:tcPr>
          <w:p w14:paraId="715DD5B4">
            <w:pPr>
              <w:widowControl/>
              <w:spacing w:line="240" w:lineRule="exact"/>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bl>
    <w:p w14:paraId="792FC542">
      <w:pPr>
        <w:pStyle w:val="43"/>
        <w:spacing w:before="0" w:beforeAutospacing="0" w:after="0" w:afterAutospacing="0" w:line="420" w:lineRule="atLeast"/>
        <w:ind w:firstLine="420"/>
        <w:jc w:val="center"/>
        <w:rPr>
          <w:rFonts w:ascii="仿宋_GB2312" w:hAnsi="仿宋_GB2312" w:eastAsia="仿宋_GB2312" w:cs="仿宋_GB2312"/>
          <w:b/>
          <w:color w:val="auto"/>
          <w:kern w:val="2"/>
          <w:szCs w:val="24"/>
          <w:highlight w:val="none"/>
        </w:rPr>
      </w:pPr>
      <w:r>
        <w:rPr>
          <w:rFonts w:ascii="仿宋_GB2312" w:hAnsi="仿宋_GB2312" w:eastAsia="仿宋_GB2312" w:cs="仿宋_GB2312"/>
          <w:b/>
          <w:color w:val="auto"/>
          <w:kern w:val="2"/>
          <w:szCs w:val="24"/>
          <w:highlight w:val="none"/>
        </w:rPr>
        <w:t>二、操作系统</w:t>
      </w:r>
    </w:p>
    <w:tbl>
      <w:tblPr>
        <w:tblStyle w:val="48"/>
        <w:tblW w:w="0" w:type="auto"/>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1"/>
        <w:gridCol w:w="3463"/>
        <w:gridCol w:w="3185"/>
        <w:gridCol w:w="1592"/>
      </w:tblGrid>
      <w:tr w14:paraId="7258D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2D1DFCA8">
            <w:pPr>
              <w:widowControl/>
              <w:spacing w:line="240" w:lineRule="exact"/>
              <w:jc w:val="center"/>
              <w:rPr>
                <w:rFonts w:hint="eastAsia" w:ascii="仿宋_GB2312" w:hAnsi="仿宋_GB2312" w:eastAsia="仿宋_GB2312" w:cs="仿宋_GB2312"/>
                <w:b/>
                <w:bCs/>
                <w:color w:val="auto"/>
                <w:kern w:val="0"/>
                <w:szCs w:val="21"/>
                <w:highlight w:val="none"/>
                <w:lang w:bidi="ar"/>
              </w:rPr>
            </w:pPr>
            <w:r>
              <w:rPr>
                <w:rFonts w:hint="eastAsia" w:ascii="仿宋_GB2312" w:hAnsi="仿宋_GB2312" w:eastAsia="仿宋_GB2312" w:cs="仿宋_GB2312"/>
                <w:b/>
                <w:bCs/>
                <w:color w:val="auto"/>
                <w:kern w:val="0"/>
                <w:szCs w:val="21"/>
                <w:highlight w:val="none"/>
                <w:lang w:bidi="ar"/>
              </w:rPr>
              <w:t>序号</w:t>
            </w:r>
          </w:p>
        </w:tc>
        <w:tc>
          <w:tcPr>
            <w:tcW w:w="3463" w:type="dxa"/>
            <w:tcMar>
              <w:top w:w="60" w:type="dxa"/>
              <w:left w:w="60" w:type="dxa"/>
              <w:bottom w:w="60" w:type="dxa"/>
              <w:right w:w="60" w:type="dxa"/>
            </w:tcMar>
            <w:vAlign w:val="center"/>
          </w:tcPr>
          <w:p w14:paraId="11CF9F47">
            <w:pPr>
              <w:widowControl/>
              <w:spacing w:line="240" w:lineRule="exact"/>
              <w:jc w:val="center"/>
              <w:rPr>
                <w:rFonts w:hint="eastAsia" w:ascii="仿宋_GB2312" w:hAnsi="仿宋_GB2312" w:eastAsia="仿宋_GB2312" w:cs="仿宋_GB2312"/>
                <w:b/>
                <w:bCs/>
                <w:color w:val="auto"/>
                <w:kern w:val="0"/>
                <w:szCs w:val="21"/>
                <w:highlight w:val="none"/>
                <w:lang w:bidi="ar"/>
              </w:rPr>
            </w:pPr>
            <w:r>
              <w:rPr>
                <w:rFonts w:hint="eastAsia" w:ascii="仿宋_GB2312" w:hAnsi="仿宋_GB2312" w:eastAsia="仿宋_GB2312" w:cs="仿宋_GB2312"/>
                <w:b/>
                <w:bCs/>
                <w:color w:val="auto"/>
                <w:kern w:val="0"/>
                <w:szCs w:val="21"/>
                <w:highlight w:val="none"/>
                <w:lang w:bidi="ar"/>
              </w:rPr>
              <w:t>产品名称</w:t>
            </w:r>
          </w:p>
        </w:tc>
        <w:tc>
          <w:tcPr>
            <w:tcW w:w="3185" w:type="dxa"/>
            <w:tcMar>
              <w:top w:w="60" w:type="dxa"/>
              <w:left w:w="60" w:type="dxa"/>
              <w:bottom w:w="60" w:type="dxa"/>
              <w:right w:w="60" w:type="dxa"/>
            </w:tcMar>
            <w:vAlign w:val="center"/>
          </w:tcPr>
          <w:p w14:paraId="76417679">
            <w:pPr>
              <w:widowControl/>
              <w:spacing w:line="240" w:lineRule="exact"/>
              <w:jc w:val="center"/>
              <w:rPr>
                <w:rFonts w:hint="eastAsia" w:ascii="仿宋_GB2312" w:hAnsi="仿宋_GB2312" w:eastAsia="仿宋_GB2312" w:cs="仿宋_GB2312"/>
                <w:b/>
                <w:bCs/>
                <w:color w:val="auto"/>
                <w:kern w:val="0"/>
                <w:szCs w:val="21"/>
                <w:highlight w:val="none"/>
                <w:lang w:bidi="ar"/>
              </w:rPr>
            </w:pPr>
            <w:r>
              <w:rPr>
                <w:rFonts w:hint="eastAsia" w:ascii="仿宋_GB2312" w:hAnsi="仿宋_GB2312" w:eastAsia="仿宋_GB2312" w:cs="仿宋_GB2312"/>
                <w:b/>
                <w:bCs/>
                <w:color w:val="auto"/>
                <w:kern w:val="0"/>
                <w:szCs w:val="21"/>
                <w:highlight w:val="none"/>
                <w:lang w:bidi="ar"/>
              </w:rPr>
              <w:t>送测单位</w:t>
            </w:r>
          </w:p>
        </w:tc>
        <w:tc>
          <w:tcPr>
            <w:tcW w:w="1592" w:type="dxa"/>
            <w:tcMar>
              <w:top w:w="60" w:type="dxa"/>
              <w:left w:w="60" w:type="dxa"/>
              <w:bottom w:w="60" w:type="dxa"/>
              <w:right w:w="60" w:type="dxa"/>
            </w:tcMar>
            <w:vAlign w:val="center"/>
          </w:tcPr>
          <w:p w14:paraId="20F48646">
            <w:pPr>
              <w:widowControl/>
              <w:spacing w:line="240" w:lineRule="exact"/>
              <w:jc w:val="center"/>
              <w:rPr>
                <w:rFonts w:hint="eastAsia" w:ascii="仿宋_GB2312" w:hAnsi="仿宋_GB2312" w:eastAsia="仿宋_GB2312" w:cs="仿宋_GB2312"/>
                <w:b/>
                <w:bCs/>
                <w:color w:val="auto"/>
                <w:kern w:val="0"/>
                <w:szCs w:val="21"/>
                <w:highlight w:val="none"/>
                <w:lang w:bidi="ar"/>
              </w:rPr>
            </w:pPr>
            <w:r>
              <w:rPr>
                <w:rFonts w:hint="eastAsia" w:ascii="仿宋_GB2312" w:hAnsi="仿宋_GB2312" w:eastAsia="仿宋_GB2312" w:cs="仿宋_GB2312"/>
                <w:b/>
                <w:bCs/>
                <w:color w:val="auto"/>
                <w:kern w:val="0"/>
                <w:szCs w:val="21"/>
                <w:highlight w:val="none"/>
                <w:lang w:bidi="ar"/>
              </w:rPr>
              <w:t>安全可靠等级</w:t>
            </w:r>
          </w:p>
        </w:tc>
      </w:tr>
      <w:tr w14:paraId="091AA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30B7715B">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1</w:t>
            </w:r>
          </w:p>
        </w:tc>
        <w:tc>
          <w:tcPr>
            <w:tcW w:w="3463" w:type="dxa"/>
            <w:tcMar>
              <w:top w:w="60" w:type="dxa"/>
              <w:left w:w="60" w:type="dxa"/>
              <w:bottom w:w="60" w:type="dxa"/>
              <w:right w:w="60" w:type="dxa"/>
            </w:tcMar>
            <w:vAlign w:val="center"/>
          </w:tcPr>
          <w:p w14:paraId="53729670">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银河麒麟桌面操作系统V10</w:t>
            </w:r>
          </w:p>
          <w:p w14:paraId="308DA349">
            <w:pPr>
              <w:widowControl/>
              <w:spacing w:line="240" w:lineRule="exact"/>
              <w:jc w:val="left"/>
              <w:rPr>
                <w:rFonts w:hint="eastAsia" w:ascii="仿宋_GB2312" w:hAnsi="仿宋_GB2312" w:eastAsia="仿宋_GB2312" w:cs="仿宋_GB2312"/>
                <w:color w:val="auto"/>
                <w:kern w:val="0"/>
                <w:szCs w:val="21"/>
                <w:highlight w:val="none"/>
                <w:lang w:bidi="ar"/>
              </w:rPr>
            </w:pPr>
          </w:p>
          <w:p w14:paraId="5C3D3B64">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（内核版本5.4）</w:t>
            </w:r>
          </w:p>
        </w:tc>
        <w:tc>
          <w:tcPr>
            <w:tcW w:w="3185" w:type="dxa"/>
            <w:tcMar>
              <w:top w:w="60" w:type="dxa"/>
              <w:left w:w="60" w:type="dxa"/>
              <w:bottom w:w="60" w:type="dxa"/>
              <w:right w:w="60" w:type="dxa"/>
            </w:tcMar>
            <w:vAlign w:val="center"/>
          </w:tcPr>
          <w:p w14:paraId="375E4E03">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麒麟软件有限公司</w:t>
            </w:r>
          </w:p>
        </w:tc>
        <w:tc>
          <w:tcPr>
            <w:tcW w:w="1592" w:type="dxa"/>
            <w:tcMar>
              <w:top w:w="60" w:type="dxa"/>
              <w:left w:w="60" w:type="dxa"/>
              <w:bottom w:w="60" w:type="dxa"/>
              <w:right w:w="60" w:type="dxa"/>
            </w:tcMar>
            <w:vAlign w:val="center"/>
          </w:tcPr>
          <w:p w14:paraId="07C2E4C2">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I级</w:t>
            </w:r>
          </w:p>
        </w:tc>
      </w:tr>
      <w:tr w14:paraId="7D26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20497426">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2</w:t>
            </w:r>
          </w:p>
        </w:tc>
        <w:tc>
          <w:tcPr>
            <w:tcW w:w="3463" w:type="dxa"/>
            <w:tcMar>
              <w:top w:w="60" w:type="dxa"/>
              <w:left w:w="60" w:type="dxa"/>
              <w:bottom w:w="60" w:type="dxa"/>
              <w:right w:w="60" w:type="dxa"/>
            </w:tcMar>
            <w:vAlign w:val="center"/>
          </w:tcPr>
          <w:p w14:paraId="64EC2937">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银河麒麟高级服务器操作系统V10</w:t>
            </w:r>
          </w:p>
          <w:p w14:paraId="3909E87D">
            <w:pPr>
              <w:widowControl/>
              <w:spacing w:line="240" w:lineRule="exact"/>
              <w:jc w:val="left"/>
              <w:rPr>
                <w:rFonts w:hint="eastAsia" w:ascii="仿宋_GB2312" w:hAnsi="仿宋_GB2312" w:eastAsia="仿宋_GB2312" w:cs="仿宋_GB2312"/>
                <w:color w:val="auto"/>
                <w:kern w:val="0"/>
                <w:szCs w:val="21"/>
                <w:highlight w:val="none"/>
                <w:lang w:bidi="ar"/>
              </w:rPr>
            </w:pPr>
          </w:p>
          <w:p w14:paraId="421DDB3E">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（内核版本4.19）</w:t>
            </w:r>
          </w:p>
        </w:tc>
        <w:tc>
          <w:tcPr>
            <w:tcW w:w="3185" w:type="dxa"/>
            <w:tcMar>
              <w:top w:w="60" w:type="dxa"/>
              <w:left w:w="60" w:type="dxa"/>
              <w:bottom w:w="60" w:type="dxa"/>
              <w:right w:w="60" w:type="dxa"/>
            </w:tcMar>
            <w:vAlign w:val="center"/>
          </w:tcPr>
          <w:p w14:paraId="3C210262">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麒麟软件有限公司</w:t>
            </w:r>
          </w:p>
        </w:tc>
        <w:tc>
          <w:tcPr>
            <w:tcW w:w="1592" w:type="dxa"/>
            <w:tcMar>
              <w:top w:w="60" w:type="dxa"/>
              <w:left w:w="60" w:type="dxa"/>
              <w:bottom w:w="60" w:type="dxa"/>
              <w:right w:w="60" w:type="dxa"/>
            </w:tcMar>
            <w:vAlign w:val="center"/>
          </w:tcPr>
          <w:p w14:paraId="5C653803">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I级</w:t>
            </w:r>
          </w:p>
        </w:tc>
      </w:tr>
      <w:tr w14:paraId="551D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6DB57DE3">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3</w:t>
            </w:r>
          </w:p>
        </w:tc>
        <w:tc>
          <w:tcPr>
            <w:tcW w:w="3463" w:type="dxa"/>
            <w:tcMar>
              <w:top w:w="60" w:type="dxa"/>
              <w:left w:w="60" w:type="dxa"/>
              <w:bottom w:w="60" w:type="dxa"/>
              <w:right w:w="60" w:type="dxa"/>
            </w:tcMar>
            <w:vAlign w:val="center"/>
          </w:tcPr>
          <w:p w14:paraId="5FEBBF14">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统信服务器操作系统V20</w:t>
            </w:r>
          </w:p>
          <w:p w14:paraId="7FAEAA0D">
            <w:pPr>
              <w:widowControl/>
              <w:spacing w:line="240" w:lineRule="exact"/>
              <w:jc w:val="left"/>
              <w:rPr>
                <w:rFonts w:hint="eastAsia" w:ascii="仿宋_GB2312" w:hAnsi="仿宋_GB2312" w:eastAsia="仿宋_GB2312" w:cs="仿宋_GB2312"/>
                <w:color w:val="auto"/>
                <w:kern w:val="0"/>
                <w:szCs w:val="21"/>
                <w:highlight w:val="none"/>
                <w:lang w:bidi="ar"/>
              </w:rPr>
            </w:pPr>
          </w:p>
          <w:p w14:paraId="787CBE80">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（内核版本4.19）</w:t>
            </w:r>
          </w:p>
        </w:tc>
        <w:tc>
          <w:tcPr>
            <w:tcW w:w="3185" w:type="dxa"/>
            <w:tcMar>
              <w:top w:w="60" w:type="dxa"/>
              <w:left w:w="60" w:type="dxa"/>
              <w:bottom w:w="60" w:type="dxa"/>
              <w:right w:w="60" w:type="dxa"/>
            </w:tcMar>
            <w:vAlign w:val="center"/>
          </w:tcPr>
          <w:p w14:paraId="6942B9A6">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统信软件技术有限公司</w:t>
            </w:r>
          </w:p>
        </w:tc>
        <w:tc>
          <w:tcPr>
            <w:tcW w:w="1592" w:type="dxa"/>
            <w:tcMar>
              <w:top w:w="60" w:type="dxa"/>
              <w:left w:w="60" w:type="dxa"/>
              <w:bottom w:w="60" w:type="dxa"/>
              <w:right w:w="60" w:type="dxa"/>
            </w:tcMar>
            <w:vAlign w:val="center"/>
          </w:tcPr>
          <w:p w14:paraId="67F03856">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I级</w:t>
            </w:r>
          </w:p>
        </w:tc>
      </w:tr>
      <w:tr w14:paraId="2CDE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128BC0E0">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4</w:t>
            </w:r>
          </w:p>
        </w:tc>
        <w:tc>
          <w:tcPr>
            <w:tcW w:w="3463" w:type="dxa"/>
            <w:tcMar>
              <w:top w:w="60" w:type="dxa"/>
              <w:left w:w="60" w:type="dxa"/>
              <w:bottom w:w="60" w:type="dxa"/>
              <w:right w:w="60" w:type="dxa"/>
            </w:tcMar>
            <w:vAlign w:val="center"/>
          </w:tcPr>
          <w:p w14:paraId="5EA7C14E">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方德高可信服务器操作系统V4.0</w:t>
            </w:r>
          </w:p>
          <w:p w14:paraId="43D61E14">
            <w:pPr>
              <w:widowControl/>
              <w:spacing w:line="240" w:lineRule="exact"/>
              <w:jc w:val="left"/>
              <w:rPr>
                <w:rFonts w:hint="eastAsia" w:ascii="仿宋_GB2312" w:hAnsi="仿宋_GB2312" w:eastAsia="仿宋_GB2312" w:cs="仿宋_GB2312"/>
                <w:color w:val="auto"/>
                <w:kern w:val="0"/>
                <w:szCs w:val="21"/>
                <w:highlight w:val="none"/>
                <w:lang w:bidi="ar"/>
              </w:rPr>
            </w:pPr>
          </w:p>
          <w:p w14:paraId="4D553DA6">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（内核版本4.19）</w:t>
            </w:r>
          </w:p>
        </w:tc>
        <w:tc>
          <w:tcPr>
            <w:tcW w:w="3185" w:type="dxa"/>
            <w:tcMar>
              <w:top w:w="60" w:type="dxa"/>
              <w:left w:w="60" w:type="dxa"/>
              <w:bottom w:w="60" w:type="dxa"/>
              <w:right w:w="60" w:type="dxa"/>
            </w:tcMar>
            <w:vAlign w:val="center"/>
          </w:tcPr>
          <w:p w14:paraId="67C3E8C2">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中科方德软件有限公司</w:t>
            </w:r>
          </w:p>
        </w:tc>
        <w:tc>
          <w:tcPr>
            <w:tcW w:w="1592" w:type="dxa"/>
            <w:tcMar>
              <w:top w:w="60" w:type="dxa"/>
              <w:left w:w="60" w:type="dxa"/>
              <w:bottom w:w="60" w:type="dxa"/>
              <w:right w:w="60" w:type="dxa"/>
            </w:tcMar>
            <w:vAlign w:val="center"/>
          </w:tcPr>
          <w:p w14:paraId="43E8019C">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I级</w:t>
            </w:r>
          </w:p>
        </w:tc>
      </w:tr>
      <w:tr w14:paraId="28376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32EEB983">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5</w:t>
            </w:r>
          </w:p>
        </w:tc>
        <w:tc>
          <w:tcPr>
            <w:tcW w:w="3463" w:type="dxa"/>
            <w:tcMar>
              <w:top w:w="60" w:type="dxa"/>
              <w:left w:w="60" w:type="dxa"/>
              <w:bottom w:w="60" w:type="dxa"/>
              <w:right w:w="60" w:type="dxa"/>
            </w:tcMar>
            <w:vAlign w:val="center"/>
          </w:tcPr>
          <w:p w14:paraId="08EE45EB">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方德桌面操作系统V3.1</w:t>
            </w:r>
          </w:p>
          <w:p w14:paraId="70E0A7BF">
            <w:pPr>
              <w:widowControl/>
              <w:spacing w:line="240" w:lineRule="exact"/>
              <w:jc w:val="left"/>
              <w:rPr>
                <w:rFonts w:hint="eastAsia" w:ascii="仿宋_GB2312" w:hAnsi="仿宋_GB2312" w:eastAsia="仿宋_GB2312" w:cs="仿宋_GB2312"/>
                <w:color w:val="auto"/>
                <w:kern w:val="0"/>
                <w:szCs w:val="21"/>
                <w:highlight w:val="none"/>
                <w:lang w:bidi="ar"/>
              </w:rPr>
            </w:pPr>
          </w:p>
          <w:p w14:paraId="2C43AC0B">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（内核版本4.9）</w:t>
            </w:r>
          </w:p>
        </w:tc>
        <w:tc>
          <w:tcPr>
            <w:tcW w:w="3185" w:type="dxa"/>
            <w:tcMar>
              <w:top w:w="60" w:type="dxa"/>
              <w:left w:w="60" w:type="dxa"/>
              <w:bottom w:w="60" w:type="dxa"/>
              <w:right w:w="60" w:type="dxa"/>
            </w:tcMar>
            <w:vAlign w:val="center"/>
          </w:tcPr>
          <w:p w14:paraId="4E583CAD">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中科方德软件有限公司</w:t>
            </w:r>
          </w:p>
        </w:tc>
        <w:tc>
          <w:tcPr>
            <w:tcW w:w="1592" w:type="dxa"/>
            <w:tcMar>
              <w:top w:w="60" w:type="dxa"/>
              <w:left w:w="60" w:type="dxa"/>
              <w:bottom w:w="60" w:type="dxa"/>
              <w:right w:w="60" w:type="dxa"/>
            </w:tcMar>
            <w:vAlign w:val="center"/>
          </w:tcPr>
          <w:p w14:paraId="052B550C">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I级</w:t>
            </w:r>
          </w:p>
        </w:tc>
      </w:tr>
      <w:tr w14:paraId="5629C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5F97A0B3">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6</w:t>
            </w:r>
          </w:p>
        </w:tc>
        <w:tc>
          <w:tcPr>
            <w:tcW w:w="3463" w:type="dxa"/>
            <w:tcMar>
              <w:top w:w="60" w:type="dxa"/>
              <w:left w:w="60" w:type="dxa"/>
              <w:bottom w:w="60" w:type="dxa"/>
              <w:right w:w="60" w:type="dxa"/>
            </w:tcMar>
            <w:vAlign w:val="center"/>
          </w:tcPr>
          <w:p w14:paraId="7A82AF77">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统信桌面操作系统V20</w:t>
            </w:r>
          </w:p>
          <w:p w14:paraId="1A3F2CD0">
            <w:pPr>
              <w:widowControl/>
              <w:spacing w:line="240" w:lineRule="exact"/>
              <w:jc w:val="left"/>
              <w:rPr>
                <w:rFonts w:hint="eastAsia" w:ascii="仿宋_GB2312" w:hAnsi="仿宋_GB2312" w:eastAsia="仿宋_GB2312" w:cs="仿宋_GB2312"/>
                <w:color w:val="auto"/>
                <w:kern w:val="0"/>
                <w:szCs w:val="21"/>
                <w:highlight w:val="none"/>
                <w:lang w:bidi="ar"/>
              </w:rPr>
            </w:pPr>
          </w:p>
          <w:p w14:paraId="51CEBE5A">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（内核版本4.19）</w:t>
            </w:r>
          </w:p>
        </w:tc>
        <w:tc>
          <w:tcPr>
            <w:tcW w:w="3185" w:type="dxa"/>
            <w:tcMar>
              <w:top w:w="60" w:type="dxa"/>
              <w:left w:w="60" w:type="dxa"/>
              <w:bottom w:w="60" w:type="dxa"/>
              <w:right w:w="60" w:type="dxa"/>
            </w:tcMar>
            <w:vAlign w:val="center"/>
          </w:tcPr>
          <w:p w14:paraId="65E11335">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统信软件技术有限公司</w:t>
            </w:r>
          </w:p>
        </w:tc>
        <w:tc>
          <w:tcPr>
            <w:tcW w:w="1592" w:type="dxa"/>
            <w:tcMar>
              <w:top w:w="60" w:type="dxa"/>
              <w:left w:w="60" w:type="dxa"/>
              <w:bottom w:w="60" w:type="dxa"/>
              <w:right w:w="60" w:type="dxa"/>
            </w:tcMar>
            <w:vAlign w:val="center"/>
          </w:tcPr>
          <w:p w14:paraId="6B39E1D5">
            <w:pPr>
              <w:widowControl/>
              <w:spacing w:line="240" w:lineRule="exact"/>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I级</w:t>
            </w:r>
          </w:p>
        </w:tc>
      </w:tr>
    </w:tbl>
    <w:p w14:paraId="496D90CE">
      <w:pPr>
        <w:pStyle w:val="26"/>
        <w:spacing w:line="240" w:lineRule="atLeast"/>
        <w:jc w:val="left"/>
        <w:rPr>
          <w:rFonts w:hint="eastAsia" w:ascii="仿宋_GB2312" w:hAnsi="宋体" w:eastAsia="仿宋_GB2312"/>
          <w:color w:val="auto"/>
          <w:highlight w:val="none"/>
        </w:rPr>
      </w:pPr>
    </w:p>
    <w:p w14:paraId="53ED227E">
      <w:pPr>
        <w:pStyle w:val="26"/>
        <w:spacing w:line="240" w:lineRule="atLeast"/>
        <w:jc w:val="left"/>
        <w:rPr>
          <w:rFonts w:hint="eastAsia" w:ascii="仿宋_GB2312" w:hAnsi="宋体" w:eastAsia="仿宋_GB2312"/>
          <w:color w:val="auto"/>
          <w:highlight w:val="none"/>
        </w:rPr>
      </w:pPr>
    </w:p>
    <w:p w14:paraId="5BAC91B8">
      <w:pPr>
        <w:pStyle w:val="43"/>
        <w:spacing w:before="0" w:beforeAutospacing="0" w:after="0" w:afterAutospacing="0" w:line="420" w:lineRule="atLeast"/>
        <w:ind w:firstLine="420"/>
        <w:jc w:val="center"/>
        <w:rPr>
          <w:rFonts w:ascii="仿宋_GB2312" w:eastAsia="仿宋_GB2312"/>
          <w:b/>
          <w:color w:val="auto"/>
          <w:kern w:val="2"/>
          <w:szCs w:val="24"/>
          <w:highlight w:val="none"/>
        </w:rPr>
      </w:pPr>
      <w:r>
        <w:rPr>
          <w:rFonts w:ascii="仿宋_GB2312" w:eastAsia="仿宋_GB2312"/>
          <w:b/>
          <w:color w:val="auto"/>
          <w:kern w:val="2"/>
          <w:szCs w:val="24"/>
          <w:highlight w:val="none"/>
        </w:rPr>
        <w:t>（2024年第1号）</w:t>
      </w:r>
    </w:p>
    <w:p w14:paraId="53716A17">
      <w:pPr>
        <w:pStyle w:val="43"/>
        <w:spacing w:before="0" w:beforeAutospacing="0" w:after="0" w:afterAutospacing="0" w:line="420" w:lineRule="atLeast"/>
        <w:ind w:firstLine="420"/>
        <w:jc w:val="center"/>
        <w:rPr>
          <w:rFonts w:ascii="仿宋_GB2312" w:eastAsia="仿宋_GB2312"/>
          <w:b/>
          <w:color w:val="auto"/>
          <w:kern w:val="2"/>
          <w:szCs w:val="24"/>
          <w:highlight w:val="none"/>
        </w:rPr>
      </w:pPr>
      <w:r>
        <w:rPr>
          <w:rFonts w:ascii="仿宋_GB2312" w:eastAsia="仿宋_GB2312"/>
          <w:b/>
          <w:color w:val="auto"/>
          <w:kern w:val="2"/>
          <w:szCs w:val="24"/>
          <w:highlight w:val="none"/>
        </w:rPr>
        <w:t>一、中央处理器（CPU）</w:t>
      </w:r>
    </w:p>
    <w:p w14:paraId="370A195F">
      <w:pPr>
        <w:pStyle w:val="26"/>
        <w:spacing w:line="240" w:lineRule="atLeast"/>
        <w:jc w:val="left"/>
        <w:rPr>
          <w:rFonts w:hint="eastAsia" w:ascii="仿宋_GB2312" w:hAnsi="宋体" w:eastAsia="仿宋_GB2312"/>
          <w:color w:val="auto"/>
          <w:highlight w:val="none"/>
        </w:rPr>
      </w:pPr>
    </w:p>
    <w:p w14:paraId="655781EE">
      <w:pPr>
        <w:pStyle w:val="43"/>
        <w:shd w:val="clear" w:color="auto" w:fill="FFFFFF"/>
        <w:spacing w:before="0" w:beforeAutospacing="0" w:after="0" w:afterAutospacing="0"/>
        <w:rPr>
          <w:rFonts w:cs="宋体"/>
          <w:color w:val="auto"/>
          <w:sz w:val="18"/>
          <w:szCs w:val="18"/>
          <w:highlight w:val="none"/>
        </w:rPr>
      </w:pPr>
      <w:r>
        <w:rPr>
          <w:rFonts w:cs="宋体"/>
          <w:color w:val="auto"/>
          <w:sz w:val="18"/>
          <w:szCs w:val="18"/>
          <w:highlight w:val="none"/>
          <w:shd w:val="clear" w:color="auto" w:fill="FFFFFF"/>
        </w:rPr>
        <w:t> </w:t>
      </w:r>
    </w:p>
    <w:tbl>
      <w:tblPr>
        <w:tblStyle w:val="48"/>
        <w:tblW w:w="0" w:type="auto"/>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2719"/>
        <w:gridCol w:w="3244"/>
        <w:gridCol w:w="1936"/>
      </w:tblGrid>
      <w:tr w14:paraId="1F59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9651625">
            <w:pPr>
              <w:widowControl/>
              <w:spacing w:line="420" w:lineRule="atLeast"/>
              <w:jc w:val="center"/>
              <w:rPr>
                <w:rFonts w:hint="eastAsia"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序号</w:t>
            </w:r>
          </w:p>
        </w:tc>
        <w:tc>
          <w:tcPr>
            <w:tcW w:w="2705" w:type="dxa"/>
            <w:tcBorders>
              <w:tl2br w:val="nil"/>
              <w:tr2bl w:val="nil"/>
            </w:tcBorders>
            <w:shd w:val="clear" w:color="auto" w:fill="FFFFFF"/>
            <w:tcMar>
              <w:top w:w="90" w:type="dxa"/>
              <w:left w:w="180" w:type="dxa"/>
              <w:bottom w:w="90" w:type="dxa"/>
              <w:right w:w="90" w:type="dxa"/>
            </w:tcMar>
            <w:vAlign w:val="center"/>
          </w:tcPr>
          <w:p w14:paraId="42A114BF">
            <w:pPr>
              <w:widowControl/>
              <w:spacing w:line="420" w:lineRule="atLeast"/>
              <w:jc w:val="center"/>
              <w:rPr>
                <w:rFonts w:hint="eastAsia"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产品名称</w:t>
            </w:r>
          </w:p>
        </w:tc>
        <w:tc>
          <w:tcPr>
            <w:tcW w:w="3230" w:type="dxa"/>
            <w:tcBorders>
              <w:tl2br w:val="nil"/>
              <w:tr2bl w:val="nil"/>
            </w:tcBorders>
            <w:shd w:val="clear" w:color="auto" w:fill="FFFFFF"/>
            <w:tcMar>
              <w:top w:w="90" w:type="dxa"/>
              <w:left w:w="180" w:type="dxa"/>
              <w:bottom w:w="90" w:type="dxa"/>
              <w:right w:w="90" w:type="dxa"/>
            </w:tcMar>
            <w:vAlign w:val="center"/>
          </w:tcPr>
          <w:p w14:paraId="491341D8">
            <w:pPr>
              <w:widowControl/>
              <w:spacing w:line="420" w:lineRule="atLeast"/>
              <w:jc w:val="center"/>
              <w:rPr>
                <w:rFonts w:hint="eastAsia"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送测单位</w:t>
            </w:r>
          </w:p>
        </w:tc>
        <w:tc>
          <w:tcPr>
            <w:tcW w:w="1915" w:type="dxa"/>
            <w:tcBorders>
              <w:tl2br w:val="nil"/>
              <w:tr2bl w:val="nil"/>
            </w:tcBorders>
            <w:shd w:val="clear" w:color="auto" w:fill="FFFFFF"/>
            <w:tcMar>
              <w:top w:w="90" w:type="dxa"/>
              <w:left w:w="180" w:type="dxa"/>
              <w:bottom w:w="90" w:type="dxa"/>
              <w:right w:w="90" w:type="dxa"/>
            </w:tcMar>
            <w:vAlign w:val="center"/>
          </w:tcPr>
          <w:p w14:paraId="07339E37">
            <w:pPr>
              <w:widowControl/>
              <w:spacing w:line="420" w:lineRule="atLeast"/>
              <w:jc w:val="center"/>
              <w:rPr>
                <w:rFonts w:hint="eastAsia"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安全可靠等级</w:t>
            </w:r>
          </w:p>
        </w:tc>
      </w:tr>
      <w:tr w14:paraId="2399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4BF2945A">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w:t>
            </w:r>
          </w:p>
        </w:tc>
        <w:tc>
          <w:tcPr>
            <w:tcW w:w="2705" w:type="dxa"/>
            <w:tcBorders>
              <w:tl2br w:val="nil"/>
              <w:tr2bl w:val="nil"/>
            </w:tcBorders>
            <w:shd w:val="clear" w:color="auto" w:fill="FFFFFF"/>
            <w:tcMar>
              <w:top w:w="90" w:type="dxa"/>
              <w:left w:w="180" w:type="dxa"/>
              <w:bottom w:w="90" w:type="dxa"/>
              <w:right w:w="90" w:type="dxa"/>
            </w:tcMar>
            <w:vAlign w:val="center"/>
          </w:tcPr>
          <w:p w14:paraId="717274DC">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飞腾腾云S5000C</w:t>
            </w:r>
          </w:p>
        </w:tc>
        <w:tc>
          <w:tcPr>
            <w:tcW w:w="3230" w:type="dxa"/>
            <w:tcBorders>
              <w:tl2br w:val="nil"/>
              <w:tr2bl w:val="nil"/>
            </w:tcBorders>
            <w:shd w:val="clear" w:color="auto" w:fill="FFFFFF"/>
            <w:tcMar>
              <w:top w:w="90" w:type="dxa"/>
              <w:left w:w="180" w:type="dxa"/>
              <w:bottom w:w="90" w:type="dxa"/>
              <w:right w:w="90" w:type="dxa"/>
            </w:tcMar>
            <w:vAlign w:val="center"/>
          </w:tcPr>
          <w:p w14:paraId="46DD42F3">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74839D26">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12DB9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18A4FED">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2</w:t>
            </w:r>
          </w:p>
        </w:tc>
        <w:tc>
          <w:tcPr>
            <w:tcW w:w="2705" w:type="dxa"/>
            <w:tcBorders>
              <w:tl2br w:val="nil"/>
              <w:tr2bl w:val="nil"/>
            </w:tcBorders>
            <w:shd w:val="clear" w:color="auto" w:fill="FFFFFF"/>
            <w:tcMar>
              <w:top w:w="90" w:type="dxa"/>
              <w:left w:w="180" w:type="dxa"/>
              <w:bottom w:w="90" w:type="dxa"/>
              <w:right w:w="90" w:type="dxa"/>
            </w:tcMar>
            <w:vAlign w:val="center"/>
          </w:tcPr>
          <w:p w14:paraId="757E6388">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飞腾腾珑E2000</w:t>
            </w:r>
          </w:p>
        </w:tc>
        <w:tc>
          <w:tcPr>
            <w:tcW w:w="3230" w:type="dxa"/>
            <w:tcBorders>
              <w:tl2br w:val="nil"/>
              <w:tr2bl w:val="nil"/>
            </w:tcBorders>
            <w:shd w:val="clear" w:color="auto" w:fill="FFFFFF"/>
            <w:tcMar>
              <w:top w:w="90" w:type="dxa"/>
              <w:left w:w="180" w:type="dxa"/>
              <w:bottom w:w="90" w:type="dxa"/>
              <w:right w:w="90" w:type="dxa"/>
            </w:tcMar>
            <w:vAlign w:val="center"/>
          </w:tcPr>
          <w:p w14:paraId="51B1D0E6">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58EAEE58">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170B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61EE7508">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3</w:t>
            </w:r>
          </w:p>
        </w:tc>
        <w:tc>
          <w:tcPr>
            <w:tcW w:w="2705" w:type="dxa"/>
            <w:tcBorders>
              <w:tl2br w:val="nil"/>
              <w:tr2bl w:val="nil"/>
            </w:tcBorders>
            <w:shd w:val="clear" w:color="auto" w:fill="FFFFFF"/>
            <w:tcMar>
              <w:top w:w="90" w:type="dxa"/>
              <w:left w:w="180" w:type="dxa"/>
              <w:bottom w:w="90" w:type="dxa"/>
              <w:right w:w="90" w:type="dxa"/>
            </w:tcMar>
            <w:vAlign w:val="center"/>
          </w:tcPr>
          <w:p w14:paraId="5FF60EA8">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飞腾腾锐D3000</w:t>
            </w:r>
          </w:p>
        </w:tc>
        <w:tc>
          <w:tcPr>
            <w:tcW w:w="3230" w:type="dxa"/>
            <w:tcBorders>
              <w:tl2br w:val="nil"/>
              <w:tr2bl w:val="nil"/>
            </w:tcBorders>
            <w:shd w:val="clear" w:color="auto" w:fill="FFFFFF"/>
            <w:tcMar>
              <w:top w:w="90" w:type="dxa"/>
              <w:left w:w="180" w:type="dxa"/>
              <w:bottom w:w="90" w:type="dxa"/>
              <w:right w:w="90" w:type="dxa"/>
            </w:tcMar>
            <w:vAlign w:val="center"/>
          </w:tcPr>
          <w:p w14:paraId="6FC31C7A">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0E4A32A5">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0654E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DA78DE9">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4</w:t>
            </w:r>
          </w:p>
        </w:tc>
        <w:tc>
          <w:tcPr>
            <w:tcW w:w="2705" w:type="dxa"/>
            <w:tcBorders>
              <w:tl2br w:val="nil"/>
              <w:tr2bl w:val="nil"/>
            </w:tcBorders>
            <w:shd w:val="clear" w:color="auto" w:fill="FFFFFF"/>
            <w:tcMar>
              <w:top w:w="90" w:type="dxa"/>
              <w:left w:w="180" w:type="dxa"/>
              <w:bottom w:w="90" w:type="dxa"/>
              <w:right w:w="90" w:type="dxa"/>
            </w:tcMar>
            <w:vAlign w:val="center"/>
          </w:tcPr>
          <w:p w14:paraId="1847BAED">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龙芯3A5000（DA版）</w:t>
            </w:r>
          </w:p>
        </w:tc>
        <w:tc>
          <w:tcPr>
            <w:tcW w:w="3230" w:type="dxa"/>
            <w:tcBorders>
              <w:tl2br w:val="nil"/>
              <w:tr2bl w:val="nil"/>
            </w:tcBorders>
            <w:shd w:val="clear" w:color="auto" w:fill="FFFFFF"/>
            <w:tcMar>
              <w:top w:w="90" w:type="dxa"/>
              <w:left w:w="180" w:type="dxa"/>
              <w:bottom w:w="90" w:type="dxa"/>
              <w:right w:w="90" w:type="dxa"/>
            </w:tcMar>
            <w:vAlign w:val="center"/>
          </w:tcPr>
          <w:p w14:paraId="0A714699">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2B7C191">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23C0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51B3959">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5</w:t>
            </w:r>
          </w:p>
        </w:tc>
        <w:tc>
          <w:tcPr>
            <w:tcW w:w="2705" w:type="dxa"/>
            <w:tcBorders>
              <w:tl2br w:val="nil"/>
              <w:tr2bl w:val="nil"/>
            </w:tcBorders>
            <w:shd w:val="clear" w:color="auto" w:fill="FFFFFF"/>
            <w:tcMar>
              <w:top w:w="90" w:type="dxa"/>
              <w:left w:w="180" w:type="dxa"/>
              <w:bottom w:w="90" w:type="dxa"/>
              <w:right w:w="90" w:type="dxa"/>
            </w:tcMar>
            <w:vAlign w:val="center"/>
          </w:tcPr>
          <w:p w14:paraId="6133C7E2">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龙芯3A6000</w:t>
            </w:r>
          </w:p>
        </w:tc>
        <w:tc>
          <w:tcPr>
            <w:tcW w:w="3230" w:type="dxa"/>
            <w:tcBorders>
              <w:tl2br w:val="nil"/>
              <w:tr2bl w:val="nil"/>
            </w:tcBorders>
            <w:shd w:val="clear" w:color="auto" w:fill="FFFFFF"/>
            <w:tcMar>
              <w:top w:w="90" w:type="dxa"/>
              <w:left w:w="180" w:type="dxa"/>
              <w:bottom w:w="90" w:type="dxa"/>
              <w:right w:w="90" w:type="dxa"/>
            </w:tcMar>
            <w:vAlign w:val="center"/>
          </w:tcPr>
          <w:p w14:paraId="6C413207">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09C511D4">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35BBF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7302DA0">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6</w:t>
            </w:r>
          </w:p>
        </w:tc>
        <w:tc>
          <w:tcPr>
            <w:tcW w:w="2705" w:type="dxa"/>
            <w:tcBorders>
              <w:tl2br w:val="nil"/>
              <w:tr2bl w:val="nil"/>
            </w:tcBorders>
            <w:shd w:val="clear" w:color="auto" w:fill="FFFFFF"/>
            <w:tcMar>
              <w:top w:w="90" w:type="dxa"/>
              <w:left w:w="180" w:type="dxa"/>
              <w:bottom w:w="90" w:type="dxa"/>
              <w:right w:w="90" w:type="dxa"/>
            </w:tcMar>
            <w:vAlign w:val="center"/>
          </w:tcPr>
          <w:p w14:paraId="7795ACA0">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龙芯3C5000</w:t>
            </w:r>
          </w:p>
        </w:tc>
        <w:tc>
          <w:tcPr>
            <w:tcW w:w="3230" w:type="dxa"/>
            <w:tcBorders>
              <w:tl2br w:val="nil"/>
              <w:tr2bl w:val="nil"/>
            </w:tcBorders>
            <w:shd w:val="clear" w:color="auto" w:fill="FFFFFF"/>
            <w:tcMar>
              <w:top w:w="90" w:type="dxa"/>
              <w:left w:w="180" w:type="dxa"/>
              <w:bottom w:w="90" w:type="dxa"/>
              <w:right w:w="90" w:type="dxa"/>
            </w:tcMar>
            <w:vAlign w:val="center"/>
          </w:tcPr>
          <w:p w14:paraId="1ABD1481">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4AA23A9F">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6875F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AF8F26D">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7</w:t>
            </w:r>
          </w:p>
        </w:tc>
        <w:tc>
          <w:tcPr>
            <w:tcW w:w="2705" w:type="dxa"/>
            <w:tcBorders>
              <w:tl2br w:val="nil"/>
              <w:tr2bl w:val="nil"/>
            </w:tcBorders>
            <w:shd w:val="clear" w:color="auto" w:fill="FFFFFF"/>
            <w:tcMar>
              <w:top w:w="90" w:type="dxa"/>
              <w:left w:w="180" w:type="dxa"/>
              <w:bottom w:w="90" w:type="dxa"/>
              <w:right w:w="90" w:type="dxa"/>
            </w:tcMar>
            <w:vAlign w:val="center"/>
          </w:tcPr>
          <w:p w14:paraId="753E5012">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龙芯3D5000</w:t>
            </w:r>
          </w:p>
        </w:tc>
        <w:tc>
          <w:tcPr>
            <w:tcW w:w="3230" w:type="dxa"/>
            <w:tcBorders>
              <w:tl2br w:val="nil"/>
              <w:tr2bl w:val="nil"/>
            </w:tcBorders>
            <w:shd w:val="clear" w:color="auto" w:fill="FFFFFF"/>
            <w:tcMar>
              <w:top w:w="90" w:type="dxa"/>
              <w:left w:w="180" w:type="dxa"/>
              <w:bottom w:w="90" w:type="dxa"/>
              <w:right w:w="90" w:type="dxa"/>
            </w:tcMar>
            <w:vAlign w:val="center"/>
          </w:tcPr>
          <w:p w14:paraId="78AAECE0">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5776ED01">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611CE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035FD4F3">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8</w:t>
            </w:r>
          </w:p>
        </w:tc>
        <w:tc>
          <w:tcPr>
            <w:tcW w:w="2705" w:type="dxa"/>
            <w:tcBorders>
              <w:tl2br w:val="nil"/>
              <w:tr2bl w:val="nil"/>
            </w:tcBorders>
            <w:shd w:val="clear" w:color="auto" w:fill="FFFFFF"/>
            <w:tcMar>
              <w:top w:w="90" w:type="dxa"/>
              <w:left w:w="180" w:type="dxa"/>
              <w:bottom w:w="90" w:type="dxa"/>
              <w:right w:w="90" w:type="dxa"/>
            </w:tcMar>
            <w:vAlign w:val="center"/>
          </w:tcPr>
          <w:p w14:paraId="2C32D268">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海光处理器C86-4G</w:t>
            </w:r>
          </w:p>
        </w:tc>
        <w:tc>
          <w:tcPr>
            <w:tcW w:w="3230" w:type="dxa"/>
            <w:tcBorders>
              <w:tl2br w:val="nil"/>
              <w:tr2bl w:val="nil"/>
            </w:tcBorders>
            <w:shd w:val="clear" w:color="auto" w:fill="FFFFFF"/>
            <w:tcMar>
              <w:top w:w="90" w:type="dxa"/>
              <w:left w:w="180" w:type="dxa"/>
              <w:bottom w:w="90" w:type="dxa"/>
              <w:right w:w="90" w:type="dxa"/>
            </w:tcMar>
            <w:vAlign w:val="center"/>
          </w:tcPr>
          <w:p w14:paraId="7AC6FEFF">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6096CB85">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1B6F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0F385703">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9</w:t>
            </w:r>
          </w:p>
        </w:tc>
        <w:tc>
          <w:tcPr>
            <w:tcW w:w="2705" w:type="dxa"/>
            <w:tcBorders>
              <w:tl2br w:val="nil"/>
              <w:tr2bl w:val="nil"/>
            </w:tcBorders>
            <w:shd w:val="clear" w:color="auto" w:fill="FFFFFF"/>
            <w:tcMar>
              <w:top w:w="90" w:type="dxa"/>
              <w:left w:w="180" w:type="dxa"/>
              <w:bottom w:w="90" w:type="dxa"/>
              <w:right w:w="90" w:type="dxa"/>
            </w:tcMar>
            <w:vAlign w:val="center"/>
          </w:tcPr>
          <w:p w14:paraId="7DBF4DD6">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鲲鹏920 V200</w:t>
            </w:r>
          </w:p>
        </w:tc>
        <w:tc>
          <w:tcPr>
            <w:tcW w:w="3230" w:type="dxa"/>
            <w:tcBorders>
              <w:tl2br w:val="nil"/>
              <w:tr2bl w:val="nil"/>
            </w:tcBorders>
            <w:shd w:val="clear" w:color="auto" w:fill="FFFFFF"/>
            <w:tcMar>
              <w:top w:w="90" w:type="dxa"/>
              <w:left w:w="180" w:type="dxa"/>
              <w:bottom w:w="90" w:type="dxa"/>
              <w:right w:w="90" w:type="dxa"/>
            </w:tcMar>
            <w:vAlign w:val="center"/>
          </w:tcPr>
          <w:p w14:paraId="63D1BC14">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40358EB3">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5604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5EA58321">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10</w:t>
            </w:r>
          </w:p>
        </w:tc>
        <w:tc>
          <w:tcPr>
            <w:tcW w:w="2705" w:type="dxa"/>
            <w:tcBorders>
              <w:tl2br w:val="nil"/>
              <w:tr2bl w:val="nil"/>
            </w:tcBorders>
            <w:shd w:val="clear" w:color="auto" w:fill="FFFFFF"/>
            <w:tcMar>
              <w:top w:w="90" w:type="dxa"/>
              <w:left w:w="180" w:type="dxa"/>
              <w:bottom w:w="90" w:type="dxa"/>
              <w:right w:w="90" w:type="dxa"/>
            </w:tcMar>
            <w:vAlign w:val="center"/>
          </w:tcPr>
          <w:p w14:paraId="4FCB2A86">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麒麟9000C</w:t>
            </w:r>
          </w:p>
        </w:tc>
        <w:tc>
          <w:tcPr>
            <w:tcW w:w="3230" w:type="dxa"/>
            <w:tcBorders>
              <w:tl2br w:val="nil"/>
              <w:tr2bl w:val="nil"/>
            </w:tcBorders>
            <w:shd w:val="clear" w:color="auto" w:fill="FFFFFF"/>
            <w:tcMar>
              <w:top w:w="90" w:type="dxa"/>
              <w:left w:w="180" w:type="dxa"/>
              <w:bottom w:w="90" w:type="dxa"/>
              <w:right w:w="90" w:type="dxa"/>
            </w:tcMar>
            <w:vAlign w:val="center"/>
          </w:tcPr>
          <w:p w14:paraId="6EB67A43">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57D6E1AD">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Ⅱ级</w:t>
            </w:r>
          </w:p>
        </w:tc>
      </w:tr>
      <w:tr w14:paraId="7E40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724" w:type="dxa"/>
            <w:gridSpan w:val="4"/>
            <w:tcBorders>
              <w:tl2br w:val="nil"/>
              <w:tr2bl w:val="nil"/>
            </w:tcBorders>
            <w:shd w:val="clear" w:color="auto" w:fill="FFFFFF"/>
            <w:tcMar>
              <w:top w:w="90" w:type="dxa"/>
              <w:left w:w="180" w:type="dxa"/>
              <w:bottom w:w="90" w:type="dxa"/>
              <w:right w:w="90" w:type="dxa"/>
            </w:tcMar>
            <w:vAlign w:val="center"/>
          </w:tcPr>
          <w:p w14:paraId="0DCE85F3">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 </w:t>
            </w:r>
          </w:p>
        </w:tc>
      </w:tr>
      <w:tr w14:paraId="64432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54A2602C">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w:t>
            </w:r>
          </w:p>
        </w:tc>
        <w:tc>
          <w:tcPr>
            <w:tcW w:w="2705" w:type="dxa"/>
            <w:tcBorders>
              <w:tl2br w:val="nil"/>
              <w:tr2bl w:val="nil"/>
            </w:tcBorders>
            <w:shd w:val="clear" w:color="auto" w:fill="FFFFFF"/>
            <w:tcMar>
              <w:top w:w="90" w:type="dxa"/>
              <w:left w:w="180" w:type="dxa"/>
              <w:bottom w:w="90" w:type="dxa"/>
              <w:right w:w="90" w:type="dxa"/>
            </w:tcMar>
            <w:vAlign w:val="center"/>
          </w:tcPr>
          <w:p w14:paraId="727AAC51">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龙芯2K2000</w:t>
            </w:r>
          </w:p>
        </w:tc>
        <w:tc>
          <w:tcPr>
            <w:tcW w:w="3230" w:type="dxa"/>
            <w:tcBorders>
              <w:tl2br w:val="nil"/>
              <w:tr2bl w:val="nil"/>
            </w:tcBorders>
            <w:shd w:val="clear" w:color="auto" w:fill="FFFFFF"/>
            <w:tcMar>
              <w:top w:w="90" w:type="dxa"/>
              <w:left w:w="180" w:type="dxa"/>
              <w:bottom w:w="90" w:type="dxa"/>
              <w:right w:w="90" w:type="dxa"/>
            </w:tcMar>
            <w:vAlign w:val="center"/>
          </w:tcPr>
          <w:p w14:paraId="76712B75">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2DFED141">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63289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87FD364">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2</w:t>
            </w:r>
          </w:p>
        </w:tc>
        <w:tc>
          <w:tcPr>
            <w:tcW w:w="2705" w:type="dxa"/>
            <w:tcBorders>
              <w:tl2br w:val="nil"/>
              <w:tr2bl w:val="nil"/>
            </w:tcBorders>
            <w:shd w:val="clear" w:color="auto" w:fill="FFFFFF"/>
            <w:tcMar>
              <w:top w:w="90" w:type="dxa"/>
              <w:left w:w="180" w:type="dxa"/>
              <w:bottom w:w="90" w:type="dxa"/>
              <w:right w:w="90" w:type="dxa"/>
            </w:tcMar>
            <w:vAlign w:val="center"/>
          </w:tcPr>
          <w:p w14:paraId="40849229">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申威SW-WY831型微处理器</w:t>
            </w:r>
          </w:p>
        </w:tc>
        <w:tc>
          <w:tcPr>
            <w:tcW w:w="3230" w:type="dxa"/>
            <w:tcBorders>
              <w:tl2br w:val="nil"/>
              <w:tr2bl w:val="nil"/>
            </w:tcBorders>
            <w:shd w:val="clear" w:color="auto" w:fill="FFFFFF"/>
            <w:tcMar>
              <w:top w:w="90" w:type="dxa"/>
              <w:left w:w="180" w:type="dxa"/>
              <w:bottom w:w="90" w:type="dxa"/>
              <w:right w:w="90" w:type="dxa"/>
            </w:tcMar>
            <w:vAlign w:val="center"/>
          </w:tcPr>
          <w:p w14:paraId="3A908AAB">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无锡先进技术研究院</w:t>
            </w:r>
          </w:p>
        </w:tc>
        <w:tc>
          <w:tcPr>
            <w:tcW w:w="1915" w:type="dxa"/>
            <w:tcBorders>
              <w:tl2br w:val="nil"/>
              <w:tr2bl w:val="nil"/>
            </w:tcBorders>
            <w:shd w:val="clear" w:color="auto" w:fill="FFFFFF"/>
            <w:tcMar>
              <w:top w:w="90" w:type="dxa"/>
              <w:left w:w="180" w:type="dxa"/>
              <w:bottom w:w="90" w:type="dxa"/>
              <w:right w:w="90" w:type="dxa"/>
            </w:tcMar>
            <w:vAlign w:val="center"/>
          </w:tcPr>
          <w:p w14:paraId="3398BD61">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475C7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367921F">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3</w:t>
            </w:r>
          </w:p>
        </w:tc>
        <w:tc>
          <w:tcPr>
            <w:tcW w:w="2705" w:type="dxa"/>
            <w:tcBorders>
              <w:tl2br w:val="nil"/>
              <w:tr2bl w:val="nil"/>
            </w:tcBorders>
            <w:shd w:val="clear" w:color="auto" w:fill="FFFFFF"/>
            <w:tcMar>
              <w:top w:w="90" w:type="dxa"/>
              <w:left w:w="180" w:type="dxa"/>
              <w:bottom w:w="90" w:type="dxa"/>
              <w:right w:w="90" w:type="dxa"/>
            </w:tcMar>
            <w:vAlign w:val="center"/>
          </w:tcPr>
          <w:p w14:paraId="3E595C45">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兆芯处理器KH-40000</w:t>
            </w:r>
          </w:p>
        </w:tc>
        <w:tc>
          <w:tcPr>
            <w:tcW w:w="3230" w:type="dxa"/>
            <w:tcBorders>
              <w:tl2br w:val="nil"/>
              <w:tr2bl w:val="nil"/>
            </w:tcBorders>
            <w:shd w:val="clear" w:color="auto" w:fill="FFFFFF"/>
            <w:tcMar>
              <w:top w:w="90" w:type="dxa"/>
              <w:left w:w="180" w:type="dxa"/>
              <w:bottom w:w="90" w:type="dxa"/>
              <w:right w:w="90" w:type="dxa"/>
            </w:tcMar>
            <w:vAlign w:val="center"/>
          </w:tcPr>
          <w:p w14:paraId="30659502">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上海兆芯集成电路股份有限公司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6B3D3522">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4554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96C4FF9">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4</w:t>
            </w:r>
          </w:p>
        </w:tc>
        <w:tc>
          <w:tcPr>
            <w:tcW w:w="2705" w:type="dxa"/>
            <w:tcBorders>
              <w:tl2br w:val="nil"/>
              <w:tr2bl w:val="nil"/>
            </w:tcBorders>
            <w:shd w:val="clear" w:color="auto" w:fill="FFFFFF"/>
            <w:tcMar>
              <w:top w:w="90" w:type="dxa"/>
              <w:left w:w="180" w:type="dxa"/>
              <w:bottom w:w="90" w:type="dxa"/>
              <w:right w:w="90" w:type="dxa"/>
            </w:tcMar>
            <w:vAlign w:val="center"/>
          </w:tcPr>
          <w:p w14:paraId="30946000">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海光处理器C86-4G-L</w:t>
            </w:r>
          </w:p>
        </w:tc>
        <w:tc>
          <w:tcPr>
            <w:tcW w:w="3230" w:type="dxa"/>
            <w:tcBorders>
              <w:tl2br w:val="nil"/>
              <w:tr2bl w:val="nil"/>
            </w:tcBorders>
            <w:shd w:val="clear" w:color="auto" w:fill="FFFFFF"/>
            <w:tcMar>
              <w:top w:w="90" w:type="dxa"/>
              <w:left w:w="180" w:type="dxa"/>
              <w:bottom w:w="90" w:type="dxa"/>
              <w:right w:w="90" w:type="dxa"/>
            </w:tcMar>
            <w:vAlign w:val="center"/>
          </w:tcPr>
          <w:p w14:paraId="07B43C2F">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05F4B2F2">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bl>
    <w:p w14:paraId="4A1159FA">
      <w:pPr>
        <w:pStyle w:val="26"/>
        <w:spacing w:line="240" w:lineRule="atLeast"/>
        <w:jc w:val="left"/>
        <w:rPr>
          <w:rFonts w:hint="eastAsia" w:ascii="仿宋_GB2312" w:hAnsi="宋体" w:eastAsia="仿宋_GB2312"/>
          <w:color w:val="auto"/>
          <w:highlight w:val="none"/>
        </w:rPr>
      </w:pPr>
    </w:p>
    <w:p w14:paraId="690C5858">
      <w:pPr>
        <w:pStyle w:val="26"/>
        <w:spacing w:line="240" w:lineRule="atLeast"/>
        <w:jc w:val="left"/>
        <w:rPr>
          <w:rFonts w:hint="eastAsia" w:ascii="仿宋_GB2312" w:hAnsi="宋体" w:eastAsia="仿宋_GB2312"/>
          <w:color w:val="auto"/>
          <w:highlight w:val="none"/>
        </w:rPr>
      </w:pPr>
    </w:p>
    <w:p w14:paraId="6051C076">
      <w:pPr>
        <w:pStyle w:val="43"/>
        <w:spacing w:before="0" w:beforeAutospacing="0" w:after="0" w:afterAutospacing="0" w:line="420" w:lineRule="atLeast"/>
        <w:ind w:firstLine="420"/>
        <w:jc w:val="center"/>
        <w:rPr>
          <w:rFonts w:ascii="仿宋_GB2312" w:eastAsia="仿宋_GB2312"/>
          <w:b/>
          <w:color w:val="auto"/>
          <w:kern w:val="2"/>
          <w:szCs w:val="24"/>
          <w:highlight w:val="none"/>
        </w:rPr>
      </w:pPr>
      <w:r>
        <w:rPr>
          <w:rFonts w:ascii="仿宋_GB2312" w:eastAsia="仿宋_GB2312"/>
          <w:b/>
          <w:color w:val="auto"/>
          <w:kern w:val="2"/>
          <w:szCs w:val="24"/>
          <w:highlight w:val="none"/>
        </w:rPr>
        <w:t>二、操作系统</w:t>
      </w:r>
    </w:p>
    <w:p w14:paraId="0421B855">
      <w:pPr>
        <w:pStyle w:val="43"/>
        <w:spacing w:before="0" w:beforeAutospacing="0" w:after="0" w:afterAutospacing="0" w:line="420" w:lineRule="atLeast"/>
        <w:ind w:firstLine="420"/>
        <w:rPr>
          <w:rFonts w:ascii="仿宋_GB2312" w:hAnsi="仿宋_GB2312" w:eastAsia="仿宋_GB2312" w:cs="仿宋_GB2312"/>
          <w:b/>
          <w:color w:val="auto"/>
          <w:kern w:val="2"/>
          <w:sz w:val="21"/>
          <w:szCs w:val="21"/>
          <w:highlight w:val="none"/>
        </w:rPr>
      </w:pPr>
      <w:r>
        <w:rPr>
          <w:rFonts w:ascii="仿宋_GB2312" w:hAnsi="仿宋_GB2312" w:eastAsia="仿宋_GB2312" w:cs="仿宋_GB2312"/>
          <w:b/>
          <w:color w:val="auto"/>
          <w:kern w:val="2"/>
          <w:sz w:val="21"/>
          <w:szCs w:val="21"/>
          <w:highlight w:val="none"/>
        </w:rPr>
        <w:t>（一）桌面操作系统</w:t>
      </w:r>
    </w:p>
    <w:p w14:paraId="1818F9BD">
      <w:pPr>
        <w:pStyle w:val="43"/>
        <w:shd w:val="clear" w:color="auto" w:fill="FFFFFF"/>
        <w:spacing w:before="0" w:beforeAutospacing="0" w:after="0" w:afterAutospacing="0"/>
        <w:rPr>
          <w:rFonts w:ascii="仿宋_GB2312" w:hAnsi="仿宋_GB2312" w:eastAsia="仿宋_GB2312" w:cs="仿宋_GB2312"/>
          <w:color w:val="auto"/>
          <w:sz w:val="21"/>
          <w:szCs w:val="21"/>
          <w:highlight w:val="none"/>
        </w:rPr>
      </w:pPr>
      <w:r>
        <w:rPr>
          <w:rFonts w:ascii="仿宋_GB2312" w:hAnsi="仿宋_GB2312" w:eastAsia="仿宋_GB2312" w:cs="仿宋_GB2312"/>
          <w:color w:val="auto"/>
          <w:sz w:val="21"/>
          <w:szCs w:val="21"/>
          <w:highlight w:val="none"/>
          <w:shd w:val="clear" w:color="auto" w:fill="FFFFFF"/>
        </w:rPr>
        <w:t> </w:t>
      </w:r>
    </w:p>
    <w:tbl>
      <w:tblPr>
        <w:tblStyle w:val="48"/>
        <w:tblW w:w="0" w:type="auto"/>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3244"/>
        <w:gridCol w:w="2404"/>
        <w:gridCol w:w="1936"/>
      </w:tblGrid>
      <w:tr w14:paraId="6F452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076711BF">
            <w:pPr>
              <w:widowControl/>
              <w:spacing w:line="420" w:lineRule="atLeast"/>
              <w:jc w:val="center"/>
              <w:rPr>
                <w:rFonts w:hint="eastAsia"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序号</w:t>
            </w:r>
          </w:p>
        </w:tc>
        <w:tc>
          <w:tcPr>
            <w:tcW w:w="3230" w:type="dxa"/>
            <w:shd w:val="clear" w:color="auto" w:fill="FFFFFF"/>
            <w:tcMar>
              <w:top w:w="90" w:type="dxa"/>
              <w:left w:w="180" w:type="dxa"/>
              <w:bottom w:w="90" w:type="dxa"/>
              <w:right w:w="90" w:type="dxa"/>
            </w:tcMar>
            <w:vAlign w:val="center"/>
          </w:tcPr>
          <w:p w14:paraId="41581BB6">
            <w:pPr>
              <w:widowControl/>
              <w:spacing w:line="420" w:lineRule="atLeast"/>
              <w:jc w:val="center"/>
              <w:rPr>
                <w:rFonts w:hint="eastAsia"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产品名称</w:t>
            </w:r>
          </w:p>
        </w:tc>
        <w:tc>
          <w:tcPr>
            <w:tcW w:w="2390" w:type="dxa"/>
            <w:shd w:val="clear" w:color="auto" w:fill="FFFFFF"/>
            <w:tcMar>
              <w:top w:w="90" w:type="dxa"/>
              <w:left w:w="180" w:type="dxa"/>
              <w:bottom w:w="90" w:type="dxa"/>
              <w:right w:w="90" w:type="dxa"/>
            </w:tcMar>
            <w:vAlign w:val="center"/>
          </w:tcPr>
          <w:p w14:paraId="747B3783">
            <w:pPr>
              <w:widowControl/>
              <w:spacing w:line="420" w:lineRule="atLeast"/>
              <w:jc w:val="center"/>
              <w:rPr>
                <w:rFonts w:hint="eastAsia"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送测单位</w:t>
            </w:r>
          </w:p>
        </w:tc>
        <w:tc>
          <w:tcPr>
            <w:tcW w:w="1915" w:type="dxa"/>
            <w:shd w:val="clear" w:color="auto" w:fill="FFFFFF"/>
            <w:tcMar>
              <w:top w:w="90" w:type="dxa"/>
              <w:left w:w="180" w:type="dxa"/>
              <w:bottom w:w="90" w:type="dxa"/>
              <w:right w:w="90" w:type="dxa"/>
            </w:tcMar>
            <w:vAlign w:val="center"/>
          </w:tcPr>
          <w:p w14:paraId="301770C4">
            <w:pPr>
              <w:widowControl/>
              <w:spacing w:line="420" w:lineRule="atLeast"/>
              <w:jc w:val="center"/>
              <w:rPr>
                <w:rFonts w:hint="eastAsia"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安全可靠等级</w:t>
            </w:r>
          </w:p>
        </w:tc>
      </w:tr>
      <w:tr w14:paraId="5B02D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1DD41D77">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w:t>
            </w:r>
          </w:p>
        </w:tc>
        <w:tc>
          <w:tcPr>
            <w:tcW w:w="3230" w:type="dxa"/>
            <w:shd w:val="clear" w:color="auto" w:fill="FFFFFF"/>
            <w:tcMar>
              <w:top w:w="90" w:type="dxa"/>
              <w:left w:w="180" w:type="dxa"/>
              <w:bottom w:w="90" w:type="dxa"/>
              <w:right w:w="90" w:type="dxa"/>
            </w:tcMar>
            <w:vAlign w:val="center"/>
          </w:tcPr>
          <w:p w14:paraId="7AA777E6">
            <w:pPr>
              <w:widowControl/>
              <w:spacing w:line="420" w:lineRule="atLeast"/>
              <w:jc w:val="center"/>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方德桌面操作系统 V5.0</w:t>
            </w:r>
          </w:p>
          <w:p w14:paraId="49EC512F">
            <w:pPr>
              <w:widowControl/>
              <w:spacing w:line="420" w:lineRule="atLeast"/>
              <w:jc w:val="center"/>
              <w:rPr>
                <w:rFonts w:hint="eastAsia" w:ascii="仿宋_GB2312" w:hAnsi="仿宋_GB2312" w:eastAsia="仿宋_GB2312" w:cs="仿宋_GB2312"/>
                <w:color w:val="auto"/>
                <w:kern w:val="0"/>
                <w:szCs w:val="21"/>
                <w:highlight w:val="none"/>
                <w:lang w:bidi="ar"/>
              </w:rPr>
            </w:pPr>
          </w:p>
          <w:p w14:paraId="43C3DF58">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（内核版本5.4）</w:t>
            </w:r>
          </w:p>
        </w:tc>
        <w:tc>
          <w:tcPr>
            <w:tcW w:w="2390" w:type="dxa"/>
            <w:shd w:val="clear" w:color="auto" w:fill="FFFFFF"/>
            <w:tcMar>
              <w:top w:w="90" w:type="dxa"/>
              <w:left w:w="180" w:type="dxa"/>
              <w:bottom w:w="90" w:type="dxa"/>
              <w:right w:w="90" w:type="dxa"/>
            </w:tcMar>
            <w:vAlign w:val="center"/>
          </w:tcPr>
          <w:p w14:paraId="273AE35B">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中科方德软件有限公司</w:t>
            </w:r>
          </w:p>
        </w:tc>
        <w:tc>
          <w:tcPr>
            <w:tcW w:w="1915" w:type="dxa"/>
            <w:shd w:val="clear" w:color="auto" w:fill="FFFFFF"/>
            <w:tcMar>
              <w:top w:w="90" w:type="dxa"/>
              <w:left w:w="180" w:type="dxa"/>
              <w:bottom w:w="90" w:type="dxa"/>
              <w:right w:w="90" w:type="dxa"/>
            </w:tcMar>
            <w:vAlign w:val="center"/>
          </w:tcPr>
          <w:p w14:paraId="0BA310D0">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0F458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7" w:type="dxa"/>
          <w:jc w:val="center"/>
        </w:trPr>
        <w:tc>
          <w:tcPr>
            <w:tcW w:w="832" w:type="dxa"/>
            <w:shd w:val="clear" w:color="auto" w:fill="FFFFFF"/>
            <w:tcMar>
              <w:top w:w="90" w:type="dxa"/>
              <w:left w:w="180" w:type="dxa"/>
              <w:bottom w:w="90" w:type="dxa"/>
              <w:right w:w="90" w:type="dxa"/>
            </w:tcMar>
            <w:vAlign w:val="center"/>
          </w:tcPr>
          <w:p w14:paraId="14CEBDD5">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2</w:t>
            </w:r>
          </w:p>
        </w:tc>
        <w:tc>
          <w:tcPr>
            <w:tcW w:w="3230" w:type="dxa"/>
            <w:shd w:val="clear" w:color="auto" w:fill="FFFFFF"/>
            <w:tcMar>
              <w:top w:w="90" w:type="dxa"/>
              <w:left w:w="180" w:type="dxa"/>
              <w:bottom w:w="90" w:type="dxa"/>
              <w:right w:w="90" w:type="dxa"/>
            </w:tcMar>
            <w:vAlign w:val="center"/>
          </w:tcPr>
          <w:p w14:paraId="72B2D52E">
            <w:pPr>
              <w:widowControl/>
              <w:spacing w:line="420" w:lineRule="atLeast"/>
              <w:jc w:val="center"/>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统信桌面操作系统 V20</w:t>
            </w:r>
          </w:p>
          <w:p w14:paraId="25B9B84F">
            <w:pPr>
              <w:widowControl/>
              <w:spacing w:line="420" w:lineRule="atLeast"/>
              <w:jc w:val="center"/>
              <w:rPr>
                <w:rFonts w:hint="eastAsia" w:ascii="仿宋_GB2312" w:hAnsi="仿宋_GB2312" w:eastAsia="仿宋_GB2312" w:cs="仿宋_GB2312"/>
                <w:color w:val="auto"/>
                <w:kern w:val="0"/>
                <w:szCs w:val="21"/>
                <w:highlight w:val="none"/>
                <w:lang w:bidi="ar"/>
              </w:rPr>
            </w:pPr>
          </w:p>
          <w:p w14:paraId="7968BA4D">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（内核版本5.10）</w:t>
            </w:r>
          </w:p>
        </w:tc>
        <w:tc>
          <w:tcPr>
            <w:tcW w:w="2390" w:type="dxa"/>
            <w:shd w:val="clear" w:color="auto" w:fill="FFFFFF"/>
            <w:tcMar>
              <w:top w:w="90" w:type="dxa"/>
              <w:left w:w="180" w:type="dxa"/>
              <w:bottom w:w="90" w:type="dxa"/>
              <w:right w:w="90" w:type="dxa"/>
            </w:tcMar>
            <w:vAlign w:val="center"/>
          </w:tcPr>
          <w:p w14:paraId="0186638C">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统信软件技术有限公司</w:t>
            </w:r>
          </w:p>
        </w:tc>
        <w:tc>
          <w:tcPr>
            <w:tcW w:w="1915" w:type="dxa"/>
            <w:shd w:val="clear" w:color="auto" w:fill="FFFFFF"/>
            <w:tcMar>
              <w:top w:w="90" w:type="dxa"/>
              <w:left w:w="180" w:type="dxa"/>
              <w:bottom w:w="90" w:type="dxa"/>
              <w:right w:w="90" w:type="dxa"/>
            </w:tcMar>
            <w:vAlign w:val="center"/>
          </w:tcPr>
          <w:p w14:paraId="355E3241">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0DD82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7" w:type="dxa"/>
          <w:jc w:val="center"/>
        </w:trPr>
        <w:tc>
          <w:tcPr>
            <w:tcW w:w="832" w:type="dxa"/>
            <w:shd w:val="clear" w:color="auto" w:fill="FFFFFF"/>
            <w:tcMar>
              <w:top w:w="90" w:type="dxa"/>
              <w:left w:w="180" w:type="dxa"/>
              <w:bottom w:w="90" w:type="dxa"/>
              <w:right w:w="90" w:type="dxa"/>
            </w:tcMar>
            <w:vAlign w:val="center"/>
          </w:tcPr>
          <w:p w14:paraId="3045F954">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3</w:t>
            </w:r>
          </w:p>
        </w:tc>
        <w:tc>
          <w:tcPr>
            <w:tcW w:w="3230" w:type="dxa"/>
            <w:shd w:val="clear" w:color="auto" w:fill="FFFFFF"/>
            <w:tcMar>
              <w:top w:w="90" w:type="dxa"/>
              <w:left w:w="180" w:type="dxa"/>
              <w:bottom w:w="90" w:type="dxa"/>
              <w:right w:w="90" w:type="dxa"/>
            </w:tcMar>
            <w:vAlign w:val="center"/>
          </w:tcPr>
          <w:p w14:paraId="7DC85CE5">
            <w:pPr>
              <w:widowControl/>
              <w:spacing w:line="420" w:lineRule="atLeast"/>
              <w:jc w:val="center"/>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银河麒麟桌面操作系统 V10 SP1</w:t>
            </w:r>
          </w:p>
          <w:p w14:paraId="6F60CAF3">
            <w:pPr>
              <w:widowControl/>
              <w:spacing w:line="420" w:lineRule="atLeast"/>
              <w:jc w:val="center"/>
              <w:rPr>
                <w:rFonts w:hint="eastAsia" w:ascii="仿宋_GB2312" w:hAnsi="仿宋_GB2312" w:eastAsia="仿宋_GB2312" w:cs="仿宋_GB2312"/>
                <w:color w:val="auto"/>
                <w:kern w:val="0"/>
                <w:szCs w:val="21"/>
                <w:highlight w:val="none"/>
                <w:lang w:bidi="ar"/>
              </w:rPr>
            </w:pPr>
          </w:p>
          <w:p w14:paraId="5E98CDDD">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（内核版本5.4）</w:t>
            </w:r>
          </w:p>
        </w:tc>
        <w:tc>
          <w:tcPr>
            <w:tcW w:w="2390" w:type="dxa"/>
            <w:shd w:val="clear" w:color="auto" w:fill="FFFFFF"/>
            <w:tcMar>
              <w:top w:w="90" w:type="dxa"/>
              <w:left w:w="180" w:type="dxa"/>
              <w:bottom w:w="90" w:type="dxa"/>
              <w:right w:w="90" w:type="dxa"/>
            </w:tcMar>
            <w:vAlign w:val="center"/>
          </w:tcPr>
          <w:p w14:paraId="29A77975">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麒麟软件有限公司</w:t>
            </w:r>
          </w:p>
        </w:tc>
        <w:tc>
          <w:tcPr>
            <w:tcW w:w="1915" w:type="dxa"/>
            <w:shd w:val="clear" w:color="auto" w:fill="FFFFFF"/>
            <w:tcMar>
              <w:top w:w="90" w:type="dxa"/>
              <w:left w:w="180" w:type="dxa"/>
              <w:bottom w:w="90" w:type="dxa"/>
              <w:right w:w="90" w:type="dxa"/>
            </w:tcMar>
            <w:vAlign w:val="center"/>
          </w:tcPr>
          <w:p w14:paraId="7ED010A8">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bl>
    <w:p w14:paraId="553270FC">
      <w:pPr>
        <w:pStyle w:val="43"/>
        <w:spacing w:before="0" w:beforeAutospacing="0" w:after="0" w:afterAutospacing="0" w:line="420" w:lineRule="atLeast"/>
        <w:ind w:firstLine="420"/>
        <w:rPr>
          <w:rFonts w:ascii="仿宋_GB2312" w:hAnsi="仿宋_GB2312" w:eastAsia="仿宋_GB2312" w:cs="仿宋_GB2312"/>
          <w:b/>
          <w:color w:val="auto"/>
          <w:kern w:val="2"/>
          <w:sz w:val="21"/>
          <w:szCs w:val="21"/>
          <w:highlight w:val="none"/>
        </w:rPr>
      </w:pPr>
      <w:r>
        <w:rPr>
          <w:rFonts w:ascii="仿宋_GB2312" w:hAnsi="仿宋_GB2312" w:eastAsia="仿宋_GB2312" w:cs="仿宋_GB2312"/>
          <w:color w:val="auto"/>
          <w:sz w:val="21"/>
          <w:szCs w:val="21"/>
          <w:highlight w:val="none"/>
          <w:shd w:val="clear" w:color="auto" w:fill="FFFFFF"/>
        </w:rPr>
        <w:t> </w:t>
      </w:r>
    </w:p>
    <w:p w14:paraId="56C4A224">
      <w:pPr>
        <w:pStyle w:val="43"/>
        <w:spacing w:before="0" w:beforeAutospacing="0" w:after="0" w:afterAutospacing="0" w:line="420" w:lineRule="atLeast"/>
        <w:ind w:firstLine="420"/>
        <w:rPr>
          <w:rFonts w:ascii="仿宋_GB2312" w:hAnsi="仿宋_GB2312" w:eastAsia="仿宋_GB2312" w:cs="仿宋_GB2312"/>
          <w:b/>
          <w:color w:val="auto"/>
          <w:kern w:val="2"/>
          <w:sz w:val="21"/>
          <w:szCs w:val="21"/>
          <w:highlight w:val="none"/>
        </w:rPr>
      </w:pPr>
      <w:r>
        <w:rPr>
          <w:rFonts w:ascii="仿宋_GB2312" w:hAnsi="仿宋_GB2312" w:eastAsia="仿宋_GB2312" w:cs="仿宋_GB2312"/>
          <w:b/>
          <w:color w:val="auto"/>
          <w:kern w:val="2"/>
          <w:sz w:val="21"/>
          <w:szCs w:val="21"/>
          <w:highlight w:val="none"/>
        </w:rPr>
        <w:t>　　（二）服务器操作系统</w:t>
      </w:r>
    </w:p>
    <w:p w14:paraId="74BC5606">
      <w:pPr>
        <w:pStyle w:val="43"/>
        <w:shd w:val="clear" w:color="auto" w:fill="FFFFFF"/>
        <w:spacing w:before="0" w:beforeAutospacing="0" w:after="0" w:afterAutospacing="0"/>
        <w:rPr>
          <w:rFonts w:ascii="仿宋_GB2312" w:hAnsi="仿宋_GB2312" w:eastAsia="仿宋_GB2312" w:cs="仿宋_GB2312"/>
          <w:color w:val="auto"/>
          <w:sz w:val="21"/>
          <w:szCs w:val="21"/>
          <w:highlight w:val="none"/>
        </w:rPr>
      </w:pPr>
      <w:r>
        <w:rPr>
          <w:rFonts w:ascii="仿宋_GB2312" w:hAnsi="仿宋_GB2312" w:eastAsia="仿宋_GB2312" w:cs="仿宋_GB2312"/>
          <w:color w:val="auto"/>
          <w:sz w:val="21"/>
          <w:szCs w:val="21"/>
          <w:highlight w:val="none"/>
          <w:shd w:val="clear" w:color="auto" w:fill="FFFFFF"/>
        </w:rPr>
        <w:t> </w:t>
      </w:r>
    </w:p>
    <w:tbl>
      <w:tblPr>
        <w:tblStyle w:val="48"/>
        <w:tblW w:w="0" w:type="auto"/>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953"/>
        <w:gridCol w:w="2995"/>
        <w:gridCol w:w="2262"/>
        <w:gridCol w:w="1968"/>
      </w:tblGrid>
      <w:tr w14:paraId="1D303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65268CE0">
            <w:pPr>
              <w:widowControl/>
              <w:spacing w:line="420" w:lineRule="atLeast"/>
              <w:jc w:val="center"/>
              <w:rPr>
                <w:rFonts w:hint="eastAsia"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序号</w:t>
            </w:r>
          </w:p>
        </w:tc>
        <w:tc>
          <w:tcPr>
            <w:tcW w:w="2981" w:type="dxa"/>
            <w:shd w:val="clear" w:color="auto" w:fill="FFFFFF"/>
            <w:tcMar>
              <w:top w:w="90" w:type="dxa"/>
              <w:left w:w="180" w:type="dxa"/>
              <w:bottom w:w="90" w:type="dxa"/>
              <w:right w:w="90" w:type="dxa"/>
            </w:tcMar>
            <w:vAlign w:val="center"/>
          </w:tcPr>
          <w:p w14:paraId="7DA6307B">
            <w:pPr>
              <w:widowControl/>
              <w:spacing w:line="420" w:lineRule="atLeast"/>
              <w:jc w:val="center"/>
              <w:rPr>
                <w:rFonts w:hint="eastAsia"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产品名称</w:t>
            </w:r>
          </w:p>
        </w:tc>
        <w:tc>
          <w:tcPr>
            <w:tcW w:w="2248" w:type="dxa"/>
            <w:shd w:val="clear" w:color="auto" w:fill="FFFFFF"/>
            <w:tcMar>
              <w:top w:w="90" w:type="dxa"/>
              <w:left w:w="180" w:type="dxa"/>
              <w:bottom w:w="90" w:type="dxa"/>
              <w:right w:w="90" w:type="dxa"/>
            </w:tcMar>
            <w:vAlign w:val="center"/>
          </w:tcPr>
          <w:p w14:paraId="060E9534">
            <w:pPr>
              <w:widowControl/>
              <w:spacing w:line="420" w:lineRule="atLeast"/>
              <w:jc w:val="center"/>
              <w:rPr>
                <w:rFonts w:hint="eastAsia"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送测单位</w:t>
            </w:r>
          </w:p>
        </w:tc>
        <w:tc>
          <w:tcPr>
            <w:tcW w:w="1947" w:type="dxa"/>
            <w:shd w:val="clear" w:color="auto" w:fill="FFFFFF"/>
            <w:tcMar>
              <w:top w:w="90" w:type="dxa"/>
              <w:left w:w="180" w:type="dxa"/>
              <w:bottom w:w="90" w:type="dxa"/>
              <w:right w:w="90" w:type="dxa"/>
            </w:tcMar>
            <w:vAlign w:val="center"/>
          </w:tcPr>
          <w:p w14:paraId="5BAB80B3">
            <w:pPr>
              <w:widowControl/>
              <w:spacing w:line="420" w:lineRule="atLeast"/>
              <w:jc w:val="center"/>
              <w:rPr>
                <w:rFonts w:hint="eastAsia" w:ascii="仿宋_GB2312" w:hAnsi="仿宋_GB2312" w:eastAsia="仿宋_GB2312" w:cs="仿宋_GB2312"/>
                <w:b/>
                <w:bCs/>
                <w:caps/>
                <w:color w:val="auto"/>
                <w:spacing w:val="30"/>
                <w:szCs w:val="21"/>
                <w:highlight w:val="none"/>
              </w:rPr>
            </w:pPr>
            <w:r>
              <w:rPr>
                <w:rFonts w:hint="eastAsia" w:ascii="仿宋_GB2312" w:hAnsi="仿宋_GB2312" w:eastAsia="仿宋_GB2312" w:cs="仿宋_GB2312"/>
                <w:b/>
                <w:bCs/>
                <w:caps/>
                <w:color w:val="auto"/>
                <w:spacing w:val="30"/>
                <w:kern w:val="0"/>
                <w:szCs w:val="21"/>
                <w:highlight w:val="none"/>
                <w:lang w:bidi="ar"/>
              </w:rPr>
              <w:t>安全可靠等级</w:t>
            </w:r>
          </w:p>
        </w:tc>
      </w:tr>
      <w:tr w14:paraId="1FAE7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44094DE6">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1</w:t>
            </w:r>
          </w:p>
        </w:tc>
        <w:tc>
          <w:tcPr>
            <w:tcW w:w="2981" w:type="dxa"/>
            <w:shd w:val="clear" w:color="auto" w:fill="FFFFFF"/>
            <w:tcMar>
              <w:top w:w="90" w:type="dxa"/>
              <w:left w:w="180" w:type="dxa"/>
              <w:bottom w:w="90" w:type="dxa"/>
              <w:right w:w="90" w:type="dxa"/>
            </w:tcMar>
            <w:vAlign w:val="center"/>
          </w:tcPr>
          <w:p w14:paraId="64464D2A">
            <w:pPr>
              <w:widowControl/>
              <w:spacing w:line="420" w:lineRule="atLeast"/>
              <w:jc w:val="center"/>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华为云欧拉操作系统 V2.0</w:t>
            </w:r>
          </w:p>
          <w:p w14:paraId="2956565C">
            <w:pPr>
              <w:widowControl/>
              <w:spacing w:line="420" w:lineRule="atLeast"/>
              <w:jc w:val="center"/>
              <w:rPr>
                <w:rFonts w:hint="eastAsia" w:ascii="仿宋_GB2312" w:hAnsi="仿宋_GB2312" w:eastAsia="仿宋_GB2312" w:cs="仿宋_GB2312"/>
                <w:color w:val="auto"/>
                <w:kern w:val="0"/>
                <w:szCs w:val="21"/>
                <w:highlight w:val="none"/>
                <w:lang w:bidi="ar"/>
              </w:rPr>
            </w:pPr>
          </w:p>
          <w:p w14:paraId="71DA0FDE">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（内核版本5.10）</w:t>
            </w:r>
          </w:p>
        </w:tc>
        <w:tc>
          <w:tcPr>
            <w:tcW w:w="2248" w:type="dxa"/>
            <w:shd w:val="clear" w:color="auto" w:fill="FFFFFF"/>
            <w:tcMar>
              <w:top w:w="90" w:type="dxa"/>
              <w:left w:w="180" w:type="dxa"/>
              <w:bottom w:w="90" w:type="dxa"/>
              <w:right w:w="90" w:type="dxa"/>
            </w:tcMar>
            <w:vAlign w:val="center"/>
          </w:tcPr>
          <w:p w14:paraId="4C8A7FA5">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华为云计算技术有限公司</w:t>
            </w:r>
          </w:p>
        </w:tc>
        <w:tc>
          <w:tcPr>
            <w:tcW w:w="1947" w:type="dxa"/>
            <w:shd w:val="clear" w:color="auto" w:fill="FFFFFF"/>
            <w:tcMar>
              <w:top w:w="90" w:type="dxa"/>
              <w:left w:w="180" w:type="dxa"/>
              <w:bottom w:w="90" w:type="dxa"/>
              <w:right w:w="90" w:type="dxa"/>
            </w:tcMar>
            <w:vAlign w:val="center"/>
          </w:tcPr>
          <w:p w14:paraId="1D23DE8A">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0001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0779FF17">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2</w:t>
            </w:r>
          </w:p>
        </w:tc>
        <w:tc>
          <w:tcPr>
            <w:tcW w:w="2981" w:type="dxa"/>
            <w:shd w:val="clear" w:color="auto" w:fill="FFFFFF"/>
            <w:tcMar>
              <w:top w:w="90" w:type="dxa"/>
              <w:left w:w="180" w:type="dxa"/>
              <w:bottom w:w="90" w:type="dxa"/>
              <w:right w:w="90" w:type="dxa"/>
            </w:tcMar>
            <w:vAlign w:val="center"/>
          </w:tcPr>
          <w:p w14:paraId="62FB5A19">
            <w:pPr>
              <w:widowControl/>
              <w:spacing w:line="420" w:lineRule="atLeast"/>
              <w:jc w:val="center"/>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阿里云服务器操作系统 V3</w:t>
            </w:r>
          </w:p>
          <w:p w14:paraId="0A942662">
            <w:pPr>
              <w:widowControl/>
              <w:spacing w:line="420" w:lineRule="atLeast"/>
              <w:jc w:val="center"/>
              <w:rPr>
                <w:rFonts w:hint="eastAsia" w:ascii="仿宋_GB2312" w:hAnsi="仿宋_GB2312" w:eastAsia="仿宋_GB2312" w:cs="仿宋_GB2312"/>
                <w:color w:val="auto"/>
                <w:kern w:val="0"/>
                <w:szCs w:val="21"/>
                <w:highlight w:val="none"/>
                <w:lang w:bidi="ar"/>
              </w:rPr>
            </w:pPr>
          </w:p>
          <w:p w14:paraId="69032584">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（内核版本5.10）</w:t>
            </w:r>
          </w:p>
        </w:tc>
        <w:tc>
          <w:tcPr>
            <w:tcW w:w="2248" w:type="dxa"/>
            <w:shd w:val="clear" w:color="auto" w:fill="FFFFFF"/>
            <w:tcMar>
              <w:top w:w="90" w:type="dxa"/>
              <w:left w:w="180" w:type="dxa"/>
              <w:bottom w:w="90" w:type="dxa"/>
              <w:right w:w="90" w:type="dxa"/>
            </w:tcMar>
            <w:vAlign w:val="center"/>
          </w:tcPr>
          <w:p w14:paraId="27079545">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阿里云计算有限公司</w:t>
            </w:r>
          </w:p>
        </w:tc>
        <w:tc>
          <w:tcPr>
            <w:tcW w:w="1947" w:type="dxa"/>
            <w:shd w:val="clear" w:color="auto" w:fill="FFFFFF"/>
            <w:tcMar>
              <w:top w:w="90" w:type="dxa"/>
              <w:left w:w="180" w:type="dxa"/>
              <w:bottom w:w="90" w:type="dxa"/>
              <w:right w:w="90" w:type="dxa"/>
            </w:tcMar>
            <w:vAlign w:val="center"/>
          </w:tcPr>
          <w:p w14:paraId="0A1F6083">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12A29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5D07473A">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3</w:t>
            </w:r>
          </w:p>
        </w:tc>
        <w:tc>
          <w:tcPr>
            <w:tcW w:w="2981" w:type="dxa"/>
            <w:shd w:val="clear" w:color="auto" w:fill="FFFFFF"/>
            <w:tcMar>
              <w:top w:w="90" w:type="dxa"/>
              <w:left w:w="180" w:type="dxa"/>
              <w:bottom w:w="90" w:type="dxa"/>
              <w:right w:w="90" w:type="dxa"/>
            </w:tcMar>
            <w:vAlign w:val="center"/>
          </w:tcPr>
          <w:p w14:paraId="55EF6A95">
            <w:pPr>
              <w:widowControl/>
              <w:spacing w:line="420" w:lineRule="atLeast"/>
              <w:jc w:val="center"/>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银河麒麟高级服务器操作系统 V10 SP3</w:t>
            </w:r>
          </w:p>
          <w:p w14:paraId="1D422EBC">
            <w:pPr>
              <w:widowControl/>
              <w:spacing w:line="420" w:lineRule="atLeast"/>
              <w:jc w:val="center"/>
              <w:rPr>
                <w:rFonts w:hint="eastAsia" w:ascii="仿宋_GB2312" w:hAnsi="仿宋_GB2312" w:eastAsia="仿宋_GB2312" w:cs="仿宋_GB2312"/>
                <w:color w:val="auto"/>
                <w:kern w:val="0"/>
                <w:szCs w:val="21"/>
                <w:highlight w:val="none"/>
                <w:lang w:bidi="ar"/>
              </w:rPr>
            </w:pPr>
          </w:p>
          <w:p w14:paraId="0204394B">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（内核版本4.19）</w:t>
            </w:r>
          </w:p>
        </w:tc>
        <w:tc>
          <w:tcPr>
            <w:tcW w:w="2248" w:type="dxa"/>
            <w:shd w:val="clear" w:color="auto" w:fill="FFFFFF"/>
            <w:tcMar>
              <w:top w:w="90" w:type="dxa"/>
              <w:left w:w="180" w:type="dxa"/>
              <w:bottom w:w="90" w:type="dxa"/>
              <w:right w:w="90" w:type="dxa"/>
            </w:tcMar>
            <w:vAlign w:val="center"/>
          </w:tcPr>
          <w:p w14:paraId="5F8E767C">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麒麟软件有限公司</w:t>
            </w:r>
          </w:p>
        </w:tc>
        <w:tc>
          <w:tcPr>
            <w:tcW w:w="1947" w:type="dxa"/>
            <w:shd w:val="clear" w:color="auto" w:fill="FFFFFF"/>
            <w:tcMar>
              <w:top w:w="90" w:type="dxa"/>
              <w:left w:w="180" w:type="dxa"/>
              <w:bottom w:w="90" w:type="dxa"/>
              <w:right w:w="90" w:type="dxa"/>
            </w:tcMar>
            <w:vAlign w:val="center"/>
          </w:tcPr>
          <w:p w14:paraId="2D8F9E4A">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4FCD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14616CD6">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4</w:t>
            </w:r>
          </w:p>
        </w:tc>
        <w:tc>
          <w:tcPr>
            <w:tcW w:w="2981" w:type="dxa"/>
            <w:shd w:val="clear" w:color="auto" w:fill="FFFFFF"/>
            <w:tcMar>
              <w:top w:w="90" w:type="dxa"/>
              <w:left w:w="180" w:type="dxa"/>
              <w:bottom w:w="90" w:type="dxa"/>
              <w:right w:w="90" w:type="dxa"/>
            </w:tcMar>
            <w:vAlign w:val="center"/>
          </w:tcPr>
          <w:p w14:paraId="757A0A9E">
            <w:pPr>
              <w:widowControl/>
              <w:spacing w:line="420" w:lineRule="atLeast"/>
              <w:jc w:val="center"/>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腾讯云Linux服务器操作系统 V3</w:t>
            </w:r>
          </w:p>
          <w:p w14:paraId="455FACD8">
            <w:pPr>
              <w:widowControl/>
              <w:spacing w:line="420" w:lineRule="atLeast"/>
              <w:jc w:val="center"/>
              <w:rPr>
                <w:rFonts w:hint="eastAsia" w:ascii="仿宋_GB2312" w:hAnsi="仿宋_GB2312" w:eastAsia="仿宋_GB2312" w:cs="仿宋_GB2312"/>
                <w:color w:val="auto"/>
                <w:kern w:val="0"/>
                <w:szCs w:val="21"/>
                <w:highlight w:val="none"/>
                <w:lang w:bidi="ar"/>
              </w:rPr>
            </w:pPr>
          </w:p>
          <w:p w14:paraId="58572C2F">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（内核版本5.4）</w:t>
            </w:r>
          </w:p>
        </w:tc>
        <w:tc>
          <w:tcPr>
            <w:tcW w:w="2248" w:type="dxa"/>
            <w:shd w:val="clear" w:color="auto" w:fill="FFFFFF"/>
            <w:tcMar>
              <w:top w:w="90" w:type="dxa"/>
              <w:left w:w="180" w:type="dxa"/>
              <w:bottom w:w="90" w:type="dxa"/>
              <w:right w:w="90" w:type="dxa"/>
            </w:tcMar>
            <w:vAlign w:val="center"/>
          </w:tcPr>
          <w:p w14:paraId="6199B5A7">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腾讯云计算（北京）有限责任公司</w:t>
            </w:r>
          </w:p>
        </w:tc>
        <w:tc>
          <w:tcPr>
            <w:tcW w:w="1947" w:type="dxa"/>
            <w:shd w:val="clear" w:color="auto" w:fill="FFFFFF"/>
            <w:tcMar>
              <w:top w:w="90" w:type="dxa"/>
              <w:left w:w="180" w:type="dxa"/>
              <w:bottom w:w="90" w:type="dxa"/>
              <w:right w:w="90" w:type="dxa"/>
            </w:tcMar>
            <w:vAlign w:val="center"/>
          </w:tcPr>
          <w:p w14:paraId="09A764DA">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71651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51C52CE4">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5</w:t>
            </w:r>
          </w:p>
        </w:tc>
        <w:tc>
          <w:tcPr>
            <w:tcW w:w="2981" w:type="dxa"/>
            <w:shd w:val="clear" w:color="auto" w:fill="FFFFFF"/>
            <w:tcMar>
              <w:top w:w="90" w:type="dxa"/>
              <w:left w:w="180" w:type="dxa"/>
              <w:bottom w:w="90" w:type="dxa"/>
              <w:right w:w="90" w:type="dxa"/>
            </w:tcMar>
            <w:vAlign w:val="center"/>
          </w:tcPr>
          <w:p w14:paraId="4343891A">
            <w:pPr>
              <w:widowControl/>
              <w:spacing w:line="420" w:lineRule="atLeast"/>
              <w:jc w:val="center"/>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新支点服务器操作系统 V6</w:t>
            </w:r>
          </w:p>
          <w:p w14:paraId="4749156D">
            <w:pPr>
              <w:widowControl/>
              <w:spacing w:line="420" w:lineRule="atLeast"/>
              <w:jc w:val="center"/>
              <w:rPr>
                <w:rFonts w:hint="eastAsia" w:ascii="仿宋_GB2312" w:hAnsi="仿宋_GB2312" w:eastAsia="仿宋_GB2312" w:cs="仿宋_GB2312"/>
                <w:color w:val="auto"/>
                <w:kern w:val="0"/>
                <w:szCs w:val="21"/>
                <w:highlight w:val="none"/>
                <w:lang w:bidi="ar"/>
              </w:rPr>
            </w:pPr>
          </w:p>
          <w:p w14:paraId="2E137295">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（内核版本5.10）</w:t>
            </w:r>
          </w:p>
        </w:tc>
        <w:tc>
          <w:tcPr>
            <w:tcW w:w="2248" w:type="dxa"/>
            <w:shd w:val="clear" w:color="auto" w:fill="FFFFFF"/>
            <w:tcMar>
              <w:top w:w="90" w:type="dxa"/>
              <w:left w:w="180" w:type="dxa"/>
              <w:bottom w:w="90" w:type="dxa"/>
              <w:right w:w="90" w:type="dxa"/>
            </w:tcMar>
            <w:vAlign w:val="center"/>
          </w:tcPr>
          <w:p w14:paraId="65D3B807">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中兴通讯股份有限公司</w:t>
            </w:r>
          </w:p>
        </w:tc>
        <w:tc>
          <w:tcPr>
            <w:tcW w:w="1947" w:type="dxa"/>
            <w:shd w:val="clear" w:color="auto" w:fill="FFFFFF"/>
            <w:tcMar>
              <w:top w:w="90" w:type="dxa"/>
              <w:left w:w="180" w:type="dxa"/>
              <w:bottom w:w="90" w:type="dxa"/>
              <w:right w:w="90" w:type="dxa"/>
            </w:tcMar>
            <w:vAlign w:val="center"/>
          </w:tcPr>
          <w:p w14:paraId="76352F55">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19A1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35A8B980">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6</w:t>
            </w:r>
          </w:p>
        </w:tc>
        <w:tc>
          <w:tcPr>
            <w:tcW w:w="2981" w:type="dxa"/>
            <w:shd w:val="clear" w:color="auto" w:fill="FFFFFF"/>
            <w:tcMar>
              <w:top w:w="90" w:type="dxa"/>
              <w:left w:w="180" w:type="dxa"/>
              <w:bottom w:w="90" w:type="dxa"/>
              <w:right w:w="90" w:type="dxa"/>
            </w:tcMar>
            <w:vAlign w:val="center"/>
          </w:tcPr>
          <w:p w14:paraId="382FFF21">
            <w:pPr>
              <w:widowControl/>
              <w:spacing w:line="420" w:lineRule="atLeast"/>
              <w:jc w:val="center"/>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凝思安全操作系统欧拉版 V6.0.99</w:t>
            </w:r>
          </w:p>
          <w:p w14:paraId="16BC6236">
            <w:pPr>
              <w:widowControl/>
              <w:spacing w:line="420" w:lineRule="atLeast"/>
              <w:jc w:val="center"/>
              <w:rPr>
                <w:rFonts w:hint="eastAsia" w:ascii="仿宋_GB2312" w:hAnsi="仿宋_GB2312" w:eastAsia="仿宋_GB2312" w:cs="仿宋_GB2312"/>
                <w:color w:val="auto"/>
                <w:kern w:val="0"/>
                <w:szCs w:val="21"/>
                <w:highlight w:val="none"/>
                <w:lang w:bidi="ar"/>
              </w:rPr>
            </w:pPr>
          </w:p>
          <w:p w14:paraId="5807AA72">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（内核版本4.19）</w:t>
            </w:r>
          </w:p>
        </w:tc>
        <w:tc>
          <w:tcPr>
            <w:tcW w:w="2248" w:type="dxa"/>
            <w:shd w:val="clear" w:color="auto" w:fill="FFFFFF"/>
            <w:tcMar>
              <w:top w:w="90" w:type="dxa"/>
              <w:left w:w="180" w:type="dxa"/>
              <w:bottom w:w="90" w:type="dxa"/>
              <w:right w:w="90" w:type="dxa"/>
            </w:tcMar>
            <w:vAlign w:val="center"/>
          </w:tcPr>
          <w:p w14:paraId="5A659B6C">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北京凝思软件股份有限公司</w:t>
            </w:r>
          </w:p>
        </w:tc>
        <w:tc>
          <w:tcPr>
            <w:tcW w:w="1947" w:type="dxa"/>
            <w:shd w:val="clear" w:color="auto" w:fill="FFFFFF"/>
            <w:tcMar>
              <w:top w:w="90" w:type="dxa"/>
              <w:left w:w="180" w:type="dxa"/>
              <w:bottom w:w="90" w:type="dxa"/>
              <w:right w:w="90" w:type="dxa"/>
            </w:tcMar>
            <w:vAlign w:val="center"/>
          </w:tcPr>
          <w:p w14:paraId="2F43EDC9">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r w14:paraId="6A9B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45AED8D3">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7</w:t>
            </w:r>
          </w:p>
        </w:tc>
        <w:tc>
          <w:tcPr>
            <w:tcW w:w="2981" w:type="dxa"/>
            <w:shd w:val="clear" w:color="auto" w:fill="FFFFFF"/>
            <w:tcMar>
              <w:top w:w="90" w:type="dxa"/>
              <w:left w:w="180" w:type="dxa"/>
              <w:bottom w:w="90" w:type="dxa"/>
              <w:right w:w="90" w:type="dxa"/>
            </w:tcMar>
            <w:vAlign w:val="center"/>
          </w:tcPr>
          <w:p w14:paraId="16E5C0DC">
            <w:pPr>
              <w:widowControl/>
              <w:spacing w:line="420" w:lineRule="atLeast"/>
              <w:jc w:val="center"/>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麒麟信安服务器操作系统 V3</w:t>
            </w:r>
          </w:p>
          <w:p w14:paraId="15FEDDB6">
            <w:pPr>
              <w:widowControl/>
              <w:spacing w:line="420" w:lineRule="atLeast"/>
              <w:jc w:val="center"/>
              <w:rPr>
                <w:rFonts w:hint="eastAsia" w:ascii="仿宋_GB2312" w:hAnsi="仿宋_GB2312" w:eastAsia="仿宋_GB2312" w:cs="仿宋_GB2312"/>
                <w:color w:val="auto"/>
                <w:kern w:val="0"/>
                <w:szCs w:val="21"/>
                <w:highlight w:val="none"/>
                <w:lang w:bidi="ar"/>
              </w:rPr>
            </w:pPr>
          </w:p>
          <w:p w14:paraId="0C6A251F">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（内核版本4.19）</w:t>
            </w:r>
          </w:p>
        </w:tc>
        <w:tc>
          <w:tcPr>
            <w:tcW w:w="2248" w:type="dxa"/>
            <w:shd w:val="clear" w:color="auto" w:fill="FFFFFF"/>
            <w:tcMar>
              <w:top w:w="90" w:type="dxa"/>
              <w:left w:w="180" w:type="dxa"/>
              <w:bottom w:w="90" w:type="dxa"/>
              <w:right w:w="90" w:type="dxa"/>
            </w:tcMar>
            <w:vAlign w:val="center"/>
          </w:tcPr>
          <w:p w14:paraId="25E1F517">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湖南麒麟信安科技股份有限公司</w:t>
            </w:r>
          </w:p>
        </w:tc>
        <w:tc>
          <w:tcPr>
            <w:tcW w:w="1947" w:type="dxa"/>
            <w:shd w:val="clear" w:color="auto" w:fill="FFFFFF"/>
            <w:tcMar>
              <w:top w:w="90" w:type="dxa"/>
              <w:left w:w="180" w:type="dxa"/>
              <w:bottom w:w="90" w:type="dxa"/>
              <w:right w:w="90" w:type="dxa"/>
            </w:tcMar>
            <w:vAlign w:val="center"/>
          </w:tcPr>
          <w:p w14:paraId="4087C220">
            <w:pPr>
              <w:widowControl/>
              <w:spacing w:line="420" w:lineRule="atLeas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lang w:bidi="ar"/>
              </w:rPr>
              <w:t>I级</w:t>
            </w:r>
          </w:p>
        </w:tc>
      </w:tr>
    </w:tbl>
    <w:p w14:paraId="41BFC44E">
      <w:pPr>
        <w:pStyle w:val="26"/>
        <w:spacing w:line="240" w:lineRule="atLeast"/>
        <w:jc w:val="right"/>
        <w:rPr>
          <w:rFonts w:hint="eastAsia" w:ascii="仿宋_GB2312" w:hAnsi="宋体" w:eastAsia="仿宋_GB2312"/>
          <w:color w:val="auto"/>
          <w:highlight w:val="none"/>
        </w:rPr>
      </w:pPr>
    </w:p>
    <w:p w14:paraId="35E9183D">
      <w:pPr>
        <w:pStyle w:val="26"/>
        <w:spacing w:line="240" w:lineRule="atLeast"/>
        <w:jc w:val="center"/>
        <w:rPr>
          <w:rFonts w:hint="eastAsia" w:ascii="仿宋_GB2312" w:hAnsi="宋体" w:eastAsia="仿宋_GB2312"/>
          <w:color w:val="auto"/>
          <w:highlight w:val="none"/>
        </w:rPr>
      </w:pPr>
    </w:p>
    <w:p w14:paraId="659AD499">
      <w:pPr>
        <w:pStyle w:val="43"/>
        <w:spacing w:before="0" w:beforeAutospacing="0" w:after="0" w:afterAutospacing="0" w:line="420" w:lineRule="atLeast"/>
        <w:ind w:firstLine="420"/>
        <w:jc w:val="center"/>
        <w:rPr>
          <w:rFonts w:ascii="仿宋_GB2312" w:eastAsia="仿宋_GB2312"/>
          <w:b/>
          <w:color w:val="auto"/>
          <w:kern w:val="2"/>
          <w:szCs w:val="24"/>
          <w:highlight w:val="none"/>
        </w:rPr>
      </w:pPr>
      <w:r>
        <w:rPr>
          <w:rFonts w:ascii="仿宋_GB2312" w:eastAsia="仿宋_GB2312"/>
          <w:b/>
          <w:color w:val="auto"/>
          <w:kern w:val="2"/>
          <w:szCs w:val="24"/>
          <w:highlight w:val="none"/>
        </w:rPr>
        <w:t>安全可靠测评结果公告（2024年第2号）</w:t>
      </w:r>
    </w:p>
    <w:p w14:paraId="3D13BB85">
      <w:pPr>
        <w:pStyle w:val="43"/>
        <w:spacing w:before="0" w:beforeAutospacing="0" w:after="0" w:afterAutospacing="0" w:line="420" w:lineRule="atLeast"/>
        <w:ind w:firstLine="420"/>
        <w:rPr>
          <w:rFonts w:ascii="仿宋_GB2312" w:eastAsia="仿宋_GB2312"/>
          <w:b/>
          <w:color w:val="auto"/>
          <w:kern w:val="2"/>
          <w:szCs w:val="24"/>
          <w:highlight w:val="none"/>
        </w:rPr>
      </w:pPr>
      <w:r>
        <w:rPr>
          <w:rFonts w:ascii="仿宋_GB2312" w:eastAsia="仿宋_GB2312"/>
          <w:b/>
          <w:bCs/>
          <w:color w:val="auto"/>
          <w:kern w:val="2"/>
          <w:szCs w:val="24"/>
          <w:highlight w:val="none"/>
        </w:rPr>
        <w:t>中央处理器（CPU）</w:t>
      </w:r>
      <w:r>
        <w:rPr>
          <w:rFonts w:ascii="仿宋_GB2312" w:eastAsia="仿宋_GB2312"/>
          <w:b/>
          <w:color w:val="auto"/>
          <w:kern w:val="2"/>
          <w:szCs w:val="24"/>
          <w:highlight w:val="none"/>
        </w:rPr>
        <w:t>（同一等级按产品名称首字笔画为序排列）：</w:t>
      </w:r>
    </w:p>
    <w:tbl>
      <w:tblPr>
        <w:tblStyle w:val="48"/>
        <w:tblpPr w:leftFromText="180" w:rightFromText="180" w:vertAnchor="text" w:horzAnchor="page" w:tblpX="1433" w:tblpY="400"/>
        <w:tblOverlap w:val="never"/>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2"/>
        <w:gridCol w:w="3516"/>
        <w:gridCol w:w="3420"/>
        <w:gridCol w:w="1800"/>
      </w:tblGrid>
      <w:tr w14:paraId="60044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7545194F">
            <w:pPr>
              <w:widowControl/>
              <w:spacing w:line="300" w:lineRule="atLeast"/>
              <w:jc w:val="center"/>
              <w:rPr>
                <w:rFonts w:hint="eastAsia" w:ascii="微软雅黑" w:hAnsi="微软雅黑" w:eastAsia="微软雅黑" w:cs="微软雅黑"/>
                <w:b/>
                <w:bCs/>
                <w:color w:val="auto"/>
                <w:szCs w:val="21"/>
                <w:highlight w:val="none"/>
              </w:rPr>
            </w:pPr>
            <w:r>
              <w:rPr>
                <w:rFonts w:hint="eastAsia" w:ascii="微软雅黑" w:hAnsi="微软雅黑" w:eastAsia="微软雅黑" w:cs="微软雅黑"/>
                <w:b/>
                <w:bCs/>
                <w:color w:val="auto"/>
                <w:kern w:val="0"/>
                <w:szCs w:val="21"/>
                <w:highlight w:val="none"/>
                <w:lang w:bidi="ar"/>
              </w:rPr>
              <w:t>序号</w:t>
            </w:r>
          </w:p>
        </w:tc>
        <w:tc>
          <w:tcPr>
            <w:tcW w:w="3516" w:type="dxa"/>
            <w:tcMar>
              <w:top w:w="60" w:type="dxa"/>
              <w:left w:w="60" w:type="dxa"/>
              <w:bottom w:w="60" w:type="dxa"/>
              <w:right w:w="60" w:type="dxa"/>
            </w:tcMar>
            <w:vAlign w:val="center"/>
          </w:tcPr>
          <w:p w14:paraId="653E64C7">
            <w:pPr>
              <w:widowControl/>
              <w:spacing w:line="300" w:lineRule="atLeast"/>
              <w:jc w:val="center"/>
              <w:rPr>
                <w:rFonts w:hint="eastAsia" w:ascii="微软雅黑" w:hAnsi="微软雅黑" w:eastAsia="微软雅黑" w:cs="微软雅黑"/>
                <w:b/>
                <w:bCs/>
                <w:color w:val="auto"/>
                <w:szCs w:val="21"/>
                <w:highlight w:val="none"/>
              </w:rPr>
            </w:pPr>
            <w:r>
              <w:rPr>
                <w:rFonts w:hint="eastAsia" w:ascii="微软雅黑" w:hAnsi="微软雅黑" w:eastAsia="微软雅黑" w:cs="微软雅黑"/>
                <w:b/>
                <w:bCs/>
                <w:color w:val="auto"/>
                <w:kern w:val="0"/>
                <w:szCs w:val="21"/>
                <w:highlight w:val="none"/>
                <w:lang w:bidi="ar"/>
              </w:rPr>
              <w:t>产品名称</w:t>
            </w:r>
          </w:p>
        </w:tc>
        <w:tc>
          <w:tcPr>
            <w:tcW w:w="3420" w:type="dxa"/>
            <w:tcMar>
              <w:top w:w="60" w:type="dxa"/>
              <w:left w:w="60" w:type="dxa"/>
              <w:bottom w:w="60" w:type="dxa"/>
              <w:right w:w="60" w:type="dxa"/>
            </w:tcMar>
            <w:vAlign w:val="center"/>
          </w:tcPr>
          <w:p w14:paraId="04B8E9B4">
            <w:pPr>
              <w:widowControl/>
              <w:spacing w:line="300" w:lineRule="atLeast"/>
              <w:jc w:val="center"/>
              <w:rPr>
                <w:rFonts w:hint="eastAsia" w:ascii="微软雅黑" w:hAnsi="微软雅黑" w:eastAsia="微软雅黑" w:cs="微软雅黑"/>
                <w:b/>
                <w:bCs/>
                <w:color w:val="auto"/>
                <w:szCs w:val="21"/>
                <w:highlight w:val="none"/>
              </w:rPr>
            </w:pPr>
            <w:r>
              <w:rPr>
                <w:rFonts w:hint="eastAsia" w:ascii="微软雅黑" w:hAnsi="微软雅黑" w:eastAsia="微软雅黑" w:cs="微软雅黑"/>
                <w:b/>
                <w:bCs/>
                <w:color w:val="auto"/>
                <w:kern w:val="0"/>
                <w:szCs w:val="21"/>
                <w:highlight w:val="none"/>
                <w:lang w:bidi="ar"/>
              </w:rPr>
              <w:t>送测单位</w:t>
            </w:r>
          </w:p>
        </w:tc>
        <w:tc>
          <w:tcPr>
            <w:tcW w:w="1800" w:type="dxa"/>
            <w:tcMar>
              <w:top w:w="60" w:type="dxa"/>
              <w:left w:w="60" w:type="dxa"/>
              <w:bottom w:w="60" w:type="dxa"/>
              <w:right w:w="60" w:type="dxa"/>
            </w:tcMar>
            <w:vAlign w:val="center"/>
          </w:tcPr>
          <w:p w14:paraId="5A13E54D">
            <w:pPr>
              <w:widowControl/>
              <w:spacing w:line="300" w:lineRule="atLeast"/>
              <w:jc w:val="center"/>
              <w:rPr>
                <w:rFonts w:hint="eastAsia" w:ascii="微软雅黑" w:hAnsi="微软雅黑" w:eastAsia="微软雅黑" w:cs="微软雅黑"/>
                <w:b/>
                <w:bCs/>
                <w:color w:val="auto"/>
                <w:szCs w:val="21"/>
                <w:highlight w:val="none"/>
              </w:rPr>
            </w:pPr>
            <w:r>
              <w:rPr>
                <w:rFonts w:hint="eastAsia" w:ascii="微软雅黑" w:hAnsi="微软雅黑" w:eastAsia="微软雅黑" w:cs="微软雅黑"/>
                <w:b/>
                <w:bCs/>
                <w:color w:val="auto"/>
                <w:kern w:val="0"/>
                <w:szCs w:val="21"/>
                <w:highlight w:val="none"/>
                <w:lang w:bidi="ar"/>
              </w:rPr>
              <w:t>安全可靠等级</w:t>
            </w:r>
          </w:p>
        </w:tc>
      </w:tr>
      <w:tr w14:paraId="2AF2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0F9D8AC3">
            <w:pPr>
              <w:widowControl/>
              <w:spacing w:line="300" w:lineRule="atLeast"/>
              <w:jc w:val="center"/>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kern w:val="0"/>
                <w:szCs w:val="21"/>
                <w:highlight w:val="none"/>
                <w:lang w:bidi="ar"/>
              </w:rPr>
              <w:t>1</w:t>
            </w:r>
          </w:p>
        </w:tc>
        <w:tc>
          <w:tcPr>
            <w:tcW w:w="3516" w:type="dxa"/>
            <w:tcMar>
              <w:top w:w="60" w:type="dxa"/>
              <w:left w:w="60" w:type="dxa"/>
              <w:bottom w:w="60" w:type="dxa"/>
              <w:right w:w="60" w:type="dxa"/>
            </w:tcMar>
            <w:vAlign w:val="center"/>
          </w:tcPr>
          <w:p w14:paraId="2AB42B97">
            <w:pPr>
              <w:widowControl/>
              <w:spacing w:line="300" w:lineRule="atLeast"/>
              <w:jc w:val="left"/>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kern w:val="0"/>
                <w:szCs w:val="21"/>
                <w:highlight w:val="none"/>
                <w:lang w:bidi="ar"/>
              </w:rPr>
              <w:t>兆芯处理器KX-6000G</w:t>
            </w:r>
          </w:p>
        </w:tc>
        <w:tc>
          <w:tcPr>
            <w:tcW w:w="3420" w:type="dxa"/>
            <w:tcMar>
              <w:top w:w="60" w:type="dxa"/>
              <w:left w:w="60" w:type="dxa"/>
              <w:bottom w:w="60" w:type="dxa"/>
              <w:right w:w="60" w:type="dxa"/>
            </w:tcMar>
            <w:vAlign w:val="center"/>
          </w:tcPr>
          <w:p w14:paraId="54E22E92">
            <w:pPr>
              <w:widowControl/>
              <w:spacing w:line="300" w:lineRule="atLeast"/>
              <w:jc w:val="left"/>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kern w:val="0"/>
                <w:szCs w:val="21"/>
                <w:highlight w:val="none"/>
                <w:lang w:bidi="ar"/>
              </w:rPr>
              <w:t>上海兆芯集成电路股份有限公司</w:t>
            </w:r>
          </w:p>
        </w:tc>
        <w:tc>
          <w:tcPr>
            <w:tcW w:w="1800" w:type="dxa"/>
            <w:tcMar>
              <w:top w:w="60" w:type="dxa"/>
              <w:left w:w="60" w:type="dxa"/>
              <w:bottom w:w="60" w:type="dxa"/>
              <w:right w:w="60" w:type="dxa"/>
            </w:tcMar>
            <w:vAlign w:val="center"/>
          </w:tcPr>
          <w:p w14:paraId="1F9BF7BC">
            <w:pPr>
              <w:widowControl/>
              <w:spacing w:line="300" w:lineRule="atLeast"/>
              <w:jc w:val="left"/>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kern w:val="0"/>
                <w:szCs w:val="21"/>
                <w:highlight w:val="none"/>
                <w:lang w:bidi="ar"/>
              </w:rPr>
              <w:t>I级</w:t>
            </w:r>
          </w:p>
        </w:tc>
      </w:tr>
      <w:tr w14:paraId="62ADF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432" w:type="dxa"/>
            <w:tcMar>
              <w:top w:w="60" w:type="dxa"/>
              <w:left w:w="60" w:type="dxa"/>
              <w:bottom w:w="60" w:type="dxa"/>
              <w:right w:w="60" w:type="dxa"/>
            </w:tcMar>
            <w:vAlign w:val="center"/>
          </w:tcPr>
          <w:p w14:paraId="192EAE1F">
            <w:pPr>
              <w:widowControl/>
              <w:spacing w:line="300" w:lineRule="atLeast"/>
              <w:jc w:val="center"/>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kern w:val="0"/>
                <w:szCs w:val="21"/>
                <w:highlight w:val="none"/>
                <w:lang w:bidi="ar"/>
              </w:rPr>
              <w:t>2</w:t>
            </w:r>
          </w:p>
        </w:tc>
        <w:tc>
          <w:tcPr>
            <w:tcW w:w="3516" w:type="dxa"/>
            <w:tcMar>
              <w:top w:w="60" w:type="dxa"/>
              <w:left w:w="60" w:type="dxa"/>
              <w:bottom w:w="60" w:type="dxa"/>
              <w:right w:w="60" w:type="dxa"/>
            </w:tcMar>
            <w:vAlign w:val="center"/>
          </w:tcPr>
          <w:p w14:paraId="6CBB0CFE">
            <w:pPr>
              <w:widowControl/>
              <w:spacing w:line="300" w:lineRule="atLeast"/>
              <w:jc w:val="left"/>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kern w:val="0"/>
                <w:szCs w:val="21"/>
                <w:highlight w:val="none"/>
                <w:lang w:bidi="ar"/>
              </w:rPr>
              <w:t>兆芯处理器KX-7000</w:t>
            </w:r>
          </w:p>
        </w:tc>
        <w:tc>
          <w:tcPr>
            <w:tcW w:w="3420" w:type="dxa"/>
            <w:tcMar>
              <w:top w:w="60" w:type="dxa"/>
              <w:left w:w="60" w:type="dxa"/>
              <w:bottom w:w="60" w:type="dxa"/>
              <w:right w:w="60" w:type="dxa"/>
            </w:tcMar>
            <w:vAlign w:val="center"/>
          </w:tcPr>
          <w:p w14:paraId="03D4AC07">
            <w:pPr>
              <w:widowControl/>
              <w:spacing w:line="300" w:lineRule="atLeast"/>
              <w:jc w:val="left"/>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kern w:val="0"/>
                <w:szCs w:val="21"/>
                <w:highlight w:val="none"/>
                <w:lang w:bidi="ar"/>
              </w:rPr>
              <w:t>上海兆芯集成电路股份有限公司</w:t>
            </w:r>
          </w:p>
        </w:tc>
        <w:tc>
          <w:tcPr>
            <w:tcW w:w="1800" w:type="dxa"/>
            <w:tcMar>
              <w:top w:w="60" w:type="dxa"/>
              <w:left w:w="60" w:type="dxa"/>
              <w:bottom w:w="60" w:type="dxa"/>
              <w:right w:w="60" w:type="dxa"/>
            </w:tcMar>
            <w:vAlign w:val="center"/>
          </w:tcPr>
          <w:p w14:paraId="1B713476">
            <w:pPr>
              <w:widowControl/>
              <w:spacing w:line="300" w:lineRule="atLeast"/>
              <w:jc w:val="left"/>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kern w:val="0"/>
                <w:szCs w:val="21"/>
                <w:highlight w:val="none"/>
                <w:lang w:bidi="ar"/>
              </w:rPr>
              <w:t>I级</w:t>
            </w:r>
          </w:p>
        </w:tc>
      </w:tr>
    </w:tbl>
    <w:p w14:paraId="3C251109">
      <w:pPr>
        <w:snapToGrid w:val="0"/>
        <w:spacing w:before="50"/>
        <w:jc w:val="left"/>
        <w:rPr>
          <w:rFonts w:hint="eastAsia" w:ascii="仿宋_GB2312" w:hAnsi="宋体" w:eastAsia="仿宋_GB2312"/>
          <w:b/>
          <w:color w:val="auto"/>
          <w:sz w:val="24"/>
          <w:highlight w:val="none"/>
        </w:rPr>
      </w:pPr>
    </w:p>
    <w:p w14:paraId="2E63517D">
      <w:pPr>
        <w:snapToGrid w:val="0"/>
        <w:spacing w:before="50"/>
        <w:jc w:val="left"/>
        <w:rPr>
          <w:rFonts w:hint="eastAsia" w:ascii="仿宋_GB2312" w:hAnsi="宋体" w:eastAsia="仿宋_GB2312"/>
          <w:b/>
          <w:color w:val="auto"/>
          <w:sz w:val="24"/>
          <w:highlight w:val="none"/>
        </w:rPr>
      </w:pPr>
    </w:p>
    <w:p w14:paraId="032896E3">
      <w:pPr>
        <w:pStyle w:val="26"/>
        <w:spacing w:line="240" w:lineRule="atLeast"/>
        <w:jc w:val="left"/>
        <w:rPr>
          <w:rFonts w:hint="eastAsia" w:ascii="仿宋_GB2312" w:hAnsi="宋体" w:eastAsia="仿宋_GB2312"/>
          <w:color w:val="auto"/>
          <w:highlight w:val="none"/>
        </w:rPr>
      </w:pPr>
    </w:p>
    <w:p w14:paraId="0D971340">
      <w:pPr>
        <w:pStyle w:val="26"/>
        <w:spacing w:line="240" w:lineRule="atLeast"/>
        <w:rPr>
          <w:rFonts w:hint="eastAsia" w:ascii="仿宋_GB2312" w:hAnsi="宋体" w:eastAsia="仿宋_GB2312" w:cs="Times New Roman"/>
          <w:b/>
          <w:color w:val="auto"/>
          <w:sz w:val="24"/>
          <w:szCs w:val="24"/>
          <w:highlight w:val="none"/>
        </w:rPr>
      </w:pPr>
    </w:p>
    <w:p w14:paraId="2E5E80AD">
      <w:pPr>
        <w:pStyle w:val="26"/>
        <w:spacing w:line="240" w:lineRule="atLeast"/>
        <w:jc w:val="center"/>
        <w:rPr>
          <w:rFonts w:hint="eastAsia" w:ascii="仿宋_GB2312" w:hAnsi="宋体" w:eastAsia="仿宋_GB2312" w:cs="Times New Roman"/>
          <w:b/>
          <w:color w:val="auto"/>
          <w:sz w:val="24"/>
          <w:szCs w:val="24"/>
          <w:highlight w:val="none"/>
        </w:rPr>
      </w:pPr>
    </w:p>
    <w:p w14:paraId="2A492358">
      <w:pPr>
        <w:pStyle w:val="26"/>
        <w:spacing w:line="240" w:lineRule="atLeast"/>
        <w:jc w:val="center"/>
        <w:rPr>
          <w:rFonts w:hint="eastAsia" w:ascii="仿宋_GB2312" w:hAnsi="宋体" w:eastAsia="仿宋_GB2312" w:cs="Times New Roman"/>
          <w:b/>
          <w:color w:val="auto"/>
          <w:sz w:val="24"/>
          <w:szCs w:val="24"/>
          <w:highlight w:val="none"/>
        </w:rPr>
      </w:pPr>
    </w:p>
    <w:p w14:paraId="4A98EAA8">
      <w:pPr>
        <w:pStyle w:val="26"/>
        <w:spacing w:line="240" w:lineRule="atLeast"/>
        <w:jc w:val="center"/>
        <w:rPr>
          <w:rFonts w:hint="eastAsia" w:ascii="仿宋_GB2312" w:hAnsi="宋体" w:eastAsia="仿宋_GB2312" w:cs="Times New Roman"/>
          <w:b/>
          <w:color w:val="auto"/>
          <w:sz w:val="24"/>
          <w:szCs w:val="24"/>
          <w:highlight w:val="none"/>
        </w:rPr>
      </w:pPr>
    </w:p>
    <w:p w14:paraId="01129808">
      <w:pPr>
        <w:pStyle w:val="26"/>
        <w:spacing w:line="240" w:lineRule="atLeast"/>
        <w:jc w:val="center"/>
        <w:rPr>
          <w:rFonts w:hint="eastAsia" w:ascii="仿宋_GB2312" w:hAnsi="宋体" w:eastAsia="仿宋_GB2312" w:cs="Times New Roman"/>
          <w:b/>
          <w:color w:val="auto"/>
          <w:sz w:val="24"/>
          <w:szCs w:val="24"/>
          <w:highlight w:val="none"/>
        </w:rPr>
      </w:pPr>
    </w:p>
    <w:p w14:paraId="1E50B712">
      <w:pPr>
        <w:pStyle w:val="26"/>
        <w:spacing w:line="240" w:lineRule="atLeast"/>
        <w:jc w:val="center"/>
        <w:rPr>
          <w:rFonts w:hint="eastAsia" w:ascii="仿宋_GB2312" w:hAnsi="宋体" w:eastAsia="仿宋_GB2312" w:cs="Times New Roman"/>
          <w:b/>
          <w:color w:val="auto"/>
          <w:sz w:val="24"/>
          <w:szCs w:val="24"/>
          <w:highlight w:val="none"/>
        </w:rPr>
      </w:pPr>
      <w:r>
        <w:rPr>
          <w:rFonts w:hint="eastAsia" w:ascii="仿宋_GB2312" w:hAnsi="宋体" w:eastAsia="仿宋_GB2312" w:cs="Times New Roman"/>
          <w:b/>
          <w:color w:val="auto"/>
          <w:sz w:val="24"/>
          <w:szCs w:val="24"/>
          <w:highlight w:val="none"/>
        </w:rPr>
        <w:t>安全可靠测评结果公告（2025年第1号）</w:t>
      </w:r>
    </w:p>
    <w:p w14:paraId="1B3D0BA5">
      <w:pPr>
        <w:pStyle w:val="26"/>
        <w:spacing w:line="240" w:lineRule="atLeast"/>
        <w:jc w:val="center"/>
        <w:rPr>
          <w:rFonts w:hint="eastAsia" w:ascii="仿宋_GB2312" w:hAnsi="宋体" w:eastAsia="仿宋_GB2312" w:cs="Times New Roman"/>
          <w:b/>
          <w:color w:val="auto"/>
          <w:sz w:val="24"/>
          <w:szCs w:val="24"/>
          <w:highlight w:val="none"/>
        </w:rPr>
      </w:pPr>
    </w:p>
    <w:p w14:paraId="7B5E20A6">
      <w:pPr>
        <w:widowControl/>
        <w:shd w:val="clear" w:color="auto" w:fill="FFFFFF"/>
        <w:spacing w:before="156" w:after="156" w:line="560" w:lineRule="atLeast"/>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b/>
          <w:bCs/>
          <w:color w:val="auto"/>
          <w:kern w:val="0"/>
          <w:sz w:val="24"/>
          <w:highlight w:val="none"/>
          <w:shd w:val="clear" w:color="auto" w:fill="FFFFFF"/>
          <w:lang w:bidi="ar"/>
        </w:rPr>
        <w:t>附表一、中央处理器（CPU）（</w:t>
      </w:r>
      <w:r>
        <w:rPr>
          <w:rFonts w:hint="eastAsia" w:ascii="仿宋_GB2312" w:hAnsi="仿宋_GB2312" w:eastAsia="仿宋_GB2312" w:cs="仿宋_GB2312"/>
          <w:color w:val="auto"/>
          <w:kern w:val="0"/>
          <w:sz w:val="24"/>
          <w:highlight w:val="none"/>
          <w:shd w:val="clear" w:color="auto" w:fill="FFFFFF"/>
          <w:lang w:bidi="ar"/>
        </w:rPr>
        <w:t>同一等级按产品名称首字笔画为序排列）</w:t>
      </w:r>
    </w:p>
    <w:tbl>
      <w:tblPr>
        <w:tblStyle w:val="48"/>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0"/>
        <w:gridCol w:w="3377"/>
        <w:gridCol w:w="2060"/>
      </w:tblGrid>
      <w:tr w14:paraId="5A867A1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580C979">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序号</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3211B4E">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产品名称</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E84F315">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送测单位</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DD74965">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安全可靠等级</w:t>
            </w:r>
          </w:p>
        </w:tc>
      </w:tr>
      <w:tr w14:paraId="1C83CAB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079BC58">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1</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B282CA9">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飞腾腾云S5000C-E</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A1F10A1">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飞腾信息技术有限公司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857F286">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II级</w:t>
            </w:r>
          </w:p>
        </w:tc>
      </w:tr>
      <w:tr w14:paraId="7CF3ECD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41BDCA6">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94DB876">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龙芯3B6000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710EC30">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17E5118">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II级</w:t>
            </w:r>
          </w:p>
        </w:tc>
      </w:tr>
      <w:tr w14:paraId="7EA20E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4B19A63">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4F1D7E4">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龙芯3C6000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A159F3B">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FA629E5">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II级</w:t>
            </w:r>
          </w:p>
        </w:tc>
      </w:tr>
      <w:tr w14:paraId="601FE5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BE5BBE5">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4</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2150146">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申威威鑫 H8000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5928895">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中电科申泰信息科技有限公司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2E771C9">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II级</w:t>
            </w:r>
          </w:p>
        </w:tc>
      </w:tr>
      <w:tr w14:paraId="3B6AEB9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E829ABC">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5</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A28BA0F">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麒麟X90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C369CFA">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深圳市海思半导体有限公司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8E2B373">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II级</w:t>
            </w:r>
          </w:p>
        </w:tc>
      </w:tr>
      <w:tr w14:paraId="51E39E1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9654"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9BA6B1B">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 </w:t>
            </w:r>
          </w:p>
        </w:tc>
      </w:tr>
      <w:tr w14:paraId="48E627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3D4BC9A">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1</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C3DFE77">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申威WY831（GC版）</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13FEC90">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中电科申泰信息科技有限公司</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25D7FD0">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I级</w:t>
            </w:r>
          </w:p>
        </w:tc>
      </w:tr>
      <w:tr w14:paraId="510EFC8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3BCBA47">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AADD5EF">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兆芯处理器KX-U6980S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81E3878">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7429543">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I级</w:t>
            </w:r>
          </w:p>
        </w:tc>
      </w:tr>
      <w:tr w14:paraId="06EDB4E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AEF43E4">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2D27BCF">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兆芯处理器KX-6940S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29B29F3">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872BBF4">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I级</w:t>
            </w:r>
          </w:p>
        </w:tc>
      </w:tr>
    </w:tbl>
    <w:p w14:paraId="235EF40D">
      <w:pPr>
        <w:widowControl/>
        <w:shd w:val="clear" w:color="auto" w:fill="FFFFFF"/>
        <w:spacing w:before="156" w:after="156" w:line="560" w:lineRule="atLeast"/>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b/>
          <w:bCs/>
          <w:color w:val="auto"/>
          <w:kern w:val="0"/>
          <w:sz w:val="24"/>
          <w:highlight w:val="none"/>
          <w:shd w:val="clear" w:color="auto" w:fill="FFFFFF"/>
          <w:lang w:bidi="ar"/>
        </w:rPr>
        <w:t>附表二、操作系统（</w:t>
      </w:r>
      <w:r>
        <w:rPr>
          <w:rFonts w:hint="eastAsia" w:ascii="仿宋_GB2312" w:hAnsi="仿宋_GB2312" w:eastAsia="仿宋_GB2312" w:cs="仿宋_GB2312"/>
          <w:color w:val="auto"/>
          <w:kern w:val="0"/>
          <w:sz w:val="24"/>
          <w:highlight w:val="none"/>
          <w:shd w:val="clear" w:color="auto" w:fill="FFFFFF"/>
          <w:lang w:bidi="ar"/>
        </w:rPr>
        <w:t>同一等级按产品名称首字笔画为序排列）</w:t>
      </w:r>
    </w:p>
    <w:p w14:paraId="7F416EF5">
      <w:pPr>
        <w:widowControl/>
        <w:shd w:val="clear" w:color="auto" w:fill="FFFFFF"/>
        <w:spacing w:after="156" w:line="560" w:lineRule="atLeast"/>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24"/>
          <w:highlight w:val="none"/>
          <w:shd w:val="clear" w:color="auto" w:fill="FFFFFF"/>
          <w:lang w:bidi="ar"/>
        </w:rPr>
        <w:t>（一）桌面操作系统</w:t>
      </w:r>
    </w:p>
    <w:tbl>
      <w:tblPr>
        <w:tblStyle w:val="48"/>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85"/>
        <w:gridCol w:w="2050"/>
      </w:tblGrid>
      <w:tr w14:paraId="7D3091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D97627F">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BBF564D">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产品名称</w:t>
            </w:r>
          </w:p>
        </w:tc>
        <w:tc>
          <w:tcPr>
            <w:tcW w:w="338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7D747B5">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503F819">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安全可靠等级</w:t>
            </w:r>
          </w:p>
        </w:tc>
      </w:tr>
      <w:tr w14:paraId="101B484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13A6D18">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9F2CE49">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银河麒麟桌面操作系统V10 SP1</w:t>
            </w:r>
          </w:p>
          <w:p w14:paraId="1D9EB3F7">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（内核版本5.10）</w:t>
            </w:r>
          </w:p>
        </w:tc>
        <w:tc>
          <w:tcPr>
            <w:tcW w:w="33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2149577">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麒麟软件有限公司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3001547">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Ⅰ级</w:t>
            </w:r>
          </w:p>
        </w:tc>
      </w:tr>
    </w:tbl>
    <w:p w14:paraId="769AE9D4">
      <w:pPr>
        <w:widowControl/>
        <w:shd w:val="clear" w:color="auto" w:fill="FFFFFF"/>
        <w:spacing w:after="156" w:line="560" w:lineRule="atLeast"/>
        <w:jc w:val="left"/>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kern w:val="0"/>
          <w:sz w:val="24"/>
          <w:highlight w:val="none"/>
          <w:shd w:val="clear" w:color="auto" w:fill="FFFFFF"/>
          <w:lang w:bidi="ar"/>
        </w:rPr>
        <w:t>（二）服务器操作系统</w:t>
      </w:r>
    </w:p>
    <w:tbl>
      <w:tblPr>
        <w:tblStyle w:val="48"/>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96"/>
        <w:gridCol w:w="2050"/>
      </w:tblGrid>
      <w:tr w14:paraId="5F68F2E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5DA78A0">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B2720DC">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产品名称</w:t>
            </w:r>
          </w:p>
        </w:tc>
        <w:tc>
          <w:tcPr>
            <w:tcW w:w="3396"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B1DD3B8">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2427B20">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b/>
                <w:bCs/>
                <w:color w:val="auto"/>
                <w:szCs w:val="24"/>
                <w:highlight w:val="none"/>
              </w:rPr>
              <w:t>安全可靠等级</w:t>
            </w:r>
          </w:p>
        </w:tc>
      </w:tr>
      <w:tr w14:paraId="17240DC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9C2E60E">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Cs w:val="24"/>
                <w:highlight w:val="none"/>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E77CC2A">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天翼云CTyunOS系统 V2.0</w:t>
            </w:r>
          </w:p>
          <w:p w14:paraId="3827BD33">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（内核版本4.19）</w:t>
            </w:r>
          </w:p>
        </w:tc>
        <w:tc>
          <w:tcPr>
            <w:tcW w:w="3396"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493139B">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天翼云科技有限公司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39BAF13">
            <w:pPr>
              <w:pStyle w:val="43"/>
              <w:spacing w:before="0" w:beforeAutospacing="0" w:after="0" w:afterAutospacing="0" w:line="440" w:lineRule="atLeast"/>
              <w:jc w:val="center"/>
              <w:rPr>
                <w:rFonts w:ascii="仿宋_GB2312" w:hAnsi="仿宋_GB2312" w:eastAsia="仿宋_GB2312" w:cs="仿宋_GB2312"/>
                <w:color w:val="auto"/>
                <w:highlight w:val="none"/>
              </w:rPr>
            </w:pPr>
            <w:r>
              <w:rPr>
                <w:rFonts w:ascii="仿宋_GB2312" w:hAnsi="仿宋_GB2312" w:eastAsia="仿宋_GB2312" w:cs="仿宋_GB2312"/>
                <w:color w:val="auto"/>
                <w:sz w:val="21"/>
                <w:szCs w:val="21"/>
                <w:highlight w:val="none"/>
              </w:rPr>
              <w:t>Ⅰ级</w:t>
            </w:r>
          </w:p>
        </w:tc>
      </w:tr>
    </w:tbl>
    <w:p w14:paraId="477526FB">
      <w:pPr>
        <w:pStyle w:val="26"/>
        <w:spacing w:line="240" w:lineRule="atLeast"/>
        <w:rPr>
          <w:rFonts w:hint="eastAsia" w:ascii="仿宋_GB2312" w:hAnsi="宋体" w:eastAsia="仿宋_GB2312"/>
          <w:color w:val="auto"/>
          <w:highlight w:val="none"/>
        </w:rPr>
        <w:sectPr>
          <w:pgSz w:w="11906" w:h="16838"/>
          <w:pgMar w:top="1440" w:right="707" w:bottom="1440" w:left="1440" w:header="851" w:footer="992" w:gutter="0"/>
          <w:cols w:space="720" w:num="1"/>
          <w:docGrid w:linePitch="312" w:charSpace="0"/>
        </w:sectPr>
      </w:pPr>
    </w:p>
    <w:p w14:paraId="01CBD3DA">
      <w:pPr>
        <w:pStyle w:val="6"/>
        <w:keepNext w:val="0"/>
        <w:keepLines w:val="0"/>
        <w:widowControl/>
        <w:shd w:val="clear" w:color="auto" w:fill="FFFFFF"/>
        <w:spacing w:before="225" w:after="150"/>
        <w:jc w:val="center"/>
        <w:rPr>
          <w:rFonts w:hint="eastAsia" w:ascii="宋体" w:hAnsi="宋体" w:cs="宋体"/>
          <w:color w:val="auto"/>
          <w:sz w:val="24"/>
          <w:szCs w:val="24"/>
          <w:highlight w:val="none"/>
        </w:rPr>
      </w:pPr>
      <w:r>
        <w:rPr>
          <w:rFonts w:hint="eastAsia" w:ascii="宋体" w:hAnsi="宋体" w:cs="宋体"/>
          <w:color w:val="auto"/>
          <w:sz w:val="24"/>
          <w:szCs w:val="24"/>
          <w:highlight w:val="none"/>
          <w:shd w:val="clear" w:color="auto" w:fill="FFFFFF"/>
        </w:rPr>
        <w:t>安全可靠测评结果公告（2025年第2号）</w:t>
      </w:r>
    </w:p>
    <w:p w14:paraId="08781A56">
      <w:pPr>
        <w:rPr>
          <w:color w:val="auto"/>
          <w:highlight w:val="none"/>
        </w:rPr>
      </w:pPr>
    </w:p>
    <w:p w14:paraId="64C6B439">
      <w:pPr>
        <w:widowControl/>
        <w:shd w:val="clear" w:color="auto" w:fill="FFFFFF"/>
        <w:spacing w:line="270" w:lineRule="atLeast"/>
        <w:jc w:val="left"/>
        <w:rPr>
          <w:rFonts w:hint="eastAsia" w:ascii="宋体" w:hAnsi="宋体" w:cs="宋体"/>
          <w:color w:val="auto"/>
          <w:sz w:val="18"/>
          <w:szCs w:val="18"/>
          <w:highlight w:val="none"/>
        </w:rPr>
      </w:pPr>
      <w:r>
        <w:rPr>
          <w:rFonts w:ascii="黑体" w:hAnsi="宋体" w:eastAsia="黑体" w:cs="黑体"/>
          <w:color w:val="auto"/>
          <w:kern w:val="0"/>
          <w:sz w:val="24"/>
          <w:highlight w:val="none"/>
          <w:shd w:val="clear" w:color="auto" w:fill="FFFFFF"/>
          <w:lang w:bidi="ar"/>
        </w:rPr>
        <w:t>附表一、数据库</w:t>
      </w:r>
      <w:r>
        <w:rPr>
          <w:rFonts w:hint="eastAsia" w:ascii="宋体" w:hAnsi="宋体" w:cs="宋体"/>
          <w:color w:val="auto"/>
          <w:kern w:val="0"/>
          <w:sz w:val="24"/>
          <w:highlight w:val="none"/>
          <w:shd w:val="clear" w:color="auto" w:fill="FFFFFF"/>
          <w:lang w:bidi="ar"/>
        </w:rPr>
        <w:t>（同一等级按产品名称首字笔画为序排列）</w:t>
      </w:r>
    </w:p>
    <w:p w14:paraId="7964490B">
      <w:pPr>
        <w:widowControl/>
        <w:shd w:val="clear" w:color="auto" w:fill="FFFFFF"/>
        <w:spacing w:line="270" w:lineRule="atLeast"/>
        <w:jc w:val="left"/>
        <w:rPr>
          <w:rFonts w:hint="eastAsia" w:ascii="宋体" w:hAnsi="宋体" w:cs="宋体"/>
          <w:color w:val="auto"/>
          <w:sz w:val="18"/>
          <w:szCs w:val="18"/>
          <w:highlight w:val="none"/>
        </w:rPr>
      </w:pPr>
      <w:r>
        <w:rPr>
          <w:rFonts w:hint="eastAsia" w:ascii="宋体" w:hAnsi="宋体" w:cs="宋体"/>
          <w:b/>
          <w:bCs/>
          <w:color w:val="auto"/>
          <w:kern w:val="0"/>
          <w:sz w:val="24"/>
          <w:highlight w:val="none"/>
          <w:shd w:val="clear" w:color="auto" w:fill="FFFFFF"/>
          <w:lang w:bidi="ar"/>
        </w:rPr>
        <w:t>（一）集中式数据库</w:t>
      </w:r>
    </w:p>
    <w:tbl>
      <w:tblPr>
        <w:tblStyle w:val="48"/>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774"/>
        <w:gridCol w:w="3300"/>
        <w:gridCol w:w="2711"/>
        <w:gridCol w:w="1737"/>
      </w:tblGrid>
      <w:tr w14:paraId="00B7BE7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32694672">
            <w:pPr>
              <w:widowControl/>
              <w:spacing w:line="270" w:lineRule="atLeast"/>
              <w:jc w:val="center"/>
              <w:rPr>
                <w:color w:val="auto"/>
                <w:highlight w:val="none"/>
              </w:rPr>
            </w:pPr>
            <w:r>
              <w:rPr>
                <w:rFonts w:hint="eastAsia" w:ascii="黑体" w:hAnsi="宋体" w:eastAsia="黑体" w:cs="黑体"/>
                <w:color w:val="auto"/>
                <w:kern w:val="0"/>
                <w:sz w:val="24"/>
                <w:highlight w:val="none"/>
                <w:lang w:bidi="ar"/>
              </w:rPr>
              <w:t>序号</w:t>
            </w:r>
          </w:p>
        </w:tc>
        <w:tc>
          <w:tcPr>
            <w:tcW w:w="330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3B34D932">
            <w:pPr>
              <w:widowControl/>
              <w:spacing w:line="270" w:lineRule="atLeast"/>
              <w:jc w:val="center"/>
              <w:rPr>
                <w:color w:val="auto"/>
                <w:highlight w:val="none"/>
              </w:rPr>
            </w:pPr>
            <w:r>
              <w:rPr>
                <w:rFonts w:hint="eastAsia" w:ascii="黑体" w:hAnsi="宋体" w:eastAsia="黑体" w:cs="黑体"/>
                <w:color w:val="auto"/>
                <w:kern w:val="0"/>
                <w:sz w:val="24"/>
                <w:highlight w:val="none"/>
                <w:lang w:bidi="ar"/>
              </w:rPr>
              <w:t>产品名称</w:t>
            </w:r>
          </w:p>
        </w:tc>
        <w:tc>
          <w:tcPr>
            <w:tcW w:w="271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03CCBED9">
            <w:pPr>
              <w:widowControl/>
              <w:spacing w:line="270" w:lineRule="atLeast"/>
              <w:jc w:val="center"/>
              <w:rPr>
                <w:color w:val="auto"/>
                <w:highlight w:val="none"/>
              </w:rPr>
            </w:pPr>
            <w:r>
              <w:rPr>
                <w:rFonts w:hint="eastAsia" w:ascii="黑体" w:hAnsi="宋体" w:eastAsia="黑体" w:cs="黑体"/>
                <w:color w:val="auto"/>
                <w:kern w:val="0"/>
                <w:sz w:val="24"/>
                <w:highlight w:val="none"/>
                <w:lang w:bidi="ar"/>
              </w:rPr>
              <w:t>送测单位</w:t>
            </w:r>
          </w:p>
        </w:tc>
        <w:tc>
          <w:tcPr>
            <w:tcW w:w="173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5FF40246">
            <w:pPr>
              <w:widowControl/>
              <w:spacing w:line="270" w:lineRule="atLeast"/>
              <w:jc w:val="center"/>
              <w:rPr>
                <w:color w:val="auto"/>
                <w:highlight w:val="none"/>
              </w:rPr>
            </w:pPr>
            <w:r>
              <w:rPr>
                <w:rFonts w:hint="eastAsia" w:ascii="黑体" w:hAnsi="宋体" w:eastAsia="黑体" w:cs="黑体"/>
                <w:color w:val="auto"/>
                <w:kern w:val="0"/>
                <w:sz w:val="24"/>
                <w:highlight w:val="none"/>
                <w:lang w:bidi="ar"/>
              </w:rPr>
              <w:t>安全可靠等级</w:t>
            </w:r>
          </w:p>
        </w:tc>
      </w:tr>
      <w:tr w14:paraId="612CAE8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85EF638">
            <w:pPr>
              <w:widowControl/>
              <w:spacing w:line="270" w:lineRule="atLeast"/>
              <w:jc w:val="center"/>
              <w:rPr>
                <w:color w:val="auto"/>
                <w:highlight w:val="none"/>
              </w:rPr>
            </w:pPr>
            <w:r>
              <w:rPr>
                <w:rFonts w:ascii="Calibri" w:hAnsi="Calibri" w:cs="Calibri"/>
                <w:color w:val="auto"/>
                <w:kern w:val="0"/>
                <w:sz w:val="24"/>
                <w:highlight w:val="none"/>
                <w:lang w:bidi="ar"/>
              </w:rPr>
              <w:t>1</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9283068">
            <w:pPr>
              <w:pStyle w:val="43"/>
              <w:spacing w:before="0" w:beforeAutospacing="0" w:after="0" w:afterAutospacing="0" w:line="270" w:lineRule="atLeast"/>
              <w:rPr>
                <w:color w:val="auto"/>
                <w:highlight w:val="none"/>
              </w:rPr>
            </w:pPr>
            <w:r>
              <w:rPr>
                <w:rFonts w:cs="宋体"/>
                <w:color w:val="auto"/>
                <w:szCs w:val="24"/>
                <w:highlight w:val="none"/>
              </w:rPr>
              <w:t>大云海山数据库（He3DB for PostgreSQL V2.0）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D621A29">
            <w:pPr>
              <w:widowControl/>
              <w:spacing w:line="270" w:lineRule="atLeast"/>
              <w:jc w:val="left"/>
              <w:rPr>
                <w:color w:val="auto"/>
                <w:highlight w:val="none"/>
              </w:rPr>
            </w:pPr>
            <w:r>
              <w:rPr>
                <w:rFonts w:hint="eastAsia" w:ascii="宋体" w:hAnsi="宋体" w:cs="宋体"/>
                <w:color w:val="auto"/>
                <w:kern w:val="0"/>
                <w:sz w:val="24"/>
                <w:highlight w:val="none"/>
                <w:lang w:bidi="ar"/>
              </w:rPr>
              <w:t>中移（苏州）软件技术有限公司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49C35F7">
            <w:pPr>
              <w:pStyle w:val="43"/>
              <w:spacing w:before="0" w:beforeAutospacing="0" w:after="0" w:afterAutospacing="0" w:line="270" w:lineRule="atLeast"/>
              <w:rPr>
                <w:color w:val="auto"/>
                <w:highlight w:val="none"/>
              </w:rPr>
            </w:pPr>
            <w:r>
              <w:rPr>
                <w:rFonts w:cs="宋体"/>
                <w:color w:val="auto"/>
                <w:szCs w:val="24"/>
                <w:highlight w:val="none"/>
              </w:rPr>
              <w:t>I级</w:t>
            </w:r>
          </w:p>
        </w:tc>
      </w:tr>
      <w:tr w14:paraId="132C52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FE2BFD7">
            <w:pPr>
              <w:widowControl/>
              <w:spacing w:line="270" w:lineRule="atLeast"/>
              <w:jc w:val="center"/>
              <w:rPr>
                <w:color w:val="auto"/>
                <w:highlight w:val="none"/>
              </w:rPr>
            </w:pPr>
            <w:r>
              <w:rPr>
                <w:rFonts w:ascii="Calibri" w:hAnsi="Calibri" w:cs="Calibri"/>
                <w:color w:val="auto"/>
                <w:kern w:val="0"/>
                <w:sz w:val="24"/>
                <w:highlight w:val="none"/>
                <w:lang w:bidi="ar"/>
              </w:rPr>
              <w:t>2</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627CD11">
            <w:pPr>
              <w:pStyle w:val="43"/>
              <w:spacing w:before="0" w:beforeAutospacing="0" w:after="0" w:afterAutospacing="0" w:line="270" w:lineRule="atLeast"/>
              <w:rPr>
                <w:color w:val="auto"/>
                <w:highlight w:val="none"/>
              </w:rPr>
            </w:pPr>
            <w:r>
              <w:rPr>
                <w:rFonts w:cs="宋体"/>
                <w:color w:val="auto"/>
                <w:szCs w:val="24"/>
                <w:highlight w:val="none"/>
              </w:rPr>
              <w:t>神通数据库管理系统 V8.0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4F5BC49">
            <w:pPr>
              <w:widowControl/>
              <w:spacing w:line="270" w:lineRule="atLeast"/>
              <w:jc w:val="left"/>
              <w:rPr>
                <w:color w:val="auto"/>
                <w:highlight w:val="none"/>
              </w:rPr>
            </w:pPr>
            <w:r>
              <w:rPr>
                <w:rFonts w:hint="eastAsia" w:ascii="宋体" w:hAnsi="宋体" w:cs="宋体"/>
                <w:color w:val="auto"/>
                <w:kern w:val="0"/>
                <w:sz w:val="24"/>
                <w:highlight w:val="none"/>
                <w:lang w:bidi="ar"/>
              </w:rPr>
              <w:t>天津神舟通用数据技术有限公司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1A64823">
            <w:pPr>
              <w:pStyle w:val="43"/>
              <w:spacing w:before="0" w:beforeAutospacing="0" w:after="0" w:afterAutospacing="0" w:line="270" w:lineRule="atLeast"/>
              <w:rPr>
                <w:color w:val="auto"/>
                <w:highlight w:val="none"/>
              </w:rPr>
            </w:pPr>
            <w:r>
              <w:rPr>
                <w:rFonts w:cs="宋体"/>
                <w:color w:val="auto"/>
                <w:szCs w:val="24"/>
                <w:highlight w:val="none"/>
              </w:rPr>
              <w:t>I级</w:t>
            </w:r>
          </w:p>
        </w:tc>
      </w:tr>
      <w:tr w14:paraId="0BC876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A853828">
            <w:pPr>
              <w:widowControl/>
              <w:spacing w:line="270" w:lineRule="atLeast"/>
              <w:jc w:val="center"/>
              <w:rPr>
                <w:color w:val="auto"/>
                <w:highlight w:val="none"/>
              </w:rPr>
            </w:pPr>
            <w:r>
              <w:rPr>
                <w:rFonts w:ascii="Calibri" w:hAnsi="Calibri" w:cs="Calibri"/>
                <w:color w:val="auto"/>
                <w:kern w:val="0"/>
                <w:sz w:val="24"/>
                <w:highlight w:val="none"/>
                <w:lang w:bidi="ar"/>
              </w:rPr>
              <w:t>3</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39224F7">
            <w:pPr>
              <w:pStyle w:val="43"/>
              <w:spacing w:before="0" w:beforeAutospacing="0" w:after="0" w:afterAutospacing="0" w:line="270" w:lineRule="atLeast"/>
              <w:rPr>
                <w:color w:val="auto"/>
                <w:highlight w:val="none"/>
              </w:rPr>
            </w:pPr>
            <w:r>
              <w:rPr>
                <w:rFonts w:cs="宋体"/>
                <w:color w:val="auto"/>
                <w:szCs w:val="24"/>
                <w:highlight w:val="none"/>
              </w:rPr>
              <w:t>崖山数据库管理系统 V23</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91A0F1C">
            <w:pPr>
              <w:widowControl/>
              <w:spacing w:line="270" w:lineRule="atLeast"/>
              <w:jc w:val="left"/>
              <w:rPr>
                <w:color w:val="auto"/>
                <w:highlight w:val="none"/>
              </w:rPr>
            </w:pPr>
            <w:r>
              <w:rPr>
                <w:rFonts w:hint="eastAsia" w:ascii="宋体" w:hAnsi="宋体" w:cs="宋体"/>
                <w:color w:val="auto"/>
                <w:kern w:val="0"/>
                <w:sz w:val="24"/>
                <w:highlight w:val="none"/>
                <w:lang w:bidi="ar"/>
              </w:rPr>
              <w:t>深圳计算科学研究院</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C841A23">
            <w:pPr>
              <w:pStyle w:val="43"/>
              <w:spacing w:before="0" w:beforeAutospacing="0" w:after="0" w:afterAutospacing="0" w:line="270" w:lineRule="atLeast"/>
              <w:rPr>
                <w:color w:val="auto"/>
                <w:highlight w:val="none"/>
              </w:rPr>
            </w:pPr>
            <w:r>
              <w:rPr>
                <w:rFonts w:cs="宋体"/>
                <w:color w:val="auto"/>
                <w:szCs w:val="24"/>
                <w:highlight w:val="none"/>
              </w:rPr>
              <w:t>I级</w:t>
            </w:r>
          </w:p>
        </w:tc>
      </w:tr>
    </w:tbl>
    <w:p w14:paraId="294807CB">
      <w:pPr>
        <w:jc w:val="left"/>
        <w:rPr>
          <w:color w:val="auto"/>
          <w:highlight w:val="none"/>
        </w:rPr>
      </w:pPr>
    </w:p>
    <w:p w14:paraId="53930053">
      <w:pPr>
        <w:widowControl/>
        <w:shd w:val="clear" w:color="auto" w:fill="FFFFFF"/>
        <w:spacing w:before="156" w:after="156" w:line="560" w:lineRule="atLeast"/>
        <w:ind w:firstLine="2400" w:firstLineChars="1000"/>
        <w:jc w:val="left"/>
        <w:rPr>
          <w:rFonts w:hint="eastAsia" w:ascii="宋体" w:hAnsi="宋体" w:cs="宋体"/>
          <w:b/>
          <w:bCs/>
          <w:color w:val="auto"/>
          <w:kern w:val="0"/>
          <w:sz w:val="24"/>
          <w:highlight w:val="none"/>
          <w:shd w:val="clear" w:color="auto" w:fill="FFFFFF"/>
          <w:lang w:bidi="ar"/>
        </w:rPr>
      </w:pPr>
      <w:r>
        <w:rPr>
          <w:rFonts w:ascii="黑体" w:hAnsi="宋体" w:eastAsia="黑体" w:cs="黑体"/>
          <w:color w:val="auto"/>
          <w:sz w:val="24"/>
          <w:highlight w:val="none"/>
          <w:shd w:val="clear" w:color="auto" w:fill="FFFFFF"/>
        </w:rPr>
        <w:t>安全可靠测评结果公告（</w:t>
      </w:r>
      <w:r>
        <w:rPr>
          <w:rFonts w:hint="eastAsia" w:ascii="黑体" w:hAnsi="宋体" w:eastAsia="黑体" w:cs="黑体"/>
          <w:color w:val="auto"/>
          <w:sz w:val="24"/>
          <w:highlight w:val="none"/>
          <w:shd w:val="clear" w:color="auto" w:fill="FFFFFF"/>
        </w:rPr>
        <w:t>2025年第3号）</w:t>
      </w:r>
    </w:p>
    <w:p w14:paraId="26C73956">
      <w:pPr>
        <w:widowControl/>
        <w:shd w:val="clear" w:color="auto" w:fill="FFFFFF"/>
        <w:spacing w:before="156" w:after="156" w:line="560" w:lineRule="atLeast"/>
        <w:jc w:val="left"/>
        <w:rPr>
          <w:rFonts w:hint="eastAsia" w:ascii="宋体" w:hAnsi="宋体" w:cs="宋体"/>
          <w:color w:val="auto"/>
          <w:sz w:val="18"/>
          <w:szCs w:val="18"/>
          <w:highlight w:val="none"/>
        </w:rPr>
      </w:pPr>
      <w:r>
        <w:rPr>
          <w:rFonts w:hint="eastAsia" w:ascii="宋体" w:hAnsi="宋体" w:cs="宋体"/>
          <w:b/>
          <w:bCs/>
          <w:color w:val="auto"/>
          <w:kern w:val="0"/>
          <w:sz w:val="24"/>
          <w:highlight w:val="none"/>
          <w:shd w:val="clear" w:color="auto" w:fill="FFFFFF"/>
          <w:lang w:bidi="ar"/>
        </w:rPr>
        <w:t>附表一、中央处理器（</w:t>
      </w:r>
      <w:r>
        <w:rPr>
          <w:rFonts w:hint="eastAsia" w:ascii="宋体" w:hAnsi="宋体" w:cs="宋体"/>
          <w:b/>
          <w:bCs/>
          <w:color w:val="auto"/>
          <w:kern w:val="0"/>
          <w:sz w:val="18"/>
          <w:szCs w:val="18"/>
          <w:highlight w:val="none"/>
          <w:shd w:val="clear" w:color="auto" w:fill="FFFFFF"/>
          <w:lang w:bidi="ar"/>
        </w:rPr>
        <w:t>CPU</w:t>
      </w:r>
      <w:r>
        <w:rPr>
          <w:rFonts w:hint="eastAsia" w:ascii="宋体" w:hAnsi="宋体" w:cs="宋体"/>
          <w:b/>
          <w:bCs/>
          <w:color w:val="auto"/>
          <w:kern w:val="0"/>
          <w:sz w:val="24"/>
          <w:highlight w:val="none"/>
          <w:shd w:val="clear" w:color="auto" w:fill="FFFFFF"/>
          <w:lang w:bidi="ar"/>
        </w:rPr>
        <w:t>）（</w:t>
      </w:r>
      <w:r>
        <w:rPr>
          <w:rFonts w:hint="eastAsia" w:ascii="宋体" w:hAnsi="宋体" w:cs="宋体"/>
          <w:color w:val="auto"/>
          <w:kern w:val="0"/>
          <w:sz w:val="24"/>
          <w:highlight w:val="none"/>
          <w:shd w:val="clear" w:color="auto" w:fill="FFFFFF"/>
          <w:lang w:bidi="ar"/>
        </w:rPr>
        <w:t>同一等级按产品名称首字笔画为序排列）</w:t>
      </w:r>
    </w:p>
    <w:tbl>
      <w:tblPr>
        <w:tblStyle w:val="48"/>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2455"/>
        <w:gridCol w:w="3364"/>
        <w:gridCol w:w="1749"/>
      </w:tblGrid>
      <w:tr w14:paraId="10A8AE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91F94BC">
            <w:pPr>
              <w:widowControl/>
              <w:spacing w:line="440" w:lineRule="atLeast"/>
              <w:jc w:val="center"/>
              <w:rPr>
                <w:color w:val="auto"/>
                <w:highlight w:val="none"/>
              </w:rPr>
            </w:pPr>
            <w:r>
              <w:rPr>
                <w:rFonts w:hint="eastAsia" w:ascii="宋体" w:hAnsi="宋体" w:cs="宋体"/>
                <w:b/>
                <w:bCs/>
                <w:color w:val="auto"/>
                <w:kern w:val="0"/>
                <w:sz w:val="24"/>
                <w:highlight w:val="none"/>
                <w:lang w:bidi="ar"/>
              </w:rPr>
              <w:t>序号</w:t>
            </w:r>
          </w:p>
        </w:tc>
        <w:tc>
          <w:tcPr>
            <w:tcW w:w="245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8619427">
            <w:pPr>
              <w:widowControl/>
              <w:spacing w:line="440" w:lineRule="atLeast"/>
              <w:jc w:val="center"/>
              <w:rPr>
                <w:color w:val="auto"/>
                <w:highlight w:val="none"/>
              </w:rPr>
            </w:pPr>
            <w:r>
              <w:rPr>
                <w:rFonts w:hint="eastAsia" w:ascii="宋体" w:hAnsi="宋体" w:cs="宋体"/>
                <w:b/>
                <w:bCs/>
                <w:color w:val="auto"/>
                <w:kern w:val="0"/>
                <w:sz w:val="24"/>
                <w:highlight w:val="none"/>
                <w:lang w:bidi="ar"/>
              </w:rPr>
              <w:t>产品名称</w:t>
            </w:r>
          </w:p>
        </w:tc>
        <w:tc>
          <w:tcPr>
            <w:tcW w:w="3364"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E66C818">
            <w:pPr>
              <w:widowControl/>
              <w:spacing w:line="440" w:lineRule="atLeast"/>
              <w:jc w:val="center"/>
              <w:rPr>
                <w:color w:val="auto"/>
                <w:highlight w:val="none"/>
              </w:rPr>
            </w:pPr>
            <w:r>
              <w:rPr>
                <w:rFonts w:hint="eastAsia" w:ascii="宋体" w:hAnsi="宋体" w:cs="宋体"/>
                <w:b/>
                <w:bCs/>
                <w:color w:val="auto"/>
                <w:kern w:val="0"/>
                <w:sz w:val="24"/>
                <w:highlight w:val="none"/>
                <w:lang w:bidi="ar"/>
              </w:rPr>
              <w:t>送测单位</w:t>
            </w:r>
          </w:p>
        </w:tc>
        <w:tc>
          <w:tcPr>
            <w:tcW w:w="1749"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D2E4E73">
            <w:pPr>
              <w:widowControl/>
              <w:spacing w:line="440" w:lineRule="atLeast"/>
              <w:jc w:val="center"/>
              <w:rPr>
                <w:color w:val="auto"/>
                <w:highlight w:val="none"/>
              </w:rPr>
            </w:pPr>
            <w:r>
              <w:rPr>
                <w:rFonts w:hint="eastAsia" w:ascii="宋体" w:hAnsi="宋体" w:cs="宋体"/>
                <w:b/>
                <w:bCs/>
                <w:color w:val="auto"/>
                <w:kern w:val="0"/>
                <w:sz w:val="24"/>
                <w:highlight w:val="none"/>
                <w:lang w:bidi="ar"/>
              </w:rPr>
              <w:t>安全可靠等级</w:t>
            </w:r>
          </w:p>
        </w:tc>
      </w:tr>
      <w:tr w14:paraId="67B6E1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5417C76">
            <w:pPr>
              <w:widowControl/>
              <w:spacing w:line="440" w:lineRule="atLeast"/>
              <w:jc w:val="center"/>
              <w:rPr>
                <w:color w:val="auto"/>
                <w:highlight w:val="none"/>
              </w:rPr>
            </w:pPr>
            <w:r>
              <w:rPr>
                <w:rFonts w:hint="eastAsia" w:ascii="宋体" w:hAnsi="宋体" w:cs="宋体"/>
                <w:color w:val="auto"/>
                <w:kern w:val="0"/>
                <w:sz w:val="24"/>
                <w:highlight w:val="none"/>
                <w:lang w:bidi="ar"/>
              </w:rPr>
              <w:t>1</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D9E0A97">
            <w:pPr>
              <w:widowControl/>
              <w:spacing w:line="440" w:lineRule="atLeast"/>
              <w:jc w:val="center"/>
              <w:rPr>
                <w:color w:val="auto"/>
                <w:highlight w:val="none"/>
              </w:rPr>
            </w:pPr>
            <w:r>
              <w:rPr>
                <w:rFonts w:hint="eastAsia" w:ascii="宋体" w:hAnsi="宋体" w:cs="宋体"/>
                <w:color w:val="auto"/>
                <w:kern w:val="0"/>
                <w:sz w:val="24"/>
                <w:highlight w:val="none"/>
                <w:lang w:bidi="ar"/>
              </w:rPr>
              <w:t>龙芯3B6000M</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EBC49E6">
            <w:pPr>
              <w:widowControl/>
              <w:spacing w:line="440" w:lineRule="atLeast"/>
              <w:jc w:val="center"/>
              <w:rPr>
                <w:color w:val="auto"/>
                <w:highlight w:val="none"/>
              </w:rPr>
            </w:pPr>
            <w:r>
              <w:rPr>
                <w:rFonts w:hint="eastAsia" w:ascii="宋体" w:hAnsi="宋体" w:cs="宋体"/>
                <w:color w:val="auto"/>
                <w:kern w:val="0"/>
                <w:sz w:val="24"/>
                <w:highlight w:val="none"/>
                <w:lang w:bidi="ar"/>
              </w:rPr>
              <w:t>龙芯中科技术股份有限公司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82B4DA9">
            <w:pPr>
              <w:widowControl/>
              <w:spacing w:line="440" w:lineRule="atLeast"/>
              <w:jc w:val="center"/>
              <w:rPr>
                <w:color w:val="auto"/>
                <w:highlight w:val="none"/>
              </w:rPr>
            </w:pPr>
            <w:r>
              <w:rPr>
                <w:rFonts w:hint="eastAsia" w:ascii="宋体" w:hAnsi="宋体" w:cs="宋体"/>
                <w:color w:val="auto"/>
                <w:kern w:val="0"/>
                <w:sz w:val="24"/>
                <w:highlight w:val="none"/>
                <w:lang w:bidi="ar"/>
              </w:rPr>
              <w:t>II级</w:t>
            </w:r>
          </w:p>
        </w:tc>
      </w:tr>
      <w:tr w14:paraId="029C6DF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9BF6823">
            <w:pPr>
              <w:widowControl/>
              <w:spacing w:line="440" w:lineRule="atLeast"/>
              <w:jc w:val="center"/>
              <w:rPr>
                <w:color w:val="auto"/>
                <w:highlight w:val="none"/>
              </w:rPr>
            </w:pPr>
            <w:r>
              <w:rPr>
                <w:rFonts w:hint="eastAsia" w:ascii="宋体" w:hAnsi="宋体" w:cs="宋体"/>
                <w:color w:val="auto"/>
                <w:kern w:val="0"/>
                <w:sz w:val="24"/>
                <w:highlight w:val="none"/>
                <w:lang w:bidi="ar"/>
              </w:rPr>
              <w:t>2</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F3C740F">
            <w:pPr>
              <w:widowControl/>
              <w:spacing w:line="440" w:lineRule="atLeast"/>
              <w:jc w:val="center"/>
              <w:rPr>
                <w:color w:val="auto"/>
                <w:highlight w:val="none"/>
              </w:rPr>
            </w:pPr>
            <w:r>
              <w:rPr>
                <w:rFonts w:hint="eastAsia" w:ascii="宋体" w:hAnsi="宋体" w:cs="宋体"/>
                <w:color w:val="auto"/>
                <w:kern w:val="0"/>
                <w:sz w:val="24"/>
                <w:highlight w:val="none"/>
                <w:lang w:bidi="ar"/>
              </w:rPr>
              <w:t>海思麒麟9000X</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5951A80">
            <w:pPr>
              <w:widowControl/>
              <w:spacing w:line="440" w:lineRule="atLeast"/>
              <w:jc w:val="center"/>
              <w:rPr>
                <w:color w:val="auto"/>
                <w:highlight w:val="none"/>
              </w:rPr>
            </w:pPr>
            <w:r>
              <w:rPr>
                <w:rFonts w:hint="eastAsia" w:ascii="宋体" w:hAnsi="宋体" w:cs="宋体"/>
                <w:color w:val="auto"/>
                <w:kern w:val="0"/>
                <w:sz w:val="24"/>
                <w:highlight w:val="none"/>
                <w:lang w:bidi="ar"/>
              </w:rPr>
              <w:t>深圳市海思半导体有限公司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6B8ABE1">
            <w:pPr>
              <w:widowControl/>
              <w:spacing w:line="440" w:lineRule="atLeast"/>
              <w:jc w:val="center"/>
              <w:rPr>
                <w:color w:val="auto"/>
                <w:highlight w:val="none"/>
              </w:rPr>
            </w:pPr>
            <w:r>
              <w:rPr>
                <w:rFonts w:hint="eastAsia" w:ascii="宋体" w:hAnsi="宋体" w:cs="宋体"/>
                <w:color w:val="auto"/>
                <w:kern w:val="0"/>
                <w:sz w:val="24"/>
                <w:highlight w:val="none"/>
                <w:lang w:bidi="ar"/>
              </w:rPr>
              <w:t>II级</w:t>
            </w:r>
          </w:p>
        </w:tc>
      </w:tr>
      <w:tr w14:paraId="7FD3BD3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09"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4ED9300">
            <w:pPr>
              <w:widowControl/>
              <w:spacing w:line="440" w:lineRule="atLeast"/>
              <w:jc w:val="center"/>
              <w:rPr>
                <w:color w:val="auto"/>
                <w:highlight w:val="none"/>
              </w:rPr>
            </w:pPr>
            <w:r>
              <w:rPr>
                <w:rFonts w:hint="eastAsia" w:ascii="宋体" w:hAnsi="宋体" w:cs="宋体"/>
                <w:color w:val="auto"/>
                <w:kern w:val="0"/>
                <w:sz w:val="24"/>
                <w:highlight w:val="none"/>
                <w:lang w:bidi="ar"/>
              </w:rPr>
              <w:t> </w:t>
            </w:r>
          </w:p>
        </w:tc>
      </w:tr>
      <w:tr w14:paraId="7F54A9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8D6CC34">
            <w:pPr>
              <w:widowControl/>
              <w:spacing w:line="440" w:lineRule="atLeast"/>
              <w:jc w:val="center"/>
              <w:rPr>
                <w:color w:val="auto"/>
                <w:highlight w:val="none"/>
              </w:rPr>
            </w:pPr>
            <w:r>
              <w:rPr>
                <w:rFonts w:hint="eastAsia" w:ascii="宋体" w:hAnsi="宋体" w:cs="宋体"/>
                <w:color w:val="auto"/>
                <w:kern w:val="0"/>
                <w:sz w:val="24"/>
                <w:highlight w:val="none"/>
                <w:lang w:bidi="ar"/>
              </w:rPr>
              <w:t>1</w:t>
            </w:r>
          </w:p>
        </w:tc>
        <w:tc>
          <w:tcPr>
            <w:tcW w:w="245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752D6F4">
            <w:pPr>
              <w:widowControl/>
              <w:spacing w:line="440" w:lineRule="atLeast"/>
              <w:jc w:val="center"/>
              <w:rPr>
                <w:color w:val="auto"/>
                <w:highlight w:val="none"/>
              </w:rPr>
            </w:pPr>
            <w:r>
              <w:rPr>
                <w:rFonts w:hint="eastAsia" w:ascii="宋体" w:hAnsi="宋体" w:cs="宋体"/>
                <w:color w:val="auto"/>
                <w:kern w:val="0"/>
                <w:sz w:val="24"/>
                <w:highlight w:val="none"/>
                <w:lang w:bidi="ar"/>
              </w:rPr>
              <w:t>飞腾腾锐D3000M</w:t>
            </w:r>
          </w:p>
        </w:tc>
        <w:tc>
          <w:tcPr>
            <w:tcW w:w="3364"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B87A282">
            <w:pPr>
              <w:widowControl/>
              <w:spacing w:line="440" w:lineRule="atLeast"/>
              <w:jc w:val="center"/>
              <w:rPr>
                <w:color w:val="auto"/>
                <w:highlight w:val="none"/>
              </w:rPr>
            </w:pPr>
            <w:r>
              <w:rPr>
                <w:rFonts w:hint="eastAsia" w:ascii="宋体" w:hAnsi="宋体" w:cs="宋体"/>
                <w:color w:val="auto"/>
                <w:kern w:val="0"/>
                <w:sz w:val="24"/>
                <w:highlight w:val="none"/>
                <w:lang w:bidi="ar"/>
              </w:rPr>
              <w:t>飞腾信息技术有限公司</w:t>
            </w:r>
          </w:p>
        </w:tc>
        <w:tc>
          <w:tcPr>
            <w:tcW w:w="1749"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0B60913">
            <w:pPr>
              <w:widowControl/>
              <w:spacing w:line="440" w:lineRule="atLeast"/>
              <w:jc w:val="center"/>
              <w:rPr>
                <w:color w:val="auto"/>
                <w:highlight w:val="none"/>
              </w:rPr>
            </w:pPr>
            <w:r>
              <w:rPr>
                <w:rFonts w:hint="eastAsia" w:ascii="宋体" w:hAnsi="宋体" w:cs="宋体"/>
                <w:color w:val="auto"/>
                <w:kern w:val="0"/>
                <w:sz w:val="24"/>
                <w:highlight w:val="none"/>
                <w:lang w:bidi="ar"/>
              </w:rPr>
              <w:t>I级</w:t>
            </w:r>
          </w:p>
        </w:tc>
      </w:tr>
      <w:tr w14:paraId="326095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D575F14">
            <w:pPr>
              <w:widowControl/>
              <w:spacing w:line="440" w:lineRule="atLeast"/>
              <w:jc w:val="center"/>
              <w:rPr>
                <w:color w:val="auto"/>
                <w:highlight w:val="none"/>
              </w:rPr>
            </w:pPr>
            <w:r>
              <w:rPr>
                <w:rFonts w:hint="eastAsia" w:ascii="宋体" w:hAnsi="宋体" w:cs="宋体"/>
                <w:color w:val="auto"/>
                <w:kern w:val="0"/>
                <w:sz w:val="24"/>
                <w:highlight w:val="none"/>
                <w:lang w:bidi="ar"/>
              </w:rPr>
              <w:t>2</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5BCE84C">
            <w:pPr>
              <w:widowControl/>
              <w:spacing w:line="440" w:lineRule="atLeast"/>
              <w:jc w:val="center"/>
              <w:rPr>
                <w:color w:val="auto"/>
                <w:highlight w:val="none"/>
              </w:rPr>
            </w:pPr>
            <w:r>
              <w:rPr>
                <w:rFonts w:hint="eastAsia" w:ascii="宋体" w:hAnsi="宋体" w:cs="宋体"/>
                <w:color w:val="auto"/>
                <w:kern w:val="0"/>
                <w:sz w:val="24"/>
                <w:highlight w:val="none"/>
                <w:lang w:bidi="ar"/>
              </w:rPr>
              <w:t>龙芯2K1500</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46B3B28">
            <w:pPr>
              <w:widowControl/>
              <w:spacing w:line="440" w:lineRule="atLeast"/>
              <w:jc w:val="center"/>
              <w:rPr>
                <w:color w:val="auto"/>
                <w:highlight w:val="none"/>
              </w:rPr>
            </w:pPr>
            <w:r>
              <w:rPr>
                <w:rFonts w:hint="eastAsia" w:ascii="宋体" w:hAnsi="宋体" w:cs="宋体"/>
                <w:color w:val="auto"/>
                <w:kern w:val="0"/>
                <w:sz w:val="24"/>
                <w:highlight w:val="none"/>
                <w:lang w:bidi="ar"/>
              </w:rPr>
              <w:t>龙芯中科技术股份有限公司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CF1D9F3">
            <w:pPr>
              <w:widowControl/>
              <w:spacing w:line="440" w:lineRule="atLeast"/>
              <w:jc w:val="center"/>
              <w:rPr>
                <w:color w:val="auto"/>
                <w:highlight w:val="none"/>
              </w:rPr>
            </w:pPr>
            <w:r>
              <w:rPr>
                <w:rFonts w:hint="eastAsia" w:ascii="宋体" w:hAnsi="宋体" w:cs="宋体"/>
                <w:color w:val="auto"/>
                <w:kern w:val="0"/>
                <w:sz w:val="24"/>
                <w:highlight w:val="none"/>
                <w:lang w:bidi="ar"/>
              </w:rPr>
              <w:t>I级</w:t>
            </w:r>
          </w:p>
        </w:tc>
      </w:tr>
    </w:tbl>
    <w:p w14:paraId="62BB00DA">
      <w:pPr>
        <w:widowControl/>
        <w:shd w:val="clear" w:color="auto" w:fill="FFFFFF"/>
        <w:spacing w:before="156" w:after="156" w:line="560" w:lineRule="atLeast"/>
        <w:jc w:val="left"/>
        <w:rPr>
          <w:rFonts w:hint="eastAsia" w:ascii="宋体" w:hAnsi="宋体" w:cs="宋体"/>
          <w:color w:val="auto"/>
          <w:sz w:val="18"/>
          <w:szCs w:val="18"/>
          <w:highlight w:val="none"/>
        </w:rPr>
      </w:pPr>
      <w:r>
        <w:rPr>
          <w:rFonts w:hint="eastAsia" w:ascii="宋体" w:hAnsi="宋体" w:cs="宋体"/>
          <w:b/>
          <w:bCs/>
          <w:color w:val="auto"/>
          <w:kern w:val="0"/>
          <w:sz w:val="24"/>
          <w:highlight w:val="none"/>
          <w:shd w:val="clear" w:color="auto" w:fill="FFFFFF"/>
          <w:lang w:bidi="ar"/>
        </w:rPr>
        <w:t>附表二、操作系统（</w:t>
      </w:r>
      <w:r>
        <w:rPr>
          <w:rFonts w:hint="eastAsia" w:ascii="宋体" w:hAnsi="宋体" w:cs="宋体"/>
          <w:color w:val="auto"/>
          <w:kern w:val="0"/>
          <w:sz w:val="24"/>
          <w:highlight w:val="none"/>
          <w:shd w:val="clear" w:color="auto" w:fill="FFFFFF"/>
          <w:lang w:bidi="ar"/>
        </w:rPr>
        <w:t>同一等级按产品名称首字笔画为序排列）</w:t>
      </w:r>
    </w:p>
    <w:p w14:paraId="78F48E11">
      <w:pPr>
        <w:widowControl/>
        <w:shd w:val="clear" w:color="auto" w:fill="FFFFFF"/>
        <w:spacing w:after="156" w:line="560" w:lineRule="atLeast"/>
        <w:jc w:val="left"/>
        <w:rPr>
          <w:rFonts w:hint="eastAsia" w:ascii="宋体" w:hAnsi="宋体" w:cs="宋体"/>
          <w:color w:val="auto"/>
          <w:sz w:val="18"/>
          <w:szCs w:val="18"/>
          <w:highlight w:val="none"/>
        </w:rPr>
      </w:pPr>
      <w:r>
        <w:rPr>
          <w:rFonts w:hint="eastAsia" w:ascii="宋体" w:hAnsi="宋体" w:cs="宋体"/>
          <w:color w:val="auto"/>
          <w:kern w:val="0"/>
          <w:sz w:val="24"/>
          <w:highlight w:val="none"/>
          <w:shd w:val="clear" w:color="auto" w:fill="FFFFFF"/>
          <w:lang w:bidi="ar"/>
        </w:rPr>
        <w:t>（一）桌面操作系统</w:t>
      </w:r>
    </w:p>
    <w:tbl>
      <w:tblPr>
        <w:tblStyle w:val="48"/>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3397"/>
        <w:gridCol w:w="2371"/>
        <w:gridCol w:w="1800"/>
      </w:tblGrid>
      <w:tr w14:paraId="27C385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C8D352F">
            <w:pPr>
              <w:widowControl/>
              <w:spacing w:line="440" w:lineRule="atLeast"/>
              <w:jc w:val="center"/>
              <w:rPr>
                <w:color w:val="auto"/>
                <w:highlight w:val="none"/>
              </w:rPr>
            </w:pPr>
            <w:r>
              <w:rPr>
                <w:rFonts w:hint="eastAsia" w:ascii="宋体" w:hAnsi="宋体" w:cs="宋体"/>
                <w:b/>
                <w:bCs/>
                <w:color w:val="auto"/>
                <w:kern w:val="0"/>
                <w:sz w:val="24"/>
                <w:highlight w:val="none"/>
                <w:lang w:bidi="ar"/>
              </w:rPr>
              <w:t>序号</w:t>
            </w:r>
          </w:p>
        </w:tc>
        <w:tc>
          <w:tcPr>
            <w:tcW w:w="339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32777C1">
            <w:pPr>
              <w:widowControl/>
              <w:spacing w:line="440" w:lineRule="atLeast"/>
              <w:jc w:val="center"/>
              <w:rPr>
                <w:color w:val="auto"/>
                <w:highlight w:val="none"/>
              </w:rPr>
            </w:pPr>
            <w:r>
              <w:rPr>
                <w:rFonts w:hint="eastAsia" w:ascii="宋体" w:hAnsi="宋体" w:cs="宋体"/>
                <w:b/>
                <w:bCs/>
                <w:color w:val="auto"/>
                <w:kern w:val="0"/>
                <w:sz w:val="24"/>
                <w:highlight w:val="none"/>
                <w:lang w:bidi="ar"/>
              </w:rPr>
              <w:t>产品名称</w:t>
            </w:r>
          </w:p>
        </w:tc>
        <w:tc>
          <w:tcPr>
            <w:tcW w:w="237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918BCE5">
            <w:pPr>
              <w:widowControl/>
              <w:spacing w:line="440" w:lineRule="atLeast"/>
              <w:jc w:val="center"/>
              <w:rPr>
                <w:color w:val="auto"/>
                <w:highlight w:val="none"/>
              </w:rPr>
            </w:pPr>
            <w:r>
              <w:rPr>
                <w:rFonts w:hint="eastAsia" w:ascii="宋体" w:hAnsi="宋体" w:cs="宋体"/>
                <w:b/>
                <w:bCs/>
                <w:color w:val="auto"/>
                <w:kern w:val="0"/>
                <w:sz w:val="24"/>
                <w:highlight w:val="none"/>
                <w:lang w:bidi="ar"/>
              </w:rPr>
              <w:t>送测单位</w:t>
            </w:r>
          </w:p>
        </w:tc>
        <w:tc>
          <w:tcPr>
            <w:tcW w:w="18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36601D2">
            <w:pPr>
              <w:widowControl/>
              <w:spacing w:line="440" w:lineRule="atLeast"/>
              <w:jc w:val="center"/>
              <w:rPr>
                <w:color w:val="auto"/>
                <w:highlight w:val="none"/>
              </w:rPr>
            </w:pPr>
            <w:r>
              <w:rPr>
                <w:rFonts w:hint="eastAsia" w:ascii="宋体" w:hAnsi="宋体" w:cs="宋体"/>
                <w:b/>
                <w:bCs/>
                <w:color w:val="auto"/>
                <w:kern w:val="0"/>
                <w:sz w:val="24"/>
                <w:highlight w:val="none"/>
                <w:lang w:bidi="ar"/>
              </w:rPr>
              <w:t>安全可靠等级</w:t>
            </w:r>
          </w:p>
        </w:tc>
      </w:tr>
      <w:tr w14:paraId="535F166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69123F2">
            <w:pPr>
              <w:widowControl/>
              <w:spacing w:line="440" w:lineRule="atLeast"/>
              <w:jc w:val="center"/>
              <w:rPr>
                <w:color w:val="auto"/>
                <w:highlight w:val="none"/>
              </w:rPr>
            </w:pPr>
            <w:r>
              <w:rPr>
                <w:rFonts w:hint="eastAsia" w:ascii="宋体" w:hAnsi="宋体" w:cs="宋体"/>
                <w:color w:val="auto"/>
                <w:kern w:val="0"/>
                <w:sz w:val="24"/>
                <w:highlight w:val="none"/>
                <w:lang w:bidi="ar"/>
              </w:rPr>
              <w:t>1</w:t>
            </w:r>
          </w:p>
        </w:tc>
        <w:tc>
          <w:tcPr>
            <w:tcW w:w="339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3C0CE86">
            <w:pPr>
              <w:widowControl/>
              <w:jc w:val="left"/>
              <w:rPr>
                <w:color w:val="auto"/>
                <w:highlight w:val="none"/>
              </w:rPr>
            </w:pPr>
            <w:r>
              <w:rPr>
                <w:rFonts w:hint="eastAsia" w:ascii="宋体" w:hAnsi="宋体" w:cs="宋体"/>
                <w:color w:val="auto"/>
                <w:kern w:val="0"/>
                <w:sz w:val="24"/>
                <w:highlight w:val="none"/>
                <w:lang w:bidi="ar"/>
              </w:rPr>
              <w:t>方德桌面操作系统（Pro版）V5.0</w:t>
            </w:r>
          </w:p>
          <w:p w14:paraId="75A2AD8E">
            <w:pPr>
              <w:widowControl/>
              <w:spacing w:line="440" w:lineRule="atLeast"/>
              <w:jc w:val="left"/>
              <w:rPr>
                <w:color w:val="auto"/>
                <w:highlight w:val="none"/>
              </w:rPr>
            </w:pPr>
            <w:r>
              <w:rPr>
                <w:rFonts w:hint="eastAsia" w:ascii="宋体" w:hAnsi="宋体" w:cs="宋体"/>
                <w:color w:val="auto"/>
                <w:kern w:val="0"/>
                <w:sz w:val="24"/>
                <w:highlight w:val="none"/>
                <w:lang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CB9DBA7">
            <w:pPr>
              <w:widowControl/>
              <w:jc w:val="left"/>
              <w:rPr>
                <w:color w:val="auto"/>
                <w:highlight w:val="none"/>
              </w:rPr>
            </w:pPr>
            <w:r>
              <w:rPr>
                <w:rFonts w:hint="eastAsia" w:ascii="宋体" w:hAnsi="宋体" w:cs="宋体"/>
                <w:color w:val="auto"/>
                <w:kern w:val="0"/>
                <w:sz w:val="24"/>
                <w:highlight w:val="none"/>
                <w:lang w:bidi="ar"/>
              </w:rPr>
              <w:t>中科方德软件有限公司</w:t>
            </w:r>
          </w:p>
        </w:tc>
        <w:tc>
          <w:tcPr>
            <w:tcW w:w="18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9442B03">
            <w:pPr>
              <w:widowControl/>
              <w:spacing w:line="440" w:lineRule="atLeast"/>
              <w:jc w:val="center"/>
              <w:rPr>
                <w:color w:val="auto"/>
                <w:highlight w:val="none"/>
              </w:rPr>
            </w:pPr>
            <w:r>
              <w:rPr>
                <w:rFonts w:hint="eastAsia" w:ascii="宋体" w:hAnsi="宋体" w:cs="宋体"/>
                <w:color w:val="auto"/>
                <w:kern w:val="0"/>
                <w:sz w:val="24"/>
                <w:highlight w:val="none"/>
                <w:lang w:bidi="ar"/>
              </w:rPr>
              <w:t>Ⅰ级</w:t>
            </w:r>
          </w:p>
        </w:tc>
      </w:tr>
      <w:tr w14:paraId="3F2B4DD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3EB004D">
            <w:pPr>
              <w:widowControl/>
              <w:spacing w:line="440" w:lineRule="atLeast"/>
              <w:jc w:val="center"/>
              <w:rPr>
                <w:color w:val="auto"/>
                <w:highlight w:val="none"/>
              </w:rPr>
            </w:pPr>
            <w:r>
              <w:rPr>
                <w:rFonts w:hint="eastAsia" w:ascii="宋体" w:hAnsi="宋体" w:cs="宋体"/>
                <w:color w:val="auto"/>
                <w:kern w:val="0"/>
                <w:sz w:val="24"/>
                <w:highlight w:val="none"/>
                <w:lang w:bidi="ar"/>
              </w:rPr>
              <w:t>2</w:t>
            </w:r>
          </w:p>
        </w:tc>
        <w:tc>
          <w:tcPr>
            <w:tcW w:w="339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031BCD5">
            <w:pPr>
              <w:widowControl/>
              <w:spacing w:line="440" w:lineRule="atLeast"/>
              <w:jc w:val="left"/>
              <w:rPr>
                <w:color w:val="auto"/>
                <w:highlight w:val="none"/>
              </w:rPr>
            </w:pPr>
            <w:r>
              <w:rPr>
                <w:rFonts w:hint="eastAsia" w:ascii="宋体" w:hAnsi="宋体" w:cs="宋体"/>
                <w:color w:val="auto"/>
                <w:kern w:val="0"/>
                <w:sz w:val="24"/>
                <w:highlight w:val="none"/>
                <w:lang w:bidi="ar"/>
              </w:rPr>
              <w:t>银河麒麟桌面操作系统 V11</w:t>
            </w:r>
          </w:p>
          <w:p w14:paraId="2B10048F">
            <w:pPr>
              <w:widowControl/>
              <w:spacing w:line="440" w:lineRule="atLeast"/>
              <w:jc w:val="left"/>
              <w:rPr>
                <w:color w:val="auto"/>
                <w:highlight w:val="none"/>
              </w:rPr>
            </w:pPr>
            <w:r>
              <w:rPr>
                <w:rFonts w:hint="eastAsia" w:ascii="宋体" w:hAnsi="宋体" w:cs="宋体"/>
                <w:color w:val="auto"/>
                <w:kern w:val="0"/>
                <w:sz w:val="24"/>
                <w:highlight w:val="none"/>
                <w:lang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22CD222">
            <w:pPr>
              <w:widowControl/>
              <w:spacing w:line="440" w:lineRule="atLeast"/>
              <w:jc w:val="left"/>
              <w:rPr>
                <w:color w:val="auto"/>
                <w:highlight w:val="none"/>
              </w:rPr>
            </w:pPr>
            <w:r>
              <w:rPr>
                <w:rFonts w:hint="eastAsia" w:ascii="宋体" w:hAnsi="宋体" w:cs="宋体"/>
                <w:color w:val="auto"/>
                <w:kern w:val="0"/>
                <w:sz w:val="24"/>
                <w:highlight w:val="none"/>
                <w:lang w:bidi="ar"/>
              </w:rPr>
              <w:t>麒麟软件有限公司</w:t>
            </w:r>
          </w:p>
        </w:tc>
        <w:tc>
          <w:tcPr>
            <w:tcW w:w="18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4B38D0A">
            <w:pPr>
              <w:widowControl/>
              <w:spacing w:line="440" w:lineRule="atLeast"/>
              <w:jc w:val="center"/>
              <w:rPr>
                <w:color w:val="auto"/>
                <w:highlight w:val="none"/>
              </w:rPr>
            </w:pPr>
            <w:r>
              <w:rPr>
                <w:rFonts w:hint="eastAsia" w:ascii="宋体" w:hAnsi="宋体" w:cs="宋体"/>
                <w:color w:val="auto"/>
                <w:kern w:val="0"/>
                <w:sz w:val="24"/>
                <w:highlight w:val="none"/>
                <w:lang w:bidi="ar"/>
              </w:rPr>
              <w:t>Ⅰ级</w:t>
            </w:r>
          </w:p>
        </w:tc>
      </w:tr>
    </w:tbl>
    <w:p w14:paraId="7CF88D59">
      <w:pPr>
        <w:widowControl/>
        <w:shd w:val="clear" w:color="auto" w:fill="FFFFFF"/>
        <w:spacing w:after="156" w:line="560" w:lineRule="atLeast"/>
        <w:jc w:val="left"/>
        <w:rPr>
          <w:rFonts w:hint="eastAsia" w:ascii="宋体" w:hAnsi="宋体" w:cs="宋体"/>
          <w:color w:val="auto"/>
          <w:sz w:val="18"/>
          <w:szCs w:val="18"/>
          <w:highlight w:val="none"/>
        </w:rPr>
      </w:pPr>
      <w:r>
        <w:rPr>
          <w:rFonts w:hint="eastAsia" w:ascii="宋体" w:hAnsi="宋体" w:cs="宋体"/>
          <w:color w:val="auto"/>
          <w:kern w:val="0"/>
          <w:sz w:val="24"/>
          <w:highlight w:val="none"/>
          <w:shd w:val="clear" w:color="auto" w:fill="FFFFFF"/>
          <w:lang w:bidi="ar"/>
        </w:rPr>
        <w:t>（二）服务器操作系统</w:t>
      </w:r>
    </w:p>
    <w:tbl>
      <w:tblPr>
        <w:tblStyle w:val="48"/>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3380"/>
        <w:gridCol w:w="2371"/>
        <w:gridCol w:w="1817"/>
      </w:tblGrid>
      <w:tr w14:paraId="76744A7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C1D2049">
            <w:pPr>
              <w:widowControl/>
              <w:spacing w:line="440" w:lineRule="atLeast"/>
              <w:jc w:val="center"/>
              <w:rPr>
                <w:color w:val="auto"/>
                <w:highlight w:val="none"/>
              </w:rPr>
            </w:pPr>
            <w:r>
              <w:rPr>
                <w:rFonts w:hint="eastAsia" w:ascii="宋体" w:hAnsi="宋体" w:cs="宋体"/>
                <w:b/>
                <w:bCs/>
                <w:color w:val="auto"/>
                <w:kern w:val="0"/>
                <w:sz w:val="24"/>
                <w:highlight w:val="none"/>
                <w:lang w:bidi="ar"/>
              </w:rPr>
              <w:t>序号</w:t>
            </w:r>
          </w:p>
        </w:tc>
        <w:tc>
          <w:tcPr>
            <w:tcW w:w="338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E359C89">
            <w:pPr>
              <w:widowControl/>
              <w:spacing w:line="440" w:lineRule="atLeast"/>
              <w:jc w:val="center"/>
              <w:rPr>
                <w:color w:val="auto"/>
                <w:highlight w:val="none"/>
              </w:rPr>
            </w:pPr>
            <w:r>
              <w:rPr>
                <w:rFonts w:hint="eastAsia" w:ascii="宋体" w:hAnsi="宋体" w:cs="宋体"/>
                <w:b/>
                <w:bCs/>
                <w:color w:val="auto"/>
                <w:kern w:val="0"/>
                <w:sz w:val="24"/>
                <w:highlight w:val="none"/>
                <w:lang w:bidi="ar"/>
              </w:rPr>
              <w:t>产品名称</w:t>
            </w:r>
          </w:p>
        </w:tc>
        <w:tc>
          <w:tcPr>
            <w:tcW w:w="237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9FB655B">
            <w:pPr>
              <w:widowControl/>
              <w:spacing w:line="440" w:lineRule="atLeast"/>
              <w:jc w:val="center"/>
              <w:rPr>
                <w:color w:val="auto"/>
                <w:highlight w:val="none"/>
              </w:rPr>
            </w:pPr>
            <w:r>
              <w:rPr>
                <w:rFonts w:hint="eastAsia" w:ascii="宋体" w:hAnsi="宋体" w:cs="宋体"/>
                <w:b/>
                <w:bCs/>
                <w:color w:val="auto"/>
                <w:kern w:val="0"/>
                <w:sz w:val="24"/>
                <w:highlight w:val="none"/>
                <w:lang w:bidi="ar"/>
              </w:rPr>
              <w:t>送测单位</w:t>
            </w:r>
          </w:p>
        </w:tc>
        <w:tc>
          <w:tcPr>
            <w:tcW w:w="181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5AB68F5">
            <w:pPr>
              <w:widowControl/>
              <w:spacing w:line="440" w:lineRule="atLeast"/>
              <w:jc w:val="center"/>
              <w:rPr>
                <w:color w:val="auto"/>
                <w:highlight w:val="none"/>
              </w:rPr>
            </w:pPr>
            <w:r>
              <w:rPr>
                <w:rFonts w:hint="eastAsia" w:ascii="宋体" w:hAnsi="宋体" w:cs="宋体"/>
                <w:b/>
                <w:bCs/>
                <w:color w:val="auto"/>
                <w:kern w:val="0"/>
                <w:sz w:val="24"/>
                <w:highlight w:val="none"/>
                <w:lang w:bidi="ar"/>
              </w:rPr>
              <w:t>安全可靠等级</w:t>
            </w:r>
          </w:p>
        </w:tc>
      </w:tr>
      <w:tr w14:paraId="244485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369331B">
            <w:pPr>
              <w:widowControl/>
              <w:spacing w:line="440" w:lineRule="atLeast"/>
              <w:jc w:val="center"/>
              <w:rPr>
                <w:color w:val="auto"/>
                <w:highlight w:val="none"/>
              </w:rPr>
            </w:pPr>
            <w:r>
              <w:rPr>
                <w:rFonts w:hint="eastAsia" w:ascii="宋体" w:hAnsi="宋体" w:cs="宋体"/>
                <w:color w:val="auto"/>
                <w:kern w:val="0"/>
                <w:sz w:val="24"/>
                <w:highlight w:val="none"/>
                <w:lang w:bidi="ar"/>
              </w:rPr>
              <w:t>1</w:t>
            </w:r>
          </w:p>
        </w:tc>
        <w:tc>
          <w:tcPr>
            <w:tcW w:w="338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66A8978">
            <w:pPr>
              <w:widowControl/>
              <w:jc w:val="left"/>
              <w:rPr>
                <w:color w:val="auto"/>
                <w:highlight w:val="none"/>
              </w:rPr>
            </w:pPr>
            <w:r>
              <w:rPr>
                <w:rFonts w:hint="eastAsia" w:ascii="宋体" w:hAnsi="宋体" w:cs="宋体"/>
                <w:color w:val="auto"/>
                <w:kern w:val="0"/>
                <w:sz w:val="24"/>
                <w:highlight w:val="none"/>
                <w:lang w:bidi="ar"/>
              </w:rPr>
              <w:t>银河麒麟高级服务器操作系统 V11</w:t>
            </w:r>
          </w:p>
          <w:p w14:paraId="64FF0F62">
            <w:pPr>
              <w:widowControl/>
              <w:spacing w:line="440" w:lineRule="atLeast"/>
              <w:jc w:val="left"/>
              <w:rPr>
                <w:color w:val="auto"/>
                <w:highlight w:val="none"/>
              </w:rPr>
            </w:pPr>
            <w:r>
              <w:rPr>
                <w:rFonts w:hint="eastAsia" w:ascii="宋体" w:hAnsi="宋体" w:cs="宋体"/>
                <w:color w:val="auto"/>
                <w:kern w:val="0"/>
                <w:sz w:val="24"/>
                <w:highlight w:val="none"/>
                <w:lang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5DF0F81">
            <w:pPr>
              <w:widowControl/>
              <w:jc w:val="left"/>
              <w:rPr>
                <w:color w:val="auto"/>
                <w:highlight w:val="none"/>
              </w:rPr>
            </w:pPr>
            <w:r>
              <w:rPr>
                <w:rFonts w:hint="eastAsia" w:ascii="宋体" w:hAnsi="宋体" w:cs="宋体"/>
                <w:color w:val="auto"/>
                <w:kern w:val="0"/>
                <w:sz w:val="24"/>
                <w:highlight w:val="none"/>
                <w:lang w:bidi="ar"/>
              </w:rPr>
              <w:t>麒麟软件有限公司</w:t>
            </w:r>
          </w:p>
        </w:tc>
        <w:tc>
          <w:tcPr>
            <w:tcW w:w="181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1307CE3">
            <w:pPr>
              <w:widowControl/>
              <w:spacing w:line="440" w:lineRule="atLeast"/>
              <w:jc w:val="center"/>
              <w:rPr>
                <w:color w:val="auto"/>
                <w:highlight w:val="none"/>
              </w:rPr>
            </w:pPr>
            <w:r>
              <w:rPr>
                <w:rFonts w:hint="eastAsia" w:ascii="宋体" w:hAnsi="宋体" w:cs="宋体"/>
                <w:color w:val="auto"/>
                <w:kern w:val="0"/>
                <w:sz w:val="24"/>
                <w:highlight w:val="none"/>
                <w:lang w:bidi="ar"/>
              </w:rPr>
              <w:t>Ⅰ级</w:t>
            </w:r>
          </w:p>
        </w:tc>
      </w:tr>
      <w:tr w14:paraId="1958079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CD1B31E">
            <w:pPr>
              <w:widowControl/>
              <w:spacing w:line="440" w:lineRule="atLeast"/>
              <w:jc w:val="center"/>
              <w:rPr>
                <w:color w:val="auto"/>
                <w:highlight w:val="none"/>
              </w:rPr>
            </w:pPr>
            <w:r>
              <w:rPr>
                <w:rFonts w:hint="eastAsia" w:ascii="宋体" w:hAnsi="宋体" w:cs="宋体"/>
                <w:color w:val="auto"/>
                <w:kern w:val="0"/>
                <w:sz w:val="24"/>
                <w:highlight w:val="none"/>
                <w:lang w:bidi="ar"/>
              </w:rPr>
              <w:t>2</w:t>
            </w:r>
          </w:p>
        </w:tc>
        <w:tc>
          <w:tcPr>
            <w:tcW w:w="338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6492160">
            <w:pPr>
              <w:widowControl/>
              <w:jc w:val="left"/>
              <w:rPr>
                <w:color w:val="auto"/>
                <w:highlight w:val="none"/>
              </w:rPr>
            </w:pPr>
            <w:r>
              <w:rPr>
                <w:rFonts w:hint="eastAsia" w:ascii="宋体" w:hAnsi="宋体" w:cs="宋体"/>
                <w:color w:val="auto"/>
                <w:kern w:val="0"/>
                <w:sz w:val="24"/>
                <w:highlight w:val="none"/>
                <w:lang w:bidi="ar"/>
              </w:rPr>
              <w:t>腾讯云Linux服务器操作系统 V4</w:t>
            </w:r>
          </w:p>
          <w:p w14:paraId="68B26B4C">
            <w:pPr>
              <w:widowControl/>
              <w:spacing w:line="440" w:lineRule="atLeast"/>
              <w:jc w:val="left"/>
              <w:rPr>
                <w:color w:val="auto"/>
                <w:highlight w:val="none"/>
              </w:rPr>
            </w:pPr>
            <w:r>
              <w:rPr>
                <w:rFonts w:hint="eastAsia" w:ascii="宋体" w:hAnsi="宋体" w:cs="宋体"/>
                <w:color w:val="auto"/>
                <w:kern w:val="0"/>
                <w:sz w:val="24"/>
                <w:highlight w:val="none"/>
                <w:lang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9CB81A3">
            <w:pPr>
              <w:widowControl/>
              <w:jc w:val="left"/>
              <w:rPr>
                <w:color w:val="auto"/>
                <w:highlight w:val="none"/>
              </w:rPr>
            </w:pPr>
            <w:r>
              <w:rPr>
                <w:rFonts w:hint="eastAsia" w:ascii="宋体" w:hAnsi="宋体" w:cs="宋体"/>
                <w:color w:val="auto"/>
                <w:kern w:val="0"/>
                <w:sz w:val="24"/>
                <w:highlight w:val="none"/>
                <w:lang w:bidi="ar"/>
              </w:rPr>
              <w:t>腾讯云计算（北京）有限责任公司</w:t>
            </w:r>
          </w:p>
        </w:tc>
        <w:tc>
          <w:tcPr>
            <w:tcW w:w="181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5A1E3DD">
            <w:pPr>
              <w:widowControl/>
              <w:spacing w:line="440" w:lineRule="atLeast"/>
              <w:jc w:val="center"/>
              <w:rPr>
                <w:color w:val="auto"/>
                <w:highlight w:val="none"/>
              </w:rPr>
            </w:pPr>
            <w:r>
              <w:rPr>
                <w:rFonts w:hint="eastAsia" w:ascii="宋体" w:hAnsi="宋体" w:cs="宋体"/>
                <w:color w:val="auto"/>
                <w:kern w:val="0"/>
                <w:sz w:val="24"/>
                <w:highlight w:val="none"/>
                <w:lang w:bidi="ar"/>
              </w:rPr>
              <w:t>Ⅰ级</w:t>
            </w:r>
          </w:p>
        </w:tc>
      </w:tr>
    </w:tbl>
    <w:p w14:paraId="35A368FA">
      <w:pPr>
        <w:pStyle w:val="6"/>
        <w:keepNext w:val="0"/>
        <w:keepLines w:val="0"/>
        <w:widowControl/>
        <w:shd w:val="clear" w:color="auto" w:fill="FFFFFF"/>
        <w:spacing w:before="225" w:after="150"/>
        <w:jc w:val="center"/>
        <w:rPr>
          <w:rFonts w:hint="eastAsia" w:ascii="宋体" w:hAnsi="宋体" w:cs="宋体"/>
          <w:color w:val="auto"/>
          <w:sz w:val="24"/>
          <w:szCs w:val="24"/>
          <w:highlight w:val="none"/>
        </w:rPr>
      </w:pPr>
      <w:r>
        <w:rPr>
          <w:rFonts w:hint="eastAsia" w:ascii="宋体" w:hAnsi="宋体" w:cs="宋体"/>
          <w:color w:val="auto"/>
          <w:sz w:val="24"/>
          <w:szCs w:val="24"/>
          <w:highlight w:val="none"/>
          <w:shd w:val="clear" w:color="auto" w:fill="FFFFFF"/>
        </w:rPr>
        <w:t>安全可靠测评结果公告（2026年第1号）</w:t>
      </w:r>
    </w:p>
    <w:p w14:paraId="7D1D3339">
      <w:pPr>
        <w:widowControl/>
        <w:shd w:val="clear" w:color="auto" w:fill="FFFFFF"/>
        <w:jc w:val="left"/>
        <w:rPr>
          <w:rFonts w:hint="eastAsia" w:ascii="宋体" w:hAnsi="宋体" w:cs="宋体"/>
          <w:color w:val="auto"/>
          <w:sz w:val="18"/>
          <w:szCs w:val="18"/>
          <w:highlight w:val="none"/>
        </w:rPr>
      </w:pPr>
      <w:r>
        <w:rPr>
          <w:rFonts w:hint="eastAsia" w:ascii="宋体" w:hAnsi="宋体" w:cs="宋体"/>
          <w:b/>
          <w:bCs/>
          <w:color w:val="auto"/>
          <w:kern w:val="0"/>
          <w:szCs w:val="21"/>
          <w:highlight w:val="none"/>
          <w:shd w:val="clear" w:color="auto" w:fill="FFFFFF"/>
          <w:lang w:bidi="ar"/>
        </w:rPr>
        <w:t>附表一、操作系统</w:t>
      </w:r>
      <w:r>
        <w:rPr>
          <w:rFonts w:hint="eastAsia" w:ascii="宋体" w:hAnsi="宋体" w:cs="宋体"/>
          <w:color w:val="auto"/>
          <w:kern w:val="0"/>
          <w:szCs w:val="21"/>
          <w:highlight w:val="none"/>
          <w:shd w:val="clear" w:color="auto" w:fill="FFFFFF"/>
          <w:lang w:bidi="ar"/>
        </w:rPr>
        <w:t>（同一等级按产品名称首字笔画为序排列）</w:t>
      </w:r>
    </w:p>
    <w:p w14:paraId="0209FBDD">
      <w:pPr>
        <w:widowControl/>
        <w:shd w:val="clear" w:color="auto" w:fill="FFFFFF"/>
        <w:jc w:val="left"/>
        <w:rPr>
          <w:rFonts w:hint="eastAsia" w:ascii="宋体" w:hAnsi="宋体" w:cs="宋体"/>
          <w:color w:val="auto"/>
          <w:sz w:val="18"/>
          <w:szCs w:val="18"/>
          <w:highlight w:val="none"/>
        </w:rPr>
      </w:pPr>
      <w:r>
        <w:rPr>
          <w:color w:val="auto"/>
          <w:kern w:val="0"/>
          <w:szCs w:val="21"/>
          <w:highlight w:val="none"/>
          <w:shd w:val="clear" w:color="auto" w:fill="FFFFFF"/>
          <w:lang w:bidi="ar"/>
        </w:rPr>
        <w:t> </w:t>
      </w:r>
    </w:p>
    <w:p w14:paraId="3C36120C">
      <w:pPr>
        <w:pStyle w:val="43"/>
        <w:shd w:val="clear" w:color="auto" w:fill="FFFFFF"/>
        <w:spacing w:before="0" w:beforeAutospacing="0" w:after="0" w:afterAutospacing="0"/>
        <w:rPr>
          <w:rFonts w:cs="宋体"/>
          <w:color w:val="auto"/>
          <w:sz w:val="18"/>
          <w:szCs w:val="18"/>
          <w:highlight w:val="none"/>
        </w:rPr>
      </w:pPr>
      <w:r>
        <w:rPr>
          <w:rFonts w:cs="宋体"/>
          <w:color w:val="auto"/>
          <w:sz w:val="21"/>
          <w:szCs w:val="21"/>
          <w:highlight w:val="none"/>
          <w:shd w:val="clear" w:color="auto" w:fill="FFFFFF"/>
        </w:rPr>
        <w:t>（一）桌面操作系统</w:t>
      </w:r>
    </w:p>
    <w:tbl>
      <w:tblPr>
        <w:tblStyle w:val="48"/>
        <w:tblW w:w="7748" w:type="dxa"/>
        <w:jc w:val="center"/>
        <w:tblLayout w:type="autofit"/>
        <w:tblCellMar>
          <w:top w:w="0" w:type="dxa"/>
          <w:left w:w="0" w:type="dxa"/>
          <w:bottom w:w="0" w:type="dxa"/>
          <w:right w:w="0" w:type="dxa"/>
        </w:tblCellMar>
      </w:tblPr>
      <w:tblGrid>
        <w:gridCol w:w="696"/>
        <w:gridCol w:w="3925"/>
        <w:gridCol w:w="2277"/>
        <w:gridCol w:w="850"/>
      </w:tblGrid>
      <w:tr w14:paraId="6F0EB92E">
        <w:tblPrEx>
          <w:tblCellMar>
            <w:top w:w="0" w:type="dxa"/>
            <w:left w:w="0" w:type="dxa"/>
            <w:bottom w:w="0" w:type="dxa"/>
            <w:right w:w="0" w:type="dxa"/>
          </w:tblCellMar>
        </w:tblPrEx>
        <w:trPr>
          <w:trHeight w:val="570" w:hRule="atLeast"/>
          <w:jc w:val="center"/>
        </w:trPr>
        <w:tc>
          <w:tcPr>
            <w:tcW w:w="615"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4B802AA5">
            <w:pPr>
              <w:pStyle w:val="43"/>
              <w:spacing w:before="0" w:beforeAutospacing="0" w:after="0" w:afterAutospacing="0"/>
              <w:jc w:val="center"/>
              <w:rPr>
                <w:color w:val="auto"/>
                <w:highlight w:val="none"/>
              </w:rPr>
            </w:pPr>
            <w:r>
              <w:rPr>
                <w:rFonts w:cs="宋体"/>
                <w:color w:val="auto"/>
                <w:sz w:val="21"/>
                <w:szCs w:val="21"/>
                <w:highlight w:val="none"/>
              </w:rPr>
              <w:t>序号</w:t>
            </w:r>
          </w:p>
        </w:tc>
        <w:tc>
          <w:tcPr>
            <w:tcW w:w="346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009DB400">
            <w:pPr>
              <w:pStyle w:val="43"/>
              <w:spacing w:before="0" w:beforeAutospacing="0" w:after="0" w:afterAutospacing="0"/>
              <w:jc w:val="center"/>
              <w:rPr>
                <w:color w:val="auto"/>
                <w:highlight w:val="none"/>
              </w:rPr>
            </w:pPr>
            <w:r>
              <w:rPr>
                <w:rFonts w:cs="宋体"/>
                <w:color w:val="auto"/>
                <w:sz w:val="21"/>
                <w:szCs w:val="21"/>
                <w:highlight w:val="none"/>
              </w:rPr>
              <w:t>产品名称</w:t>
            </w:r>
          </w:p>
        </w:tc>
        <w:tc>
          <w:tcPr>
            <w:tcW w:w="2010"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03D25865">
            <w:pPr>
              <w:pStyle w:val="43"/>
              <w:spacing w:before="0" w:beforeAutospacing="0" w:after="0" w:afterAutospacing="0"/>
              <w:jc w:val="center"/>
              <w:rPr>
                <w:color w:val="auto"/>
                <w:highlight w:val="none"/>
              </w:rPr>
            </w:pPr>
            <w:r>
              <w:rPr>
                <w:rFonts w:cs="宋体"/>
                <w:color w:val="auto"/>
                <w:sz w:val="21"/>
                <w:szCs w:val="21"/>
                <w:highlight w:val="none"/>
              </w:rPr>
              <w:t>送测单位</w:t>
            </w:r>
          </w:p>
        </w:tc>
        <w:tc>
          <w:tcPr>
            <w:tcW w:w="750"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12C86486">
            <w:pPr>
              <w:pStyle w:val="43"/>
              <w:spacing w:before="0" w:beforeAutospacing="0" w:after="0" w:afterAutospacing="0"/>
              <w:jc w:val="center"/>
              <w:rPr>
                <w:color w:val="auto"/>
                <w:highlight w:val="none"/>
              </w:rPr>
            </w:pPr>
            <w:r>
              <w:rPr>
                <w:rFonts w:cs="宋体"/>
                <w:color w:val="auto"/>
                <w:sz w:val="21"/>
                <w:szCs w:val="21"/>
                <w:highlight w:val="none"/>
              </w:rPr>
              <w:t>安全可</w:t>
            </w:r>
          </w:p>
          <w:p w14:paraId="7014C1CA">
            <w:pPr>
              <w:pStyle w:val="43"/>
              <w:spacing w:before="0" w:beforeAutospacing="0" w:after="0" w:afterAutospacing="0"/>
              <w:jc w:val="center"/>
              <w:rPr>
                <w:color w:val="auto"/>
                <w:highlight w:val="none"/>
              </w:rPr>
            </w:pPr>
            <w:r>
              <w:rPr>
                <w:rFonts w:cs="宋体"/>
                <w:color w:val="auto"/>
                <w:sz w:val="21"/>
                <w:szCs w:val="21"/>
                <w:highlight w:val="none"/>
              </w:rPr>
              <w:t>靠等级</w:t>
            </w:r>
          </w:p>
        </w:tc>
      </w:tr>
      <w:tr w14:paraId="557014D4">
        <w:tblPrEx>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07BC901">
            <w:pPr>
              <w:pStyle w:val="43"/>
              <w:spacing w:before="0" w:beforeAutospacing="0" w:after="0" w:afterAutospacing="0"/>
              <w:ind w:left="41"/>
              <w:jc w:val="center"/>
              <w:rPr>
                <w:color w:val="auto"/>
                <w:highlight w:val="none"/>
              </w:rPr>
            </w:pPr>
            <w:r>
              <w:rPr>
                <w:rFonts w:cs="宋体"/>
                <w:color w:val="auto"/>
                <w:sz w:val="21"/>
                <w:szCs w:val="21"/>
                <w:highlight w:val="none"/>
              </w:rPr>
              <w:t>1</w:t>
            </w:r>
          </w:p>
        </w:tc>
        <w:tc>
          <w:tcPr>
            <w:tcW w:w="3465" w:type="dxa"/>
            <w:tcBorders>
              <w:top w:val="nil"/>
              <w:left w:val="nil"/>
              <w:bottom w:val="single" w:color="auto" w:sz="8" w:space="0"/>
              <w:right w:val="single" w:color="auto" w:sz="8" w:space="0"/>
            </w:tcBorders>
            <w:shd w:val="clear" w:color="auto" w:fill="FFFFFF"/>
            <w:tcMar>
              <w:left w:w="108" w:type="dxa"/>
              <w:right w:w="108" w:type="dxa"/>
            </w:tcMar>
            <w:vAlign w:val="center"/>
          </w:tcPr>
          <w:p w14:paraId="60E6A780">
            <w:pPr>
              <w:pStyle w:val="43"/>
              <w:spacing w:before="0" w:beforeAutospacing="0" w:after="0" w:afterAutospacing="0"/>
              <w:jc w:val="center"/>
              <w:rPr>
                <w:color w:val="auto"/>
                <w:highlight w:val="none"/>
              </w:rPr>
            </w:pPr>
            <w:r>
              <w:rPr>
                <w:rFonts w:cs="宋体"/>
                <w:color w:val="auto"/>
                <w:szCs w:val="24"/>
                <w:highlight w:val="none"/>
              </w:rPr>
              <w:t>HarmonyOS V1.0</w:t>
            </w:r>
          </w:p>
          <w:p w14:paraId="4EBE71AE">
            <w:pPr>
              <w:pStyle w:val="43"/>
              <w:spacing w:before="0" w:beforeAutospacing="0" w:after="0" w:afterAutospacing="0"/>
              <w:jc w:val="center"/>
              <w:rPr>
                <w:color w:val="auto"/>
                <w:highlight w:val="none"/>
              </w:rPr>
            </w:pPr>
            <w:r>
              <w:rPr>
                <w:rFonts w:cs="宋体"/>
                <w:color w:val="auto"/>
                <w:szCs w:val="24"/>
                <w:highlight w:val="none"/>
              </w:rPr>
              <w:t>（内核版本HongMeng Kernel 1.11）</w:t>
            </w:r>
          </w:p>
        </w:tc>
        <w:tc>
          <w:tcPr>
            <w:tcW w:w="2010" w:type="dxa"/>
            <w:tcBorders>
              <w:top w:val="nil"/>
              <w:left w:val="nil"/>
              <w:bottom w:val="single" w:color="auto" w:sz="8" w:space="0"/>
              <w:right w:val="single" w:color="auto" w:sz="8" w:space="0"/>
            </w:tcBorders>
            <w:shd w:val="clear" w:color="auto" w:fill="FFFFFF"/>
            <w:tcMar>
              <w:left w:w="108" w:type="dxa"/>
              <w:right w:w="108" w:type="dxa"/>
            </w:tcMar>
            <w:vAlign w:val="center"/>
          </w:tcPr>
          <w:p w14:paraId="01915F70">
            <w:pPr>
              <w:pStyle w:val="43"/>
              <w:spacing w:before="0" w:beforeAutospacing="0" w:after="0" w:afterAutospacing="0"/>
              <w:jc w:val="center"/>
              <w:rPr>
                <w:color w:val="auto"/>
                <w:highlight w:val="none"/>
              </w:rPr>
            </w:pPr>
            <w:r>
              <w:rPr>
                <w:rFonts w:cs="宋体"/>
                <w:color w:val="auto"/>
                <w:szCs w:val="24"/>
                <w:highlight w:val="none"/>
              </w:rPr>
              <w:t>华为终端有限公司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0E12EDE0">
            <w:pPr>
              <w:pStyle w:val="43"/>
              <w:spacing w:before="0" w:beforeAutospacing="0" w:after="0" w:afterAutospacing="0"/>
              <w:jc w:val="center"/>
              <w:rPr>
                <w:color w:val="auto"/>
                <w:highlight w:val="none"/>
              </w:rPr>
            </w:pPr>
            <w:r>
              <w:rPr>
                <w:rFonts w:cs="宋体"/>
                <w:color w:val="auto"/>
                <w:szCs w:val="24"/>
                <w:highlight w:val="none"/>
              </w:rPr>
              <w:t>Ⅱ级</w:t>
            </w:r>
          </w:p>
        </w:tc>
      </w:tr>
      <w:tr w14:paraId="2E4926B2">
        <w:tblPrEx>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0B3EE6E">
            <w:pPr>
              <w:pStyle w:val="43"/>
              <w:spacing w:before="0" w:beforeAutospacing="0" w:after="0" w:afterAutospacing="0"/>
              <w:ind w:left="41"/>
              <w:jc w:val="center"/>
              <w:rPr>
                <w:color w:val="auto"/>
                <w:highlight w:val="none"/>
              </w:rPr>
            </w:pPr>
            <w:r>
              <w:rPr>
                <w:rFonts w:cs="宋体"/>
                <w:color w:val="auto"/>
                <w:sz w:val="21"/>
                <w:szCs w:val="21"/>
                <w:highlight w:val="none"/>
              </w:rPr>
              <w:t>2</w:t>
            </w:r>
          </w:p>
        </w:tc>
        <w:tc>
          <w:tcPr>
            <w:tcW w:w="3465" w:type="dxa"/>
            <w:tcBorders>
              <w:top w:val="nil"/>
              <w:left w:val="nil"/>
              <w:bottom w:val="single" w:color="auto" w:sz="8" w:space="0"/>
              <w:right w:val="single" w:color="auto" w:sz="8" w:space="0"/>
            </w:tcBorders>
            <w:shd w:val="clear" w:color="auto" w:fill="FFFFFF"/>
            <w:tcMar>
              <w:left w:w="108" w:type="dxa"/>
              <w:right w:w="108" w:type="dxa"/>
            </w:tcMar>
            <w:vAlign w:val="center"/>
          </w:tcPr>
          <w:p w14:paraId="70C77730">
            <w:pPr>
              <w:pStyle w:val="43"/>
              <w:spacing w:before="0" w:beforeAutospacing="0" w:after="0" w:afterAutospacing="0"/>
              <w:jc w:val="center"/>
              <w:rPr>
                <w:color w:val="auto"/>
                <w:highlight w:val="none"/>
              </w:rPr>
            </w:pPr>
            <w:r>
              <w:rPr>
                <w:rFonts w:cs="宋体"/>
                <w:color w:val="auto"/>
                <w:szCs w:val="24"/>
                <w:highlight w:val="none"/>
              </w:rPr>
              <w:t>统信桌面操作系统 V25</w:t>
            </w:r>
          </w:p>
          <w:p w14:paraId="6326A7F3">
            <w:pPr>
              <w:pStyle w:val="43"/>
              <w:spacing w:before="0" w:beforeAutospacing="0" w:after="0" w:afterAutospacing="0"/>
              <w:jc w:val="center"/>
              <w:rPr>
                <w:color w:val="auto"/>
                <w:highlight w:val="none"/>
              </w:rPr>
            </w:pPr>
            <w:r>
              <w:rPr>
                <w:rFonts w:cs="宋体"/>
                <w:color w:val="auto"/>
                <w:szCs w:val="24"/>
                <w:highlight w:val="none"/>
              </w:rPr>
              <w:t>（内核版本Linux Kernel 6.6）</w:t>
            </w:r>
          </w:p>
        </w:tc>
        <w:tc>
          <w:tcPr>
            <w:tcW w:w="2010" w:type="dxa"/>
            <w:tcBorders>
              <w:top w:val="nil"/>
              <w:left w:val="nil"/>
              <w:bottom w:val="single" w:color="auto" w:sz="8" w:space="0"/>
              <w:right w:val="single" w:color="auto" w:sz="8" w:space="0"/>
            </w:tcBorders>
            <w:shd w:val="clear" w:color="auto" w:fill="FFFFFF"/>
            <w:tcMar>
              <w:left w:w="108" w:type="dxa"/>
              <w:right w:w="108" w:type="dxa"/>
            </w:tcMar>
            <w:vAlign w:val="center"/>
          </w:tcPr>
          <w:p w14:paraId="7DAF5C0E">
            <w:pPr>
              <w:pStyle w:val="43"/>
              <w:spacing w:before="0" w:beforeAutospacing="0" w:after="0" w:afterAutospacing="0"/>
              <w:jc w:val="center"/>
              <w:rPr>
                <w:color w:val="auto"/>
                <w:highlight w:val="none"/>
              </w:rPr>
            </w:pPr>
            <w:r>
              <w:rPr>
                <w:rFonts w:cs="宋体"/>
                <w:color w:val="auto"/>
                <w:szCs w:val="24"/>
                <w:highlight w:val="none"/>
              </w:rPr>
              <w:t>统信软件技术有限公司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3FEE778B">
            <w:pPr>
              <w:pStyle w:val="43"/>
              <w:spacing w:before="0" w:beforeAutospacing="0" w:after="0" w:afterAutospacing="0"/>
              <w:jc w:val="center"/>
              <w:rPr>
                <w:color w:val="auto"/>
                <w:highlight w:val="none"/>
              </w:rPr>
            </w:pPr>
            <w:r>
              <w:rPr>
                <w:rFonts w:cs="宋体"/>
                <w:color w:val="auto"/>
                <w:szCs w:val="24"/>
                <w:highlight w:val="none"/>
              </w:rPr>
              <w:t>I级</w:t>
            </w:r>
          </w:p>
        </w:tc>
      </w:tr>
    </w:tbl>
    <w:p w14:paraId="3CC1734A">
      <w:pPr>
        <w:pStyle w:val="43"/>
        <w:shd w:val="clear" w:color="auto" w:fill="FFFFFF"/>
        <w:spacing w:before="0" w:beforeAutospacing="0" w:after="0" w:afterAutospacing="0"/>
        <w:rPr>
          <w:rFonts w:cs="宋体"/>
          <w:color w:val="auto"/>
          <w:sz w:val="18"/>
          <w:szCs w:val="18"/>
          <w:highlight w:val="none"/>
        </w:rPr>
      </w:pPr>
      <w:r>
        <w:rPr>
          <w:rFonts w:cs="宋体"/>
          <w:color w:val="auto"/>
          <w:sz w:val="21"/>
          <w:szCs w:val="21"/>
          <w:highlight w:val="none"/>
          <w:shd w:val="clear" w:color="auto" w:fill="FFFFFF"/>
        </w:rPr>
        <w:t> </w:t>
      </w:r>
    </w:p>
    <w:p w14:paraId="1B69E1B6">
      <w:pPr>
        <w:pStyle w:val="43"/>
        <w:shd w:val="clear" w:color="auto" w:fill="FFFFFF"/>
        <w:spacing w:before="0" w:beforeAutospacing="0" w:after="0" w:afterAutospacing="0"/>
        <w:rPr>
          <w:rFonts w:cs="宋体"/>
          <w:color w:val="auto"/>
          <w:sz w:val="18"/>
          <w:szCs w:val="18"/>
          <w:highlight w:val="none"/>
        </w:rPr>
      </w:pPr>
      <w:r>
        <w:rPr>
          <w:rFonts w:cs="宋体"/>
          <w:color w:val="auto"/>
          <w:sz w:val="21"/>
          <w:szCs w:val="21"/>
          <w:highlight w:val="none"/>
          <w:shd w:val="clear" w:color="auto" w:fill="FFFFFF"/>
        </w:rPr>
        <w:t>（二）服务器操作系统</w:t>
      </w:r>
    </w:p>
    <w:tbl>
      <w:tblPr>
        <w:tblStyle w:val="48"/>
        <w:tblW w:w="7891" w:type="dxa"/>
        <w:jc w:val="center"/>
        <w:tblLayout w:type="autofit"/>
        <w:tblCellMar>
          <w:top w:w="0" w:type="dxa"/>
          <w:left w:w="0" w:type="dxa"/>
          <w:bottom w:w="0" w:type="dxa"/>
          <w:right w:w="0" w:type="dxa"/>
        </w:tblCellMar>
      </w:tblPr>
      <w:tblGrid>
        <w:gridCol w:w="730"/>
        <w:gridCol w:w="4022"/>
        <w:gridCol w:w="2087"/>
        <w:gridCol w:w="1052"/>
      </w:tblGrid>
      <w:tr w14:paraId="4376E9F3">
        <w:tblPrEx>
          <w:tblCellMar>
            <w:top w:w="0" w:type="dxa"/>
            <w:left w:w="0" w:type="dxa"/>
            <w:bottom w:w="0" w:type="dxa"/>
            <w:right w:w="0" w:type="dxa"/>
          </w:tblCellMar>
        </w:tblPrEx>
        <w:trPr>
          <w:trHeight w:val="570" w:hRule="atLeast"/>
          <w:jc w:val="center"/>
        </w:trPr>
        <w:tc>
          <w:tcPr>
            <w:tcW w:w="645"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6EF8B0AD">
            <w:pPr>
              <w:pStyle w:val="43"/>
              <w:spacing w:before="0" w:beforeAutospacing="0" w:after="0" w:afterAutospacing="0"/>
              <w:jc w:val="center"/>
              <w:rPr>
                <w:color w:val="auto"/>
                <w:highlight w:val="none"/>
              </w:rPr>
            </w:pPr>
            <w:r>
              <w:rPr>
                <w:rFonts w:cs="宋体"/>
                <w:color w:val="auto"/>
                <w:sz w:val="21"/>
                <w:szCs w:val="21"/>
                <w:highlight w:val="none"/>
              </w:rPr>
              <w:t>序号</w:t>
            </w:r>
          </w:p>
        </w:tc>
        <w:tc>
          <w:tcPr>
            <w:tcW w:w="3555"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45D52499">
            <w:pPr>
              <w:pStyle w:val="43"/>
              <w:spacing w:before="0" w:beforeAutospacing="0" w:after="0" w:afterAutospacing="0"/>
              <w:jc w:val="center"/>
              <w:rPr>
                <w:color w:val="auto"/>
                <w:highlight w:val="none"/>
              </w:rPr>
            </w:pPr>
            <w:r>
              <w:rPr>
                <w:rFonts w:cs="宋体"/>
                <w:color w:val="auto"/>
                <w:sz w:val="21"/>
                <w:szCs w:val="21"/>
                <w:highlight w:val="none"/>
              </w:rPr>
              <w:t>产品名称</w:t>
            </w:r>
          </w:p>
        </w:tc>
        <w:tc>
          <w:tcPr>
            <w:tcW w:w="1845"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1F6DA3ED">
            <w:pPr>
              <w:pStyle w:val="43"/>
              <w:spacing w:before="0" w:beforeAutospacing="0" w:after="0" w:afterAutospacing="0"/>
              <w:jc w:val="center"/>
              <w:rPr>
                <w:color w:val="auto"/>
                <w:highlight w:val="none"/>
              </w:rPr>
            </w:pPr>
            <w:r>
              <w:rPr>
                <w:rFonts w:cs="宋体"/>
                <w:color w:val="auto"/>
                <w:sz w:val="21"/>
                <w:szCs w:val="21"/>
                <w:highlight w:val="none"/>
              </w:rPr>
              <w:t>送测单位</w:t>
            </w:r>
          </w:p>
        </w:tc>
        <w:tc>
          <w:tcPr>
            <w:tcW w:w="930"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29444361">
            <w:pPr>
              <w:pStyle w:val="43"/>
              <w:spacing w:before="0" w:beforeAutospacing="0" w:after="0" w:afterAutospacing="0"/>
              <w:jc w:val="center"/>
              <w:rPr>
                <w:color w:val="auto"/>
                <w:highlight w:val="none"/>
              </w:rPr>
            </w:pPr>
            <w:r>
              <w:rPr>
                <w:rFonts w:cs="宋体"/>
                <w:color w:val="auto"/>
                <w:sz w:val="21"/>
                <w:szCs w:val="21"/>
                <w:highlight w:val="none"/>
              </w:rPr>
              <w:t>安全可</w:t>
            </w:r>
          </w:p>
          <w:p w14:paraId="475A2A82">
            <w:pPr>
              <w:pStyle w:val="43"/>
              <w:spacing w:before="0" w:beforeAutospacing="0" w:after="0" w:afterAutospacing="0"/>
              <w:jc w:val="center"/>
              <w:rPr>
                <w:color w:val="auto"/>
                <w:highlight w:val="none"/>
              </w:rPr>
            </w:pPr>
            <w:r>
              <w:rPr>
                <w:rFonts w:cs="宋体"/>
                <w:color w:val="auto"/>
                <w:sz w:val="21"/>
                <w:szCs w:val="21"/>
                <w:highlight w:val="none"/>
              </w:rPr>
              <w:t>靠等级</w:t>
            </w:r>
          </w:p>
        </w:tc>
      </w:tr>
      <w:tr w14:paraId="4CFD9E66">
        <w:tblPrEx>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4F17F0B">
            <w:pPr>
              <w:pStyle w:val="43"/>
              <w:spacing w:before="0" w:beforeAutospacing="0" w:after="0" w:afterAutospacing="0"/>
              <w:ind w:left="41"/>
              <w:jc w:val="center"/>
              <w:rPr>
                <w:color w:val="auto"/>
                <w:highlight w:val="none"/>
              </w:rPr>
            </w:pPr>
            <w:r>
              <w:rPr>
                <w:rFonts w:cs="宋体"/>
                <w:color w:val="auto"/>
                <w:sz w:val="21"/>
                <w:szCs w:val="21"/>
                <w:highlight w:val="none"/>
              </w:rPr>
              <w:t>1</w:t>
            </w:r>
          </w:p>
        </w:tc>
        <w:tc>
          <w:tcPr>
            <w:tcW w:w="3555" w:type="dxa"/>
            <w:tcBorders>
              <w:top w:val="nil"/>
              <w:left w:val="nil"/>
              <w:bottom w:val="single" w:color="auto" w:sz="8" w:space="0"/>
              <w:right w:val="single" w:color="auto" w:sz="8" w:space="0"/>
            </w:tcBorders>
            <w:shd w:val="clear" w:color="auto" w:fill="FFFFFF"/>
            <w:tcMar>
              <w:left w:w="108" w:type="dxa"/>
              <w:right w:w="108" w:type="dxa"/>
            </w:tcMar>
            <w:vAlign w:val="center"/>
          </w:tcPr>
          <w:p w14:paraId="51253A29">
            <w:pPr>
              <w:pStyle w:val="43"/>
              <w:spacing w:before="0" w:beforeAutospacing="0" w:after="0" w:afterAutospacing="0"/>
              <w:jc w:val="center"/>
              <w:rPr>
                <w:color w:val="auto"/>
                <w:highlight w:val="none"/>
              </w:rPr>
            </w:pPr>
            <w:r>
              <w:rPr>
                <w:rFonts w:cs="宋体"/>
                <w:color w:val="auto"/>
                <w:szCs w:val="24"/>
                <w:highlight w:val="none"/>
              </w:rPr>
              <w:t>华为云欧拉操作系统 V3</w:t>
            </w:r>
          </w:p>
          <w:p w14:paraId="2E8180EB">
            <w:pPr>
              <w:pStyle w:val="43"/>
              <w:spacing w:before="0" w:beforeAutospacing="0" w:after="0" w:afterAutospacing="0"/>
              <w:jc w:val="center"/>
              <w:rPr>
                <w:color w:val="auto"/>
                <w:highlight w:val="none"/>
              </w:rPr>
            </w:pPr>
            <w:r>
              <w:rPr>
                <w:rFonts w:cs="宋体"/>
                <w:color w:val="auto"/>
                <w:szCs w:val="24"/>
                <w:highlight w:val="none"/>
              </w:rPr>
              <w:t>（内核版本Linux Kerenl 6.6）</w:t>
            </w:r>
          </w:p>
        </w:tc>
        <w:tc>
          <w:tcPr>
            <w:tcW w:w="1845" w:type="dxa"/>
            <w:tcBorders>
              <w:top w:val="nil"/>
              <w:left w:val="nil"/>
              <w:bottom w:val="single" w:color="auto" w:sz="8" w:space="0"/>
              <w:right w:val="single" w:color="auto" w:sz="8" w:space="0"/>
            </w:tcBorders>
            <w:shd w:val="clear" w:color="auto" w:fill="FFFFFF"/>
            <w:tcMar>
              <w:left w:w="108" w:type="dxa"/>
              <w:right w:w="108" w:type="dxa"/>
            </w:tcMar>
            <w:vAlign w:val="center"/>
          </w:tcPr>
          <w:p w14:paraId="1BDD628D">
            <w:pPr>
              <w:pStyle w:val="43"/>
              <w:spacing w:before="0" w:beforeAutospacing="0" w:after="0" w:afterAutospacing="0"/>
              <w:jc w:val="center"/>
              <w:rPr>
                <w:color w:val="auto"/>
                <w:highlight w:val="none"/>
              </w:rPr>
            </w:pPr>
            <w:r>
              <w:rPr>
                <w:rFonts w:cs="宋体"/>
                <w:color w:val="auto"/>
                <w:szCs w:val="24"/>
                <w:highlight w:val="none"/>
              </w:rPr>
              <w:t>华为云计算技术有限公司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53DD9E26">
            <w:pPr>
              <w:pStyle w:val="43"/>
              <w:spacing w:before="0" w:beforeAutospacing="0" w:after="0" w:afterAutospacing="0"/>
              <w:jc w:val="center"/>
              <w:rPr>
                <w:color w:val="auto"/>
                <w:highlight w:val="none"/>
              </w:rPr>
            </w:pPr>
            <w:r>
              <w:rPr>
                <w:rFonts w:cs="宋体"/>
                <w:color w:val="auto"/>
                <w:szCs w:val="24"/>
                <w:highlight w:val="none"/>
              </w:rPr>
              <w:t>I级</w:t>
            </w:r>
          </w:p>
        </w:tc>
      </w:tr>
      <w:tr w14:paraId="4ABF656C">
        <w:tblPrEx>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50709AC">
            <w:pPr>
              <w:pStyle w:val="43"/>
              <w:spacing w:before="0" w:beforeAutospacing="0" w:after="0" w:afterAutospacing="0"/>
              <w:ind w:left="41"/>
              <w:jc w:val="center"/>
              <w:rPr>
                <w:color w:val="auto"/>
                <w:highlight w:val="none"/>
              </w:rPr>
            </w:pPr>
            <w:r>
              <w:rPr>
                <w:rFonts w:cs="宋体"/>
                <w:color w:val="auto"/>
                <w:sz w:val="21"/>
                <w:szCs w:val="21"/>
                <w:highlight w:val="none"/>
              </w:rPr>
              <w:t>2</w:t>
            </w:r>
          </w:p>
        </w:tc>
        <w:tc>
          <w:tcPr>
            <w:tcW w:w="3555" w:type="dxa"/>
            <w:tcBorders>
              <w:top w:val="nil"/>
              <w:left w:val="nil"/>
              <w:bottom w:val="single" w:color="auto" w:sz="8" w:space="0"/>
              <w:right w:val="single" w:color="auto" w:sz="8" w:space="0"/>
            </w:tcBorders>
            <w:shd w:val="clear" w:color="auto" w:fill="FFFFFF"/>
            <w:tcMar>
              <w:left w:w="108" w:type="dxa"/>
              <w:right w:w="108" w:type="dxa"/>
            </w:tcMar>
            <w:vAlign w:val="center"/>
          </w:tcPr>
          <w:p w14:paraId="63CE1B4F">
            <w:pPr>
              <w:pStyle w:val="43"/>
              <w:spacing w:before="0" w:beforeAutospacing="0" w:after="0" w:afterAutospacing="0"/>
              <w:jc w:val="center"/>
              <w:rPr>
                <w:color w:val="auto"/>
                <w:highlight w:val="none"/>
              </w:rPr>
            </w:pPr>
            <w:r>
              <w:rPr>
                <w:rFonts w:cs="宋体"/>
                <w:color w:val="auto"/>
                <w:szCs w:val="24"/>
                <w:highlight w:val="none"/>
              </w:rPr>
              <w:t>阿里云服务器操作系统V4</w:t>
            </w:r>
          </w:p>
          <w:p w14:paraId="6E868552">
            <w:pPr>
              <w:pStyle w:val="43"/>
              <w:spacing w:before="0" w:beforeAutospacing="0" w:after="0" w:afterAutospacing="0"/>
              <w:jc w:val="center"/>
              <w:rPr>
                <w:color w:val="auto"/>
                <w:highlight w:val="none"/>
              </w:rPr>
            </w:pPr>
            <w:r>
              <w:rPr>
                <w:rFonts w:cs="宋体"/>
                <w:color w:val="auto"/>
                <w:szCs w:val="24"/>
                <w:highlight w:val="none"/>
              </w:rPr>
              <w:t>(内核版本Linux Kernel 6.6)</w:t>
            </w:r>
          </w:p>
        </w:tc>
        <w:tc>
          <w:tcPr>
            <w:tcW w:w="1845" w:type="dxa"/>
            <w:tcBorders>
              <w:top w:val="nil"/>
              <w:left w:val="nil"/>
              <w:bottom w:val="single" w:color="auto" w:sz="8" w:space="0"/>
              <w:right w:val="single" w:color="auto" w:sz="8" w:space="0"/>
            </w:tcBorders>
            <w:shd w:val="clear" w:color="auto" w:fill="FFFFFF"/>
            <w:tcMar>
              <w:left w:w="108" w:type="dxa"/>
              <w:right w:w="108" w:type="dxa"/>
            </w:tcMar>
            <w:vAlign w:val="center"/>
          </w:tcPr>
          <w:p w14:paraId="6E4CA24F">
            <w:pPr>
              <w:pStyle w:val="43"/>
              <w:spacing w:before="0" w:beforeAutospacing="0" w:after="0" w:afterAutospacing="0"/>
              <w:jc w:val="center"/>
              <w:rPr>
                <w:color w:val="auto"/>
                <w:highlight w:val="none"/>
              </w:rPr>
            </w:pPr>
            <w:r>
              <w:rPr>
                <w:rFonts w:cs="宋体"/>
                <w:color w:val="auto"/>
                <w:szCs w:val="24"/>
                <w:highlight w:val="none"/>
              </w:rPr>
              <w:t>阿里云计算有限公司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69F72E8B">
            <w:pPr>
              <w:pStyle w:val="43"/>
              <w:spacing w:before="0" w:beforeAutospacing="0" w:after="0" w:afterAutospacing="0"/>
              <w:jc w:val="center"/>
              <w:rPr>
                <w:color w:val="auto"/>
                <w:highlight w:val="none"/>
              </w:rPr>
            </w:pPr>
            <w:r>
              <w:rPr>
                <w:rFonts w:cs="宋体"/>
                <w:color w:val="auto"/>
                <w:szCs w:val="24"/>
                <w:highlight w:val="none"/>
              </w:rPr>
              <w:t>I级</w:t>
            </w:r>
          </w:p>
        </w:tc>
      </w:tr>
      <w:tr w14:paraId="31FCF35D">
        <w:tblPrEx>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69F332B">
            <w:pPr>
              <w:pStyle w:val="43"/>
              <w:spacing w:before="0" w:beforeAutospacing="0" w:after="0" w:afterAutospacing="0"/>
              <w:ind w:left="41"/>
              <w:jc w:val="center"/>
              <w:rPr>
                <w:color w:val="auto"/>
                <w:highlight w:val="none"/>
              </w:rPr>
            </w:pPr>
            <w:r>
              <w:rPr>
                <w:rFonts w:cs="宋体"/>
                <w:color w:val="auto"/>
                <w:sz w:val="21"/>
                <w:szCs w:val="21"/>
                <w:highlight w:val="none"/>
              </w:rPr>
              <w:t>3</w:t>
            </w:r>
          </w:p>
        </w:tc>
        <w:tc>
          <w:tcPr>
            <w:tcW w:w="3555" w:type="dxa"/>
            <w:tcBorders>
              <w:top w:val="nil"/>
              <w:left w:val="nil"/>
              <w:bottom w:val="single" w:color="auto" w:sz="8" w:space="0"/>
              <w:right w:val="single" w:color="auto" w:sz="8" w:space="0"/>
            </w:tcBorders>
            <w:shd w:val="clear" w:color="auto" w:fill="FFFFFF"/>
            <w:tcMar>
              <w:left w:w="108" w:type="dxa"/>
              <w:right w:w="108" w:type="dxa"/>
            </w:tcMar>
            <w:vAlign w:val="center"/>
          </w:tcPr>
          <w:p w14:paraId="7558B0F2">
            <w:pPr>
              <w:pStyle w:val="43"/>
              <w:spacing w:before="0" w:beforeAutospacing="0" w:after="0" w:afterAutospacing="0"/>
              <w:jc w:val="center"/>
              <w:rPr>
                <w:color w:val="auto"/>
                <w:highlight w:val="none"/>
              </w:rPr>
            </w:pPr>
            <w:r>
              <w:rPr>
                <w:rFonts w:cs="宋体"/>
                <w:color w:val="auto"/>
                <w:szCs w:val="24"/>
                <w:highlight w:val="none"/>
              </w:rPr>
              <w:t>新支点服务器操作系统V7</w:t>
            </w:r>
          </w:p>
          <w:p w14:paraId="2C72866B">
            <w:pPr>
              <w:pStyle w:val="43"/>
              <w:spacing w:before="0" w:beforeAutospacing="0" w:after="0" w:afterAutospacing="0"/>
              <w:jc w:val="center"/>
              <w:rPr>
                <w:color w:val="auto"/>
                <w:highlight w:val="none"/>
              </w:rPr>
            </w:pPr>
            <w:r>
              <w:rPr>
                <w:rFonts w:cs="宋体"/>
                <w:color w:val="auto"/>
                <w:szCs w:val="24"/>
                <w:highlight w:val="none"/>
              </w:rPr>
              <w:t>（内核版本Linux Kernel 6.6）</w:t>
            </w:r>
          </w:p>
        </w:tc>
        <w:tc>
          <w:tcPr>
            <w:tcW w:w="1845" w:type="dxa"/>
            <w:tcBorders>
              <w:top w:val="nil"/>
              <w:left w:val="nil"/>
              <w:bottom w:val="single" w:color="auto" w:sz="8" w:space="0"/>
              <w:right w:val="single" w:color="auto" w:sz="8" w:space="0"/>
            </w:tcBorders>
            <w:shd w:val="clear" w:color="auto" w:fill="FFFFFF"/>
            <w:tcMar>
              <w:left w:w="108" w:type="dxa"/>
              <w:right w:w="108" w:type="dxa"/>
            </w:tcMar>
            <w:vAlign w:val="center"/>
          </w:tcPr>
          <w:p w14:paraId="5BC51B3D">
            <w:pPr>
              <w:pStyle w:val="43"/>
              <w:spacing w:before="0" w:beforeAutospacing="0" w:after="0" w:afterAutospacing="0"/>
              <w:jc w:val="center"/>
              <w:rPr>
                <w:color w:val="auto"/>
                <w:highlight w:val="none"/>
              </w:rPr>
            </w:pPr>
            <w:r>
              <w:rPr>
                <w:rFonts w:cs="宋体"/>
                <w:color w:val="auto"/>
                <w:szCs w:val="24"/>
                <w:highlight w:val="none"/>
              </w:rPr>
              <w:t>中兴通讯股份</w:t>
            </w:r>
            <w:r>
              <w:rPr>
                <w:rFonts w:cs="宋体"/>
                <w:color w:val="auto"/>
                <w:szCs w:val="24"/>
                <w:highlight w:val="none"/>
              </w:rPr>
              <w:br w:type="textWrapping"/>
            </w:r>
            <w:r>
              <w:rPr>
                <w:rFonts w:cs="宋体"/>
                <w:color w:val="auto"/>
                <w:szCs w:val="24"/>
                <w:highlight w:val="none"/>
              </w:rPr>
              <w:t>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40725D8">
            <w:pPr>
              <w:pStyle w:val="43"/>
              <w:spacing w:before="0" w:beforeAutospacing="0" w:after="0" w:afterAutospacing="0"/>
              <w:jc w:val="center"/>
              <w:rPr>
                <w:color w:val="auto"/>
                <w:highlight w:val="none"/>
              </w:rPr>
            </w:pPr>
            <w:r>
              <w:rPr>
                <w:rFonts w:cs="宋体"/>
                <w:color w:val="auto"/>
                <w:szCs w:val="24"/>
                <w:highlight w:val="none"/>
              </w:rPr>
              <w:t>I级</w:t>
            </w:r>
          </w:p>
        </w:tc>
      </w:tr>
    </w:tbl>
    <w:p w14:paraId="65EB0227">
      <w:pPr>
        <w:jc w:val="left"/>
        <w:rPr>
          <w:rFonts w:hint="eastAsia" w:ascii="仿宋_GB2312" w:hAnsi="宋体" w:eastAsia="仿宋_GB2312"/>
          <w:b/>
          <w:color w:val="auto"/>
          <w:sz w:val="24"/>
          <w:highlight w:val="none"/>
        </w:rPr>
      </w:pPr>
    </w:p>
    <w:p w14:paraId="690532B9">
      <w:pPr>
        <w:widowControl/>
        <w:shd w:val="clear" w:color="auto" w:fill="FFFFFF"/>
        <w:jc w:val="center"/>
        <w:rPr>
          <w:rFonts w:hint="eastAsia" w:ascii="宋体" w:hAnsi="宋体" w:cs="宋体"/>
          <w:color w:val="auto"/>
          <w:sz w:val="18"/>
          <w:szCs w:val="18"/>
          <w:highlight w:val="none"/>
        </w:rPr>
      </w:pPr>
      <w:r>
        <w:rPr>
          <w:rFonts w:hint="eastAsia" w:ascii="仿宋_GB2312" w:hAnsi="宋体" w:eastAsia="仿宋_GB2312"/>
          <w:b/>
          <w:color w:val="auto"/>
          <w:sz w:val="24"/>
          <w:highlight w:val="none"/>
        </w:rPr>
        <w:br w:type="page"/>
      </w:r>
      <w:r>
        <w:rPr>
          <w:rFonts w:hint="eastAsia" w:ascii="宋体" w:hAnsi="宋体" w:cs="宋体"/>
          <w:b/>
          <w:bCs/>
          <w:color w:val="auto"/>
          <w:kern w:val="0"/>
          <w:sz w:val="32"/>
          <w:szCs w:val="32"/>
          <w:highlight w:val="none"/>
          <w:shd w:val="clear" w:color="auto" w:fill="FFFFFF"/>
          <w:lang w:bidi="ar"/>
        </w:rPr>
        <w:t>安全可靠测评结果公告（2026年第2号）</w:t>
      </w:r>
    </w:p>
    <w:p w14:paraId="353BD358">
      <w:pPr>
        <w:widowControl/>
        <w:shd w:val="clear" w:color="auto" w:fill="FFFFFF"/>
        <w:jc w:val="left"/>
        <w:rPr>
          <w:rFonts w:hint="eastAsia" w:ascii="宋体" w:hAnsi="宋体" w:cs="宋体"/>
          <w:b/>
          <w:bCs/>
          <w:color w:val="auto"/>
          <w:kern w:val="0"/>
          <w:szCs w:val="21"/>
          <w:highlight w:val="none"/>
          <w:shd w:val="clear" w:color="auto" w:fill="FFFFFF"/>
          <w:lang w:bidi="ar"/>
        </w:rPr>
      </w:pPr>
    </w:p>
    <w:p w14:paraId="17AC04C1">
      <w:pPr>
        <w:widowControl/>
        <w:shd w:val="clear" w:color="auto" w:fill="FFFFFF"/>
        <w:jc w:val="left"/>
        <w:rPr>
          <w:rFonts w:hint="eastAsia" w:ascii="宋体" w:hAnsi="宋体" w:cs="宋体"/>
          <w:color w:val="auto"/>
          <w:sz w:val="18"/>
          <w:szCs w:val="18"/>
          <w:highlight w:val="none"/>
        </w:rPr>
      </w:pPr>
      <w:r>
        <w:rPr>
          <w:rFonts w:hint="eastAsia" w:ascii="宋体" w:hAnsi="宋体" w:cs="宋体"/>
          <w:b/>
          <w:bCs/>
          <w:color w:val="auto"/>
          <w:kern w:val="0"/>
          <w:szCs w:val="21"/>
          <w:highlight w:val="none"/>
          <w:shd w:val="clear" w:color="auto" w:fill="FFFFFF"/>
          <w:lang w:bidi="ar"/>
        </w:rPr>
        <w:t>附表二、数据库</w:t>
      </w:r>
      <w:r>
        <w:rPr>
          <w:rFonts w:hint="eastAsia" w:ascii="宋体" w:hAnsi="宋体" w:cs="宋体"/>
          <w:color w:val="auto"/>
          <w:kern w:val="0"/>
          <w:szCs w:val="21"/>
          <w:highlight w:val="none"/>
          <w:shd w:val="clear" w:color="auto" w:fill="FFFFFF"/>
          <w:lang w:bidi="ar"/>
        </w:rPr>
        <w:t>（同一等级按产品名称首字笔画为序排列）</w:t>
      </w:r>
    </w:p>
    <w:p w14:paraId="0EFCBDD9">
      <w:pPr>
        <w:widowControl/>
        <w:shd w:val="clear" w:color="auto" w:fill="FFFFFF"/>
        <w:jc w:val="left"/>
        <w:rPr>
          <w:rFonts w:hint="eastAsia" w:ascii="宋体" w:hAnsi="宋体" w:cs="宋体"/>
          <w:color w:val="auto"/>
          <w:sz w:val="18"/>
          <w:szCs w:val="18"/>
          <w:highlight w:val="none"/>
        </w:rPr>
      </w:pPr>
      <w:r>
        <w:rPr>
          <w:color w:val="auto"/>
          <w:kern w:val="0"/>
          <w:szCs w:val="21"/>
          <w:highlight w:val="none"/>
          <w:shd w:val="clear" w:color="auto" w:fill="FFFFFF"/>
          <w:lang w:bidi="ar"/>
        </w:rPr>
        <w:t> </w:t>
      </w:r>
    </w:p>
    <w:p w14:paraId="44344D1B">
      <w:pPr>
        <w:pStyle w:val="43"/>
        <w:shd w:val="clear" w:color="auto" w:fill="FFFFFF"/>
        <w:spacing w:before="0" w:beforeAutospacing="0" w:after="0" w:afterAutospacing="0"/>
        <w:rPr>
          <w:rFonts w:cs="宋体"/>
          <w:color w:val="auto"/>
          <w:sz w:val="18"/>
          <w:szCs w:val="18"/>
          <w:highlight w:val="none"/>
        </w:rPr>
      </w:pPr>
      <w:r>
        <w:rPr>
          <w:rFonts w:cs="宋体"/>
          <w:color w:val="auto"/>
          <w:sz w:val="21"/>
          <w:szCs w:val="21"/>
          <w:highlight w:val="none"/>
          <w:shd w:val="clear" w:color="auto" w:fill="FFFFFF"/>
        </w:rPr>
        <w:t>（一）集中式数据库</w:t>
      </w:r>
    </w:p>
    <w:tbl>
      <w:tblPr>
        <w:tblStyle w:val="48"/>
        <w:tblW w:w="7799" w:type="dxa"/>
        <w:jc w:val="center"/>
        <w:tblLayout w:type="autofit"/>
        <w:tblCellMar>
          <w:top w:w="0" w:type="dxa"/>
          <w:left w:w="0" w:type="dxa"/>
          <w:bottom w:w="0" w:type="dxa"/>
          <w:right w:w="0" w:type="dxa"/>
        </w:tblCellMar>
      </w:tblPr>
      <w:tblGrid>
        <w:gridCol w:w="906"/>
        <w:gridCol w:w="2849"/>
        <w:gridCol w:w="2935"/>
        <w:gridCol w:w="1109"/>
      </w:tblGrid>
      <w:tr w14:paraId="5EA57F43">
        <w:tblPrEx>
          <w:tblCellMar>
            <w:top w:w="0" w:type="dxa"/>
            <w:left w:w="0" w:type="dxa"/>
            <w:bottom w:w="0" w:type="dxa"/>
            <w:right w:w="0" w:type="dxa"/>
          </w:tblCellMar>
        </w:tblPrEx>
        <w:trPr>
          <w:trHeight w:val="570" w:hRule="atLeast"/>
          <w:jc w:val="center"/>
        </w:trPr>
        <w:tc>
          <w:tcPr>
            <w:tcW w:w="90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016D96F0">
            <w:pPr>
              <w:pStyle w:val="43"/>
              <w:spacing w:before="0" w:beforeAutospacing="0" w:after="0" w:afterAutospacing="0"/>
              <w:jc w:val="center"/>
              <w:rPr>
                <w:color w:val="auto"/>
                <w:highlight w:val="none"/>
              </w:rPr>
            </w:pPr>
            <w:r>
              <w:rPr>
                <w:rFonts w:cs="宋体"/>
                <w:color w:val="auto"/>
                <w:sz w:val="21"/>
                <w:szCs w:val="21"/>
                <w:highlight w:val="none"/>
              </w:rPr>
              <w:t>序号</w:t>
            </w:r>
          </w:p>
        </w:tc>
        <w:tc>
          <w:tcPr>
            <w:tcW w:w="284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6C6A486E">
            <w:pPr>
              <w:pStyle w:val="43"/>
              <w:spacing w:before="0" w:beforeAutospacing="0" w:after="0" w:afterAutospacing="0"/>
              <w:jc w:val="center"/>
              <w:rPr>
                <w:color w:val="auto"/>
                <w:highlight w:val="none"/>
              </w:rPr>
            </w:pPr>
            <w:r>
              <w:rPr>
                <w:rFonts w:cs="宋体"/>
                <w:color w:val="auto"/>
                <w:sz w:val="21"/>
                <w:szCs w:val="21"/>
                <w:highlight w:val="none"/>
              </w:rPr>
              <w:t>产品名称</w:t>
            </w:r>
          </w:p>
        </w:tc>
        <w:tc>
          <w:tcPr>
            <w:tcW w:w="293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3988ACB1">
            <w:pPr>
              <w:pStyle w:val="43"/>
              <w:spacing w:before="0" w:beforeAutospacing="0" w:after="0" w:afterAutospacing="0"/>
              <w:jc w:val="center"/>
              <w:rPr>
                <w:color w:val="auto"/>
                <w:highlight w:val="none"/>
              </w:rPr>
            </w:pPr>
            <w:r>
              <w:rPr>
                <w:rFonts w:cs="宋体"/>
                <w:color w:val="auto"/>
                <w:sz w:val="21"/>
                <w:szCs w:val="21"/>
                <w:highlight w:val="none"/>
              </w:rPr>
              <w:t>送测单位</w:t>
            </w:r>
          </w:p>
        </w:tc>
        <w:tc>
          <w:tcPr>
            <w:tcW w:w="110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159CADAF">
            <w:pPr>
              <w:pStyle w:val="43"/>
              <w:spacing w:before="0" w:beforeAutospacing="0" w:after="0" w:afterAutospacing="0"/>
              <w:jc w:val="center"/>
              <w:rPr>
                <w:color w:val="auto"/>
                <w:highlight w:val="none"/>
              </w:rPr>
            </w:pPr>
            <w:r>
              <w:rPr>
                <w:rFonts w:cs="宋体"/>
                <w:color w:val="auto"/>
                <w:sz w:val="21"/>
                <w:szCs w:val="21"/>
                <w:highlight w:val="none"/>
              </w:rPr>
              <w:t>安全可</w:t>
            </w:r>
          </w:p>
          <w:p w14:paraId="28376CFD">
            <w:pPr>
              <w:pStyle w:val="43"/>
              <w:spacing w:before="0" w:beforeAutospacing="0" w:after="0" w:afterAutospacing="0"/>
              <w:jc w:val="center"/>
              <w:rPr>
                <w:color w:val="auto"/>
                <w:highlight w:val="none"/>
              </w:rPr>
            </w:pPr>
            <w:r>
              <w:rPr>
                <w:rFonts w:cs="宋体"/>
                <w:color w:val="auto"/>
                <w:sz w:val="21"/>
                <w:szCs w:val="21"/>
                <w:highlight w:val="none"/>
              </w:rPr>
              <w:t>靠等级</w:t>
            </w:r>
          </w:p>
        </w:tc>
      </w:tr>
      <w:tr w14:paraId="1A3E8C01">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A42D250">
            <w:pPr>
              <w:pStyle w:val="43"/>
              <w:spacing w:before="0" w:beforeAutospacing="0" w:after="0" w:afterAutospacing="0"/>
              <w:ind w:left="41"/>
              <w:jc w:val="center"/>
              <w:rPr>
                <w:color w:val="auto"/>
                <w:highlight w:val="none"/>
              </w:rPr>
            </w:pPr>
            <w:r>
              <w:rPr>
                <w:rFonts w:cs="宋体"/>
                <w:color w:val="auto"/>
                <w:sz w:val="21"/>
                <w:szCs w:val="21"/>
                <w:highlight w:val="none"/>
              </w:rPr>
              <w:t>1</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0EF71F10">
            <w:pPr>
              <w:pStyle w:val="43"/>
              <w:spacing w:before="0" w:beforeAutospacing="0" w:after="0" w:afterAutospacing="0"/>
              <w:jc w:val="center"/>
              <w:rPr>
                <w:color w:val="auto"/>
                <w:highlight w:val="none"/>
              </w:rPr>
            </w:pPr>
            <w:r>
              <w:rPr>
                <w:rFonts w:cs="宋体"/>
                <w:color w:val="auto"/>
                <w:sz w:val="21"/>
                <w:szCs w:val="21"/>
                <w:highlight w:val="none"/>
              </w:rPr>
              <w:t>达梦数据库管理系统 V9</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43E54934">
            <w:pPr>
              <w:pStyle w:val="43"/>
              <w:spacing w:before="0" w:beforeAutospacing="0" w:after="0" w:afterAutospacing="0"/>
              <w:jc w:val="center"/>
              <w:rPr>
                <w:color w:val="auto"/>
                <w:highlight w:val="none"/>
              </w:rPr>
            </w:pPr>
            <w:r>
              <w:rPr>
                <w:rFonts w:cs="宋体"/>
                <w:color w:val="auto"/>
                <w:sz w:val="21"/>
                <w:szCs w:val="21"/>
                <w:highlight w:val="none"/>
              </w:rPr>
              <w:t>武汉达梦数据库股份有限公司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04881922">
            <w:pPr>
              <w:pStyle w:val="43"/>
              <w:spacing w:before="0" w:beforeAutospacing="0" w:after="0" w:afterAutospacing="0"/>
              <w:jc w:val="center"/>
              <w:rPr>
                <w:color w:val="auto"/>
                <w:highlight w:val="none"/>
              </w:rPr>
            </w:pPr>
            <w:r>
              <w:rPr>
                <w:rFonts w:cs="宋体"/>
                <w:color w:val="auto"/>
                <w:szCs w:val="24"/>
                <w:highlight w:val="none"/>
              </w:rPr>
              <w:t>Ⅱ级</w:t>
            </w:r>
          </w:p>
        </w:tc>
      </w:tr>
      <w:tr w14:paraId="5DE652A6">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1E93B47">
            <w:pPr>
              <w:pStyle w:val="43"/>
              <w:spacing w:before="0" w:beforeAutospacing="0" w:after="0" w:afterAutospacing="0"/>
              <w:ind w:left="41"/>
              <w:jc w:val="center"/>
              <w:rPr>
                <w:color w:val="auto"/>
                <w:highlight w:val="none"/>
              </w:rPr>
            </w:pPr>
            <w:r>
              <w:rPr>
                <w:rFonts w:cs="宋体"/>
                <w:color w:val="auto"/>
                <w:sz w:val="21"/>
                <w:szCs w:val="21"/>
                <w:highlight w:val="none"/>
              </w:rPr>
              <w:t>2</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5DCF066B">
            <w:pPr>
              <w:pStyle w:val="43"/>
              <w:spacing w:before="0" w:beforeAutospacing="0" w:after="0" w:afterAutospacing="0"/>
              <w:jc w:val="center"/>
              <w:rPr>
                <w:color w:val="auto"/>
                <w:highlight w:val="none"/>
              </w:rPr>
            </w:pPr>
            <w:r>
              <w:rPr>
                <w:rFonts w:cs="宋体"/>
                <w:color w:val="auto"/>
                <w:sz w:val="21"/>
                <w:szCs w:val="21"/>
                <w:highlight w:val="none"/>
              </w:rPr>
              <w:t>平安RASESQL集中式数据库软件V3</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46F0E9F5">
            <w:pPr>
              <w:pStyle w:val="43"/>
              <w:spacing w:before="0" w:beforeAutospacing="0" w:after="0" w:afterAutospacing="0"/>
              <w:jc w:val="center"/>
              <w:rPr>
                <w:color w:val="auto"/>
                <w:highlight w:val="none"/>
              </w:rPr>
            </w:pPr>
            <w:r>
              <w:rPr>
                <w:rFonts w:cs="宋体"/>
                <w:color w:val="auto"/>
                <w:sz w:val="21"/>
                <w:szCs w:val="21"/>
                <w:highlight w:val="none"/>
              </w:rPr>
              <w:t>平安科技（深圳）有限公司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4D7FCBFB">
            <w:pPr>
              <w:pStyle w:val="43"/>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19361019">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353A9E8">
            <w:pPr>
              <w:pStyle w:val="43"/>
              <w:spacing w:before="0" w:beforeAutospacing="0" w:after="0" w:afterAutospacing="0"/>
              <w:ind w:left="41"/>
              <w:jc w:val="center"/>
              <w:rPr>
                <w:color w:val="auto"/>
                <w:highlight w:val="none"/>
              </w:rPr>
            </w:pPr>
            <w:r>
              <w:rPr>
                <w:rFonts w:cs="宋体"/>
                <w:color w:val="auto"/>
                <w:sz w:val="21"/>
                <w:szCs w:val="21"/>
                <w:highlight w:val="none"/>
              </w:rPr>
              <w:t>3</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4F0E8D14">
            <w:pPr>
              <w:pStyle w:val="43"/>
              <w:spacing w:before="0" w:beforeAutospacing="0" w:after="0" w:afterAutospacing="0"/>
              <w:jc w:val="center"/>
              <w:rPr>
                <w:color w:val="auto"/>
                <w:highlight w:val="none"/>
              </w:rPr>
            </w:pPr>
            <w:r>
              <w:rPr>
                <w:rFonts w:cs="宋体"/>
                <w:color w:val="auto"/>
                <w:sz w:val="21"/>
                <w:szCs w:val="21"/>
                <w:highlight w:val="none"/>
              </w:rPr>
              <w:t>阿里云PolarDB数据库管理软件（MySQL版）V2.0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06D7C2D4">
            <w:pPr>
              <w:pStyle w:val="43"/>
              <w:spacing w:before="0" w:beforeAutospacing="0" w:after="0" w:afterAutospacing="0"/>
              <w:jc w:val="center"/>
              <w:rPr>
                <w:color w:val="auto"/>
                <w:highlight w:val="none"/>
              </w:rPr>
            </w:pPr>
            <w:r>
              <w:rPr>
                <w:rFonts w:cs="宋体"/>
                <w:color w:val="auto"/>
                <w:sz w:val="21"/>
                <w:szCs w:val="21"/>
                <w:highlight w:val="none"/>
              </w:rPr>
              <w:t>阿里云计算有限公司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6EF3FC4">
            <w:pPr>
              <w:pStyle w:val="43"/>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596BCB46">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15BA5D0">
            <w:pPr>
              <w:pStyle w:val="43"/>
              <w:spacing w:before="0" w:beforeAutospacing="0" w:after="0" w:afterAutospacing="0"/>
              <w:ind w:left="41"/>
              <w:jc w:val="center"/>
              <w:rPr>
                <w:color w:val="auto"/>
                <w:highlight w:val="none"/>
              </w:rPr>
            </w:pPr>
            <w:r>
              <w:rPr>
                <w:rFonts w:cs="宋体"/>
                <w:color w:val="auto"/>
                <w:sz w:val="21"/>
                <w:szCs w:val="21"/>
                <w:highlight w:val="none"/>
              </w:rPr>
              <w:t>4</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534298FE">
            <w:pPr>
              <w:pStyle w:val="43"/>
              <w:spacing w:before="0" w:beforeAutospacing="0" w:after="0" w:afterAutospacing="0"/>
              <w:jc w:val="center"/>
              <w:rPr>
                <w:color w:val="auto"/>
                <w:highlight w:val="none"/>
              </w:rPr>
            </w:pPr>
            <w:r>
              <w:rPr>
                <w:rFonts w:cs="宋体"/>
                <w:color w:val="auto"/>
                <w:sz w:val="21"/>
                <w:szCs w:val="21"/>
                <w:highlight w:val="none"/>
              </w:rPr>
              <w:t>海盒数据库管理系统[简称：SeaboxSQL]V21</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55C64D1D">
            <w:pPr>
              <w:pStyle w:val="43"/>
              <w:spacing w:before="0" w:beforeAutospacing="0" w:after="0" w:afterAutospacing="0"/>
              <w:jc w:val="center"/>
              <w:rPr>
                <w:color w:val="auto"/>
                <w:highlight w:val="none"/>
              </w:rPr>
            </w:pPr>
            <w:r>
              <w:rPr>
                <w:rFonts w:cs="宋体"/>
                <w:color w:val="auto"/>
                <w:sz w:val="21"/>
                <w:szCs w:val="21"/>
                <w:highlight w:val="none"/>
              </w:rPr>
              <w:t>北京东方金信科技股份有限公司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0143F048">
            <w:pPr>
              <w:pStyle w:val="43"/>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1DFDEA31">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05DD35A">
            <w:pPr>
              <w:pStyle w:val="43"/>
              <w:spacing w:before="0" w:beforeAutospacing="0" w:after="0" w:afterAutospacing="0"/>
              <w:ind w:left="41"/>
              <w:jc w:val="center"/>
              <w:rPr>
                <w:color w:val="auto"/>
                <w:highlight w:val="none"/>
              </w:rPr>
            </w:pPr>
            <w:r>
              <w:rPr>
                <w:rFonts w:cs="宋体"/>
                <w:color w:val="auto"/>
                <w:sz w:val="21"/>
                <w:szCs w:val="21"/>
                <w:highlight w:val="none"/>
              </w:rPr>
              <w:t>5</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1C6B9ABB">
            <w:pPr>
              <w:pStyle w:val="43"/>
              <w:spacing w:before="0" w:beforeAutospacing="0" w:after="0" w:afterAutospacing="0"/>
              <w:jc w:val="center"/>
              <w:rPr>
                <w:color w:val="auto"/>
                <w:highlight w:val="none"/>
              </w:rPr>
            </w:pPr>
            <w:r>
              <w:rPr>
                <w:rFonts w:cs="宋体"/>
                <w:color w:val="auto"/>
                <w:sz w:val="21"/>
                <w:szCs w:val="21"/>
                <w:highlight w:val="none"/>
              </w:rPr>
              <w:t>磐维数据库V3.0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2336BB1C">
            <w:pPr>
              <w:pStyle w:val="43"/>
              <w:spacing w:before="0" w:beforeAutospacing="0" w:after="0" w:afterAutospacing="0"/>
              <w:jc w:val="center"/>
              <w:rPr>
                <w:color w:val="auto"/>
                <w:highlight w:val="none"/>
              </w:rPr>
            </w:pPr>
            <w:r>
              <w:rPr>
                <w:rFonts w:cs="宋体"/>
                <w:color w:val="auto"/>
                <w:sz w:val="21"/>
                <w:szCs w:val="21"/>
                <w:highlight w:val="none"/>
              </w:rPr>
              <w:t>中移动信息技术有限公司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1EB2191">
            <w:pPr>
              <w:pStyle w:val="43"/>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7F5FCB85">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D82FB72">
            <w:pPr>
              <w:pStyle w:val="43"/>
              <w:spacing w:before="0" w:beforeAutospacing="0" w:after="0" w:afterAutospacing="0"/>
              <w:ind w:left="41"/>
              <w:jc w:val="center"/>
              <w:rPr>
                <w:color w:val="auto"/>
                <w:highlight w:val="none"/>
              </w:rPr>
            </w:pPr>
            <w:r>
              <w:rPr>
                <w:rFonts w:cs="宋体"/>
                <w:color w:val="auto"/>
                <w:sz w:val="21"/>
                <w:szCs w:val="21"/>
                <w:highlight w:val="none"/>
              </w:rPr>
              <w:t>6</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0045A092">
            <w:pPr>
              <w:pStyle w:val="43"/>
              <w:spacing w:before="0" w:beforeAutospacing="0" w:after="0" w:afterAutospacing="0"/>
              <w:jc w:val="center"/>
              <w:rPr>
                <w:color w:val="auto"/>
                <w:highlight w:val="none"/>
              </w:rPr>
            </w:pPr>
            <w:r>
              <w:rPr>
                <w:rFonts w:cs="宋体"/>
                <w:color w:val="auto"/>
                <w:sz w:val="21"/>
                <w:szCs w:val="21"/>
                <w:highlight w:val="none"/>
              </w:rPr>
              <w:t>GoldenDB Lite数据库V7</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4449BD6B">
            <w:pPr>
              <w:pStyle w:val="43"/>
              <w:spacing w:before="0" w:beforeAutospacing="0" w:after="0" w:afterAutospacing="0"/>
              <w:jc w:val="center"/>
              <w:rPr>
                <w:color w:val="auto"/>
                <w:highlight w:val="none"/>
              </w:rPr>
            </w:pPr>
            <w:r>
              <w:rPr>
                <w:rFonts w:cs="宋体"/>
                <w:color w:val="auto"/>
                <w:sz w:val="21"/>
                <w:szCs w:val="21"/>
                <w:highlight w:val="none"/>
              </w:rPr>
              <w:t>中兴通讯股份有限公司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F4BED66">
            <w:pPr>
              <w:pStyle w:val="43"/>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1A931FEF">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756DAC5">
            <w:pPr>
              <w:pStyle w:val="43"/>
              <w:spacing w:before="0" w:beforeAutospacing="0" w:after="0" w:afterAutospacing="0"/>
              <w:ind w:left="41"/>
              <w:jc w:val="center"/>
              <w:rPr>
                <w:color w:val="auto"/>
                <w:highlight w:val="none"/>
              </w:rPr>
            </w:pPr>
            <w:r>
              <w:rPr>
                <w:rFonts w:cs="宋体"/>
                <w:color w:val="auto"/>
                <w:sz w:val="21"/>
                <w:szCs w:val="21"/>
                <w:highlight w:val="none"/>
              </w:rPr>
              <w:t>7</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2CC26178">
            <w:pPr>
              <w:pStyle w:val="43"/>
              <w:spacing w:before="0" w:beforeAutospacing="0" w:after="0" w:afterAutospacing="0"/>
              <w:jc w:val="center"/>
              <w:rPr>
                <w:color w:val="auto"/>
                <w:highlight w:val="none"/>
              </w:rPr>
            </w:pPr>
            <w:r>
              <w:rPr>
                <w:rFonts w:cs="宋体"/>
                <w:color w:val="auto"/>
                <w:sz w:val="21"/>
                <w:szCs w:val="21"/>
                <w:highlight w:val="none"/>
              </w:rPr>
              <w:t>OceanBase数据库软件(集中式版）V4</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4B0ED0F8">
            <w:pPr>
              <w:pStyle w:val="43"/>
              <w:spacing w:before="0" w:beforeAutospacing="0" w:after="0" w:afterAutospacing="0"/>
              <w:jc w:val="center"/>
              <w:rPr>
                <w:color w:val="auto"/>
                <w:highlight w:val="none"/>
              </w:rPr>
            </w:pPr>
            <w:r>
              <w:rPr>
                <w:rFonts w:cs="宋体"/>
                <w:color w:val="auto"/>
                <w:sz w:val="21"/>
                <w:szCs w:val="21"/>
                <w:highlight w:val="none"/>
              </w:rPr>
              <w:t>北京奥星贝斯科技有限公司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9397D69">
            <w:pPr>
              <w:pStyle w:val="43"/>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2997FC6B">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F0EBEA3">
            <w:pPr>
              <w:pStyle w:val="43"/>
              <w:spacing w:before="0" w:beforeAutospacing="0" w:after="0" w:afterAutospacing="0"/>
              <w:ind w:left="41"/>
              <w:jc w:val="center"/>
              <w:rPr>
                <w:color w:val="auto"/>
                <w:highlight w:val="none"/>
              </w:rPr>
            </w:pPr>
            <w:r>
              <w:rPr>
                <w:rFonts w:cs="宋体"/>
                <w:color w:val="auto"/>
                <w:sz w:val="21"/>
                <w:szCs w:val="21"/>
                <w:highlight w:val="none"/>
              </w:rPr>
              <w:t>8</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25EBD942">
            <w:pPr>
              <w:pStyle w:val="43"/>
              <w:spacing w:before="0" w:beforeAutospacing="0" w:after="0" w:afterAutospacing="0"/>
              <w:jc w:val="center"/>
              <w:rPr>
                <w:color w:val="auto"/>
                <w:highlight w:val="none"/>
              </w:rPr>
            </w:pPr>
            <w:r>
              <w:rPr>
                <w:rFonts w:cs="宋体"/>
                <w:color w:val="auto"/>
                <w:sz w:val="21"/>
                <w:szCs w:val="21"/>
                <w:highlight w:val="none"/>
              </w:rPr>
              <w:t>TaurusDB 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056A4640">
            <w:pPr>
              <w:pStyle w:val="43"/>
              <w:spacing w:before="0" w:beforeAutospacing="0" w:after="0" w:afterAutospacing="0"/>
              <w:jc w:val="center"/>
              <w:rPr>
                <w:color w:val="auto"/>
                <w:highlight w:val="none"/>
              </w:rPr>
            </w:pPr>
            <w:r>
              <w:rPr>
                <w:rFonts w:cs="宋体"/>
                <w:color w:val="auto"/>
                <w:sz w:val="21"/>
                <w:szCs w:val="21"/>
                <w:highlight w:val="none"/>
              </w:rPr>
              <w:t>华为云计算技术有限公司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1129945">
            <w:pPr>
              <w:pStyle w:val="43"/>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bl>
    <w:p w14:paraId="7E89F889">
      <w:pPr>
        <w:pStyle w:val="43"/>
        <w:shd w:val="clear" w:color="auto" w:fill="FFFFFF"/>
        <w:spacing w:before="0" w:beforeAutospacing="0" w:after="0" w:afterAutospacing="0"/>
        <w:rPr>
          <w:rFonts w:cs="宋体"/>
          <w:color w:val="auto"/>
          <w:sz w:val="18"/>
          <w:szCs w:val="18"/>
          <w:highlight w:val="none"/>
        </w:rPr>
      </w:pPr>
      <w:r>
        <w:rPr>
          <w:rFonts w:cs="宋体"/>
          <w:color w:val="auto"/>
          <w:sz w:val="21"/>
          <w:szCs w:val="21"/>
          <w:highlight w:val="none"/>
          <w:shd w:val="clear" w:color="auto" w:fill="FFFFFF"/>
        </w:rPr>
        <w:t> </w:t>
      </w:r>
    </w:p>
    <w:p w14:paraId="49C40E10">
      <w:pPr>
        <w:pStyle w:val="43"/>
        <w:shd w:val="clear" w:color="auto" w:fill="FFFFFF"/>
        <w:spacing w:before="0" w:beforeAutospacing="0" w:after="0" w:afterAutospacing="0"/>
        <w:rPr>
          <w:rFonts w:cs="宋体"/>
          <w:color w:val="auto"/>
          <w:sz w:val="18"/>
          <w:szCs w:val="18"/>
          <w:highlight w:val="none"/>
        </w:rPr>
      </w:pPr>
      <w:r>
        <w:rPr>
          <w:rFonts w:cs="宋体"/>
          <w:color w:val="auto"/>
          <w:sz w:val="21"/>
          <w:szCs w:val="21"/>
          <w:highlight w:val="none"/>
          <w:shd w:val="clear" w:color="auto" w:fill="FFFFFF"/>
        </w:rPr>
        <w:t>（二）分布式数据库</w:t>
      </w:r>
    </w:p>
    <w:tbl>
      <w:tblPr>
        <w:tblStyle w:val="48"/>
        <w:tblW w:w="7820" w:type="dxa"/>
        <w:jc w:val="center"/>
        <w:tblLayout w:type="autofit"/>
        <w:tblCellMar>
          <w:top w:w="0" w:type="dxa"/>
          <w:left w:w="0" w:type="dxa"/>
          <w:bottom w:w="0" w:type="dxa"/>
          <w:right w:w="0" w:type="dxa"/>
        </w:tblCellMar>
      </w:tblPr>
      <w:tblGrid>
        <w:gridCol w:w="856"/>
        <w:gridCol w:w="2826"/>
        <w:gridCol w:w="3136"/>
        <w:gridCol w:w="1002"/>
      </w:tblGrid>
      <w:tr w14:paraId="69053761">
        <w:tblPrEx>
          <w:tblCellMar>
            <w:top w:w="0" w:type="dxa"/>
            <w:left w:w="0" w:type="dxa"/>
            <w:bottom w:w="0" w:type="dxa"/>
            <w:right w:w="0" w:type="dxa"/>
          </w:tblCellMar>
        </w:tblPrEx>
        <w:trPr>
          <w:trHeight w:val="570" w:hRule="atLeast"/>
          <w:jc w:val="center"/>
        </w:trPr>
        <w:tc>
          <w:tcPr>
            <w:tcW w:w="85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0CB2384F">
            <w:pPr>
              <w:pStyle w:val="43"/>
              <w:spacing w:before="0" w:beforeAutospacing="0" w:after="0" w:afterAutospacing="0"/>
              <w:jc w:val="center"/>
              <w:rPr>
                <w:color w:val="auto"/>
                <w:highlight w:val="none"/>
              </w:rPr>
            </w:pPr>
            <w:r>
              <w:rPr>
                <w:rFonts w:cs="宋体"/>
                <w:color w:val="auto"/>
                <w:sz w:val="21"/>
                <w:szCs w:val="21"/>
                <w:highlight w:val="none"/>
              </w:rPr>
              <w:t>序号</w:t>
            </w:r>
          </w:p>
        </w:tc>
        <w:tc>
          <w:tcPr>
            <w:tcW w:w="282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2122CA60">
            <w:pPr>
              <w:pStyle w:val="43"/>
              <w:spacing w:before="0" w:beforeAutospacing="0" w:after="0" w:afterAutospacing="0"/>
              <w:jc w:val="center"/>
              <w:rPr>
                <w:color w:val="auto"/>
                <w:highlight w:val="none"/>
              </w:rPr>
            </w:pPr>
            <w:r>
              <w:rPr>
                <w:rFonts w:cs="宋体"/>
                <w:color w:val="auto"/>
                <w:sz w:val="21"/>
                <w:szCs w:val="21"/>
                <w:highlight w:val="none"/>
              </w:rPr>
              <w:t>产品名称</w:t>
            </w:r>
          </w:p>
        </w:tc>
        <w:tc>
          <w:tcPr>
            <w:tcW w:w="313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31DA8296">
            <w:pPr>
              <w:pStyle w:val="43"/>
              <w:spacing w:before="0" w:beforeAutospacing="0" w:after="0" w:afterAutospacing="0"/>
              <w:jc w:val="center"/>
              <w:rPr>
                <w:color w:val="auto"/>
                <w:highlight w:val="none"/>
              </w:rPr>
            </w:pPr>
            <w:r>
              <w:rPr>
                <w:rFonts w:cs="宋体"/>
                <w:color w:val="auto"/>
                <w:sz w:val="21"/>
                <w:szCs w:val="21"/>
                <w:highlight w:val="none"/>
              </w:rPr>
              <w:t>送测单位</w:t>
            </w:r>
          </w:p>
        </w:tc>
        <w:tc>
          <w:tcPr>
            <w:tcW w:w="100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15CCAFCE">
            <w:pPr>
              <w:pStyle w:val="43"/>
              <w:spacing w:before="0" w:beforeAutospacing="0" w:after="0" w:afterAutospacing="0"/>
              <w:jc w:val="center"/>
              <w:rPr>
                <w:color w:val="auto"/>
                <w:highlight w:val="none"/>
              </w:rPr>
            </w:pPr>
            <w:r>
              <w:rPr>
                <w:rFonts w:cs="宋体"/>
                <w:color w:val="auto"/>
                <w:sz w:val="21"/>
                <w:szCs w:val="21"/>
                <w:highlight w:val="none"/>
              </w:rPr>
              <w:t>安全可</w:t>
            </w:r>
          </w:p>
          <w:p w14:paraId="71C1D336">
            <w:pPr>
              <w:pStyle w:val="43"/>
              <w:spacing w:before="0" w:beforeAutospacing="0" w:after="0" w:afterAutospacing="0"/>
              <w:jc w:val="center"/>
              <w:rPr>
                <w:color w:val="auto"/>
                <w:highlight w:val="none"/>
              </w:rPr>
            </w:pPr>
            <w:r>
              <w:rPr>
                <w:rFonts w:cs="宋体"/>
                <w:color w:val="auto"/>
                <w:sz w:val="21"/>
                <w:szCs w:val="21"/>
                <w:highlight w:val="none"/>
              </w:rPr>
              <w:t>靠等级</w:t>
            </w:r>
          </w:p>
        </w:tc>
      </w:tr>
      <w:tr w14:paraId="2D3212FB">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D8BCC56">
            <w:pPr>
              <w:pStyle w:val="43"/>
              <w:spacing w:before="0" w:beforeAutospacing="0" w:after="0" w:afterAutospacing="0"/>
              <w:ind w:left="41"/>
              <w:jc w:val="center"/>
              <w:rPr>
                <w:color w:val="auto"/>
                <w:highlight w:val="none"/>
              </w:rPr>
            </w:pPr>
            <w:r>
              <w:rPr>
                <w:rFonts w:cs="宋体"/>
                <w:color w:val="auto"/>
                <w:sz w:val="21"/>
                <w:szCs w:val="21"/>
                <w:highlight w:val="none"/>
              </w:rPr>
              <w:t>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0625AC70">
            <w:pPr>
              <w:pStyle w:val="43"/>
              <w:spacing w:before="0" w:beforeAutospacing="0" w:after="0" w:afterAutospacing="0"/>
              <w:jc w:val="center"/>
              <w:rPr>
                <w:color w:val="auto"/>
                <w:highlight w:val="none"/>
              </w:rPr>
            </w:pPr>
            <w:r>
              <w:rPr>
                <w:rFonts w:cs="宋体"/>
                <w:color w:val="auto"/>
                <w:sz w:val="21"/>
                <w:szCs w:val="21"/>
                <w:highlight w:val="none"/>
              </w:rPr>
              <w:t>达梦数据库管理系统（分布式版） V9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20D49C82">
            <w:pPr>
              <w:pStyle w:val="43"/>
              <w:spacing w:before="0" w:beforeAutospacing="0" w:after="0" w:afterAutospacing="0"/>
              <w:jc w:val="center"/>
              <w:rPr>
                <w:color w:val="auto"/>
                <w:highlight w:val="none"/>
              </w:rPr>
            </w:pPr>
            <w:r>
              <w:rPr>
                <w:rFonts w:cs="宋体"/>
                <w:color w:val="auto"/>
                <w:sz w:val="21"/>
                <w:szCs w:val="21"/>
                <w:highlight w:val="none"/>
              </w:rPr>
              <w:t>武汉达梦数据库股份有限公司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535AFCE4">
            <w:pPr>
              <w:pStyle w:val="43"/>
              <w:spacing w:before="0" w:beforeAutospacing="0" w:after="0" w:afterAutospacing="0"/>
              <w:jc w:val="center"/>
              <w:rPr>
                <w:color w:val="auto"/>
                <w:highlight w:val="none"/>
              </w:rPr>
            </w:pPr>
            <w:r>
              <w:rPr>
                <w:rFonts w:cs="宋体"/>
                <w:color w:val="auto"/>
                <w:szCs w:val="24"/>
                <w:highlight w:val="none"/>
              </w:rPr>
              <w:t>Ⅱ级</w:t>
            </w:r>
          </w:p>
        </w:tc>
      </w:tr>
      <w:tr w14:paraId="70A0862A">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4552814">
            <w:pPr>
              <w:pStyle w:val="43"/>
              <w:spacing w:before="0" w:beforeAutospacing="0" w:after="0" w:afterAutospacing="0"/>
              <w:ind w:left="41"/>
              <w:jc w:val="center"/>
              <w:rPr>
                <w:color w:val="auto"/>
                <w:highlight w:val="none"/>
              </w:rPr>
            </w:pPr>
            <w:r>
              <w:rPr>
                <w:rFonts w:cs="宋体"/>
                <w:color w:val="auto"/>
                <w:sz w:val="21"/>
                <w:szCs w:val="21"/>
                <w:highlight w:val="none"/>
              </w:rPr>
              <w:t>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186BF411">
            <w:pPr>
              <w:pStyle w:val="43"/>
              <w:spacing w:before="0" w:beforeAutospacing="0" w:after="0" w:afterAutospacing="0"/>
              <w:jc w:val="center"/>
              <w:rPr>
                <w:color w:val="auto"/>
                <w:highlight w:val="none"/>
              </w:rPr>
            </w:pPr>
            <w:r>
              <w:rPr>
                <w:rFonts w:cs="宋体"/>
                <w:color w:val="auto"/>
                <w:sz w:val="21"/>
                <w:szCs w:val="21"/>
                <w:highlight w:val="none"/>
              </w:rPr>
              <w:t>崖山分布式数据库管理系统V23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7ED5DD36">
            <w:pPr>
              <w:pStyle w:val="43"/>
              <w:spacing w:before="0" w:beforeAutospacing="0" w:after="0" w:afterAutospacing="0"/>
              <w:jc w:val="center"/>
              <w:rPr>
                <w:color w:val="auto"/>
                <w:highlight w:val="none"/>
              </w:rPr>
            </w:pPr>
            <w:r>
              <w:rPr>
                <w:rFonts w:cs="宋体"/>
                <w:color w:val="auto"/>
                <w:sz w:val="21"/>
                <w:szCs w:val="21"/>
                <w:highlight w:val="none"/>
              </w:rPr>
              <w:t>深圳计算科学研究院</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071C1DD2">
            <w:pPr>
              <w:pStyle w:val="43"/>
              <w:spacing w:before="0" w:beforeAutospacing="0" w:after="0" w:afterAutospacing="0"/>
              <w:jc w:val="center"/>
              <w:rPr>
                <w:color w:val="auto"/>
                <w:highlight w:val="none"/>
              </w:rPr>
            </w:pPr>
            <w:r>
              <w:rPr>
                <w:rFonts w:cs="宋体"/>
                <w:color w:val="auto"/>
                <w:szCs w:val="24"/>
                <w:highlight w:val="none"/>
              </w:rPr>
              <w:t>Ⅱ级</w:t>
            </w:r>
          </w:p>
        </w:tc>
      </w:tr>
      <w:tr w14:paraId="4D034F63">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9A2E67D">
            <w:pPr>
              <w:pStyle w:val="43"/>
              <w:spacing w:before="0" w:beforeAutospacing="0" w:after="0" w:afterAutospacing="0"/>
              <w:ind w:left="41"/>
              <w:jc w:val="center"/>
              <w:rPr>
                <w:color w:val="auto"/>
                <w:highlight w:val="none"/>
              </w:rPr>
            </w:pPr>
            <w:r>
              <w:rPr>
                <w:rFonts w:cs="宋体"/>
                <w:color w:val="auto"/>
                <w:sz w:val="21"/>
                <w:szCs w:val="21"/>
                <w:highlight w:val="none"/>
              </w:rPr>
              <w:t>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3B4FB998">
            <w:pPr>
              <w:pStyle w:val="43"/>
              <w:spacing w:before="0" w:beforeAutospacing="0" w:after="0" w:afterAutospacing="0"/>
              <w:jc w:val="center"/>
              <w:rPr>
                <w:color w:val="auto"/>
                <w:highlight w:val="none"/>
              </w:rPr>
            </w:pPr>
            <w:r>
              <w:rPr>
                <w:rFonts w:cs="宋体"/>
                <w:color w:val="auto"/>
                <w:sz w:val="21"/>
                <w:szCs w:val="21"/>
                <w:highlight w:val="none"/>
              </w:rPr>
              <w:t>GaussDB V3.0（分布式版）</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27C8ED58">
            <w:pPr>
              <w:pStyle w:val="43"/>
              <w:spacing w:before="0" w:beforeAutospacing="0" w:after="0" w:afterAutospacing="0"/>
              <w:jc w:val="center"/>
              <w:rPr>
                <w:color w:val="auto"/>
                <w:highlight w:val="none"/>
              </w:rPr>
            </w:pPr>
            <w:r>
              <w:rPr>
                <w:rFonts w:cs="宋体"/>
                <w:color w:val="auto"/>
                <w:sz w:val="21"/>
                <w:szCs w:val="21"/>
                <w:highlight w:val="none"/>
              </w:rPr>
              <w:t>华为云计算技术有限公司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0074C49">
            <w:pPr>
              <w:pStyle w:val="43"/>
              <w:spacing w:before="0" w:beforeAutospacing="0" w:after="0" w:afterAutospacing="0"/>
              <w:jc w:val="center"/>
              <w:rPr>
                <w:color w:val="auto"/>
                <w:highlight w:val="none"/>
              </w:rPr>
            </w:pPr>
            <w:r>
              <w:rPr>
                <w:rFonts w:cs="宋体"/>
                <w:color w:val="auto"/>
                <w:szCs w:val="24"/>
                <w:highlight w:val="none"/>
              </w:rPr>
              <w:t>Ⅱ级</w:t>
            </w:r>
          </w:p>
        </w:tc>
      </w:tr>
      <w:tr w14:paraId="154C8125">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685A77F">
            <w:pPr>
              <w:pStyle w:val="43"/>
              <w:spacing w:before="0" w:beforeAutospacing="0" w:after="0" w:afterAutospacing="0"/>
              <w:ind w:left="41"/>
              <w:jc w:val="center"/>
              <w:rPr>
                <w:color w:val="auto"/>
                <w:highlight w:val="none"/>
              </w:rPr>
            </w:pPr>
            <w:r>
              <w:rPr>
                <w:rFonts w:cs="宋体"/>
                <w:color w:val="auto"/>
                <w:sz w:val="21"/>
                <w:szCs w:val="21"/>
                <w:highlight w:val="none"/>
              </w:rPr>
              <w:t>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5A473AC5">
            <w:pPr>
              <w:pStyle w:val="43"/>
              <w:spacing w:before="0" w:beforeAutospacing="0" w:after="0" w:afterAutospacing="0"/>
              <w:jc w:val="center"/>
              <w:rPr>
                <w:color w:val="auto"/>
                <w:highlight w:val="none"/>
              </w:rPr>
            </w:pPr>
            <w:r>
              <w:rPr>
                <w:rFonts w:cs="宋体"/>
                <w:color w:val="auto"/>
                <w:sz w:val="21"/>
                <w:szCs w:val="21"/>
                <w:highlight w:val="none"/>
              </w:rPr>
              <w:t>GoldenDB数据库V7</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086E1A13">
            <w:pPr>
              <w:pStyle w:val="43"/>
              <w:spacing w:before="0" w:beforeAutospacing="0" w:after="0" w:afterAutospacing="0"/>
              <w:jc w:val="center"/>
              <w:rPr>
                <w:color w:val="auto"/>
                <w:highlight w:val="none"/>
              </w:rPr>
            </w:pPr>
            <w:r>
              <w:rPr>
                <w:rFonts w:cs="宋体"/>
                <w:color w:val="auto"/>
                <w:sz w:val="21"/>
                <w:szCs w:val="21"/>
                <w:highlight w:val="none"/>
              </w:rPr>
              <w:t>中兴通讯股份有限公司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14AAA41D">
            <w:pPr>
              <w:pStyle w:val="43"/>
              <w:spacing w:before="0" w:beforeAutospacing="0" w:after="0" w:afterAutospacing="0"/>
              <w:jc w:val="center"/>
              <w:rPr>
                <w:color w:val="auto"/>
                <w:highlight w:val="none"/>
              </w:rPr>
            </w:pPr>
            <w:r>
              <w:rPr>
                <w:rFonts w:cs="宋体"/>
                <w:color w:val="auto"/>
                <w:szCs w:val="24"/>
                <w:highlight w:val="none"/>
              </w:rPr>
              <w:t>Ⅱ级</w:t>
            </w:r>
          </w:p>
        </w:tc>
      </w:tr>
      <w:tr w14:paraId="0896F354">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904E193">
            <w:pPr>
              <w:pStyle w:val="43"/>
              <w:spacing w:before="0" w:beforeAutospacing="0" w:after="0" w:afterAutospacing="0"/>
              <w:ind w:left="41"/>
              <w:jc w:val="center"/>
              <w:rPr>
                <w:color w:val="auto"/>
                <w:highlight w:val="none"/>
              </w:rPr>
            </w:pPr>
            <w:r>
              <w:rPr>
                <w:rFonts w:cs="宋体"/>
                <w:color w:val="auto"/>
                <w:sz w:val="21"/>
                <w:szCs w:val="21"/>
                <w:highlight w:val="none"/>
              </w:rPr>
              <w:t>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CE8ECD6">
            <w:pPr>
              <w:pStyle w:val="43"/>
              <w:spacing w:before="0" w:beforeAutospacing="0" w:after="0" w:afterAutospacing="0"/>
              <w:jc w:val="center"/>
              <w:rPr>
                <w:color w:val="auto"/>
                <w:highlight w:val="none"/>
              </w:rPr>
            </w:pPr>
            <w:r>
              <w:rPr>
                <w:rFonts w:cs="宋体"/>
                <w:color w:val="auto"/>
                <w:sz w:val="21"/>
                <w:szCs w:val="21"/>
                <w:highlight w:val="none"/>
              </w:rPr>
              <w:t>工业时序数据库管理系统 [简称：TimechoDB]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4ABD51ED">
            <w:pPr>
              <w:pStyle w:val="43"/>
              <w:spacing w:before="0" w:beforeAutospacing="0" w:after="0" w:afterAutospacing="0"/>
              <w:jc w:val="center"/>
              <w:rPr>
                <w:color w:val="auto"/>
                <w:highlight w:val="none"/>
              </w:rPr>
            </w:pPr>
            <w:r>
              <w:rPr>
                <w:rFonts w:cs="宋体"/>
                <w:color w:val="auto"/>
                <w:sz w:val="21"/>
                <w:szCs w:val="21"/>
                <w:highlight w:val="none"/>
              </w:rPr>
              <w:t>天谋科技（北京）有限公司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35FDF06E">
            <w:pPr>
              <w:pStyle w:val="43"/>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4139B139">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FBAF5AA">
            <w:pPr>
              <w:pStyle w:val="43"/>
              <w:spacing w:before="0" w:beforeAutospacing="0" w:after="0" w:afterAutospacing="0"/>
              <w:ind w:left="41"/>
              <w:jc w:val="center"/>
              <w:rPr>
                <w:color w:val="auto"/>
                <w:highlight w:val="none"/>
              </w:rPr>
            </w:pPr>
            <w:r>
              <w:rPr>
                <w:rFonts w:cs="宋体"/>
                <w:color w:val="auto"/>
                <w:sz w:val="21"/>
                <w:szCs w:val="21"/>
                <w:highlight w:val="none"/>
              </w:rPr>
              <w:t>6</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56F053C7">
            <w:pPr>
              <w:pStyle w:val="43"/>
              <w:spacing w:before="0" w:beforeAutospacing="0" w:after="0" w:afterAutospacing="0"/>
              <w:jc w:val="center"/>
              <w:rPr>
                <w:color w:val="auto"/>
                <w:highlight w:val="none"/>
              </w:rPr>
            </w:pPr>
            <w:r>
              <w:rPr>
                <w:rFonts w:cs="宋体"/>
                <w:color w:val="auto"/>
                <w:sz w:val="21"/>
                <w:szCs w:val="21"/>
                <w:highlight w:val="none"/>
              </w:rPr>
              <w:t>天翼云TeleDB数据库软件V5.1.9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313D3900">
            <w:pPr>
              <w:pStyle w:val="43"/>
              <w:spacing w:before="0" w:beforeAutospacing="0" w:after="0" w:afterAutospacing="0"/>
              <w:jc w:val="center"/>
              <w:rPr>
                <w:color w:val="auto"/>
                <w:highlight w:val="none"/>
              </w:rPr>
            </w:pPr>
            <w:r>
              <w:rPr>
                <w:rFonts w:cs="宋体"/>
                <w:color w:val="auto"/>
                <w:sz w:val="21"/>
                <w:szCs w:val="21"/>
                <w:highlight w:val="none"/>
              </w:rPr>
              <w:t>天翼云科技有限公司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247A5B2">
            <w:pPr>
              <w:pStyle w:val="43"/>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641E39B4">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F6A0057">
            <w:pPr>
              <w:pStyle w:val="43"/>
              <w:spacing w:before="0" w:beforeAutospacing="0" w:after="0" w:afterAutospacing="0"/>
              <w:ind w:left="41"/>
              <w:jc w:val="center"/>
              <w:rPr>
                <w:color w:val="auto"/>
                <w:highlight w:val="none"/>
              </w:rPr>
            </w:pPr>
            <w:r>
              <w:rPr>
                <w:rFonts w:cs="宋体"/>
                <w:color w:val="auto"/>
                <w:sz w:val="21"/>
                <w:szCs w:val="21"/>
                <w:highlight w:val="none"/>
              </w:rPr>
              <w:t>7</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289376F3">
            <w:pPr>
              <w:pStyle w:val="43"/>
              <w:spacing w:before="0" w:beforeAutospacing="0" w:after="0" w:afterAutospacing="0"/>
              <w:jc w:val="center"/>
              <w:rPr>
                <w:color w:val="auto"/>
                <w:highlight w:val="none"/>
              </w:rPr>
            </w:pPr>
            <w:r>
              <w:rPr>
                <w:rFonts w:cs="宋体"/>
                <w:color w:val="auto"/>
                <w:sz w:val="21"/>
                <w:szCs w:val="21"/>
                <w:highlight w:val="none"/>
              </w:rPr>
              <w:t>中国银联UPDRDB分布式数据库管理系统V2</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3F113ACD">
            <w:pPr>
              <w:pStyle w:val="43"/>
              <w:spacing w:before="0" w:beforeAutospacing="0" w:after="0" w:afterAutospacing="0"/>
              <w:jc w:val="center"/>
              <w:rPr>
                <w:color w:val="auto"/>
                <w:highlight w:val="none"/>
              </w:rPr>
            </w:pPr>
            <w:r>
              <w:rPr>
                <w:rFonts w:cs="宋体"/>
                <w:color w:val="auto"/>
                <w:sz w:val="21"/>
                <w:szCs w:val="21"/>
                <w:highlight w:val="none"/>
              </w:rPr>
              <w:t>中国银联股份有限公司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68BF866F">
            <w:pPr>
              <w:pStyle w:val="43"/>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31C0A733">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F0CD11B">
            <w:pPr>
              <w:pStyle w:val="43"/>
              <w:spacing w:before="0" w:beforeAutospacing="0" w:after="0" w:afterAutospacing="0"/>
              <w:ind w:left="41"/>
              <w:jc w:val="center"/>
              <w:rPr>
                <w:color w:val="auto"/>
                <w:highlight w:val="none"/>
              </w:rPr>
            </w:pPr>
            <w:r>
              <w:rPr>
                <w:rFonts w:cs="宋体"/>
                <w:color w:val="auto"/>
                <w:sz w:val="21"/>
                <w:szCs w:val="21"/>
                <w:highlight w:val="none"/>
              </w:rPr>
              <w:t>8</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0554A239">
            <w:pPr>
              <w:pStyle w:val="43"/>
              <w:spacing w:before="0" w:beforeAutospacing="0" w:after="0" w:afterAutospacing="0"/>
              <w:jc w:val="center"/>
              <w:rPr>
                <w:color w:val="auto"/>
                <w:highlight w:val="none"/>
              </w:rPr>
            </w:pPr>
            <w:r>
              <w:rPr>
                <w:rFonts w:cs="宋体"/>
                <w:color w:val="auto"/>
                <w:sz w:val="21"/>
                <w:szCs w:val="21"/>
                <w:highlight w:val="none"/>
              </w:rPr>
              <w:t>华为云DWS数据仓库软件 V8</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0F87F7DD">
            <w:pPr>
              <w:pStyle w:val="43"/>
              <w:spacing w:before="0" w:beforeAutospacing="0" w:after="0" w:afterAutospacing="0"/>
              <w:jc w:val="center"/>
              <w:rPr>
                <w:color w:val="auto"/>
                <w:highlight w:val="none"/>
              </w:rPr>
            </w:pPr>
            <w:r>
              <w:rPr>
                <w:rFonts w:cs="宋体"/>
                <w:color w:val="auto"/>
                <w:sz w:val="21"/>
                <w:szCs w:val="21"/>
                <w:highlight w:val="none"/>
              </w:rPr>
              <w:t>华为云计算技术有限公司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4E49F88C">
            <w:pPr>
              <w:pStyle w:val="43"/>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5D7B7C33">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6949A2A">
            <w:pPr>
              <w:pStyle w:val="43"/>
              <w:spacing w:before="0" w:beforeAutospacing="0" w:after="0" w:afterAutospacing="0"/>
              <w:ind w:left="41"/>
              <w:jc w:val="center"/>
              <w:rPr>
                <w:color w:val="auto"/>
                <w:highlight w:val="none"/>
              </w:rPr>
            </w:pPr>
            <w:r>
              <w:rPr>
                <w:rFonts w:cs="宋体"/>
                <w:color w:val="auto"/>
                <w:sz w:val="21"/>
                <w:szCs w:val="21"/>
                <w:highlight w:val="none"/>
              </w:rPr>
              <w:t>9</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63B1911E">
            <w:pPr>
              <w:pStyle w:val="43"/>
              <w:spacing w:before="0" w:beforeAutospacing="0" w:after="0" w:afterAutospacing="0"/>
              <w:jc w:val="center"/>
              <w:rPr>
                <w:color w:val="auto"/>
                <w:highlight w:val="none"/>
              </w:rPr>
            </w:pPr>
            <w:r>
              <w:rPr>
                <w:rFonts w:cs="宋体"/>
                <w:color w:val="auto"/>
                <w:sz w:val="21"/>
                <w:szCs w:val="21"/>
                <w:highlight w:val="none"/>
              </w:rPr>
              <w:t>阿里云云原生数据仓库AnalyticDB PostgreSQL版软件V2.0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7C318203">
            <w:pPr>
              <w:pStyle w:val="43"/>
              <w:spacing w:before="0" w:beforeAutospacing="0" w:after="0" w:afterAutospacing="0"/>
              <w:jc w:val="center"/>
              <w:rPr>
                <w:color w:val="auto"/>
                <w:highlight w:val="none"/>
              </w:rPr>
            </w:pPr>
            <w:r>
              <w:rPr>
                <w:rFonts w:cs="宋体"/>
                <w:color w:val="auto"/>
                <w:sz w:val="21"/>
                <w:szCs w:val="21"/>
                <w:highlight w:val="none"/>
              </w:rPr>
              <w:t>阿里云计算有限公司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1C9B0C74">
            <w:pPr>
              <w:pStyle w:val="43"/>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5547208A">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8DE6A1E">
            <w:pPr>
              <w:pStyle w:val="43"/>
              <w:spacing w:before="0" w:beforeAutospacing="0" w:after="0" w:afterAutospacing="0"/>
              <w:ind w:left="41"/>
              <w:jc w:val="center"/>
              <w:rPr>
                <w:color w:val="auto"/>
                <w:highlight w:val="none"/>
              </w:rPr>
            </w:pPr>
            <w:r>
              <w:rPr>
                <w:rFonts w:cs="宋体"/>
                <w:color w:val="auto"/>
                <w:sz w:val="21"/>
                <w:szCs w:val="21"/>
                <w:highlight w:val="none"/>
              </w:rPr>
              <w:t>10</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1CD3FCAD">
            <w:pPr>
              <w:pStyle w:val="43"/>
              <w:spacing w:before="0" w:beforeAutospacing="0" w:after="0" w:afterAutospacing="0"/>
              <w:jc w:val="center"/>
              <w:rPr>
                <w:color w:val="auto"/>
                <w:highlight w:val="none"/>
              </w:rPr>
            </w:pPr>
            <w:r>
              <w:rPr>
                <w:rFonts w:cs="宋体"/>
                <w:color w:val="auto"/>
                <w:sz w:val="21"/>
                <w:szCs w:val="21"/>
                <w:highlight w:val="none"/>
              </w:rPr>
              <w:t>南大通用多模多态数据库管理系统[简称：GBase 8c]V6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13ECE11D">
            <w:pPr>
              <w:pStyle w:val="43"/>
              <w:spacing w:before="0" w:beforeAutospacing="0" w:after="0" w:afterAutospacing="0"/>
              <w:jc w:val="center"/>
              <w:rPr>
                <w:color w:val="auto"/>
                <w:highlight w:val="none"/>
              </w:rPr>
            </w:pPr>
            <w:r>
              <w:rPr>
                <w:rFonts w:cs="宋体"/>
                <w:color w:val="auto"/>
                <w:sz w:val="21"/>
                <w:szCs w:val="21"/>
                <w:highlight w:val="none"/>
              </w:rPr>
              <w:t>天津南大通用数据技术股份有限公司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3F387E43">
            <w:pPr>
              <w:pStyle w:val="43"/>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48DDADB8">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47CCE90">
            <w:pPr>
              <w:pStyle w:val="43"/>
              <w:spacing w:before="0" w:beforeAutospacing="0" w:after="0" w:afterAutospacing="0"/>
              <w:ind w:left="41"/>
              <w:jc w:val="center"/>
              <w:rPr>
                <w:color w:val="auto"/>
                <w:highlight w:val="none"/>
              </w:rPr>
            </w:pPr>
            <w:r>
              <w:rPr>
                <w:rFonts w:cs="宋体"/>
                <w:color w:val="auto"/>
                <w:sz w:val="21"/>
                <w:szCs w:val="21"/>
                <w:highlight w:val="none"/>
              </w:rPr>
              <w:t>11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290C087">
            <w:pPr>
              <w:pStyle w:val="43"/>
              <w:spacing w:before="0" w:beforeAutospacing="0" w:after="0" w:afterAutospacing="0"/>
              <w:jc w:val="center"/>
              <w:rPr>
                <w:color w:val="auto"/>
                <w:highlight w:val="none"/>
              </w:rPr>
            </w:pPr>
            <w:r>
              <w:rPr>
                <w:rFonts w:cs="宋体"/>
                <w:color w:val="auto"/>
                <w:sz w:val="21"/>
                <w:szCs w:val="21"/>
                <w:highlight w:val="none"/>
              </w:rPr>
              <w:t>星环分布式数据库软件Transwarp ArgoDB 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729DB090">
            <w:pPr>
              <w:pStyle w:val="43"/>
              <w:spacing w:before="0" w:beforeAutospacing="0" w:after="0" w:afterAutospacing="0"/>
              <w:jc w:val="center"/>
              <w:rPr>
                <w:color w:val="auto"/>
                <w:highlight w:val="none"/>
              </w:rPr>
            </w:pPr>
            <w:r>
              <w:rPr>
                <w:rFonts w:cs="宋体"/>
                <w:color w:val="auto"/>
                <w:sz w:val="21"/>
                <w:szCs w:val="21"/>
                <w:highlight w:val="none"/>
              </w:rPr>
              <w:t>星环信息科技（上海）股份有限公司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3EC24A35">
            <w:pPr>
              <w:pStyle w:val="43"/>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0B7E3F62">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6EDE380">
            <w:pPr>
              <w:pStyle w:val="43"/>
              <w:spacing w:before="0" w:beforeAutospacing="0" w:after="0" w:afterAutospacing="0"/>
              <w:ind w:left="41"/>
              <w:jc w:val="center"/>
              <w:rPr>
                <w:color w:val="auto"/>
                <w:highlight w:val="none"/>
              </w:rPr>
            </w:pPr>
            <w:r>
              <w:rPr>
                <w:rFonts w:cs="宋体"/>
                <w:color w:val="auto"/>
                <w:sz w:val="21"/>
                <w:szCs w:val="21"/>
                <w:highlight w:val="none"/>
              </w:rPr>
              <w:t>12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5EEC98F">
            <w:pPr>
              <w:pStyle w:val="43"/>
              <w:spacing w:before="0" w:beforeAutospacing="0" w:after="0" w:afterAutospacing="0"/>
              <w:jc w:val="center"/>
              <w:rPr>
                <w:color w:val="auto"/>
                <w:highlight w:val="none"/>
              </w:rPr>
            </w:pPr>
            <w:r>
              <w:rPr>
                <w:rFonts w:cs="宋体"/>
                <w:color w:val="auto"/>
                <w:sz w:val="21"/>
                <w:szCs w:val="21"/>
                <w:highlight w:val="none"/>
              </w:rPr>
              <w:t>海盒数据库管理系统（分布式版）[简称：SeaboxSQL]V21</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0D1BB59D">
            <w:pPr>
              <w:pStyle w:val="43"/>
              <w:spacing w:before="0" w:beforeAutospacing="0" w:after="0" w:afterAutospacing="0"/>
              <w:jc w:val="center"/>
              <w:rPr>
                <w:color w:val="auto"/>
                <w:highlight w:val="none"/>
              </w:rPr>
            </w:pPr>
            <w:r>
              <w:rPr>
                <w:rFonts w:cs="宋体"/>
                <w:color w:val="auto"/>
                <w:sz w:val="21"/>
                <w:szCs w:val="21"/>
                <w:highlight w:val="none"/>
              </w:rPr>
              <w:t>北京东方金信科技股份有限公司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4414572">
            <w:pPr>
              <w:pStyle w:val="43"/>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6A1BD682">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711FAB0">
            <w:pPr>
              <w:pStyle w:val="43"/>
              <w:spacing w:before="0" w:beforeAutospacing="0" w:after="0" w:afterAutospacing="0"/>
              <w:ind w:left="41"/>
              <w:jc w:val="center"/>
              <w:rPr>
                <w:color w:val="auto"/>
                <w:highlight w:val="none"/>
              </w:rPr>
            </w:pPr>
            <w:r>
              <w:rPr>
                <w:rFonts w:cs="宋体"/>
                <w:color w:val="auto"/>
                <w:sz w:val="21"/>
                <w:szCs w:val="21"/>
                <w:highlight w:val="none"/>
              </w:rPr>
              <w:t>13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A7BE627">
            <w:pPr>
              <w:pStyle w:val="43"/>
              <w:spacing w:before="0" w:beforeAutospacing="0" w:after="0" w:afterAutospacing="0"/>
              <w:jc w:val="center"/>
              <w:rPr>
                <w:color w:val="auto"/>
                <w:highlight w:val="none"/>
              </w:rPr>
            </w:pPr>
            <w:r>
              <w:rPr>
                <w:rFonts w:cs="宋体"/>
                <w:color w:val="auto"/>
                <w:sz w:val="21"/>
                <w:szCs w:val="21"/>
                <w:highlight w:val="none"/>
              </w:rPr>
              <w:t>DolphinDB数据库软件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4DA257EE">
            <w:pPr>
              <w:pStyle w:val="43"/>
              <w:spacing w:before="0" w:beforeAutospacing="0" w:after="0" w:afterAutospacing="0"/>
              <w:jc w:val="center"/>
              <w:rPr>
                <w:color w:val="auto"/>
                <w:highlight w:val="none"/>
              </w:rPr>
            </w:pPr>
            <w:r>
              <w:rPr>
                <w:rFonts w:cs="宋体"/>
                <w:color w:val="auto"/>
                <w:sz w:val="21"/>
                <w:szCs w:val="21"/>
                <w:highlight w:val="none"/>
              </w:rPr>
              <w:t>浙江智臾科技有限公司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59BACA6D">
            <w:pPr>
              <w:pStyle w:val="43"/>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4069A052">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85AE15A">
            <w:pPr>
              <w:pStyle w:val="43"/>
              <w:spacing w:before="0" w:beforeAutospacing="0" w:after="0" w:afterAutospacing="0"/>
              <w:ind w:left="41"/>
              <w:jc w:val="center"/>
              <w:rPr>
                <w:color w:val="auto"/>
                <w:highlight w:val="none"/>
              </w:rPr>
            </w:pPr>
            <w:r>
              <w:rPr>
                <w:rFonts w:cs="宋体"/>
                <w:color w:val="auto"/>
                <w:sz w:val="21"/>
                <w:szCs w:val="21"/>
                <w:highlight w:val="none"/>
              </w:rPr>
              <w:t>14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5D0F4836">
            <w:pPr>
              <w:pStyle w:val="43"/>
              <w:spacing w:before="0" w:beforeAutospacing="0" w:after="0" w:afterAutospacing="0"/>
              <w:jc w:val="center"/>
              <w:rPr>
                <w:color w:val="auto"/>
                <w:highlight w:val="none"/>
              </w:rPr>
            </w:pPr>
            <w:r>
              <w:rPr>
                <w:rFonts w:cs="宋体"/>
                <w:color w:val="auto"/>
                <w:sz w:val="21"/>
                <w:szCs w:val="21"/>
                <w:highlight w:val="none"/>
              </w:rPr>
              <w:t>GoldenDB EBASE V3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21EBEA79">
            <w:pPr>
              <w:pStyle w:val="43"/>
              <w:spacing w:before="0" w:beforeAutospacing="0" w:after="0" w:afterAutospacing="0"/>
              <w:jc w:val="center"/>
              <w:rPr>
                <w:color w:val="auto"/>
                <w:highlight w:val="none"/>
              </w:rPr>
            </w:pPr>
            <w:r>
              <w:rPr>
                <w:rFonts w:cs="宋体"/>
                <w:color w:val="auto"/>
                <w:sz w:val="21"/>
                <w:szCs w:val="21"/>
                <w:highlight w:val="none"/>
              </w:rPr>
              <w:t>中兴通讯股份有限公司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5B04BD40">
            <w:pPr>
              <w:pStyle w:val="43"/>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r w14:paraId="3780B7CF">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DEB677F">
            <w:pPr>
              <w:pStyle w:val="43"/>
              <w:spacing w:before="0" w:beforeAutospacing="0" w:after="0" w:afterAutospacing="0"/>
              <w:ind w:left="41"/>
              <w:jc w:val="center"/>
              <w:rPr>
                <w:color w:val="auto"/>
                <w:highlight w:val="none"/>
              </w:rPr>
            </w:pPr>
            <w:r>
              <w:rPr>
                <w:rFonts w:cs="宋体"/>
                <w:color w:val="auto"/>
                <w:sz w:val="21"/>
                <w:szCs w:val="21"/>
                <w:highlight w:val="none"/>
              </w:rPr>
              <w:t>15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3D11B30F">
            <w:pPr>
              <w:pStyle w:val="43"/>
              <w:spacing w:before="0" w:beforeAutospacing="0" w:after="0" w:afterAutospacing="0"/>
              <w:jc w:val="center"/>
              <w:rPr>
                <w:color w:val="auto"/>
                <w:highlight w:val="none"/>
              </w:rPr>
            </w:pPr>
            <w:r>
              <w:rPr>
                <w:rFonts w:cs="宋体"/>
                <w:color w:val="auto"/>
                <w:sz w:val="21"/>
                <w:szCs w:val="21"/>
                <w:highlight w:val="none"/>
              </w:rPr>
              <w:t>Kingwow（金乌）数据库V6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51073388">
            <w:pPr>
              <w:pStyle w:val="43"/>
              <w:spacing w:before="0" w:beforeAutospacing="0" w:after="0" w:afterAutospacing="0"/>
              <w:jc w:val="center"/>
              <w:rPr>
                <w:color w:val="auto"/>
                <w:highlight w:val="none"/>
              </w:rPr>
            </w:pPr>
            <w:r>
              <w:rPr>
                <w:rFonts w:cs="宋体"/>
                <w:color w:val="auto"/>
                <w:sz w:val="21"/>
                <w:szCs w:val="21"/>
                <w:highlight w:val="none"/>
              </w:rPr>
              <w:t>北京自然原数科技有限公司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5E09674">
            <w:pPr>
              <w:pStyle w:val="43"/>
              <w:spacing w:before="0" w:beforeAutospacing="0" w:after="0" w:afterAutospacing="0"/>
              <w:jc w:val="center"/>
              <w:rPr>
                <w:color w:val="auto"/>
                <w:highlight w:val="none"/>
              </w:rPr>
            </w:pPr>
            <w:r>
              <w:rPr>
                <w:rFonts w:hint="default" w:ascii="Calibri" w:hAnsi="Calibri" w:cs="Calibri"/>
                <w:color w:val="auto"/>
                <w:szCs w:val="24"/>
                <w:highlight w:val="none"/>
              </w:rPr>
              <w:t>I</w:t>
            </w:r>
            <w:r>
              <w:rPr>
                <w:rFonts w:cs="宋体"/>
                <w:color w:val="auto"/>
                <w:szCs w:val="24"/>
                <w:highlight w:val="none"/>
              </w:rPr>
              <w:t>级</w:t>
            </w:r>
          </w:p>
        </w:tc>
      </w:tr>
    </w:tbl>
    <w:p w14:paraId="0896FB3F">
      <w:pPr>
        <w:rPr>
          <w:color w:val="auto"/>
          <w:highlight w:val="none"/>
        </w:rPr>
      </w:pPr>
    </w:p>
    <w:p w14:paraId="4A94B94C">
      <w:pPr>
        <w:jc w:val="left"/>
        <w:rPr>
          <w:rFonts w:hint="eastAsia" w:ascii="仿宋_GB2312" w:hAnsi="宋体" w:eastAsia="仿宋_GB2312"/>
          <w:b/>
          <w:color w:val="auto"/>
          <w:sz w:val="24"/>
          <w:highlight w:val="none"/>
        </w:rPr>
      </w:pPr>
    </w:p>
    <w:p w14:paraId="5F685E8E">
      <w:pPr>
        <w:jc w:val="left"/>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br w:type="page"/>
      </w:r>
    </w:p>
    <w:p w14:paraId="250F9B9F">
      <w:pPr>
        <w:snapToGrid w:val="0"/>
        <w:spacing w:before="50"/>
        <w:ind w:firstLine="460" w:firstLineChars="191"/>
        <w:jc w:val="left"/>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w:t>
      </w:r>
      <w:r>
        <w:rPr>
          <w:rFonts w:ascii="仿宋_GB2312" w:hAnsi="宋体" w:eastAsia="仿宋_GB2312"/>
          <w:b/>
          <w:color w:val="auto"/>
          <w:sz w:val="24"/>
          <w:highlight w:val="none"/>
        </w:rPr>
        <w:t>3</w:t>
      </w:r>
      <w:r>
        <w:rPr>
          <w:rFonts w:hint="eastAsia" w:ascii="仿宋_GB2312" w:hAnsi="宋体" w:eastAsia="仿宋_GB2312"/>
          <w:b/>
          <w:color w:val="auto"/>
          <w:sz w:val="24"/>
          <w:highlight w:val="none"/>
        </w:rPr>
        <w:t>）商务响应表格式（必须提供）：</w:t>
      </w:r>
    </w:p>
    <w:p w14:paraId="62D1DCFB">
      <w:pPr>
        <w:snapToGrid w:val="0"/>
        <w:spacing w:before="50" w:line="300" w:lineRule="exact"/>
        <w:ind w:firstLine="643" w:firstLineChars="200"/>
        <w:jc w:val="center"/>
        <w:rPr>
          <w:rFonts w:ascii="仿宋_GB2312" w:eastAsia="仿宋_GB2312"/>
          <w:b/>
          <w:color w:val="auto"/>
          <w:sz w:val="24"/>
          <w:highlight w:val="none"/>
        </w:rPr>
      </w:pPr>
      <w:r>
        <w:rPr>
          <w:rFonts w:hint="eastAsia" w:ascii="仿宋_GB2312" w:eastAsia="仿宋_GB2312"/>
          <w:b/>
          <w:color w:val="auto"/>
          <w:sz w:val="32"/>
          <w:szCs w:val="32"/>
          <w:highlight w:val="none"/>
        </w:rPr>
        <w:t>商务响应表</w:t>
      </w:r>
      <w:r>
        <w:rPr>
          <w:rFonts w:hint="eastAsia" w:ascii="仿宋_GB2312" w:eastAsia="仿宋_GB2312"/>
          <w:b/>
          <w:color w:val="auto"/>
          <w:sz w:val="32"/>
          <w:szCs w:val="32"/>
          <w:highlight w:val="none"/>
          <w:lang w:eastAsia="zh-CN"/>
        </w:rPr>
        <w:t>（分标</w:t>
      </w:r>
      <w:r>
        <w:rPr>
          <w:rFonts w:hint="eastAsia" w:ascii="仿宋_GB2312" w:eastAsia="仿宋_GB2312"/>
          <w:b/>
          <w:color w:val="auto"/>
          <w:sz w:val="32"/>
          <w:szCs w:val="32"/>
          <w:highlight w:val="none"/>
          <w:u w:val="single"/>
          <w:lang w:val="en-US" w:eastAsia="zh-CN"/>
        </w:rPr>
        <w:t xml:space="preserve">  </w:t>
      </w:r>
      <w:r>
        <w:rPr>
          <w:rFonts w:hint="eastAsia" w:ascii="仿宋_GB2312" w:eastAsia="仿宋_GB2312"/>
          <w:b/>
          <w:color w:val="auto"/>
          <w:sz w:val="32"/>
          <w:szCs w:val="32"/>
          <w:highlight w:val="none"/>
          <w:u w:val="none"/>
          <w:lang w:val="en-US" w:eastAsia="zh-CN"/>
        </w:rPr>
        <w:t>）</w:t>
      </w:r>
    </w:p>
    <w:tbl>
      <w:tblPr>
        <w:tblStyle w:val="48"/>
        <w:tblW w:w="96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984"/>
        <w:gridCol w:w="2360"/>
        <w:gridCol w:w="1259"/>
        <w:gridCol w:w="3018"/>
      </w:tblGrid>
      <w:tr w14:paraId="015D9D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14:paraId="28176832">
            <w:pPr>
              <w:snapToGrid w:val="0"/>
              <w:spacing w:before="120" w:beforeLines="50"/>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250505EE">
            <w:pPr>
              <w:snapToGrid w:val="0"/>
              <w:spacing w:before="120" w:beforeLines="50"/>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4CC1450A">
            <w:pPr>
              <w:snapToGrid w:val="0"/>
              <w:spacing w:before="120" w:beforeLines="50"/>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2D8278B6">
            <w:pPr>
              <w:snapToGrid w:val="0"/>
              <w:spacing w:before="120" w:beforeLines="50"/>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投标人的承诺或说明</w:t>
            </w:r>
          </w:p>
        </w:tc>
      </w:tr>
      <w:tr w14:paraId="7D465E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21" w:type="dxa"/>
            <w:gridSpan w:val="4"/>
            <w:tcBorders>
              <w:top w:val="single" w:color="auto" w:sz="4" w:space="0"/>
              <w:left w:val="single" w:color="auto" w:sz="4" w:space="0"/>
              <w:bottom w:val="single" w:color="auto" w:sz="4" w:space="0"/>
              <w:right w:val="single" w:color="auto" w:sz="4" w:space="0"/>
            </w:tcBorders>
            <w:vAlign w:val="center"/>
          </w:tcPr>
          <w:p w14:paraId="7F5F121A">
            <w:pPr>
              <w:snapToGrid w:val="0"/>
              <w:spacing w:before="120" w:beforeLines="50"/>
              <w:jc w:val="left"/>
              <w:rPr>
                <w:rFonts w:hint="eastAsia" w:ascii="仿宋_GB2312" w:hAnsi="宋体" w:eastAsia="仿宋_GB2312"/>
                <w:color w:val="auto"/>
                <w:sz w:val="24"/>
                <w:highlight w:val="none"/>
              </w:rPr>
            </w:pPr>
            <w:r>
              <w:rPr>
                <w:rFonts w:ascii="仿宋_GB2312" w:hAnsi="宋体" w:eastAsia="仿宋_GB2312"/>
                <w:b/>
                <w:bCs/>
                <w:color w:val="auto"/>
                <w:sz w:val="24"/>
                <w:highlight w:val="none"/>
              </w:rPr>
              <w:t>★</w:t>
            </w:r>
            <w:r>
              <w:rPr>
                <w:rFonts w:hint="eastAsia" w:ascii="仿宋_GB2312" w:hAnsi="宋体" w:eastAsia="仿宋_GB2312"/>
                <w:b/>
                <w:bCs/>
                <w:color w:val="auto"/>
                <w:sz w:val="24"/>
                <w:highlight w:val="none"/>
              </w:rPr>
              <w:t>二、商务要求</w:t>
            </w:r>
          </w:p>
        </w:tc>
      </w:tr>
      <w:tr w14:paraId="200984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14:paraId="171731D2">
            <w:pPr>
              <w:snapToGrid w:val="0"/>
              <w:spacing w:before="120" w:beforeLines="50"/>
              <w:jc w:val="center"/>
              <w:rPr>
                <w:rFonts w:hint="eastAsia" w:ascii="仿宋_GB2312" w:hAnsi="宋体" w:eastAsia="仿宋_GB2312"/>
                <w:color w:val="auto"/>
                <w:sz w:val="24"/>
                <w:highlight w:val="none"/>
              </w:rPr>
            </w:pPr>
            <w:r>
              <w:rPr>
                <w:rFonts w:hint="eastAsia" w:ascii="仿宋_GB2312" w:hAnsi="仿宋_GB2312" w:eastAsia="仿宋_GB2312" w:cs="仿宋_GB2312"/>
                <w:color w:val="auto"/>
                <w:sz w:val="24"/>
                <w:highlight w:val="none"/>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14:paraId="4D684CA9">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5477F690">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231B3D59">
            <w:pPr>
              <w:snapToGrid w:val="0"/>
              <w:spacing w:before="120" w:beforeLines="50"/>
              <w:jc w:val="center"/>
              <w:rPr>
                <w:rFonts w:hint="eastAsia" w:ascii="仿宋_GB2312" w:hAnsi="宋体" w:eastAsia="仿宋_GB2312"/>
                <w:color w:val="auto"/>
                <w:sz w:val="24"/>
                <w:highlight w:val="none"/>
              </w:rPr>
            </w:pPr>
          </w:p>
        </w:tc>
      </w:tr>
      <w:tr w14:paraId="32C440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14:paraId="53E63CF3">
            <w:pPr>
              <w:snapToGrid w:val="0"/>
              <w:spacing w:before="120" w:beforeLines="50"/>
              <w:jc w:val="center"/>
              <w:rPr>
                <w:rFonts w:hint="eastAsia" w:ascii="仿宋_GB2312" w:hAnsi="宋体" w:eastAsia="仿宋_GB2312"/>
                <w:color w:val="auto"/>
                <w:sz w:val="24"/>
                <w:highlight w:val="none"/>
              </w:rPr>
            </w:pPr>
            <w:r>
              <w:rPr>
                <w:rFonts w:hint="eastAsia" w:ascii="仿宋_GB2312" w:hAnsi="仿宋_GB2312" w:eastAsia="仿宋_GB2312" w:cs="仿宋_GB2312"/>
                <w:color w:val="auto"/>
                <w:sz w:val="24"/>
                <w:highlight w:val="none"/>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14:paraId="077F3FB5">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439999B5">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2E0023F4">
            <w:pPr>
              <w:snapToGrid w:val="0"/>
              <w:spacing w:before="120" w:beforeLines="50"/>
              <w:jc w:val="center"/>
              <w:rPr>
                <w:rFonts w:hint="eastAsia" w:ascii="仿宋_GB2312" w:hAnsi="宋体" w:eastAsia="仿宋_GB2312"/>
                <w:color w:val="auto"/>
                <w:sz w:val="24"/>
                <w:highlight w:val="none"/>
              </w:rPr>
            </w:pPr>
          </w:p>
        </w:tc>
      </w:tr>
      <w:tr w14:paraId="3AC783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14:paraId="0AD21F0A">
            <w:pPr>
              <w:snapToGrid w:val="0"/>
              <w:spacing w:before="120" w:beforeLines="50"/>
              <w:jc w:val="center"/>
              <w:rPr>
                <w:rFonts w:hint="eastAsia" w:ascii="仿宋_GB2312" w:hAnsi="宋体" w:eastAsia="仿宋_GB2312"/>
                <w:color w:val="auto"/>
                <w:sz w:val="24"/>
                <w:highlight w:val="none"/>
              </w:rPr>
            </w:pPr>
            <w:r>
              <w:rPr>
                <w:rFonts w:hint="eastAsia" w:ascii="仿宋_GB2312" w:hAnsi="仿宋_GB2312" w:eastAsia="仿宋_GB2312" w:cs="仿宋_GB2312"/>
                <w:color w:val="auto"/>
                <w:sz w:val="24"/>
                <w:highlight w:val="none"/>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14:paraId="43428101">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093E89B1">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71F88E7A">
            <w:pPr>
              <w:snapToGrid w:val="0"/>
              <w:spacing w:before="120" w:beforeLines="50"/>
              <w:jc w:val="center"/>
              <w:rPr>
                <w:rFonts w:hint="eastAsia" w:ascii="仿宋_GB2312" w:hAnsi="宋体" w:eastAsia="仿宋_GB2312"/>
                <w:color w:val="auto"/>
                <w:sz w:val="24"/>
                <w:highlight w:val="none"/>
              </w:rPr>
            </w:pPr>
          </w:p>
        </w:tc>
      </w:tr>
      <w:tr w14:paraId="0A8B1A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14:paraId="18776EE7">
            <w:pPr>
              <w:snapToGrid w:val="0"/>
              <w:spacing w:before="120" w:beforeLines="50"/>
              <w:jc w:val="center"/>
              <w:rPr>
                <w:rFonts w:hint="eastAsia" w:ascii="仿宋_GB2312" w:hAnsi="宋体" w:eastAsia="仿宋_GB2312"/>
                <w:color w:val="auto"/>
                <w:sz w:val="24"/>
                <w:highlight w:val="none"/>
              </w:rPr>
            </w:pPr>
            <w:r>
              <w:rPr>
                <w:rFonts w:hint="eastAsia" w:ascii="仿宋_GB2312" w:hAnsi="仿宋_GB2312" w:eastAsia="仿宋_GB2312" w:cs="仿宋_GB2312"/>
                <w:color w:val="auto"/>
                <w:sz w:val="24"/>
                <w:highlight w:val="none"/>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395DAB67">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108DDB72">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5D22ED9E">
            <w:pPr>
              <w:snapToGrid w:val="0"/>
              <w:spacing w:before="120" w:beforeLines="50"/>
              <w:jc w:val="center"/>
              <w:rPr>
                <w:rFonts w:hint="eastAsia" w:ascii="仿宋_GB2312" w:hAnsi="宋体" w:eastAsia="仿宋_GB2312"/>
                <w:color w:val="auto"/>
                <w:sz w:val="24"/>
                <w:highlight w:val="none"/>
              </w:rPr>
            </w:pPr>
          </w:p>
        </w:tc>
      </w:tr>
      <w:tr w14:paraId="6377BD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14:paraId="7B0D849C">
            <w:pPr>
              <w:snapToGrid w:val="0"/>
              <w:spacing w:before="120" w:beforeLines="50"/>
              <w:jc w:val="center"/>
              <w:rPr>
                <w:rFonts w:hint="eastAsia" w:ascii="仿宋_GB2312" w:hAnsi="宋体" w:eastAsia="仿宋_GB2312"/>
                <w:color w:val="auto"/>
                <w:sz w:val="24"/>
                <w:highlight w:val="none"/>
              </w:rPr>
            </w:pPr>
            <w:r>
              <w:rPr>
                <w:rFonts w:hint="eastAsia" w:ascii="仿宋_GB2312" w:hAnsi="仿宋_GB2312" w:eastAsia="仿宋_GB2312" w:cs="仿宋_GB2312"/>
                <w:color w:val="auto"/>
                <w:sz w:val="24"/>
                <w:highlight w:val="none"/>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3AB9717D">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537DDFDC">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467F1687">
            <w:pPr>
              <w:snapToGrid w:val="0"/>
              <w:spacing w:before="120" w:beforeLines="50"/>
              <w:jc w:val="center"/>
              <w:rPr>
                <w:rFonts w:hint="eastAsia" w:ascii="仿宋_GB2312" w:hAnsi="宋体" w:eastAsia="仿宋_GB2312"/>
                <w:color w:val="auto"/>
                <w:sz w:val="24"/>
                <w:highlight w:val="none"/>
              </w:rPr>
            </w:pPr>
          </w:p>
        </w:tc>
      </w:tr>
      <w:tr w14:paraId="781442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14:paraId="30CCD224">
            <w:pPr>
              <w:snapToGrid w:val="0"/>
              <w:spacing w:before="120" w:beforeLines="50"/>
              <w:jc w:val="center"/>
              <w:rPr>
                <w:rFonts w:hint="eastAsia" w:ascii="仿宋_GB2312" w:hAnsi="宋体" w:eastAsia="仿宋_GB2312"/>
                <w:color w:val="auto"/>
                <w:sz w:val="24"/>
                <w:highlight w:val="none"/>
              </w:rPr>
            </w:pPr>
            <w:r>
              <w:rPr>
                <w:rFonts w:hint="eastAsia" w:ascii="仿宋_GB2312" w:hAnsi="仿宋_GB2312" w:eastAsia="仿宋_GB2312" w:cs="仿宋_GB2312"/>
                <w:color w:val="auto"/>
                <w:sz w:val="24"/>
                <w:highlight w:val="none"/>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14:paraId="68626B85">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68B5F613">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29C6FE8F">
            <w:pPr>
              <w:snapToGrid w:val="0"/>
              <w:spacing w:before="120" w:beforeLines="50"/>
              <w:jc w:val="center"/>
              <w:rPr>
                <w:rFonts w:hint="eastAsia" w:ascii="仿宋_GB2312" w:hAnsi="宋体" w:eastAsia="仿宋_GB2312"/>
                <w:color w:val="auto"/>
                <w:sz w:val="24"/>
                <w:highlight w:val="none"/>
              </w:rPr>
            </w:pPr>
          </w:p>
        </w:tc>
      </w:tr>
      <w:tr w14:paraId="75C0F7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21" w:type="dxa"/>
            <w:gridSpan w:val="4"/>
            <w:tcBorders>
              <w:top w:val="single" w:color="auto" w:sz="4" w:space="0"/>
              <w:left w:val="single" w:color="auto" w:sz="4" w:space="0"/>
              <w:bottom w:val="single" w:color="auto" w:sz="4" w:space="0"/>
              <w:right w:val="single" w:color="auto" w:sz="4" w:space="0"/>
            </w:tcBorders>
            <w:vAlign w:val="center"/>
          </w:tcPr>
          <w:p w14:paraId="663E0E8C">
            <w:pPr>
              <w:snapToGrid w:val="0"/>
              <w:spacing w:before="120" w:beforeLines="50"/>
              <w:jc w:val="left"/>
              <w:rPr>
                <w:rFonts w:hint="eastAsia" w:ascii="仿宋_GB2312" w:hAnsi="宋体" w:eastAsia="仿宋_GB2312"/>
                <w:color w:val="auto"/>
                <w:sz w:val="24"/>
                <w:highlight w:val="none"/>
              </w:rPr>
            </w:pPr>
            <w:r>
              <w:rPr>
                <w:rFonts w:ascii="仿宋_GB2312" w:hAnsi="宋体" w:eastAsia="仿宋_GB2312"/>
                <w:b/>
                <w:bCs/>
                <w:color w:val="auto"/>
                <w:sz w:val="24"/>
                <w:highlight w:val="none"/>
              </w:rPr>
              <w:t>★</w:t>
            </w:r>
            <w:r>
              <w:rPr>
                <w:rFonts w:hint="eastAsia" w:ascii="仿宋_GB2312" w:hAnsi="宋体" w:eastAsia="仿宋_GB2312"/>
                <w:b/>
                <w:bCs/>
                <w:color w:val="auto"/>
                <w:sz w:val="24"/>
                <w:highlight w:val="none"/>
              </w:rPr>
              <w:t>三、</w:t>
            </w:r>
            <w:r>
              <w:rPr>
                <w:rFonts w:hint="eastAsia" w:ascii="仿宋_GB2312" w:hAnsi="宋体" w:eastAsia="仿宋_GB2312"/>
                <w:b/>
                <w:color w:val="auto"/>
                <w:sz w:val="24"/>
                <w:highlight w:val="none"/>
              </w:rPr>
              <w:t>验收要求</w:t>
            </w:r>
          </w:p>
        </w:tc>
      </w:tr>
      <w:tr w14:paraId="778F6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14:paraId="7C9B1662">
            <w:pPr>
              <w:snapToGrid w:val="0"/>
              <w:spacing w:before="120" w:beforeLines="50"/>
              <w:jc w:val="center"/>
              <w:rPr>
                <w:rFonts w:hint="eastAsia" w:ascii="仿宋_GB2312" w:hAnsi="宋体" w:eastAsia="仿宋_GB2312"/>
                <w:bCs/>
                <w:color w:val="auto"/>
                <w:sz w:val="24"/>
                <w:highlight w:val="none"/>
              </w:rPr>
            </w:pPr>
            <w:r>
              <w:rPr>
                <w:rFonts w:hint="eastAsia" w:ascii="仿宋_GB2312" w:hAnsi="仿宋_GB2312" w:eastAsia="仿宋_GB2312" w:cs="仿宋_GB2312"/>
                <w:color w:val="auto"/>
                <w:sz w:val="24"/>
                <w:highlight w:val="none"/>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0D793DEF">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3ED42EBB">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58055FD4">
            <w:pPr>
              <w:snapToGrid w:val="0"/>
              <w:spacing w:before="120" w:beforeLines="50"/>
              <w:jc w:val="center"/>
              <w:rPr>
                <w:rFonts w:hint="eastAsia" w:ascii="仿宋_GB2312" w:hAnsi="宋体" w:eastAsia="仿宋_GB2312"/>
                <w:color w:val="auto"/>
                <w:sz w:val="24"/>
                <w:highlight w:val="none"/>
              </w:rPr>
            </w:pPr>
          </w:p>
        </w:tc>
      </w:tr>
      <w:tr w14:paraId="7B8F6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21" w:type="dxa"/>
            <w:gridSpan w:val="4"/>
            <w:tcBorders>
              <w:top w:val="single" w:color="auto" w:sz="4" w:space="0"/>
              <w:left w:val="single" w:color="auto" w:sz="4" w:space="0"/>
              <w:bottom w:val="single" w:color="auto" w:sz="4" w:space="0"/>
              <w:right w:val="single" w:color="auto" w:sz="4" w:space="0"/>
            </w:tcBorders>
            <w:vAlign w:val="center"/>
          </w:tcPr>
          <w:p w14:paraId="3AD79582">
            <w:pPr>
              <w:snapToGrid w:val="0"/>
              <w:spacing w:before="120" w:beforeLines="50"/>
              <w:jc w:val="left"/>
              <w:rPr>
                <w:rFonts w:hint="eastAsia" w:ascii="仿宋_GB2312" w:hAnsi="宋体" w:eastAsia="仿宋_GB2312"/>
                <w:color w:val="auto"/>
                <w:sz w:val="24"/>
                <w:highlight w:val="none"/>
              </w:rPr>
            </w:pPr>
            <w:r>
              <w:rPr>
                <w:rFonts w:hint="eastAsia" w:ascii="仿宋_GB2312" w:hAnsi="宋体" w:eastAsia="仿宋_GB2312"/>
                <w:b/>
                <w:bCs/>
                <w:color w:val="auto"/>
                <w:sz w:val="24"/>
                <w:highlight w:val="none"/>
              </w:rPr>
              <w:t>四、资信要求</w:t>
            </w:r>
          </w:p>
        </w:tc>
      </w:tr>
      <w:tr w14:paraId="0ABEF2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14:paraId="13023AB8">
            <w:pPr>
              <w:snapToGrid w:val="0"/>
              <w:spacing w:before="120" w:beforeLines="50"/>
              <w:jc w:val="center"/>
              <w:rPr>
                <w:rFonts w:hint="eastAsia" w:ascii="仿宋_GB2312" w:hAnsi="宋体" w:eastAsia="仿宋_GB2312"/>
                <w:bCs/>
                <w:color w:val="auto"/>
                <w:sz w:val="24"/>
                <w:highlight w:val="none"/>
              </w:rPr>
            </w:pPr>
            <w:r>
              <w:rPr>
                <w:rFonts w:hint="eastAsia" w:ascii="仿宋_GB2312" w:hAnsi="仿宋_GB2312" w:eastAsia="仿宋_GB2312" w:cs="仿宋_GB2312"/>
                <w:color w:val="auto"/>
                <w:sz w:val="24"/>
                <w:highlight w:val="none"/>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14:paraId="7EA9C672">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1ACEFEBF">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7421E903">
            <w:pPr>
              <w:snapToGrid w:val="0"/>
              <w:spacing w:before="120" w:beforeLines="50"/>
              <w:jc w:val="center"/>
              <w:rPr>
                <w:rFonts w:hint="eastAsia" w:ascii="仿宋_GB2312" w:hAnsi="宋体" w:eastAsia="仿宋_GB2312"/>
                <w:color w:val="auto"/>
                <w:sz w:val="24"/>
                <w:highlight w:val="none"/>
              </w:rPr>
            </w:pPr>
          </w:p>
        </w:tc>
      </w:tr>
      <w:tr w14:paraId="030E43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14:paraId="2C703EFD">
            <w:pPr>
              <w:snapToGrid w:val="0"/>
              <w:spacing w:before="120" w:beforeLines="50"/>
              <w:jc w:val="center"/>
              <w:rPr>
                <w:rFonts w:hint="eastAsia" w:ascii="仿宋_GB2312" w:hAnsi="宋体" w:eastAsia="仿宋_GB2312"/>
                <w:bCs/>
                <w:color w:val="auto"/>
                <w:sz w:val="24"/>
                <w:highlight w:val="none"/>
              </w:rPr>
            </w:pPr>
            <w:r>
              <w:rPr>
                <w:rFonts w:hint="eastAsia" w:ascii="仿宋_GB2312" w:hAnsi="仿宋_GB2312" w:eastAsia="仿宋_GB2312" w:cs="仿宋_GB2312"/>
                <w:color w:val="auto"/>
                <w:sz w:val="24"/>
                <w:highlight w:val="none"/>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0A8C057F">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110EBBEA">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01D16E23">
            <w:pPr>
              <w:snapToGrid w:val="0"/>
              <w:spacing w:before="120" w:beforeLines="50"/>
              <w:jc w:val="center"/>
              <w:rPr>
                <w:rFonts w:hint="eastAsia" w:ascii="仿宋_GB2312" w:hAnsi="宋体" w:eastAsia="仿宋_GB2312"/>
                <w:color w:val="auto"/>
                <w:sz w:val="24"/>
                <w:highlight w:val="none"/>
              </w:rPr>
            </w:pPr>
          </w:p>
        </w:tc>
      </w:tr>
      <w:tr w14:paraId="7C8DEE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21" w:type="dxa"/>
            <w:gridSpan w:val="4"/>
            <w:tcBorders>
              <w:top w:val="single" w:color="auto" w:sz="4" w:space="0"/>
              <w:left w:val="single" w:color="auto" w:sz="4" w:space="0"/>
              <w:bottom w:val="single" w:color="auto" w:sz="4" w:space="0"/>
              <w:right w:val="single" w:color="auto" w:sz="4" w:space="0"/>
            </w:tcBorders>
            <w:vAlign w:val="center"/>
          </w:tcPr>
          <w:p w14:paraId="2B0BBE3D">
            <w:pPr>
              <w:snapToGrid w:val="0"/>
              <w:spacing w:before="120" w:beforeLines="50"/>
              <w:jc w:val="left"/>
              <w:rPr>
                <w:rFonts w:hint="eastAsia" w:ascii="仿宋_GB2312" w:hAnsi="宋体" w:eastAsia="仿宋_GB2312"/>
                <w:color w:val="auto"/>
                <w:sz w:val="24"/>
                <w:highlight w:val="none"/>
              </w:rPr>
            </w:pPr>
            <w:r>
              <w:rPr>
                <w:rFonts w:hint="eastAsia" w:ascii="仿宋_GB2312" w:hAnsi="宋体" w:eastAsia="仿宋_GB2312"/>
                <w:b/>
                <w:bCs/>
                <w:color w:val="auto"/>
                <w:sz w:val="24"/>
                <w:highlight w:val="none"/>
              </w:rPr>
              <w:t>五、其他要求</w:t>
            </w:r>
          </w:p>
        </w:tc>
      </w:tr>
      <w:tr w14:paraId="76B360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984" w:type="dxa"/>
            <w:tcBorders>
              <w:top w:val="single" w:color="auto" w:sz="4" w:space="0"/>
              <w:left w:val="single" w:color="auto" w:sz="4" w:space="0"/>
              <w:bottom w:val="single" w:color="auto" w:sz="4" w:space="0"/>
              <w:right w:val="single" w:color="auto" w:sz="4" w:space="0"/>
            </w:tcBorders>
            <w:vAlign w:val="center"/>
          </w:tcPr>
          <w:p w14:paraId="6C034AC9">
            <w:pPr>
              <w:snapToGrid w:val="0"/>
              <w:spacing w:before="120" w:beforeLines="50"/>
              <w:jc w:val="center"/>
              <w:rPr>
                <w:rFonts w:hint="eastAsia" w:ascii="仿宋_GB2312" w:hAnsi="宋体" w:eastAsia="仿宋_GB2312"/>
                <w:bCs/>
                <w:color w:val="auto"/>
                <w:sz w:val="24"/>
                <w:highlight w:val="none"/>
              </w:rPr>
            </w:pPr>
            <w:r>
              <w:rPr>
                <w:rFonts w:hint="eastAsia" w:ascii="仿宋_GB2312" w:hAnsi="仿宋_GB2312" w:eastAsia="仿宋_GB2312" w:cs="仿宋_GB2312"/>
                <w:color w:val="auto"/>
                <w:sz w:val="24"/>
                <w:highlight w:val="none"/>
              </w:rPr>
              <w:t>无</w:t>
            </w:r>
          </w:p>
        </w:tc>
        <w:tc>
          <w:tcPr>
            <w:tcW w:w="2360" w:type="dxa"/>
            <w:tcBorders>
              <w:top w:val="single" w:color="auto" w:sz="4" w:space="0"/>
              <w:left w:val="single" w:color="auto" w:sz="4" w:space="0"/>
              <w:bottom w:val="single" w:color="auto" w:sz="4" w:space="0"/>
              <w:right w:val="single" w:color="auto" w:sz="4" w:space="0"/>
            </w:tcBorders>
            <w:vAlign w:val="center"/>
          </w:tcPr>
          <w:p w14:paraId="5558FA54">
            <w:pPr>
              <w:snapToGrid w:val="0"/>
              <w:spacing w:before="120" w:beforeLines="50"/>
              <w:jc w:val="center"/>
              <w:rPr>
                <w:rFonts w:hint="eastAsia" w:ascii="仿宋_GB2312" w:hAnsi="宋体" w:eastAsia="仿宋_GB2312"/>
                <w:color w:val="auto"/>
                <w:sz w:val="24"/>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5188455A">
            <w:pPr>
              <w:snapToGrid w:val="0"/>
              <w:spacing w:before="120" w:beforeLines="50"/>
              <w:jc w:val="center"/>
              <w:rPr>
                <w:rFonts w:hint="eastAsia" w:ascii="仿宋_GB2312" w:hAnsi="宋体" w:eastAsia="仿宋_GB2312"/>
                <w:color w:val="auto"/>
                <w:sz w:val="24"/>
                <w:highlight w:val="none"/>
              </w:rPr>
            </w:pPr>
          </w:p>
        </w:tc>
        <w:tc>
          <w:tcPr>
            <w:tcW w:w="3018" w:type="dxa"/>
            <w:tcBorders>
              <w:top w:val="single" w:color="auto" w:sz="4" w:space="0"/>
              <w:left w:val="single" w:color="auto" w:sz="4" w:space="0"/>
              <w:bottom w:val="single" w:color="auto" w:sz="4" w:space="0"/>
              <w:right w:val="single" w:color="auto" w:sz="4" w:space="0"/>
            </w:tcBorders>
            <w:vAlign w:val="center"/>
          </w:tcPr>
          <w:p w14:paraId="73D9698E">
            <w:pPr>
              <w:snapToGrid w:val="0"/>
              <w:spacing w:before="120" w:beforeLines="50"/>
              <w:jc w:val="center"/>
              <w:rPr>
                <w:rFonts w:hint="eastAsia" w:ascii="仿宋_GB2312" w:hAnsi="宋体" w:eastAsia="仿宋_GB2312"/>
                <w:color w:val="auto"/>
                <w:sz w:val="24"/>
                <w:highlight w:val="none"/>
              </w:rPr>
            </w:pPr>
          </w:p>
        </w:tc>
      </w:tr>
    </w:tbl>
    <w:p w14:paraId="72D7B9B1">
      <w:pPr>
        <w:pStyle w:val="26"/>
        <w:spacing w:line="360" w:lineRule="exact"/>
        <w:ind w:firstLine="482" w:firstLineChars="200"/>
        <w:rPr>
          <w:rFonts w:ascii="Times New Roman" w:hAnsi="Times New Roman"/>
          <w:color w:val="auto"/>
          <w:highlight w:val="none"/>
        </w:rPr>
      </w:pPr>
      <w:r>
        <w:rPr>
          <w:rFonts w:hint="eastAsia" w:ascii="仿宋_GB2312" w:hAnsi="宋体" w:eastAsia="仿宋_GB2312"/>
          <w:b/>
          <w:bCs/>
          <w:color w:val="auto"/>
          <w:kern w:val="0"/>
          <w:sz w:val="24"/>
          <w:highlight w:val="none"/>
        </w:rPr>
        <w:t>注：1.</w:t>
      </w:r>
      <w:r>
        <w:rPr>
          <w:rFonts w:hint="eastAsia" w:ascii="仿宋_GB2312" w:eastAsia="仿宋_GB2312"/>
          <w:b/>
          <w:color w:val="auto"/>
          <w:sz w:val="24"/>
          <w:highlight w:val="none"/>
        </w:rPr>
        <w:t>此项材料必须</w:t>
      </w:r>
      <w:r>
        <w:rPr>
          <w:rFonts w:hint="eastAsia" w:ascii="仿宋_GB2312" w:hAnsi="宋体" w:eastAsia="仿宋_GB2312"/>
          <w:b/>
          <w:bCs/>
          <w:color w:val="auto"/>
          <w:sz w:val="24"/>
          <w:highlight w:val="none"/>
        </w:rPr>
        <w:t>以PDF格式上传。</w:t>
      </w:r>
    </w:p>
    <w:p w14:paraId="58FBBBCD">
      <w:pPr>
        <w:ind w:firstLine="482" w:firstLineChars="200"/>
        <w:rPr>
          <w:rFonts w:ascii="仿宋_GB2312" w:eastAsia="仿宋_GB2312"/>
          <w:b/>
          <w:color w:val="auto"/>
          <w:sz w:val="24"/>
          <w:highlight w:val="none"/>
        </w:rPr>
      </w:pPr>
      <w:r>
        <w:rPr>
          <w:rFonts w:hint="eastAsia" w:ascii="仿宋_GB2312" w:hAnsi="宋体" w:eastAsia="仿宋_GB2312"/>
          <w:b/>
          <w:bCs/>
          <w:color w:val="auto"/>
          <w:kern w:val="0"/>
          <w:sz w:val="24"/>
          <w:highlight w:val="none"/>
        </w:rPr>
        <w:t>2.</w:t>
      </w:r>
      <w:r>
        <w:rPr>
          <w:rFonts w:hint="eastAsia" w:ascii="仿宋_GB2312" w:eastAsia="仿宋_GB2312"/>
          <w:b/>
          <w:color w:val="auto"/>
          <w:sz w:val="24"/>
          <w:highlight w:val="none"/>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4C609518">
      <w:pPr>
        <w:ind w:left="-283" w:leftChars="-135" w:right="-754" w:rightChars="-359" w:firstLine="495"/>
        <w:jc w:val="center"/>
        <w:rPr>
          <w:rFonts w:hint="eastAsia" w:ascii="仿宋_GB2312" w:hAnsi="宋体" w:eastAsia="仿宋_GB2312"/>
          <w:b/>
          <w:bCs/>
          <w:color w:val="auto"/>
          <w:kern w:val="0"/>
          <w:sz w:val="24"/>
          <w:highlight w:val="none"/>
        </w:rPr>
      </w:pPr>
      <w:r>
        <w:rPr>
          <w:rFonts w:hint="eastAsia" w:ascii="仿宋_GB2312" w:hAnsi="宋体" w:eastAsia="仿宋_GB2312"/>
          <w:b/>
          <w:bCs/>
          <w:color w:val="auto"/>
          <w:kern w:val="0"/>
          <w:sz w:val="24"/>
          <w:highlight w:val="none"/>
        </w:rPr>
        <w:t>3.投标人就标记“★”符号的实质性响应内容发生负偏离一项以上的，视为投标无效。</w:t>
      </w:r>
    </w:p>
    <w:p w14:paraId="6CBB6344">
      <w:pPr>
        <w:ind w:left="-283" w:leftChars="-135" w:right="-754" w:rightChars="-359" w:firstLine="495"/>
        <w:jc w:val="center"/>
        <w:rPr>
          <w:rFonts w:ascii="仿宋_GB2312" w:eastAsia="仿宋_GB2312"/>
          <w:color w:val="auto"/>
          <w:sz w:val="24"/>
          <w:highlight w:val="none"/>
        </w:rPr>
      </w:pPr>
    </w:p>
    <w:p w14:paraId="30448998">
      <w:pPr>
        <w:jc w:val="center"/>
        <w:rPr>
          <w:rFonts w:ascii="仿宋_GB2312" w:eastAsia="仿宋_GB2312"/>
          <w:color w:val="auto"/>
          <w:sz w:val="24"/>
          <w:highlight w:val="none"/>
          <w:u w:val="single"/>
        </w:rPr>
      </w:pPr>
      <w:r>
        <w:rPr>
          <w:rFonts w:hint="eastAsia" w:ascii="仿宋_GB2312" w:eastAsia="仿宋_GB2312"/>
          <w:color w:val="auto"/>
          <w:sz w:val="24"/>
          <w:highlight w:val="none"/>
        </w:rPr>
        <w:t xml:space="preserve">             法定代表人或委托代理人</w:t>
      </w:r>
      <w:r>
        <w:rPr>
          <w:rFonts w:hint="eastAsia" w:ascii="仿宋_GB2312" w:eastAsia="仿宋_GB2312"/>
          <w:b/>
          <w:bCs/>
          <w:color w:val="auto"/>
          <w:sz w:val="24"/>
          <w:highlight w:val="none"/>
        </w:rPr>
        <w:t>（签字）</w:t>
      </w:r>
      <w:r>
        <w:rPr>
          <w:rFonts w:hint="eastAsia" w:ascii="仿宋_GB2312" w:eastAsia="仿宋_GB2312"/>
          <w:color w:val="auto"/>
          <w:sz w:val="24"/>
          <w:highlight w:val="none"/>
          <w:u w:val="single"/>
        </w:rPr>
        <w:t xml:space="preserve">        </w:t>
      </w:r>
    </w:p>
    <w:p w14:paraId="505F57D2">
      <w:pPr>
        <w:wordWrap w:val="0"/>
        <w:snapToGrid w:val="0"/>
        <w:spacing w:before="120" w:beforeLines="50"/>
        <w:jc w:val="right"/>
        <w:rPr>
          <w:rFonts w:ascii="仿宋_GB2312" w:eastAsia="仿宋_GB2312"/>
          <w:color w:val="auto"/>
          <w:sz w:val="24"/>
          <w:highlight w:val="none"/>
          <w:u w:val="single"/>
        </w:rPr>
      </w:pPr>
      <w:r>
        <w:rPr>
          <w:rFonts w:hint="eastAsia" w:ascii="仿宋_GB2312" w:eastAsia="仿宋_GB2312"/>
          <w:color w:val="auto"/>
          <w:sz w:val="24"/>
          <w:highlight w:val="none"/>
        </w:rPr>
        <w:t xml:space="preserve"> 投标人</w:t>
      </w:r>
      <w:r>
        <w:rPr>
          <w:rFonts w:hint="eastAsia" w:ascii="仿宋_GB2312" w:eastAsia="仿宋_GB2312"/>
          <w:b/>
          <w:bCs/>
          <w:color w:val="auto"/>
          <w:sz w:val="24"/>
          <w:highlight w:val="none"/>
        </w:rPr>
        <w:t>（CA电子签章）</w:t>
      </w:r>
      <w:r>
        <w:rPr>
          <w:rFonts w:hint="eastAsia" w:ascii="仿宋_GB2312" w:eastAsia="仿宋_GB2312"/>
          <w:color w:val="auto"/>
          <w:sz w:val="24"/>
          <w:highlight w:val="none"/>
        </w:rPr>
        <w:t>：</w:t>
      </w:r>
      <w:r>
        <w:rPr>
          <w:rFonts w:hint="eastAsia" w:ascii="仿宋_GB2312" w:eastAsia="仿宋_GB2312"/>
          <w:color w:val="auto"/>
          <w:sz w:val="24"/>
          <w:highlight w:val="none"/>
          <w:u w:val="single"/>
        </w:rPr>
        <w:t xml:space="preserve">                    </w:t>
      </w:r>
    </w:p>
    <w:p w14:paraId="4F9DFB19">
      <w:pPr>
        <w:pStyle w:val="26"/>
        <w:spacing w:line="240" w:lineRule="atLeast"/>
        <w:jc w:val="right"/>
        <w:rPr>
          <w:rFonts w:ascii="仿宋_GB2312" w:eastAsia="仿宋_GB2312"/>
          <w:color w:val="auto"/>
          <w:highlight w:val="none"/>
        </w:rPr>
      </w:pPr>
      <w:r>
        <w:rPr>
          <w:rFonts w:hint="eastAsia" w:ascii="仿宋_GB2312" w:eastAsia="仿宋_GB2312"/>
          <w:color w:val="auto"/>
          <w:sz w:val="24"/>
          <w:highlight w:val="none"/>
        </w:rPr>
        <w:t xml:space="preserve">     </w:t>
      </w:r>
      <w:r>
        <w:rPr>
          <w:rFonts w:hint="eastAsia" w:ascii="仿宋_GB2312" w:eastAsia="仿宋_GB2312"/>
          <w:color w:val="auto"/>
          <w:highlight w:val="none"/>
        </w:rPr>
        <w:t>日期：       年   月   日</w:t>
      </w:r>
    </w:p>
    <w:p w14:paraId="2F6DCD2A">
      <w:pPr>
        <w:pStyle w:val="26"/>
        <w:spacing w:line="240" w:lineRule="atLeast"/>
        <w:jc w:val="right"/>
        <w:rPr>
          <w:rFonts w:ascii="仿宋_GB2312" w:eastAsia="仿宋_GB2312"/>
          <w:color w:val="auto"/>
          <w:highlight w:val="none"/>
        </w:rPr>
        <w:sectPr>
          <w:pgSz w:w="11906" w:h="16838"/>
          <w:pgMar w:top="1440" w:right="1440" w:bottom="1440" w:left="1440" w:header="851" w:footer="992" w:gutter="0"/>
          <w:cols w:space="720" w:num="1"/>
          <w:docGrid w:linePitch="312" w:charSpace="0"/>
        </w:sectPr>
      </w:pPr>
    </w:p>
    <w:p w14:paraId="7AB6C825">
      <w:pPr>
        <w:snapToGrid w:val="0"/>
        <w:spacing w:before="50" w:after="313" w:afterLines="1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（4）</w:t>
      </w:r>
      <w:r>
        <w:rPr>
          <w:rFonts w:hint="eastAsia" w:ascii="仿宋_GB2312" w:hAnsi="宋体" w:eastAsia="仿宋_GB2312"/>
          <w:color w:val="auto"/>
          <w:sz w:val="24"/>
          <w:highlight w:val="none"/>
          <w:lang w:eastAsia="zh-CN"/>
        </w:rPr>
        <w:t>分标</w:t>
      </w:r>
      <w:r>
        <w:rPr>
          <w:rFonts w:hint="eastAsia" w:ascii="仿宋_GB2312" w:hAnsi="宋体" w:eastAsia="仿宋_GB2312"/>
          <w:color w:val="auto"/>
          <w:sz w:val="24"/>
          <w:highlight w:val="none"/>
          <w:lang w:val="en-US" w:eastAsia="zh-CN"/>
        </w:rPr>
        <w:t>1</w:t>
      </w:r>
      <w:r>
        <w:rPr>
          <w:rFonts w:hint="eastAsia" w:ascii="仿宋_GB2312" w:hAnsi="宋体" w:eastAsia="仿宋_GB2312"/>
          <w:color w:val="auto"/>
          <w:sz w:val="24"/>
          <w:highlight w:val="none"/>
        </w:rPr>
        <w:t>投标产品“教师台式机”、“网络教室教师机”、“网络教室学生机”和分标2投标产品“网络教室教师机”、“网络教室学生机”</w:t>
      </w:r>
      <w:r>
        <w:rPr>
          <w:rFonts w:hint="eastAsia" w:ascii="仿宋_GB2312" w:hAnsi="宋体" w:eastAsia="仿宋_GB2312"/>
          <w:bCs/>
          <w:color w:val="auto"/>
          <w:sz w:val="24"/>
          <w:highlight w:val="none"/>
        </w:rPr>
        <w:t>为政府强制采购节能产品，由国家确定的认证机构出具的、处于有效期之内的节能产品认证证书</w:t>
      </w:r>
      <w:r>
        <w:rPr>
          <w:rFonts w:hint="eastAsia" w:ascii="仿宋_GB2312" w:hAnsi="宋体" w:eastAsia="仿宋_GB2312"/>
          <w:b/>
          <w:color w:val="auto"/>
          <w:sz w:val="24"/>
          <w:highlight w:val="none"/>
        </w:rPr>
        <w:t>（</w:t>
      </w:r>
      <w:r>
        <w:rPr>
          <w:rFonts w:hint="eastAsia" w:ascii="仿宋_GB2312" w:eastAsia="仿宋_GB2312"/>
          <w:b/>
          <w:color w:val="auto"/>
          <w:sz w:val="24"/>
          <w:highlight w:val="none"/>
        </w:rPr>
        <w:t>必须提供</w:t>
      </w:r>
      <w:r>
        <w:rPr>
          <w:rFonts w:hint="eastAsia" w:ascii="仿宋_GB2312" w:hAnsi="宋体" w:eastAsia="仿宋_GB2312"/>
          <w:color w:val="auto"/>
          <w:sz w:val="24"/>
          <w:highlight w:val="none"/>
        </w:rPr>
        <w:t>，格式自拟</w:t>
      </w:r>
      <w:r>
        <w:rPr>
          <w:rFonts w:hint="eastAsia" w:ascii="仿宋_GB2312" w:hAnsi="宋体" w:eastAsia="仿宋_GB2312"/>
          <w:b/>
          <w:color w:val="auto"/>
          <w:sz w:val="24"/>
          <w:highlight w:val="none"/>
        </w:rPr>
        <w:t>）</w:t>
      </w:r>
      <w:r>
        <w:rPr>
          <w:rFonts w:hint="eastAsia" w:ascii="仿宋_GB2312" w:hAnsi="宋体" w:eastAsia="仿宋_GB2312"/>
          <w:color w:val="auto"/>
          <w:sz w:val="24"/>
          <w:highlight w:val="none"/>
        </w:rPr>
        <w:t>。</w:t>
      </w:r>
    </w:p>
    <w:p w14:paraId="68EA12C2">
      <w:pPr>
        <w:snapToGrid w:val="0"/>
        <w:spacing w:before="50" w:beforeAutospacing="0" w:after="313" w:afterLines="100" w:afterAutospacing="0"/>
        <w:ind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（5）</w:t>
      </w:r>
      <w:r>
        <w:rPr>
          <w:rFonts w:hint="eastAsia" w:ascii="仿宋_GB2312" w:hAnsi="宋体" w:eastAsia="仿宋_GB2312"/>
          <w:color w:val="auto"/>
          <w:sz w:val="24"/>
          <w:highlight w:val="none"/>
          <w:lang w:eastAsia="zh-CN"/>
        </w:rPr>
        <w:t>分标</w:t>
      </w:r>
      <w:r>
        <w:rPr>
          <w:rFonts w:hint="eastAsia" w:ascii="仿宋_GB2312" w:hAnsi="宋体" w:eastAsia="仿宋_GB2312"/>
          <w:color w:val="auto"/>
          <w:sz w:val="24"/>
          <w:highlight w:val="none"/>
          <w:lang w:val="en-US" w:eastAsia="zh-CN"/>
        </w:rPr>
        <w:t>1</w:t>
      </w:r>
      <w:r>
        <w:rPr>
          <w:rFonts w:hint="eastAsia" w:ascii="仿宋_GB2312" w:hAnsi="宋体" w:eastAsia="仿宋_GB2312"/>
          <w:color w:val="auto"/>
          <w:sz w:val="24"/>
          <w:highlight w:val="none"/>
        </w:rPr>
        <w:t>所投产品</w:t>
      </w:r>
      <w:r>
        <w:rPr>
          <w:rFonts w:hint="eastAsia" w:ascii="仿宋_GB2312" w:hAnsi="宋体" w:eastAsia="仿宋_GB2312"/>
          <w:color w:val="auto"/>
          <w:sz w:val="24"/>
          <w:highlight w:val="none"/>
          <w:lang w:eastAsia="zh-CN"/>
        </w:rPr>
        <w:t>满足</w:t>
      </w:r>
      <w:r>
        <w:rPr>
          <w:rFonts w:hint="eastAsia" w:ascii="仿宋_GB2312" w:hAnsi="宋体" w:eastAsia="仿宋_GB2312"/>
          <w:color w:val="auto"/>
          <w:sz w:val="24"/>
          <w:highlight w:val="none"/>
        </w:rPr>
        <w:t>采购</w:t>
      </w:r>
      <w:r>
        <w:rPr>
          <w:rFonts w:hint="eastAsia" w:ascii="仿宋_GB2312" w:hAnsi="宋体" w:eastAsia="仿宋_GB2312"/>
          <w:b w:val="0"/>
          <w:bCs w:val="0"/>
          <w:color w:val="auto"/>
          <w:sz w:val="24"/>
          <w:highlight w:val="none"/>
        </w:rPr>
        <w:t>需求“</w:t>
      </w:r>
      <w:r>
        <w:rPr>
          <w:rFonts w:hint="eastAsia" w:ascii="仿宋_GB2312" w:hAnsi="宋体" w:eastAsia="仿宋_GB2312" w:cs="Times New Roman"/>
          <w:b w:val="0"/>
          <w:bCs w:val="0"/>
          <w:color w:val="auto"/>
          <w:kern w:val="2"/>
          <w:sz w:val="24"/>
          <w:szCs w:val="24"/>
          <w:highlight w:val="none"/>
        </w:rPr>
        <w:t>（</w:t>
      </w:r>
      <w:r>
        <w:rPr>
          <w:rFonts w:hint="eastAsia" w:ascii="仿宋_GB2312" w:hAnsi="宋体" w:eastAsia="仿宋_GB2312" w:cs="Times New Roman"/>
          <w:b w:val="0"/>
          <w:bCs w:val="0"/>
          <w:color w:val="auto"/>
          <w:kern w:val="2"/>
          <w:sz w:val="24"/>
          <w:szCs w:val="24"/>
          <w:highlight w:val="none"/>
          <w:lang w:eastAsia="zh-CN"/>
        </w:rPr>
        <w:t>三</w:t>
      </w:r>
      <w:r>
        <w:rPr>
          <w:rFonts w:hint="eastAsia" w:ascii="仿宋_GB2312" w:hAnsi="宋体" w:eastAsia="仿宋_GB2312" w:cs="Times New Roman"/>
          <w:b w:val="0"/>
          <w:bCs w:val="0"/>
          <w:color w:val="auto"/>
          <w:kern w:val="2"/>
          <w:sz w:val="24"/>
          <w:szCs w:val="24"/>
          <w:highlight w:val="none"/>
        </w:rPr>
        <w:t>）</w:t>
      </w:r>
      <w:r>
        <w:rPr>
          <w:rFonts w:hint="eastAsia" w:ascii="仿宋_GB2312" w:hAnsi="宋体" w:eastAsia="仿宋_GB2312" w:cs="Times New Roman"/>
          <w:b w:val="0"/>
          <w:bCs w:val="0"/>
          <w:color w:val="auto"/>
          <w:kern w:val="2"/>
          <w:sz w:val="24"/>
          <w:szCs w:val="24"/>
          <w:highlight w:val="none"/>
          <w:lang w:val="en-US" w:eastAsia="zh-CN"/>
        </w:rPr>
        <w:t xml:space="preserve">32套普通教室互动平板一体机教学系统 </w:t>
      </w:r>
      <w:r>
        <w:rPr>
          <w:rFonts w:hint="eastAsia" w:ascii="仿宋_GB2312" w:hAnsi="宋体" w:eastAsia="仿宋_GB2312" w:cs="Times New Roman"/>
          <w:b w:val="0"/>
          <w:bCs w:val="0"/>
          <w:color w:val="auto"/>
          <w:sz w:val="24"/>
          <w:szCs w:val="24"/>
          <w:highlight w:val="none"/>
          <w:lang w:val="en-US" w:eastAsia="zh-CN"/>
        </w:rPr>
        <w:t>1.</w:t>
      </w:r>
      <w:r>
        <w:rPr>
          <w:rFonts w:hint="eastAsia" w:ascii="仿宋_GB2312" w:hAnsi="宋体" w:eastAsia="仿宋_GB2312" w:cs="Times New Roman"/>
          <w:b w:val="0"/>
          <w:bCs w:val="0"/>
          <w:color w:val="auto"/>
          <w:kern w:val="2"/>
          <w:sz w:val="24"/>
          <w:highlight w:val="none"/>
        </w:rPr>
        <w:t>互动平板一体机</w:t>
      </w:r>
      <w:r>
        <w:rPr>
          <w:rFonts w:hint="eastAsia" w:ascii="仿宋_GB2312" w:hAnsi="宋体" w:eastAsia="仿宋_GB2312" w:cs="Times New Roman"/>
          <w:b w:val="0"/>
          <w:bCs w:val="0"/>
          <w:color w:val="auto"/>
          <w:kern w:val="2"/>
          <w:sz w:val="24"/>
          <w:highlight w:val="none"/>
          <w:lang w:val="en-US" w:eastAsia="zh-CN"/>
        </w:rPr>
        <w:t xml:space="preserve"> </w:t>
      </w:r>
      <w:r>
        <w:rPr>
          <w:rFonts w:hint="eastAsia" w:ascii="仿宋_GB2312" w:hAnsi="宋体" w:eastAsia="仿宋_GB2312" w:cs="Times New Roman"/>
          <w:b w:val="0"/>
          <w:bCs w:val="0"/>
          <w:color w:val="auto"/>
          <w:sz w:val="24"/>
          <w:highlight w:val="none"/>
          <w:lang w:val="en-US" w:eastAsia="zh-CN"/>
        </w:rPr>
        <w:t xml:space="preserve">二、整机屏幕及护眼设计 </w:t>
      </w:r>
      <w:r>
        <w:rPr>
          <w:rFonts w:hint="eastAsia" w:ascii="仿宋_GB2312" w:hAnsi="宋体" w:eastAsia="仿宋_GB2312" w:cs="Times New Roman"/>
          <w:b w:val="0"/>
          <w:bCs w:val="0"/>
          <w:color w:val="auto"/>
          <w:kern w:val="2"/>
          <w:sz w:val="24"/>
          <w:highlight w:val="none"/>
          <w:lang w:val="en-US" w:eastAsia="zh-CN"/>
        </w:rPr>
        <w:t>第9点、</w:t>
      </w:r>
      <w:r>
        <w:rPr>
          <w:rFonts w:hint="eastAsia" w:ascii="仿宋_GB2312" w:hAnsi="宋体" w:eastAsia="仿宋_GB2312" w:cs="Times New Roman"/>
          <w:b w:val="0"/>
          <w:bCs w:val="0"/>
          <w:color w:val="auto"/>
          <w:sz w:val="24"/>
          <w:highlight w:val="none"/>
          <w:lang w:val="en-US" w:eastAsia="zh-CN"/>
        </w:rPr>
        <w:t>三、音视频功能设计 第1点、第3点”</w:t>
      </w:r>
      <w:r>
        <w:rPr>
          <w:rFonts w:hint="eastAsia" w:ascii="仿宋_GB2312" w:hAnsi="宋体" w:eastAsia="仿宋_GB2312"/>
          <w:b w:val="0"/>
          <w:bCs w:val="0"/>
          <w:color w:val="auto"/>
          <w:sz w:val="24"/>
          <w:highlight w:val="none"/>
        </w:rPr>
        <w:t>的全部技术参数要求的证明材料，证明材料可以是检测（检验）报告、彩页、官网或功能截图等任意一种</w:t>
      </w:r>
      <w:r>
        <w:rPr>
          <w:rFonts w:hint="eastAsia" w:ascii="仿宋_GB2312" w:hAnsi="宋体" w:eastAsia="仿宋_GB2312"/>
          <w:b/>
          <w:bCs/>
          <w:color w:val="auto"/>
          <w:sz w:val="24"/>
          <w:highlight w:val="none"/>
        </w:rPr>
        <w:t>（必须提供</w:t>
      </w:r>
      <w:r>
        <w:rPr>
          <w:rFonts w:hint="eastAsia" w:ascii="仿宋_GB2312" w:hAnsi="宋体" w:eastAsia="仿宋_GB2312"/>
          <w:color w:val="auto"/>
          <w:sz w:val="24"/>
          <w:highlight w:val="none"/>
        </w:rPr>
        <w:t>，格式自拟</w:t>
      </w:r>
      <w:r>
        <w:rPr>
          <w:rFonts w:hint="eastAsia" w:ascii="仿宋_GB2312" w:hAnsi="宋体" w:eastAsia="仿宋_GB2312"/>
          <w:b/>
          <w:bCs/>
          <w:color w:val="auto"/>
          <w:sz w:val="24"/>
          <w:highlight w:val="none"/>
        </w:rPr>
        <w:t>）</w:t>
      </w:r>
      <w:r>
        <w:rPr>
          <w:rFonts w:hint="eastAsia" w:ascii="仿宋_GB2312" w:hAnsi="宋体" w:eastAsia="仿宋_GB2312"/>
          <w:color w:val="auto"/>
          <w:sz w:val="24"/>
          <w:highlight w:val="none"/>
        </w:rPr>
        <w:t>；</w:t>
      </w:r>
    </w:p>
    <w:p w14:paraId="109357EF">
      <w:pPr>
        <w:snapToGrid w:val="0"/>
        <w:spacing w:before="50" w:beforeAutospacing="0" w:after="0" w:afterAutospacing="0"/>
        <w:ind w:firstLineChars="20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w:t>
      </w:r>
      <w:r>
        <w:rPr>
          <w:rFonts w:hint="eastAsia" w:ascii="仿宋_GB2312" w:hAnsi="宋体" w:eastAsia="仿宋_GB2312"/>
          <w:color w:val="auto"/>
          <w:sz w:val="24"/>
          <w:highlight w:val="none"/>
          <w:lang w:val="en-US" w:eastAsia="zh-CN"/>
        </w:rPr>
        <w:t>6</w:t>
      </w:r>
      <w:r>
        <w:rPr>
          <w:rFonts w:hint="eastAsia" w:ascii="仿宋_GB2312" w:hAnsi="宋体" w:eastAsia="仿宋_GB2312"/>
          <w:color w:val="auto"/>
          <w:sz w:val="24"/>
          <w:highlight w:val="none"/>
        </w:rPr>
        <w:t>）</w:t>
      </w:r>
      <w:r>
        <w:rPr>
          <w:rFonts w:hint="eastAsia" w:ascii="仿宋_GB2312" w:hAnsi="宋体" w:eastAsia="仿宋_GB2312"/>
          <w:color w:val="auto"/>
          <w:sz w:val="24"/>
          <w:highlight w:val="none"/>
          <w:lang w:eastAsia="zh-CN"/>
        </w:rPr>
        <w:t>分标</w:t>
      </w:r>
      <w:r>
        <w:rPr>
          <w:rFonts w:hint="eastAsia" w:ascii="仿宋_GB2312" w:hAnsi="宋体" w:eastAsia="仿宋_GB2312"/>
          <w:color w:val="auto"/>
          <w:sz w:val="24"/>
          <w:highlight w:val="none"/>
          <w:lang w:val="en-US" w:eastAsia="zh-CN"/>
        </w:rPr>
        <w:t>2</w:t>
      </w:r>
      <w:r>
        <w:rPr>
          <w:rFonts w:hint="eastAsia" w:ascii="仿宋_GB2312" w:hAnsi="宋体" w:eastAsia="仿宋_GB2312"/>
          <w:color w:val="auto"/>
          <w:sz w:val="24"/>
          <w:highlight w:val="none"/>
        </w:rPr>
        <w:t>所投产品</w:t>
      </w:r>
      <w:r>
        <w:rPr>
          <w:rFonts w:hint="eastAsia" w:ascii="仿宋_GB2312" w:hAnsi="宋体" w:eastAsia="仿宋_GB2312"/>
          <w:color w:val="auto"/>
          <w:sz w:val="24"/>
          <w:highlight w:val="none"/>
          <w:lang w:eastAsia="zh-CN"/>
        </w:rPr>
        <w:t>满足</w:t>
      </w:r>
      <w:r>
        <w:rPr>
          <w:rFonts w:hint="eastAsia" w:ascii="仿宋_GB2312" w:hAnsi="宋体" w:eastAsia="仿宋_GB2312"/>
          <w:color w:val="auto"/>
          <w:sz w:val="24"/>
          <w:highlight w:val="none"/>
        </w:rPr>
        <w:t>采购</w:t>
      </w:r>
      <w:r>
        <w:rPr>
          <w:rFonts w:hint="eastAsia" w:ascii="仿宋_GB2312" w:hAnsi="宋体" w:eastAsia="仿宋_GB2312"/>
          <w:b w:val="0"/>
          <w:bCs w:val="0"/>
          <w:color w:val="auto"/>
          <w:sz w:val="24"/>
          <w:highlight w:val="none"/>
        </w:rPr>
        <w:t>需求“</w:t>
      </w:r>
      <w:r>
        <w:rPr>
          <w:rFonts w:hint="eastAsia" w:ascii="仿宋_GB2312" w:hAnsi="宋体" w:eastAsia="仿宋_GB2312" w:cs="Times New Roman"/>
          <w:b w:val="0"/>
          <w:bCs w:val="0"/>
          <w:color w:val="auto"/>
          <w:kern w:val="2"/>
          <w:sz w:val="24"/>
          <w:szCs w:val="24"/>
          <w:highlight w:val="none"/>
        </w:rPr>
        <w:t>（</w:t>
      </w:r>
      <w:r>
        <w:rPr>
          <w:rFonts w:hint="eastAsia" w:ascii="仿宋_GB2312" w:hAnsi="宋体" w:eastAsia="仿宋_GB2312" w:cs="Times New Roman"/>
          <w:b w:val="0"/>
          <w:bCs w:val="0"/>
          <w:color w:val="auto"/>
          <w:kern w:val="2"/>
          <w:sz w:val="24"/>
          <w:szCs w:val="24"/>
          <w:highlight w:val="none"/>
          <w:lang w:eastAsia="zh-CN"/>
        </w:rPr>
        <w:t>二</w:t>
      </w:r>
      <w:r>
        <w:rPr>
          <w:rFonts w:hint="eastAsia" w:ascii="仿宋_GB2312" w:hAnsi="宋体" w:eastAsia="仿宋_GB2312" w:cs="Times New Roman"/>
          <w:b w:val="0"/>
          <w:bCs w:val="0"/>
          <w:color w:val="auto"/>
          <w:kern w:val="2"/>
          <w:sz w:val="24"/>
          <w:szCs w:val="24"/>
          <w:highlight w:val="none"/>
        </w:rPr>
        <w:t>）</w:t>
      </w:r>
      <w:r>
        <w:rPr>
          <w:rFonts w:hint="eastAsia" w:ascii="仿宋_GB2312" w:hAnsi="宋体" w:eastAsia="仿宋_GB2312" w:cs="Times New Roman"/>
          <w:b w:val="0"/>
          <w:bCs w:val="0"/>
          <w:color w:val="auto"/>
          <w:kern w:val="2"/>
          <w:sz w:val="24"/>
          <w:szCs w:val="24"/>
          <w:highlight w:val="none"/>
          <w:lang w:val="en-US" w:eastAsia="zh-CN"/>
        </w:rPr>
        <w:t xml:space="preserve">33套普通教室互动平板一体机教学系统 </w:t>
      </w:r>
      <w:r>
        <w:rPr>
          <w:rFonts w:hint="eastAsia" w:ascii="仿宋_GB2312" w:hAnsi="宋体" w:eastAsia="仿宋_GB2312" w:cs="Times New Roman"/>
          <w:b w:val="0"/>
          <w:bCs w:val="0"/>
          <w:color w:val="auto"/>
          <w:sz w:val="24"/>
          <w:szCs w:val="24"/>
          <w:highlight w:val="none"/>
          <w:lang w:val="en-US" w:eastAsia="zh-CN"/>
        </w:rPr>
        <w:t>1.</w:t>
      </w:r>
      <w:r>
        <w:rPr>
          <w:rFonts w:hint="eastAsia" w:ascii="仿宋_GB2312" w:hAnsi="宋体" w:eastAsia="仿宋_GB2312" w:cs="Times New Roman"/>
          <w:b w:val="0"/>
          <w:bCs w:val="0"/>
          <w:color w:val="auto"/>
          <w:kern w:val="2"/>
          <w:sz w:val="24"/>
          <w:highlight w:val="none"/>
        </w:rPr>
        <w:t>互动平板一体机</w:t>
      </w:r>
      <w:r>
        <w:rPr>
          <w:rFonts w:hint="eastAsia" w:ascii="仿宋_GB2312" w:hAnsi="宋体" w:eastAsia="仿宋_GB2312" w:cs="Times New Roman"/>
          <w:b w:val="0"/>
          <w:bCs w:val="0"/>
          <w:color w:val="auto"/>
          <w:kern w:val="2"/>
          <w:sz w:val="24"/>
          <w:highlight w:val="none"/>
          <w:lang w:val="en-US" w:eastAsia="zh-CN"/>
        </w:rPr>
        <w:t xml:space="preserve"> </w:t>
      </w:r>
      <w:r>
        <w:rPr>
          <w:rFonts w:hint="eastAsia" w:ascii="仿宋_GB2312" w:hAnsi="宋体" w:eastAsia="仿宋_GB2312" w:cs="Times New Roman"/>
          <w:b w:val="0"/>
          <w:bCs w:val="0"/>
          <w:color w:val="auto"/>
          <w:sz w:val="24"/>
          <w:highlight w:val="none"/>
          <w:lang w:val="en-US" w:eastAsia="zh-CN"/>
        </w:rPr>
        <w:t xml:space="preserve">二、整机屏幕及护眼设计 </w:t>
      </w:r>
      <w:r>
        <w:rPr>
          <w:rFonts w:hint="eastAsia" w:ascii="仿宋_GB2312" w:hAnsi="宋体" w:eastAsia="仿宋_GB2312" w:cs="Times New Roman"/>
          <w:b w:val="0"/>
          <w:bCs w:val="0"/>
          <w:color w:val="auto"/>
          <w:kern w:val="2"/>
          <w:sz w:val="24"/>
          <w:highlight w:val="none"/>
          <w:lang w:val="en-US" w:eastAsia="zh-CN"/>
        </w:rPr>
        <w:t>第9点、</w:t>
      </w:r>
      <w:r>
        <w:rPr>
          <w:rFonts w:hint="eastAsia" w:ascii="仿宋_GB2312" w:hAnsi="宋体" w:eastAsia="仿宋_GB2312" w:cs="Times New Roman"/>
          <w:b w:val="0"/>
          <w:bCs w:val="0"/>
          <w:color w:val="auto"/>
          <w:sz w:val="24"/>
          <w:highlight w:val="none"/>
          <w:lang w:val="en-US" w:eastAsia="zh-CN"/>
        </w:rPr>
        <w:t>三、音视频功能设计 第1点、第3点”</w:t>
      </w:r>
      <w:r>
        <w:rPr>
          <w:rFonts w:hint="eastAsia" w:ascii="仿宋_GB2312" w:hAnsi="宋体" w:eastAsia="仿宋_GB2312"/>
          <w:b w:val="0"/>
          <w:bCs w:val="0"/>
          <w:color w:val="auto"/>
          <w:sz w:val="24"/>
          <w:highlight w:val="none"/>
        </w:rPr>
        <w:t>的全部技术参数要求的证明材料，证明材料可以是检测（检验）报告、彩页、官网或功能截图等任意一种</w:t>
      </w:r>
      <w:r>
        <w:rPr>
          <w:rFonts w:hint="eastAsia" w:ascii="仿宋_GB2312" w:hAnsi="宋体" w:eastAsia="仿宋_GB2312"/>
          <w:b/>
          <w:bCs/>
          <w:color w:val="auto"/>
          <w:sz w:val="24"/>
          <w:highlight w:val="none"/>
        </w:rPr>
        <w:t>（必须提供</w:t>
      </w:r>
      <w:r>
        <w:rPr>
          <w:rFonts w:hint="eastAsia" w:ascii="仿宋_GB2312" w:hAnsi="宋体" w:eastAsia="仿宋_GB2312"/>
          <w:color w:val="auto"/>
          <w:sz w:val="24"/>
          <w:highlight w:val="none"/>
        </w:rPr>
        <w:t>，格式自拟</w:t>
      </w:r>
      <w:r>
        <w:rPr>
          <w:rFonts w:hint="eastAsia" w:ascii="仿宋_GB2312" w:hAnsi="宋体" w:eastAsia="仿宋_GB2312"/>
          <w:b/>
          <w:bCs/>
          <w:color w:val="auto"/>
          <w:sz w:val="24"/>
          <w:highlight w:val="none"/>
        </w:rPr>
        <w:t>）</w:t>
      </w:r>
      <w:r>
        <w:rPr>
          <w:rFonts w:hint="eastAsia" w:ascii="仿宋_GB2312" w:hAnsi="宋体" w:eastAsia="仿宋_GB2312"/>
          <w:color w:val="auto"/>
          <w:sz w:val="24"/>
          <w:highlight w:val="none"/>
        </w:rPr>
        <w:t>；</w:t>
      </w:r>
    </w:p>
    <w:p w14:paraId="1BB9D258">
      <w:pPr>
        <w:pStyle w:val="5"/>
        <w:jc w:val="left"/>
        <w:rPr>
          <w:rFonts w:hint="eastAsia"/>
          <w:color w:val="auto"/>
          <w:highlight w:val="none"/>
        </w:rPr>
      </w:pPr>
    </w:p>
    <w:p w14:paraId="51291A04">
      <w:pPr>
        <w:jc w:val="center"/>
        <w:rPr>
          <w:rFonts w:hint="eastAsia" w:ascii="仿宋_GB2312" w:hAnsi="仿宋_GB2312" w:eastAsia="仿宋_GB2312" w:cs="仿宋_GB2312"/>
          <w:b/>
          <w:color w:val="auto"/>
          <w:spacing w:val="200"/>
          <w:sz w:val="72"/>
          <w:szCs w:val="72"/>
          <w:highlight w:val="none"/>
        </w:rPr>
      </w:pPr>
    </w:p>
    <w:p w14:paraId="2408D031">
      <w:pPr>
        <w:snapToGrid w:val="0"/>
        <w:spacing w:line="440" w:lineRule="exact"/>
        <w:ind w:firstLine="643" w:firstLineChars="200"/>
        <w:jc w:val="left"/>
        <w:rPr>
          <w:rFonts w:ascii="仿宋_GB2312" w:eastAsia="仿宋_GB2312"/>
          <w:color w:val="auto"/>
          <w:szCs w:val="21"/>
          <w:highlight w:val="none"/>
        </w:rPr>
      </w:pPr>
      <w:r>
        <w:rPr>
          <w:rFonts w:hint="eastAsia" w:ascii="仿宋_GB2312" w:eastAsia="仿宋_GB2312"/>
          <w:b/>
          <w:bCs/>
          <w:color w:val="auto"/>
          <w:sz w:val="32"/>
          <w:szCs w:val="32"/>
          <w:highlight w:val="none"/>
        </w:rPr>
        <w:t>注：第（4）</w:t>
      </w:r>
      <w:r>
        <w:rPr>
          <w:rFonts w:hint="eastAsia" w:ascii="仿宋_GB2312" w:eastAsia="仿宋_GB2312"/>
          <w:b/>
          <w:bCs/>
          <w:color w:val="auto"/>
          <w:sz w:val="32"/>
          <w:szCs w:val="32"/>
          <w:highlight w:val="none"/>
          <w:lang w:eastAsia="zh-CN"/>
        </w:rPr>
        <w:t>、</w:t>
      </w:r>
      <w:r>
        <w:rPr>
          <w:rFonts w:hint="eastAsia" w:ascii="仿宋_GB2312" w:eastAsia="仿宋_GB2312"/>
          <w:b/>
          <w:bCs/>
          <w:color w:val="auto"/>
          <w:sz w:val="32"/>
          <w:szCs w:val="32"/>
          <w:highlight w:val="none"/>
        </w:rPr>
        <w:t>（</w:t>
      </w:r>
      <w:r>
        <w:rPr>
          <w:rFonts w:hint="eastAsia" w:ascii="仿宋_GB2312" w:eastAsia="仿宋_GB2312"/>
          <w:b/>
          <w:bCs/>
          <w:color w:val="auto"/>
          <w:sz w:val="32"/>
          <w:szCs w:val="32"/>
          <w:highlight w:val="none"/>
          <w:lang w:val="en-US" w:eastAsia="zh-CN"/>
        </w:rPr>
        <w:t>5</w:t>
      </w:r>
      <w:r>
        <w:rPr>
          <w:rFonts w:hint="eastAsia" w:ascii="仿宋_GB2312" w:eastAsia="仿宋_GB2312"/>
          <w:b/>
          <w:bCs/>
          <w:color w:val="auto"/>
          <w:sz w:val="32"/>
          <w:szCs w:val="32"/>
          <w:highlight w:val="none"/>
        </w:rPr>
        <w:t>）</w:t>
      </w:r>
      <w:r>
        <w:rPr>
          <w:rFonts w:hint="eastAsia" w:ascii="仿宋_GB2312" w:eastAsia="仿宋_GB2312"/>
          <w:b/>
          <w:bCs/>
          <w:color w:val="auto"/>
          <w:sz w:val="32"/>
          <w:szCs w:val="32"/>
          <w:highlight w:val="none"/>
          <w:lang w:eastAsia="zh-CN"/>
        </w:rPr>
        <w:t>、</w:t>
      </w:r>
      <w:r>
        <w:rPr>
          <w:rFonts w:hint="eastAsia" w:ascii="仿宋_GB2312" w:eastAsia="仿宋_GB2312"/>
          <w:b/>
          <w:bCs/>
          <w:color w:val="auto"/>
          <w:sz w:val="32"/>
          <w:szCs w:val="32"/>
          <w:highlight w:val="none"/>
        </w:rPr>
        <w:t>（</w:t>
      </w:r>
      <w:r>
        <w:rPr>
          <w:rFonts w:hint="eastAsia" w:ascii="仿宋_GB2312" w:eastAsia="仿宋_GB2312"/>
          <w:b/>
          <w:bCs/>
          <w:color w:val="auto"/>
          <w:sz w:val="32"/>
          <w:szCs w:val="32"/>
          <w:highlight w:val="none"/>
          <w:lang w:val="en-US" w:eastAsia="zh-CN"/>
        </w:rPr>
        <w:t>6</w:t>
      </w:r>
      <w:r>
        <w:rPr>
          <w:rFonts w:hint="eastAsia" w:ascii="仿宋_GB2312" w:eastAsia="仿宋_GB2312"/>
          <w:b/>
          <w:bCs/>
          <w:color w:val="auto"/>
          <w:sz w:val="32"/>
          <w:szCs w:val="32"/>
          <w:highlight w:val="none"/>
        </w:rPr>
        <w:t>）项必须提供且为</w:t>
      </w:r>
      <w:r>
        <w:rPr>
          <w:rFonts w:hint="eastAsia" w:ascii="仿宋_GB2312" w:hAnsi="宋体" w:eastAsia="仿宋_GB2312"/>
          <w:b/>
          <w:bCs/>
          <w:color w:val="auto"/>
          <w:sz w:val="30"/>
          <w:szCs w:val="30"/>
          <w:highlight w:val="none"/>
        </w:rPr>
        <w:t>PDF格式，并加盖投标人CA电子签章。</w:t>
      </w:r>
    </w:p>
    <w:p w14:paraId="0DACD0BE">
      <w:pPr>
        <w:pStyle w:val="26"/>
        <w:spacing w:line="240" w:lineRule="atLeast"/>
        <w:jc w:val="right"/>
        <w:rPr>
          <w:rFonts w:hint="eastAsia" w:ascii="仿宋_GB2312" w:hAnsi="宋体" w:eastAsia="仿宋_GB2312"/>
          <w:color w:val="auto"/>
          <w:highlight w:val="none"/>
        </w:rPr>
        <w:sectPr>
          <w:pgSz w:w="11906" w:h="16838"/>
          <w:pgMar w:top="1440" w:right="1440" w:bottom="1440" w:left="1440" w:header="851" w:footer="992" w:gutter="0"/>
          <w:cols w:space="720" w:num="1"/>
          <w:docGrid w:linePitch="312" w:charSpace="0"/>
        </w:sectPr>
      </w:pPr>
    </w:p>
    <w:p w14:paraId="6516C9E9">
      <w:pPr>
        <w:pStyle w:val="474"/>
        <w:rPr>
          <w:rFonts w:ascii="仿宋_GB2312" w:eastAsia="仿宋_GB2312"/>
          <w:b/>
          <w:bCs/>
          <w:color w:val="auto"/>
          <w:highlight w:val="none"/>
        </w:rPr>
      </w:pPr>
      <w:r>
        <w:rPr>
          <w:rFonts w:hint="eastAsia" w:ascii="仿宋_GB2312" w:eastAsia="仿宋_GB2312"/>
          <w:b/>
          <w:bCs/>
          <w:color w:val="auto"/>
          <w:highlight w:val="none"/>
        </w:rPr>
        <w:t>（</w:t>
      </w:r>
      <w:r>
        <w:rPr>
          <w:rFonts w:hint="eastAsia" w:ascii="仿宋_GB2312" w:eastAsia="仿宋_GB2312"/>
          <w:b/>
          <w:bCs/>
          <w:color w:val="auto"/>
          <w:highlight w:val="none"/>
          <w:lang w:val="en-US" w:eastAsia="zh-CN"/>
        </w:rPr>
        <w:t>7</w:t>
      </w:r>
      <w:r>
        <w:rPr>
          <w:rFonts w:hint="eastAsia" w:ascii="仿宋_GB2312" w:eastAsia="仿宋_GB2312"/>
          <w:b/>
          <w:bCs/>
          <w:color w:val="auto"/>
          <w:highlight w:val="none"/>
        </w:rPr>
        <w:t>）项目实施组织结构格式（如有）：</w:t>
      </w:r>
    </w:p>
    <w:p w14:paraId="15FCC2E7">
      <w:pPr>
        <w:pStyle w:val="474"/>
        <w:jc w:val="center"/>
        <w:rPr>
          <w:rFonts w:hint="eastAsia" w:ascii="仿宋_GB2312" w:eastAsia="仿宋_GB2312"/>
          <w:color w:val="auto"/>
          <w:highlight w:val="none"/>
        </w:rPr>
      </w:pPr>
      <w:r>
        <w:rPr>
          <w:rFonts w:hint="eastAsia" w:ascii="仿宋_GB2312" w:eastAsia="仿宋_GB2312"/>
          <w:color w:val="auto"/>
          <w:highlight w:val="none"/>
        </w:rPr>
        <w:t> </w:t>
      </w:r>
    </w:p>
    <w:p w14:paraId="101FAB83">
      <w:pPr>
        <w:pStyle w:val="474"/>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项目实施组织结构</w:t>
      </w:r>
      <w:r>
        <w:rPr>
          <w:rFonts w:hint="eastAsia" w:ascii="仿宋_GB2312" w:eastAsia="仿宋_GB2312"/>
          <w:b/>
          <w:color w:val="auto"/>
          <w:sz w:val="32"/>
          <w:szCs w:val="32"/>
          <w:highlight w:val="none"/>
          <w:lang w:eastAsia="zh-CN"/>
        </w:rPr>
        <w:t>（分标</w:t>
      </w:r>
      <w:r>
        <w:rPr>
          <w:rFonts w:hint="eastAsia" w:ascii="仿宋_GB2312" w:eastAsia="仿宋_GB2312"/>
          <w:b/>
          <w:color w:val="auto"/>
          <w:sz w:val="32"/>
          <w:szCs w:val="32"/>
          <w:highlight w:val="none"/>
          <w:u w:val="single"/>
          <w:lang w:val="en-US" w:eastAsia="zh-CN"/>
        </w:rPr>
        <w:t xml:space="preserve">  </w:t>
      </w:r>
      <w:r>
        <w:rPr>
          <w:rFonts w:hint="eastAsia" w:ascii="仿宋_GB2312" w:eastAsia="仿宋_GB2312"/>
          <w:b/>
          <w:color w:val="auto"/>
          <w:sz w:val="32"/>
          <w:szCs w:val="32"/>
          <w:highlight w:val="none"/>
          <w:u w:val="none"/>
          <w:lang w:val="en-US" w:eastAsia="zh-CN"/>
        </w:rPr>
        <w:t>）</w:t>
      </w:r>
    </w:p>
    <w:p w14:paraId="19BD8D65">
      <w:pPr>
        <w:pStyle w:val="474"/>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07C88A92">
      <w:pPr>
        <w:pStyle w:val="474"/>
        <w:spacing w:line="405" w:lineRule="atLeast"/>
        <w:rPr>
          <w:rFonts w:hint="eastAsia" w:ascii="仿宋_GB2312" w:eastAsia="仿宋_GB2312"/>
          <w:color w:val="auto"/>
          <w:highlight w:val="none"/>
        </w:rPr>
      </w:pPr>
      <w:r>
        <w:rPr>
          <w:rFonts w:hint="eastAsia" w:ascii="仿宋_GB2312" w:eastAsia="仿宋_GB2312"/>
          <w:color w:val="auto"/>
          <w:highlight w:val="none"/>
        </w:rPr>
        <w:t>  由投标人按第二章《采购需求》要求自行编写，</w:t>
      </w:r>
      <w:r>
        <w:rPr>
          <w:rFonts w:hint="eastAsia" w:ascii="仿宋_GB2312" w:eastAsia="仿宋_GB2312"/>
          <w:b/>
          <w:bCs/>
          <w:color w:val="auto"/>
          <w:highlight w:val="none"/>
        </w:rPr>
        <w:t>包括：（1）人员配置；（2）组织机构架构</w:t>
      </w:r>
      <w:r>
        <w:rPr>
          <w:rFonts w:hint="eastAsia" w:ascii="仿宋_GB2312" w:eastAsia="仿宋_GB2312"/>
          <w:b/>
          <w:bCs/>
          <w:color w:val="auto"/>
          <w:highlight w:val="none"/>
          <w:lang w:val="en-US" w:eastAsia="zh-CN"/>
        </w:rPr>
        <w:t>职责分工</w:t>
      </w:r>
      <w:r>
        <w:rPr>
          <w:rFonts w:hint="eastAsia" w:ascii="仿宋_GB2312" w:eastAsia="仿宋_GB2312"/>
          <w:b/>
          <w:bCs/>
          <w:color w:val="auto"/>
          <w:highlight w:val="none"/>
        </w:rPr>
        <w:t>；（</w:t>
      </w:r>
      <w:r>
        <w:rPr>
          <w:rFonts w:hint="eastAsia" w:ascii="仿宋_GB2312" w:eastAsia="仿宋_GB2312"/>
          <w:b/>
          <w:bCs/>
          <w:color w:val="auto"/>
          <w:highlight w:val="none"/>
          <w:lang w:val="en-US" w:eastAsia="zh-CN"/>
        </w:rPr>
        <w:t>3</w:t>
      </w:r>
      <w:r>
        <w:rPr>
          <w:rFonts w:hint="eastAsia" w:ascii="仿宋_GB2312" w:eastAsia="仿宋_GB2312"/>
          <w:b/>
          <w:bCs/>
          <w:color w:val="auto"/>
          <w:highlight w:val="none"/>
        </w:rPr>
        <w:t>）项目管控体系</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4</w:t>
      </w:r>
      <w:r>
        <w:rPr>
          <w:rFonts w:hint="eastAsia" w:ascii="仿宋_GB2312" w:eastAsia="仿宋_GB2312"/>
          <w:b/>
          <w:bCs/>
          <w:color w:val="auto"/>
          <w:highlight w:val="none"/>
          <w:lang w:eastAsia="zh-CN"/>
        </w:rPr>
        <w:t>）</w:t>
      </w:r>
      <w:r>
        <w:rPr>
          <w:rFonts w:hint="eastAsia" w:ascii="仿宋_GB2312" w:eastAsia="仿宋_GB2312"/>
          <w:b/>
          <w:bCs/>
          <w:color w:val="auto"/>
          <w:highlight w:val="none"/>
        </w:rPr>
        <w:t>建设性优化</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5</w:t>
      </w:r>
      <w:r>
        <w:rPr>
          <w:rFonts w:hint="eastAsia" w:ascii="仿宋_GB2312" w:eastAsia="仿宋_GB2312"/>
          <w:b/>
          <w:bCs/>
          <w:color w:val="auto"/>
          <w:highlight w:val="none"/>
          <w:lang w:eastAsia="zh-CN"/>
        </w:rPr>
        <w:t>）</w:t>
      </w:r>
      <w:r>
        <w:rPr>
          <w:rFonts w:hint="eastAsia" w:ascii="仿宋_GB2312" w:eastAsia="仿宋_GB2312"/>
          <w:b/>
          <w:bCs/>
          <w:color w:val="auto"/>
          <w:highlight w:val="none"/>
        </w:rPr>
        <w:t>设备的安装和系统运行质量保证措施；（</w:t>
      </w:r>
      <w:r>
        <w:rPr>
          <w:rFonts w:hint="eastAsia" w:ascii="仿宋_GB2312" w:eastAsia="仿宋_GB2312"/>
          <w:b/>
          <w:bCs/>
          <w:color w:val="auto"/>
          <w:highlight w:val="none"/>
          <w:lang w:val="en-US" w:eastAsia="zh-CN"/>
        </w:rPr>
        <w:t>6</w:t>
      </w:r>
      <w:r>
        <w:rPr>
          <w:rFonts w:hint="eastAsia" w:ascii="仿宋_GB2312" w:eastAsia="仿宋_GB2312"/>
          <w:b/>
          <w:bCs/>
          <w:color w:val="auto"/>
          <w:highlight w:val="none"/>
        </w:rPr>
        <w:t>）风险应对措施</w:t>
      </w:r>
      <w:r>
        <w:rPr>
          <w:rFonts w:hint="eastAsia" w:ascii="仿宋_GB2312" w:eastAsia="仿宋_GB2312"/>
          <w:color w:val="auto"/>
          <w:highlight w:val="none"/>
        </w:rPr>
        <w:t>等内容。</w:t>
      </w:r>
    </w:p>
    <w:p w14:paraId="1DF46DCC">
      <w:pPr>
        <w:pStyle w:val="474"/>
        <w:spacing w:line="405" w:lineRule="atLeast"/>
        <w:rPr>
          <w:rFonts w:hint="eastAsia" w:ascii="仿宋_GB2312" w:eastAsia="仿宋_GB2312"/>
          <w:color w:val="auto"/>
          <w:highlight w:val="none"/>
        </w:rPr>
      </w:pPr>
      <w:r>
        <w:rPr>
          <w:rFonts w:hint="eastAsia" w:ascii="仿宋_GB2312" w:eastAsia="仿宋_GB2312"/>
          <w:color w:val="auto"/>
          <w:highlight w:val="none"/>
        </w:rPr>
        <w:t>  所作的项目方案作为构成合同不可分割的部分，必须真实、诚信。</w:t>
      </w:r>
    </w:p>
    <w:p w14:paraId="1EEF94ED">
      <w:pPr>
        <w:pStyle w:val="474"/>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349E6B1F">
      <w:pPr>
        <w:pStyle w:val="474"/>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72097DA6">
      <w:pPr>
        <w:pStyle w:val="474"/>
        <w:jc w:val="right"/>
        <w:rPr>
          <w:rFonts w:hint="eastAsia" w:ascii="仿宋_GB2312" w:eastAsia="仿宋_GB2312"/>
          <w:color w:val="auto"/>
          <w:highlight w:val="none"/>
        </w:rPr>
      </w:pPr>
      <w:r>
        <w:rPr>
          <w:rFonts w:hint="eastAsia" w:ascii="仿宋_GB2312" w:eastAsia="仿宋_GB2312"/>
          <w:color w:val="auto"/>
          <w:highlight w:val="none"/>
        </w:rPr>
        <w:t xml:space="preserve">                                   </w:t>
      </w:r>
    </w:p>
    <w:p w14:paraId="423DEE60">
      <w:pPr>
        <w:pStyle w:val="474"/>
        <w:jc w:val="right"/>
        <w:rPr>
          <w:rFonts w:hint="eastAsia" w:ascii="仿宋_GB2312" w:eastAsia="仿宋_GB2312"/>
          <w:color w:val="auto"/>
          <w:highlight w:val="none"/>
        </w:rPr>
      </w:pPr>
      <w:r>
        <w:rPr>
          <w:rFonts w:hint="eastAsia" w:ascii="仿宋_GB2312" w:eastAsia="仿宋_GB2312"/>
          <w:color w:val="auto"/>
          <w:highlight w:val="none"/>
        </w:rPr>
        <w:t>  投标人（</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w:t>
      </w:r>
    </w:p>
    <w:p w14:paraId="5C3AD58E">
      <w:pPr>
        <w:pStyle w:val="474"/>
        <w:jc w:val="right"/>
        <w:rPr>
          <w:rFonts w:hint="eastAsia" w:ascii="仿宋_GB2312" w:eastAsia="仿宋_GB2312"/>
          <w:color w:val="auto"/>
          <w:highlight w:val="none"/>
        </w:rPr>
      </w:pPr>
      <w:r>
        <w:rPr>
          <w:rFonts w:hint="eastAsia" w:ascii="仿宋_GB2312" w:eastAsia="仿宋_GB2312"/>
          <w:color w:val="auto"/>
          <w:highlight w:val="none"/>
        </w:rPr>
        <w:t> </w:t>
      </w:r>
    </w:p>
    <w:p w14:paraId="5A420E04">
      <w:pPr>
        <w:pStyle w:val="474"/>
        <w:jc w:val="right"/>
        <w:rPr>
          <w:rFonts w:hint="eastAsia" w:ascii="仿宋_GB2312" w:eastAsia="仿宋_GB2312"/>
          <w:color w:val="auto"/>
          <w:highlight w:val="none"/>
        </w:rPr>
      </w:pPr>
      <w:r>
        <w:rPr>
          <w:rFonts w:hint="eastAsia" w:ascii="仿宋_GB2312" w:eastAsia="仿宋_GB2312"/>
          <w:color w:val="auto"/>
          <w:highlight w:val="none"/>
        </w:rPr>
        <w:t>日期：   年 月 日</w:t>
      </w:r>
    </w:p>
    <w:p w14:paraId="6BB00970">
      <w:pPr>
        <w:pStyle w:val="474"/>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7E407883">
      <w:pPr>
        <w:pStyle w:val="474"/>
        <w:spacing w:line="405" w:lineRule="atLeast"/>
        <w:rPr>
          <w:rFonts w:hint="eastAsia" w:ascii="仿宋_GB2312" w:eastAsia="仿宋_GB2312"/>
          <w:color w:val="auto"/>
          <w:highlight w:val="none"/>
        </w:rPr>
      </w:pPr>
      <w:r>
        <w:rPr>
          <w:rFonts w:hint="eastAsia" w:ascii="仿宋_GB2312" w:eastAsia="仿宋_GB2312"/>
          <w:b/>
          <w:bCs/>
          <w:color w:val="auto"/>
          <w:highlight w:val="none"/>
        </w:rPr>
        <w:t>注：此项材料如有请以PDF格式上传。</w:t>
      </w:r>
    </w:p>
    <w:p w14:paraId="7E009363">
      <w:pPr>
        <w:pStyle w:val="474"/>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15FFA281">
      <w:pPr>
        <w:pStyle w:val="474"/>
        <w:rPr>
          <w:rFonts w:hint="eastAsia" w:ascii="仿宋_GB2312" w:eastAsia="仿宋_GB2312"/>
          <w:b/>
          <w:bCs/>
          <w:color w:val="auto"/>
          <w:highlight w:val="none"/>
        </w:rPr>
      </w:pPr>
      <w:r>
        <w:rPr>
          <w:rFonts w:hint="eastAsia" w:ascii="仿宋_GB2312" w:eastAsia="仿宋_GB2312"/>
          <w:color w:val="auto"/>
          <w:highlight w:val="none"/>
        </w:rPr>
        <w:br w:type="page"/>
      </w:r>
      <w:r>
        <w:rPr>
          <w:rFonts w:hint="eastAsia" w:ascii="仿宋_GB2312" w:eastAsia="仿宋_GB2312"/>
          <w:b/>
          <w:bCs/>
          <w:color w:val="auto"/>
          <w:highlight w:val="none"/>
        </w:rPr>
        <w:t>（</w:t>
      </w:r>
      <w:r>
        <w:rPr>
          <w:rFonts w:hint="eastAsia" w:ascii="仿宋_GB2312" w:eastAsia="仿宋_GB2312"/>
          <w:b/>
          <w:bCs/>
          <w:color w:val="auto"/>
          <w:highlight w:val="none"/>
          <w:lang w:val="en-US" w:eastAsia="zh-CN"/>
        </w:rPr>
        <w:t>8</w:t>
      </w:r>
      <w:r>
        <w:rPr>
          <w:rFonts w:hint="eastAsia" w:ascii="仿宋_GB2312" w:eastAsia="仿宋_GB2312"/>
          <w:b/>
          <w:bCs/>
          <w:color w:val="auto"/>
          <w:highlight w:val="none"/>
        </w:rPr>
        <w:t>）安装进度计划和工期保证格式（如有）：</w:t>
      </w:r>
    </w:p>
    <w:p w14:paraId="5EF5CE4A">
      <w:pPr>
        <w:pStyle w:val="474"/>
        <w:jc w:val="center"/>
        <w:rPr>
          <w:rFonts w:hint="eastAsia" w:ascii="仿宋_GB2312" w:eastAsia="仿宋_GB2312"/>
          <w:color w:val="auto"/>
          <w:highlight w:val="none"/>
        </w:rPr>
      </w:pPr>
      <w:r>
        <w:rPr>
          <w:rFonts w:hint="eastAsia" w:ascii="仿宋_GB2312" w:eastAsia="仿宋_GB2312"/>
          <w:color w:val="auto"/>
          <w:highlight w:val="none"/>
        </w:rPr>
        <w:t> </w:t>
      </w:r>
    </w:p>
    <w:p w14:paraId="75E4B0E7">
      <w:pPr>
        <w:pStyle w:val="474"/>
        <w:jc w:val="center"/>
        <w:rPr>
          <w:rFonts w:hint="eastAsia" w:ascii="仿宋_GB2312" w:eastAsia="仿宋_GB2312"/>
          <w:color w:val="auto"/>
          <w:highlight w:val="none"/>
        </w:rPr>
      </w:pPr>
      <w:r>
        <w:rPr>
          <w:rFonts w:hint="eastAsia" w:ascii="仿宋_GB2312" w:eastAsia="仿宋_GB2312"/>
          <w:b/>
          <w:bCs/>
          <w:color w:val="auto"/>
          <w:sz w:val="32"/>
          <w:szCs w:val="32"/>
          <w:highlight w:val="none"/>
        </w:rPr>
        <w:t>安装进度计划和工期保证</w:t>
      </w:r>
      <w:r>
        <w:rPr>
          <w:rFonts w:hint="eastAsia" w:ascii="仿宋_GB2312" w:eastAsia="仿宋_GB2312"/>
          <w:b/>
          <w:color w:val="auto"/>
          <w:sz w:val="32"/>
          <w:szCs w:val="32"/>
          <w:highlight w:val="none"/>
          <w:lang w:eastAsia="zh-CN"/>
        </w:rPr>
        <w:t>（分标</w:t>
      </w:r>
      <w:r>
        <w:rPr>
          <w:rFonts w:hint="eastAsia" w:ascii="仿宋_GB2312" w:eastAsia="仿宋_GB2312"/>
          <w:b/>
          <w:color w:val="auto"/>
          <w:sz w:val="32"/>
          <w:szCs w:val="32"/>
          <w:highlight w:val="none"/>
          <w:u w:val="single"/>
          <w:lang w:val="en-US" w:eastAsia="zh-CN"/>
        </w:rPr>
        <w:t xml:space="preserve">  </w:t>
      </w:r>
      <w:r>
        <w:rPr>
          <w:rFonts w:hint="eastAsia" w:ascii="仿宋_GB2312" w:eastAsia="仿宋_GB2312"/>
          <w:b/>
          <w:color w:val="auto"/>
          <w:sz w:val="32"/>
          <w:szCs w:val="32"/>
          <w:highlight w:val="none"/>
          <w:u w:val="none"/>
          <w:lang w:val="en-US" w:eastAsia="zh-CN"/>
        </w:rPr>
        <w:t>）</w:t>
      </w:r>
    </w:p>
    <w:p w14:paraId="36D26B64">
      <w:pPr>
        <w:pStyle w:val="474"/>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3C95811B">
      <w:pPr>
        <w:pStyle w:val="474"/>
        <w:spacing w:line="405" w:lineRule="atLeast"/>
        <w:rPr>
          <w:rFonts w:hint="eastAsia" w:ascii="仿宋_GB2312" w:eastAsia="仿宋_GB2312"/>
          <w:color w:val="auto"/>
          <w:highlight w:val="none"/>
        </w:rPr>
      </w:pPr>
      <w:r>
        <w:rPr>
          <w:rFonts w:hint="eastAsia" w:ascii="仿宋_GB2312" w:eastAsia="仿宋_GB2312"/>
          <w:color w:val="auto"/>
          <w:highlight w:val="none"/>
        </w:rPr>
        <w:t>  由投标人按第二章《采购需求》要求，自行编写</w:t>
      </w:r>
      <w:r>
        <w:rPr>
          <w:rFonts w:hint="eastAsia" w:ascii="仿宋_GB2312" w:eastAsia="仿宋_GB2312"/>
          <w:b/>
          <w:bCs/>
          <w:color w:val="auto"/>
          <w:highlight w:val="none"/>
        </w:rPr>
        <w:t>针对本项目的：（1）安装</w:t>
      </w:r>
      <w:r>
        <w:rPr>
          <w:rFonts w:hint="eastAsia" w:ascii="仿宋_GB2312" w:eastAsia="仿宋_GB2312"/>
          <w:b/>
          <w:bCs/>
          <w:color w:val="auto"/>
          <w:highlight w:val="none"/>
          <w:lang w:eastAsia="zh-CN"/>
        </w:rPr>
        <w:t>调试</w:t>
      </w:r>
      <w:r>
        <w:rPr>
          <w:rFonts w:hint="eastAsia" w:ascii="仿宋_GB2312" w:eastAsia="仿宋_GB2312"/>
          <w:b/>
          <w:bCs/>
          <w:color w:val="auto"/>
          <w:highlight w:val="none"/>
        </w:rPr>
        <w:t>进度计划；（2）工期保证措施</w:t>
      </w:r>
      <w:r>
        <w:rPr>
          <w:rFonts w:hint="eastAsia" w:ascii="仿宋_GB2312" w:eastAsia="仿宋_GB2312"/>
          <w:color w:val="auto"/>
          <w:highlight w:val="none"/>
        </w:rPr>
        <w:t>。</w:t>
      </w:r>
    </w:p>
    <w:p w14:paraId="16D6726E">
      <w:pPr>
        <w:pStyle w:val="474"/>
        <w:spacing w:line="405" w:lineRule="atLeast"/>
        <w:rPr>
          <w:rFonts w:hint="eastAsia" w:ascii="仿宋_GB2312" w:eastAsia="仿宋_GB2312"/>
          <w:color w:val="auto"/>
          <w:highlight w:val="none"/>
        </w:rPr>
      </w:pPr>
      <w:r>
        <w:rPr>
          <w:rFonts w:hint="eastAsia" w:ascii="仿宋_GB2312" w:eastAsia="仿宋_GB2312"/>
          <w:color w:val="auto"/>
          <w:highlight w:val="none"/>
        </w:rPr>
        <w:t>  所作的项目方案作为构成合同不可分割的部分，必须真实、诚信。</w:t>
      </w:r>
    </w:p>
    <w:p w14:paraId="1B4CE832">
      <w:pPr>
        <w:pStyle w:val="474"/>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5A7C4454">
      <w:pPr>
        <w:pStyle w:val="474"/>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26D2D131">
      <w:pPr>
        <w:pStyle w:val="474"/>
        <w:jc w:val="right"/>
        <w:rPr>
          <w:rFonts w:hint="eastAsia" w:ascii="仿宋_GB2312" w:eastAsia="仿宋_GB2312"/>
          <w:color w:val="auto"/>
          <w:highlight w:val="none"/>
        </w:rPr>
      </w:pPr>
      <w:r>
        <w:rPr>
          <w:rFonts w:hint="eastAsia" w:ascii="仿宋_GB2312" w:eastAsia="仿宋_GB2312"/>
          <w:color w:val="auto"/>
          <w:highlight w:val="none"/>
        </w:rPr>
        <w:t xml:space="preserve">                                   </w:t>
      </w:r>
    </w:p>
    <w:p w14:paraId="1D214932">
      <w:pPr>
        <w:pStyle w:val="474"/>
        <w:jc w:val="right"/>
        <w:rPr>
          <w:rFonts w:hint="eastAsia" w:ascii="仿宋_GB2312" w:eastAsia="仿宋_GB2312"/>
          <w:color w:val="auto"/>
          <w:highlight w:val="none"/>
        </w:rPr>
      </w:pPr>
      <w:r>
        <w:rPr>
          <w:rFonts w:hint="eastAsia" w:ascii="仿宋_GB2312" w:eastAsia="仿宋_GB2312"/>
          <w:color w:val="auto"/>
          <w:highlight w:val="none"/>
        </w:rPr>
        <w:t>投标人（</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w:t>
      </w:r>
    </w:p>
    <w:p w14:paraId="24703E2C">
      <w:pPr>
        <w:pStyle w:val="474"/>
        <w:jc w:val="right"/>
        <w:rPr>
          <w:rFonts w:hint="eastAsia" w:ascii="仿宋_GB2312" w:eastAsia="仿宋_GB2312"/>
          <w:color w:val="auto"/>
          <w:highlight w:val="none"/>
        </w:rPr>
      </w:pPr>
      <w:r>
        <w:rPr>
          <w:rFonts w:hint="eastAsia" w:ascii="仿宋_GB2312" w:eastAsia="仿宋_GB2312"/>
          <w:color w:val="auto"/>
          <w:highlight w:val="none"/>
        </w:rPr>
        <w:t> </w:t>
      </w:r>
    </w:p>
    <w:p w14:paraId="4B3B34D4">
      <w:pPr>
        <w:pStyle w:val="474"/>
        <w:jc w:val="right"/>
        <w:rPr>
          <w:rFonts w:hint="eastAsia" w:ascii="仿宋_GB2312" w:eastAsia="仿宋_GB2312"/>
          <w:color w:val="auto"/>
          <w:highlight w:val="none"/>
        </w:rPr>
      </w:pPr>
      <w:r>
        <w:rPr>
          <w:rFonts w:hint="eastAsia" w:ascii="仿宋_GB2312" w:eastAsia="仿宋_GB2312"/>
          <w:color w:val="auto"/>
          <w:highlight w:val="none"/>
        </w:rPr>
        <w:t>日期：   年 月 日</w:t>
      </w:r>
    </w:p>
    <w:p w14:paraId="35AE687D">
      <w:pPr>
        <w:pStyle w:val="474"/>
        <w:spacing w:line="405" w:lineRule="atLeast"/>
        <w:rPr>
          <w:rFonts w:hint="eastAsia" w:ascii="仿宋_GB2312" w:eastAsia="仿宋_GB2312"/>
          <w:color w:val="auto"/>
          <w:highlight w:val="none"/>
        </w:rPr>
      </w:pPr>
      <w:r>
        <w:rPr>
          <w:rFonts w:hint="eastAsia" w:ascii="仿宋_GB2312" w:eastAsia="仿宋_GB2312"/>
          <w:b/>
          <w:bCs/>
          <w:color w:val="auto"/>
          <w:highlight w:val="none"/>
        </w:rPr>
        <w:t>注：此项材料如有请以PDF格式上传。</w:t>
      </w:r>
    </w:p>
    <w:p w14:paraId="1078516D">
      <w:pPr>
        <w:pStyle w:val="474"/>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026D8874">
      <w:pPr>
        <w:pStyle w:val="474"/>
        <w:rPr>
          <w:rFonts w:hint="eastAsia" w:ascii="仿宋_GB2312" w:eastAsia="仿宋_GB2312"/>
          <w:b/>
          <w:bCs/>
          <w:color w:val="auto"/>
          <w:highlight w:val="none"/>
        </w:rPr>
      </w:pPr>
      <w:r>
        <w:rPr>
          <w:rFonts w:hint="eastAsia" w:ascii="仿宋_GB2312" w:eastAsia="仿宋_GB2312"/>
          <w:color w:val="auto"/>
          <w:highlight w:val="none"/>
        </w:rPr>
        <w:br w:type="page"/>
      </w:r>
      <w:r>
        <w:rPr>
          <w:rFonts w:hint="eastAsia" w:ascii="仿宋_GB2312" w:eastAsia="仿宋_GB2312"/>
          <w:b/>
          <w:bCs/>
          <w:color w:val="auto"/>
          <w:highlight w:val="none"/>
        </w:rPr>
        <w:t>（</w:t>
      </w:r>
      <w:r>
        <w:rPr>
          <w:rFonts w:hint="eastAsia" w:ascii="仿宋_GB2312" w:eastAsia="仿宋_GB2312"/>
          <w:b/>
          <w:bCs/>
          <w:color w:val="auto"/>
          <w:highlight w:val="none"/>
          <w:lang w:val="en-US" w:eastAsia="zh-CN"/>
        </w:rPr>
        <w:t>9</w:t>
      </w:r>
      <w:r>
        <w:rPr>
          <w:rFonts w:hint="eastAsia" w:ascii="仿宋_GB2312" w:eastAsia="仿宋_GB2312"/>
          <w:b/>
          <w:bCs/>
          <w:color w:val="auto"/>
          <w:highlight w:val="none"/>
        </w:rPr>
        <w:t>）</w:t>
      </w:r>
      <w:r>
        <w:rPr>
          <w:rFonts w:hint="eastAsia" w:ascii="仿宋_GB2312" w:eastAsia="仿宋_GB2312"/>
          <w:b/>
          <w:bCs/>
          <w:color w:val="auto"/>
          <w:highlight w:val="none"/>
          <w:lang w:eastAsia="zh-CN"/>
        </w:rPr>
        <w:t>技术培训方案</w:t>
      </w:r>
      <w:r>
        <w:rPr>
          <w:rFonts w:hint="eastAsia" w:ascii="仿宋_GB2312" w:eastAsia="仿宋_GB2312"/>
          <w:b/>
          <w:bCs/>
          <w:color w:val="auto"/>
          <w:highlight w:val="none"/>
        </w:rPr>
        <w:t>格式（如有）：</w:t>
      </w:r>
    </w:p>
    <w:p w14:paraId="68F56D23">
      <w:pPr>
        <w:pStyle w:val="474"/>
        <w:jc w:val="center"/>
        <w:rPr>
          <w:rFonts w:hint="eastAsia" w:ascii="仿宋_GB2312" w:eastAsia="仿宋_GB2312"/>
          <w:color w:val="auto"/>
          <w:highlight w:val="none"/>
        </w:rPr>
      </w:pPr>
      <w:r>
        <w:rPr>
          <w:rFonts w:hint="eastAsia" w:ascii="仿宋_GB2312" w:eastAsia="仿宋_GB2312"/>
          <w:color w:val="auto"/>
          <w:highlight w:val="none"/>
        </w:rPr>
        <w:t> </w:t>
      </w:r>
    </w:p>
    <w:p w14:paraId="354F492F">
      <w:pPr>
        <w:pStyle w:val="474"/>
        <w:jc w:val="center"/>
        <w:rPr>
          <w:rFonts w:hint="eastAsia" w:ascii="仿宋_GB2312" w:eastAsia="仿宋_GB2312"/>
          <w:color w:val="auto"/>
          <w:highlight w:val="none"/>
        </w:rPr>
      </w:pPr>
      <w:r>
        <w:rPr>
          <w:rFonts w:hint="eastAsia" w:ascii="仿宋_GB2312" w:eastAsia="仿宋_GB2312"/>
          <w:b/>
          <w:bCs/>
          <w:color w:val="auto"/>
          <w:sz w:val="33"/>
          <w:szCs w:val="33"/>
          <w:highlight w:val="none"/>
          <w:lang w:eastAsia="zh-CN"/>
        </w:rPr>
        <w:t>技术培训方案</w:t>
      </w:r>
      <w:r>
        <w:rPr>
          <w:rFonts w:hint="eastAsia" w:ascii="仿宋_GB2312" w:eastAsia="仿宋_GB2312"/>
          <w:b/>
          <w:color w:val="auto"/>
          <w:sz w:val="32"/>
          <w:szCs w:val="32"/>
          <w:highlight w:val="none"/>
          <w:lang w:eastAsia="zh-CN"/>
        </w:rPr>
        <w:t>（分标</w:t>
      </w:r>
      <w:r>
        <w:rPr>
          <w:rFonts w:hint="eastAsia" w:ascii="仿宋_GB2312" w:eastAsia="仿宋_GB2312"/>
          <w:b/>
          <w:color w:val="auto"/>
          <w:sz w:val="32"/>
          <w:szCs w:val="32"/>
          <w:highlight w:val="none"/>
          <w:u w:val="single"/>
          <w:lang w:val="en-US" w:eastAsia="zh-CN"/>
        </w:rPr>
        <w:t xml:space="preserve">  </w:t>
      </w:r>
      <w:r>
        <w:rPr>
          <w:rFonts w:hint="eastAsia" w:ascii="仿宋_GB2312" w:eastAsia="仿宋_GB2312"/>
          <w:b/>
          <w:color w:val="auto"/>
          <w:sz w:val="32"/>
          <w:szCs w:val="32"/>
          <w:highlight w:val="none"/>
          <w:u w:val="none"/>
          <w:lang w:val="en-US" w:eastAsia="zh-CN"/>
        </w:rPr>
        <w:t>）</w:t>
      </w:r>
    </w:p>
    <w:p w14:paraId="07354B70">
      <w:pPr>
        <w:pStyle w:val="474"/>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04D4313A">
      <w:pPr>
        <w:pStyle w:val="474"/>
        <w:spacing w:line="405" w:lineRule="atLeast"/>
        <w:rPr>
          <w:rFonts w:hint="eastAsia" w:ascii="仿宋_GB2312" w:eastAsia="仿宋_GB2312"/>
          <w:color w:val="auto"/>
          <w:highlight w:val="none"/>
        </w:rPr>
      </w:pPr>
      <w:r>
        <w:rPr>
          <w:rFonts w:hint="eastAsia" w:ascii="仿宋_GB2312" w:eastAsia="仿宋_GB2312"/>
          <w:color w:val="auto"/>
          <w:highlight w:val="none"/>
        </w:rPr>
        <w:t>  由投标人按第二章《采购需求》要求，自行编写</w:t>
      </w:r>
      <w:r>
        <w:rPr>
          <w:rFonts w:hint="eastAsia" w:ascii="仿宋_GB2312" w:eastAsia="仿宋_GB2312"/>
          <w:b/>
          <w:bCs/>
          <w:color w:val="auto"/>
          <w:highlight w:val="none"/>
        </w:rPr>
        <w:t>针对本项目的</w:t>
      </w:r>
      <w:r>
        <w:rPr>
          <w:rFonts w:hint="eastAsia" w:ascii="仿宋_GB2312" w:eastAsia="仿宋_GB2312"/>
          <w:b/>
          <w:bCs/>
          <w:color w:val="auto"/>
          <w:highlight w:val="none"/>
          <w:lang w:eastAsia="zh-CN"/>
        </w:rPr>
        <w:t>技术培训方案，该方案内容可以包括：（1）</w:t>
      </w:r>
      <w:r>
        <w:rPr>
          <w:rFonts w:hint="eastAsia" w:ascii="仿宋_GB2312" w:eastAsia="仿宋_GB2312"/>
          <w:b/>
          <w:bCs/>
          <w:color w:val="auto"/>
          <w:highlight w:val="none"/>
          <w:lang w:val="en-US" w:eastAsia="zh-CN"/>
        </w:rPr>
        <w:t>课程安排</w:t>
      </w:r>
      <w:r>
        <w:rPr>
          <w:rFonts w:hint="eastAsia" w:ascii="仿宋_GB2312" w:eastAsia="仿宋_GB2312"/>
          <w:b/>
          <w:bCs/>
          <w:color w:val="auto"/>
          <w:highlight w:val="none"/>
          <w:lang w:eastAsia="zh-CN"/>
        </w:rPr>
        <w:t>；（2）</w:t>
      </w:r>
      <w:r>
        <w:rPr>
          <w:rFonts w:hint="eastAsia" w:ascii="仿宋_GB2312" w:eastAsia="仿宋_GB2312"/>
          <w:b/>
          <w:bCs/>
          <w:color w:val="auto"/>
          <w:highlight w:val="none"/>
          <w:lang w:val="en-US" w:eastAsia="zh-CN"/>
        </w:rPr>
        <w:t>授课模式；（3）师资配置等内容</w:t>
      </w:r>
      <w:r>
        <w:rPr>
          <w:rFonts w:hint="eastAsia" w:ascii="仿宋_GB2312" w:eastAsia="仿宋_GB2312"/>
          <w:color w:val="auto"/>
          <w:highlight w:val="none"/>
        </w:rPr>
        <w:t>。</w:t>
      </w:r>
    </w:p>
    <w:p w14:paraId="0B1B22FB">
      <w:pPr>
        <w:pStyle w:val="474"/>
        <w:spacing w:line="405" w:lineRule="atLeast"/>
        <w:rPr>
          <w:rFonts w:hint="eastAsia" w:ascii="仿宋_GB2312" w:eastAsia="仿宋_GB2312"/>
          <w:color w:val="auto"/>
          <w:highlight w:val="none"/>
        </w:rPr>
      </w:pPr>
      <w:r>
        <w:rPr>
          <w:rFonts w:hint="eastAsia" w:ascii="仿宋_GB2312" w:eastAsia="仿宋_GB2312"/>
          <w:color w:val="auto"/>
          <w:highlight w:val="none"/>
        </w:rPr>
        <w:t>  所作的项目方案作为构成合同不可分割的部分，必须真实、诚信。</w:t>
      </w:r>
    </w:p>
    <w:p w14:paraId="3F782713">
      <w:pPr>
        <w:pStyle w:val="474"/>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12FF2087">
      <w:pPr>
        <w:pStyle w:val="474"/>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2A9F0AF8">
      <w:pPr>
        <w:pStyle w:val="474"/>
        <w:jc w:val="right"/>
        <w:rPr>
          <w:rFonts w:hint="eastAsia" w:ascii="仿宋_GB2312" w:eastAsia="仿宋_GB2312"/>
          <w:color w:val="auto"/>
          <w:highlight w:val="none"/>
        </w:rPr>
      </w:pPr>
      <w:r>
        <w:rPr>
          <w:rFonts w:hint="eastAsia" w:ascii="仿宋_GB2312" w:eastAsia="仿宋_GB2312"/>
          <w:color w:val="auto"/>
          <w:highlight w:val="none"/>
        </w:rPr>
        <w:t>                                  </w:t>
      </w:r>
    </w:p>
    <w:p w14:paraId="4DE12E7E">
      <w:pPr>
        <w:pStyle w:val="474"/>
        <w:jc w:val="right"/>
        <w:rPr>
          <w:rFonts w:hint="eastAsia" w:ascii="仿宋_GB2312" w:eastAsia="仿宋_GB2312"/>
          <w:color w:val="auto"/>
          <w:highlight w:val="none"/>
        </w:rPr>
      </w:pPr>
      <w:r>
        <w:rPr>
          <w:rFonts w:hint="eastAsia" w:ascii="仿宋_GB2312" w:eastAsia="仿宋_GB2312"/>
          <w:color w:val="auto"/>
          <w:highlight w:val="none"/>
        </w:rPr>
        <w:t> 投标人（</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w:t>
      </w:r>
    </w:p>
    <w:p w14:paraId="0C02C13D">
      <w:pPr>
        <w:pStyle w:val="474"/>
        <w:jc w:val="right"/>
        <w:rPr>
          <w:rFonts w:hint="eastAsia" w:ascii="仿宋_GB2312" w:eastAsia="仿宋_GB2312"/>
          <w:color w:val="auto"/>
          <w:highlight w:val="none"/>
        </w:rPr>
      </w:pPr>
      <w:r>
        <w:rPr>
          <w:rFonts w:hint="eastAsia" w:ascii="仿宋_GB2312" w:eastAsia="仿宋_GB2312"/>
          <w:color w:val="auto"/>
          <w:highlight w:val="none"/>
        </w:rPr>
        <w:t> </w:t>
      </w:r>
    </w:p>
    <w:p w14:paraId="304C28A1">
      <w:pPr>
        <w:pStyle w:val="474"/>
        <w:jc w:val="right"/>
        <w:rPr>
          <w:rFonts w:hint="eastAsia" w:ascii="仿宋_GB2312" w:eastAsia="仿宋_GB2312"/>
          <w:color w:val="auto"/>
          <w:highlight w:val="none"/>
        </w:rPr>
      </w:pPr>
      <w:r>
        <w:rPr>
          <w:rFonts w:hint="eastAsia" w:ascii="仿宋_GB2312" w:eastAsia="仿宋_GB2312"/>
          <w:color w:val="auto"/>
          <w:highlight w:val="none"/>
        </w:rPr>
        <w:t>日期：   年 月 日</w:t>
      </w:r>
    </w:p>
    <w:p w14:paraId="3AA7131B">
      <w:pPr>
        <w:pStyle w:val="474"/>
        <w:spacing w:line="405" w:lineRule="atLeast"/>
        <w:rPr>
          <w:rFonts w:hint="eastAsia" w:ascii="仿宋_GB2312" w:eastAsia="仿宋_GB2312"/>
          <w:color w:val="auto"/>
          <w:highlight w:val="none"/>
        </w:rPr>
      </w:pPr>
      <w:r>
        <w:rPr>
          <w:rFonts w:hint="eastAsia" w:ascii="仿宋_GB2312" w:eastAsia="仿宋_GB2312"/>
          <w:b/>
          <w:bCs/>
          <w:color w:val="auto"/>
          <w:highlight w:val="none"/>
        </w:rPr>
        <w:t>注：此项材料如有请以PDF格式上传。</w:t>
      </w:r>
    </w:p>
    <w:p w14:paraId="6CD02435">
      <w:pPr>
        <w:pStyle w:val="474"/>
        <w:rPr>
          <w:rFonts w:hint="eastAsia" w:ascii="仿宋_GB2312" w:eastAsia="仿宋_GB2312"/>
          <w:b/>
          <w:bCs/>
          <w:color w:val="auto"/>
          <w:highlight w:val="none"/>
        </w:rPr>
      </w:pPr>
      <w:r>
        <w:rPr>
          <w:rFonts w:hint="eastAsia" w:ascii="仿宋_GB2312" w:eastAsia="仿宋_GB2312"/>
          <w:color w:val="auto"/>
          <w:highlight w:val="none"/>
        </w:rPr>
        <w:br w:type="page"/>
      </w:r>
      <w:r>
        <w:rPr>
          <w:rFonts w:hint="eastAsia" w:ascii="仿宋_GB2312" w:eastAsia="仿宋_GB2312"/>
          <w:b/>
          <w:bCs/>
          <w:color w:val="auto"/>
          <w:highlight w:val="none"/>
        </w:rPr>
        <w:t>（</w:t>
      </w:r>
      <w:r>
        <w:rPr>
          <w:rFonts w:hint="eastAsia" w:ascii="仿宋_GB2312" w:eastAsia="仿宋_GB2312"/>
          <w:b/>
          <w:bCs/>
          <w:color w:val="auto"/>
          <w:highlight w:val="none"/>
          <w:lang w:val="en-US" w:eastAsia="zh-CN"/>
        </w:rPr>
        <w:t>10</w:t>
      </w:r>
      <w:r>
        <w:rPr>
          <w:rFonts w:hint="eastAsia" w:ascii="仿宋_GB2312" w:eastAsia="仿宋_GB2312"/>
          <w:b/>
          <w:bCs/>
          <w:color w:val="auto"/>
          <w:highlight w:val="none"/>
        </w:rPr>
        <w:t>）售后服务方案格式（如有）：</w:t>
      </w:r>
    </w:p>
    <w:p w14:paraId="6B53E51B">
      <w:pPr>
        <w:pStyle w:val="474"/>
        <w:jc w:val="center"/>
        <w:rPr>
          <w:rFonts w:hint="eastAsia" w:ascii="仿宋_GB2312" w:eastAsia="仿宋_GB2312"/>
          <w:color w:val="auto"/>
          <w:highlight w:val="none"/>
        </w:rPr>
      </w:pPr>
      <w:r>
        <w:rPr>
          <w:rFonts w:hint="eastAsia" w:ascii="仿宋_GB2312" w:eastAsia="仿宋_GB2312"/>
          <w:color w:val="auto"/>
          <w:highlight w:val="none"/>
        </w:rPr>
        <w:t> </w:t>
      </w:r>
    </w:p>
    <w:p w14:paraId="05FF2A54">
      <w:pPr>
        <w:pStyle w:val="474"/>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售后服务方案</w:t>
      </w:r>
      <w:r>
        <w:rPr>
          <w:rFonts w:hint="eastAsia" w:ascii="仿宋_GB2312" w:eastAsia="仿宋_GB2312"/>
          <w:b/>
          <w:color w:val="auto"/>
          <w:sz w:val="32"/>
          <w:szCs w:val="32"/>
          <w:highlight w:val="none"/>
          <w:lang w:eastAsia="zh-CN"/>
        </w:rPr>
        <w:t>（分标</w:t>
      </w:r>
      <w:r>
        <w:rPr>
          <w:rFonts w:hint="eastAsia" w:ascii="仿宋_GB2312" w:eastAsia="仿宋_GB2312"/>
          <w:b/>
          <w:color w:val="auto"/>
          <w:sz w:val="32"/>
          <w:szCs w:val="32"/>
          <w:highlight w:val="none"/>
          <w:u w:val="single"/>
          <w:lang w:val="en-US" w:eastAsia="zh-CN"/>
        </w:rPr>
        <w:t xml:space="preserve">  </w:t>
      </w:r>
      <w:r>
        <w:rPr>
          <w:rFonts w:hint="eastAsia" w:ascii="仿宋_GB2312" w:eastAsia="仿宋_GB2312"/>
          <w:b/>
          <w:color w:val="auto"/>
          <w:sz w:val="32"/>
          <w:szCs w:val="32"/>
          <w:highlight w:val="none"/>
          <w:u w:val="none"/>
          <w:lang w:val="en-US" w:eastAsia="zh-CN"/>
        </w:rPr>
        <w:t>）</w:t>
      </w:r>
    </w:p>
    <w:p w14:paraId="76F390DE">
      <w:pPr>
        <w:pStyle w:val="474"/>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6B82A589">
      <w:pPr>
        <w:pStyle w:val="474"/>
        <w:spacing w:line="405" w:lineRule="atLeast"/>
        <w:rPr>
          <w:rFonts w:hint="eastAsia" w:ascii="仿宋_GB2312" w:eastAsia="仿宋_GB2312"/>
          <w:color w:val="auto"/>
          <w:highlight w:val="none"/>
        </w:rPr>
      </w:pPr>
      <w:r>
        <w:rPr>
          <w:rFonts w:hint="eastAsia" w:ascii="仿宋_GB2312" w:eastAsia="仿宋_GB2312"/>
          <w:color w:val="auto"/>
          <w:highlight w:val="none"/>
        </w:rPr>
        <w:t>  由投标人按第二章《采购需求》要求自行填写，提供本项目的售后服务方案</w:t>
      </w:r>
      <w:r>
        <w:rPr>
          <w:rFonts w:hint="eastAsia" w:ascii="仿宋_GB2312" w:eastAsia="仿宋_GB2312"/>
          <w:b/>
          <w:bCs/>
          <w:color w:val="auto"/>
          <w:highlight w:val="none"/>
        </w:rPr>
        <w:t>包括：（1）定期回访维护方案；（2）售后服务技术支持（包括售后服务机构、技术人员等）；（3）维修应急预案；（4）零配件储备供应；（5）保修期外维修方案。</w:t>
      </w:r>
    </w:p>
    <w:p w14:paraId="62A10CC1">
      <w:pPr>
        <w:pStyle w:val="474"/>
        <w:spacing w:line="405" w:lineRule="atLeast"/>
        <w:rPr>
          <w:rFonts w:hint="eastAsia" w:ascii="仿宋_GB2312" w:eastAsia="仿宋_GB2312"/>
          <w:color w:val="auto"/>
          <w:highlight w:val="none"/>
        </w:rPr>
      </w:pPr>
      <w:r>
        <w:rPr>
          <w:rFonts w:hint="eastAsia" w:ascii="仿宋_GB2312" w:eastAsia="仿宋_GB2312"/>
          <w:color w:val="auto"/>
          <w:highlight w:val="none"/>
        </w:rPr>
        <w:t>  所列内容作为构成合同不可分割的部分，必须真实、诚信。</w:t>
      </w:r>
    </w:p>
    <w:p w14:paraId="76731A39">
      <w:pPr>
        <w:pStyle w:val="474"/>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1EC5F1F9">
      <w:pPr>
        <w:pStyle w:val="474"/>
        <w:spacing w:line="405" w:lineRule="atLeast"/>
        <w:rPr>
          <w:rFonts w:hint="eastAsia" w:ascii="仿宋_GB2312" w:eastAsia="仿宋_GB2312"/>
          <w:color w:val="auto"/>
          <w:highlight w:val="none"/>
        </w:rPr>
      </w:pPr>
      <w:r>
        <w:rPr>
          <w:rFonts w:hint="eastAsia" w:ascii="仿宋_GB2312" w:eastAsia="仿宋_GB2312"/>
          <w:color w:val="auto"/>
          <w:highlight w:val="none"/>
        </w:rPr>
        <w:t> </w:t>
      </w:r>
    </w:p>
    <w:p w14:paraId="3AF738F6">
      <w:pPr>
        <w:pStyle w:val="474"/>
        <w:jc w:val="right"/>
        <w:rPr>
          <w:rFonts w:hint="eastAsia" w:ascii="仿宋_GB2312" w:eastAsia="仿宋_GB2312"/>
          <w:color w:val="auto"/>
          <w:highlight w:val="none"/>
        </w:rPr>
      </w:pPr>
      <w:r>
        <w:rPr>
          <w:rFonts w:hint="eastAsia" w:ascii="仿宋_GB2312" w:eastAsia="仿宋_GB2312"/>
          <w:color w:val="auto"/>
          <w:highlight w:val="none"/>
        </w:rPr>
        <w:t>                                  </w:t>
      </w:r>
    </w:p>
    <w:p w14:paraId="04F87F28">
      <w:pPr>
        <w:pStyle w:val="474"/>
        <w:jc w:val="right"/>
        <w:rPr>
          <w:rFonts w:hint="eastAsia" w:ascii="仿宋_GB2312" w:eastAsia="仿宋_GB2312"/>
          <w:color w:val="auto"/>
          <w:highlight w:val="none"/>
        </w:rPr>
      </w:pPr>
      <w:r>
        <w:rPr>
          <w:rFonts w:hint="eastAsia" w:ascii="仿宋_GB2312" w:eastAsia="仿宋_GB2312"/>
          <w:color w:val="auto"/>
          <w:highlight w:val="none"/>
        </w:rPr>
        <w:t>投标人（</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w:t>
      </w:r>
    </w:p>
    <w:p w14:paraId="442299BF">
      <w:pPr>
        <w:pStyle w:val="474"/>
        <w:jc w:val="right"/>
        <w:rPr>
          <w:rFonts w:hint="eastAsia" w:ascii="仿宋_GB2312" w:eastAsia="仿宋_GB2312"/>
          <w:color w:val="auto"/>
          <w:highlight w:val="none"/>
        </w:rPr>
      </w:pPr>
      <w:r>
        <w:rPr>
          <w:rFonts w:hint="eastAsia" w:ascii="仿宋_GB2312" w:eastAsia="仿宋_GB2312"/>
          <w:color w:val="auto"/>
          <w:highlight w:val="none"/>
        </w:rPr>
        <w:t> </w:t>
      </w:r>
    </w:p>
    <w:p w14:paraId="3A5F727E">
      <w:pPr>
        <w:pStyle w:val="474"/>
        <w:jc w:val="right"/>
        <w:rPr>
          <w:rFonts w:hint="eastAsia" w:ascii="仿宋_GB2312" w:eastAsia="仿宋_GB2312"/>
          <w:color w:val="auto"/>
          <w:highlight w:val="none"/>
        </w:rPr>
      </w:pPr>
      <w:r>
        <w:rPr>
          <w:rFonts w:hint="eastAsia" w:ascii="仿宋_GB2312" w:eastAsia="仿宋_GB2312"/>
          <w:color w:val="auto"/>
          <w:highlight w:val="none"/>
        </w:rPr>
        <w:t>日期：   年 月 日</w:t>
      </w:r>
    </w:p>
    <w:p w14:paraId="149E4978">
      <w:pPr>
        <w:pStyle w:val="474"/>
        <w:spacing w:line="405" w:lineRule="atLeast"/>
        <w:rPr>
          <w:rFonts w:hint="eastAsia" w:ascii="仿宋_GB2312" w:eastAsia="仿宋_GB2312"/>
          <w:color w:val="auto"/>
          <w:highlight w:val="none"/>
        </w:rPr>
      </w:pPr>
      <w:r>
        <w:rPr>
          <w:rFonts w:hint="eastAsia" w:ascii="仿宋_GB2312" w:eastAsia="仿宋_GB2312"/>
          <w:b/>
          <w:bCs/>
          <w:color w:val="auto"/>
          <w:highlight w:val="none"/>
        </w:rPr>
        <w:t>注：此项材料如有请以PDF格式上传。</w:t>
      </w:r>
    </w:p>
    <w:p w14:paraId="189A970B">
      <w:pPr>
        <w:pStyle w:val="494"/>
        <w:spacing w:before="0" w:beforeAutospacing="0" w:after="0" w:afterAutospacing="0" w:line="460" w:lineRule="atLeast"/>
        <w:rPr>
          <w:rFonts w:ascii="仿宋_GB2312" w:eastAsia="仿宋_GB2312"/>
          <w:color w:val="auto"/>
          <w:highlight w:val="none"/>
        </w:rPr>
      </w:pPr>
      <w:r>
        <w:rPr>
          <w:rFonts w:hint="eastAsia" w:ascii="仿宋_GB2312" w:eastAsia="仿宋_GB2312"/>
          <w:color w:val="auto"/>
          <w:highlight w:val="none"/>
        </w:rPr>
        <w:br w:type="page"/>
      </w:r>
      <w:r>
        <w:rPr>
          <w:rFonts w:hint="eastAsia" w:ascii="仿宋_GB2312" w:eastAsia="仿宋_GB2312"/>
          <w:color w:val="auto"/>
          <w:highlight w:val="none"/>
        </w:rPr>
        <w:t>  （1</w:t>
      </w:r>
      <w:r>
        <w:rPr>
          <w:rFonts w:hint="eastAsia" w:ascii="仿宋_GB2312" w:eastAsia="仿宋_GB2312"/>
          <w:color w:val="auto"/>
          <w:highlight w:val="none"/>
          <w:lang w:val="en-US" w:eastAsia="zh-CN"/>
        </w:rPr>
        <w:t>1</w:t>
      </w:r>
      <w:r>
        <w:rPr>
          <w:rFonts w:hint="eastAsia" w:ascii="仿宋_GB2312" w:eastAsia="仿宋_GB2312"/>
          <w:color w:val="auto"/>
          <w:highlight w:val="none"/>
        </w:rPr>
        <w:t>）所投产品</w:t>
      </w:r>
      <w:r>
        <w:rPr>
          <w:rFonts w:hint="eastAsia" w:ascii="仿宋_GB2312" w:eastAsia="仿宋_GB2312"/>
          <w:color w:val="auto"/>
          <w:highlight w:val="none"/>
          <w:lang w:eastAsia="zh-CN"/>
        </w:rPr>
        <w:t>优于</w:t>
      </w:r>
      <w:r>
        <w:rPr>
          <w:rFonts w:hint="eastAsia" w:ascii="仿宋_GB2312" w:eastAsia="仿宋_GB2312"/>
          <w:color w:val="auto"/>
          <w:highlight w:val="none"/>
        </w:rPr>
        <w:t>采购需求中标记“◆”带下划线“</w:t>
      </w:r>
      <w:r>
        <w:rPr>
          <w:rFonts w:hint="eastAsia" w:ascii="仿宋_GB2312" w:eastAsia="仿宋_GB2312"/>
          <w:color w:val="auto"/>
          <w:highlight w:val="none"/>
          <w:u w:val="wave"/>
          <w:lang w:val="en-US" w:eastAsia="zh-CN"/>
        </w:rPr>
        <w:t xml:space="preserve">    </w:t>
      </w:r>
      <w:r>
        <w:rPr>
          <w:rFonts w:hint="eastAsia" w:ascii="仿宋_GB2312" w:eastAsia="仿宋_GB2312"/>
          <w:color w:val="auto"/>
          <w:highlight w:val="none"/>
        </w:rPr>
        <w:t>”</w:t>
      </w:r>
      <w:r>
        <w:rPr>
          <w:rFonts w:hint="eastAsia" w:ascii="仿宋_GB2312" w:eastAsia="仿宋_GB2312"/>
          <w:color w:val="auto"/>
          <w:highlight w:val="none"/>
          <w:lang w:eastAsia="zh-CN"/>
        </w:rPr>
        <w:t>技术参数</w:t>
      </w:r>
      <w:r>
        <w:rPr>
          <w:rFonts w:hint="eastAsia" w:ascii="仿宋_GB2312" w:eastAsia="仿宋_GB2312"/>
          <w:color w:val="auto"/>
          <w:highlight w:val="none"/>
        </w:rPr>
        <w:t>的证明材料，证明材料可以是检测（检验）报告、彩页、官网或功能截图等任意一种（如有）</w:t>
      </w:r>
    </w:p>
    <w:p w14:paraId="2E6058E2">
      <w:pPr>
        <w:pStyle w:val="494"/>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（1</w:t>
      </w:r>
      <w:r>
        <w:rPr>
          <w:rFonts w:hint="eastAsia" w:ascii="仿宋_GB2312" w:eastAsia="仿宋_GB2312"/>
          <w:color w:val="auto"/>
          <w:highlight w:val="none"/>
          <w:lang w:val="en-US" w:eastAsia="zh-CN"/>
        </w:rPr>
        <w:t>2</w:t>
      </w:r>
      <w:r>
        <w:rPr>
          <w:rFonts w:hint="eastAsia" w:ascii="仿宋_GB2312" w:eastAsia="仿宋_GB2312"/>
          <w:color w:val="auto"/>
          <w:highlight w:val="none"/>
        </w:rPr>
        <w:t>）投标人或所投核心产品生产厂商具备有效的质量管理体系认证证书（如有）</w:t>
      </w:r>
    </w:p>
    <w:p w14:paraId="443B454F">
      <w:pPr>
        <w:pStyle w:val="494"/>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（1</w:t>
      </w:r>
      <w:r>
        <w:rPr>
          <w:rFonts w:hint="eastAsia" w:ascii="仿宋_GB2312" w:eastAsia="仿宋_GB2312"/>
          <w:color w:val="auto"/>
          <w:highlight w:val="none"/>
          <w:lang w:val="en-US" w:eastAsia="zh-CN"/>
        </w:rPr>
        <w:t>3</w:t>
      </w:r>
      <w:r>
        <w:rPr>
          <w:rFonts w:hint="eastAsia" w:ascii="仿宋_GB2312" w:eastAsia="仿宋_GB2312"/>
          <w:color w:val="auto"/>
          <w:highlight w:val="none"/>
        </w:rPr>
        <w:t>）投标人或所投核心产品生产厂商具备有效的职业健康安全管理体系认证证书（如有）</w:t>
      </w:r>
    </w:p>
    <w:p w14:paraId="05B15EBC">
      <w:pPr>
        <w:pStyle w:val="494"/>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（1</w:t>
      </w:r>
      <w:r>
        <w:rPr>
          <w:rFonts w:hint="eastAsia" w:ascii="仿宋_GB2312" w:eastAsia="仿宋_GB2312"/>
          <w:color w:val="auto"/>
          <w:highlight w:val="none"/>
          <w:lang w:val="en-US" w:eastAsia="zh-CN"/>
        </w:rPr>
        <w:t>4</w:t>
      </w:r>
      <w:r>
        <w:rPr>
          <w:rFonts w:hint="eastAsia" w:ascii="仿宋_GB2312" w:eastAsia="仿宋_GB2312"/>
          <w:color w:val="auto"/>
          <w:highlight w:val="none"/>
        </w:rPr>
        <w:t>）投标人或所投核心产品生产厂商具备有效的环境管理体系认证证书（如有）</w:t>
      </w:r>
    </w:p>
    <w:p w14:paraId="72E4B87E">
      <w:pPr>
        <w:pStyle w:val="494"/>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（1</w:t>
      </w:r>
      <w:r>
        <w:rPr>
          <w:rFonts w:hint="eastAsia" w:ascii="仿宋_GB2312" w:eastAsia="仿宋_GB2312"/>
          <w:color w:val="auto"/>
          <w:highlight w:val="none"/>
          <w:lang w:val="en-US" w:eastAsia="zh-CN"/>
        </w:rPr>
        <w:t>5</w:t>
      </w:r>
      <w:r>
        <w:rPr>
          <w:rFonts w:hint="eastAsia" w:ascii="仿宋_GB2312" w:eastAsia="仿宋_GB2312"/>
          <w:color w:val="auto"/>
          <w:highlight w:val="none"/>
        </w:rPr>
        <w:t>）投标产品由国家确定的认证机构出具的、处于有效期之内的环境标志产品认证证书（如有）</w:t>
      </w:r>
    </w:p>
    <w:p w14:paraId="7965D09B">
      <w:pPr>
        <w:pStyle w:val="494"/>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（1</w:t>
      </w:r>
      <w:r>
        <w:rPr>
          <w:rFonts w:hint="eastAsia" w:ascii="仿宋_GB2312" w:eastAsia="仿宋_GB2312"/>
          <w:color w:val="auto"/>
          <w:highlight w:val="none"/>
          <w:lang w:val="en-US" w:eastAsia="zh-CN"/>
        </w:rPr>
        <w:t>6</w:t>
      </w:r>
      <w:r>
        <w:rPr>
          <w:rFonts w:hint="eastAsia" w:ascii="仿宋_GB2312" w:eastAsia="仿宋_GB2312"/>
          <w:color w:val="auto"/>
          <w:highlight w:val="none"/>
        </w:rPr>
        <w:t>）投标人对本项目的合理化建议和改进措施（如有，格式自拟）</w:t>
      </w:r>
    </w:p>
    <w:p w14:paraId="555683C1">
      <w:pPr>
        <w:pStyle w:val="494"/>
        <w:spacing w:before="0" w:beforeAutospacing="0" w:after="0" w:afterAutospacing="0" w:line="460" w:lineRule="atLeast"/>
        <w:rPr>
          <w:rFonts w:hint="eastAsia" w:ascii="仿宋_GB2312" w:eastAsia="仿宋_GB2312"/>
          <w:color w:val="auto"/>
          <w:highlight w:val="none"/>
        </w:rPr>
      </w:pPr>
      <w:r>
        <w:rPr>
          <w:rFonts w:hint="eastAsia" w:ascii="仿宋_GB2312" w:eastAsia="仿宋_GB2312"/>
          <w:color w:val="auto"/>
          <w:highlight w:val="none"/>
        </w:rPr>
        <w:t>  （1</w:t>
      </w:r>
      <w:r>
        <w:rPr>
          <w:rFonts w:hint="eastAsia" w:ascii="仿宋_GB2312" w:eastAsia="仿宋_GB2312"/>
          <w:color w:val="auto"/>
          <w:highlight w:val="none"/>
          <w:lang w:val="en-US" w:eastAsia="zh-CN"/>
        </w:rPr>
        <w:t>7</w:t>
      </w:r>
      <w:r>
        <w:rPr>
          <w:rFonts w:hint="eastAsia" w:ascii="仿宋_GB2312" w:eastAsia="仿宋_GB2312"/>
          <w:color w:val="auto"/>
          <w:highlight w:val="none"/>
        </w:rPr>
        <w:t>）投标人认为必要提供的声明及文件资料（如有，格式自拟）</w:t>
      </w:r>
    </w:p>
    <w:p w14:paraId="49B31558">
      <w:pPr>
        <w:snapToGrid w:val="0"/>
        <w:spacing w:before="120" w:beforeLines="50" w:after="50" w:line="400" w:lineRule="exact"/>
        <w:outlineLvl w:val="1"/>
        <w:rPr>
          <w:rFonts w:ascii="仿宋_GB2312" w:eastAsia="仿宋_GB2312"/>
          <w:b/>
          <w:bCs/>
          <w:color w:val="auto"/>
          <w:szCs w:val="21"/>
          <w:highlight w:val="none"/>
        </w:rPr>
      </w:pPr>
    </w:p>
    <w:p w14:paraId="76469C45">
      <w:pPr>
        <w:snapToGrid w:val="0"/>
        <w:spacing w:before="120" w:beforeLines="50" w:after="50" w:line="400" w:lineRule="exact"/>
        <w:outlineLvl w:val="1"/>
        <w:rPr>
          <w:rFonts w:ascii="仿宋_GB2312" w:eastAsia="仿宋_GB2312"/>
          <w:b/>
          <w:bCs/>
          <w:color w:val="auto"/>
          <w:szCs w:val="21"/>
          <w:highlight w:val="none"/>
        </w:rPr>
      </w:pPr>
    </w:p>
    <w:p w14:paraId="5421C1FA">
      <w:pPr>
        <w:ind w:firstLine="643" w:firstLineChars="200"/>
        <w:jc w:val="left"/>
        <w:rPr>
          <w:rFonts w:ascii="仿宋_GB2312" w:eastAsia="仿宋_GB2312"/>
          <w:b/>
          <w:bCs/>
          <w:color w:val="auto"/>
          <w:sz w:val="32"/>
          <w:szCs w:val="32"/>
          <w:highlight w:val="none"/>
        </w:rPr>
      </w:pPr>
      <w:r>
        <w:rPr>
          <w:rFonts w:hint="eastAsia" w:ascii="仿宋_GB2312" w:eastAsia="仿宋_GB2312"/>
          <w:b/>
          <w:bCs/>
          <w:color w:val="auto"/>
          <w:sz w:val="32"/>
          <w:szCs w:val="32"/>
          <w:highlight w:val="none"/>
        </w:rPr>
        <w:t>注：第（</w:t>
      </w:r>
      <w:r>
        <w:rPr>
          <w:rFonts w:ascii="仿宋_GB2312" w:eastAsia="仿宋_GB2312"/>
          <w:b/>
          <w:bCs/>
          <w:color w:val="auto"/>
          <w:sz w:val="32"/>
          <w:szCs w:val="32"/>
          <w:highlight w:val="none"/>
        </w:rPr>
        <w:t>1</w:t>
      </w:r>
      <w:r>
        <w:rPr>
          <w:rFonts w:hint="eastAsia" w:ascii="仿宋_GB2312" w:eastAsia="仿宋_GB2312"/>
          <w:b/>
          <w:bCs/>
          <w:color w:val="auto"/>
          <w:sz w:val="32"/>
          <w:szCs w:val="32"/>
          <w:highlight w:val="none"/>
          <w:lang w:val="en-US" w:eastAsia="zh-CN"/>
        </w:rPr>
        <w:t>1</w:t>
      </w:r>
      <w:r>
        <w:rPr>
          <w:rFonts w:hint="eastAsia" w:ascii="仿宋_GB2312" w:eastAsia="仿宋_GB2312"/>
          <w:b/>
          <w:bCs/>
          <w:color w:val="auto"/>
          <w:sz w:val="32"/>
          <w:szCs w:val="32"/>
          <w:highlight w:val="none"/>
        </w:rPr>
        <w:t>）项至第（</w:t>
      </w:r>
      <w:r>
        <w:rPr>
          <w:rFonts w:ascii="仿宋_GB2312" w:eastAsia="仿宋_GB2312"/>
          <w:b/>
          <w:bCs/>
          <w:color w:val="auto"/>
          <w:sz w:val="32"/>
          <w:szCs w:val="32"/>
          <w:highlight w:val="none"/>
        </w:rPr>
        <w:t>1</w:t>
      </w:r>
      <w:r>
        <w:rPr>
          <w:rFonts w:hint="eastAsia" w:ascii="仿宋_GB2312" w:eastAsia="仿宋_GB2312"/>
          <w:b/>
          <w:bCs/>
          <w:color w:val="auto"/>
          <w:sz w:val="32"/>
          <w:szCs w:val="32"/>
          <w:highlight w:val="none"/>
          <w:lang w:val="en-US" w:eastAsia="zh-CN"/>
        </w:rPr>
        <w:t>7</w:t>
      </w:r>
      <w:r>
        <w:rPr>
          <w:rFonts w:hint="eastAsia" w:ascii="仿宋_GB2312" w:eastAsia="仿宋_GB2312"/>
          <w:b/>
          <w:bCs/>
          <w:color w:val="auto"/>
          <w:sz w:val="32"/>
          <w:szCs w:val="32"/>
          <w:highlight w:val="none"/>
        </w:rPr>
        <w:t>）项</w:t>
      </w:r>
      <w:r>
        <w:rPr>
          <w:rFonts w:hint="eastAsia" w:ascii="仿宋_GB2312" w:hAnsi="宋体" w:eastAsia="仿宋_GB2312"/>
          <w:b/>
          <w:bCs/>
          <w:color w:val="auto"/>
          <w:sz w:val="30"/>
          <w:szCs w:val="30"/>
          <w:highlight w:val="none"/>
        </w:rPr>
        <w:t>如有请以PDF格式提供，并加盖投标人CA电子签章</w:t>
      </w:r>
      <w:r>
        <w:rPr>
          <w:rFonts w:hint="eastAsia" w:ascii="仿宋_GB2312" w:eastAsia="仿宋_GB2312"/>
          <w:b/>
          <w:bCs/>
          <w:color w:val="auto"/>
          <w:sz w:val="32"/>
          <w:szCs w:val="32"/>
          <w:highlight w:val="none"/>
        </w:rPr>
        <w:t>。</w:t>
      </w:r>
      <w:bookmarkEnd w:id="90"/>
    </w:p>
    <w:sectPr>
      <w:footerReference r:id="rId9"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2010600030101010101"/>
    <w:charset w:val="86"/>
    <w:family w:val="auto"/>
    <w:pitch w:val="default"/>
    <w:sig w:usb0="00000000" w:usb1="00000000" w:usb2="00000016" w:usb3="00000000" w:csb0="0004000F" w:csb1="00000000"/>
  </w:font>
  <w:font w:name="华文新魏">
    <w:altName w:val="宋体"/>
    <w:panose1 w:val="0201080004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34D37">
    <w:pPr>
      <w:pStyle w:val="31"/>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14:paraId="6BA5ED4D">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05753">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EBB0F">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p>
  <w:p w14:paraId="68C09498"/>
  <w:p w14:paraId="25C6E4D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14:paraId="577C3940">
        <w:pPr>
          <w:pStyle w:val="31"/>
          <w:jc w:val="center"/>
        </w:pPr>
        <w:r>
          <w:fldChar w:fldCharType="begin"/>
        </w:r>
        <w:r>
          <w:instrText xml:space="preserve">PAGE   \* MERGEFORMAT</w:instrText>
        </w:r>
        <w:r>
          <w:fldChar w:fldCharType="separate"/>
        </w:r>
        <w:r>
          <w:rPr>
            <w:lang w:val="zh-CN"/>
          </w:rPr>
          <w:t>46</w:t>
        </w:r>
        <w:r>
          <w:fldChar w:fldCharType="end"/>
        </w:r>
      </w:p>
    </w:sdtContent>
  </w:sdt>
  <w:p w14:paraId="7C8A00D1">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E3A85">
    <w:pPr>
      <w:pStyle w:val="31"/>
      <w:jc w:val="center"/>
    </w:pPr>
    <w:r>
      <w:rPr>
        <w:rFonts w:hint="eastAsia"/>
      </w:rPr>
      <w:fldChar w:fldCharType="begin"/>
    </w:r>
    <w:r>
      <w:rPr>
        <w:rFonts w:hint="eastAsia"/>
      </w:rPr>
      <w:instrText xml:space="preserve"> PAGE  \* MERGEFORMAT </w:instrText>
    </w:r>
    <w:r>
      <w:rPr>
        <w:rFonts w:hint="eastAsia"/>
      </w:rPr>
      <w:fldChar w:fldCharType="separate"/>
    </w:r>
    <w:r>
      <w:t>47</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0BB94">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DC364">
    <w:pPr>
      <w:pStyle w:val="32"/>
      <w:jc w:val="right"/>
      <w:rPr>
        <w:b/>
        <w:color w:val="000000"/>
      </w:rPr>
    </w:pPr>
    <w:r>
      <w:rPr>
        <w:b/>
      </w:rPr>
      <w:t>中小学增补设备采购</w:t>
    </w:r>
    <w:r>
      <w:rPr>
        <w:rFonts w:hint="eastAsia"/>
        <w:b/>
      </w:rPr>
      <w:t>（</w:t>
    </w:r>
    <w:r>
      <w:rPr>
        <w:b/>
      </w:rPr>
      <w:t>LZZC2026-G1-990433-LZSZ</w:t>
    </w:r>
    <w:r>
      <w:rPr>
        <w:rFonts w:hint="eastAsia"/>
        <w:b/>
      </w:rPr>
      <w:t xml:space="preserve">）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101"/>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8"/>
      <w:lvlText w:val="%5)"/>
      <w:lvlJc w:val="left"/>
      <w:pPr>
        <w:ind w:left="2580" w:hanging="420"/>
      </w:pPr>
    </w:lvl>
    <w:lvl w:ilvl="5" w:tentative="0">
      <w:start w:val="1"/>
      <w:numFmt w:val="lowerRoman"/>
      <w:pStyle w:val="10"/>
      <w:lvlText w:val="%6."/>
      <w:lvlJc w:val="right"/>
      <w:pPr>
        <w:ind w:left="3000" w:hanging="420"/>
      </w:pPr>
    </w:lvl>
    <w:lvl w:ilvl="6" w:tentative="0">
      <w:start w:val="1"/>
      <w:numFmt w:val="decimal"/>
      <w:pStyle w:val="11"/>
      <w:lvlText w:val="%7."/>
      <w:lvlJc w:val="left"/>
      <w:pPr>
        <w:ind w:left="3420" w:hanging="420"/>
      </w:pPr>
    </w:lvl>
    <w:lvl w:ilvl="7" w:tentative="0">
      <w:start w:val="1"/>
      <w:numFmt w:val="lowerLetter"/>
      <w:pStyle w:val="12"/>
      <w:lvlText w:val="%8)"/>
      <w:lvlJc w:val="left"/>
      <w:pPr>
        <w:ind w:left="3840" w:hanging="420"/>
      </w:pPr>
    </w:lvl>
    <w:lvl w:ilvl="8" w:tentative="0">
      <w:start w:val="1"/>
      <w:numFmt w:val="lowerRoman"/>
      <w:pStyle w:val="13"/>
      <w:lvlText w:val="%9."/>
      <w:lvlJc w:val="right"/>
      <w:pPr>
        <w:ind w:left="4260" w:hanging="420"/>
      </w:pPr>
    </w:lvl>
  </w:abstractNum>
  <w:abstractNum w:abstractNumId="2">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2B91"/>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4960"/>
    <w:rsid w:val="000157B1"/>
    <w:rsid w:val="00015FB9"/>
    <w:rsid w:val="00016048"/>
    <w:rsid w:val="00016E1D"/>
    <w:rsid w:val="00016E4A"/>
    <w:rsid w:val="00017814"/>
    <w:rsid w:val="00017B02"/>
    <w:rsid w:val="00017C23"/>
    <w:rsid w:val="000210A2"/>
    <w:rsid w:val="000219E7"/>
    <w:rsid w:val="00021D18"/>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1F18"/>
    <w:rsid w:val="0003256E"/>
    <w:rsid w:val="00033587"/>
    <w:rsid w:val="00033A5E"/>
    <w:rsid w:val="000345B3"/>
    <w:rsid w:val="0003560F"/>
    <w:rsid w:val="00035DE8"/>
    <w:rsid w:val="00036947"/>
    <w:rsid w:val="00036DAE"/>
    <w:rsid w:val="00036F4B"/>
    <w:rsid w:val="000374B1"/>
    <w:rsid w:val="00037959"/>
    <w:rsid w:val="00040330"/>
    <w:rsid w:val="0004035E"/>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28EE"/>
    <w:rsid w:val="0005300B"/>
    <w:rsid w:val="0005314B"/>
    <w:rsid w:val="000532B5"/>
    <w:rsid w:val="00053BE0"/>
    <w:rsid w:val="00053ECC"/>
    <w:rsid w:val="000542B6"/>
    <w:rsid w:val="0005446C"/>
    <w:rsid w:val="00054E25"/>
    <w:rsid w:val="000557F4"/>
    <w:rsid w:val="0005591B"/>
    <w:rsid w:val="00056A5C"/>
    <w:rsid w:val="00056AC9"/>
    <w:rsid w:val="00057806"/>
    <w:rsid w:val="00057D70"/>
    <w:rsid w:val="00057E18"/>
    <w:rsid w:val="00057E4E"/>
    <w:rsid w:val="00060547"/>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545"/>
    <w:rsid w:val="00095686"/>
    <w:rsid w:val="0009631E"/>
    <w:rsid w:val="00096585"/>
    <w:rsid w:val="0009699D"/>
    <w:rsid w:val="000969C2"/>
    <w:rsid w:val="00096E5F"/>
    <w:rsid w:val="00097575"/>
    <w:rsid w:val="00097FF1"/>
    <w:rsid w:val="000A0086"/>
    <w:rsid w:val="000A05BD"/>
    <w:rsid w:val="000A0C46"/>
    <w:rsid w:val="000A1982"/>
    <w:rsid w:val="000A2813"/>
    <w:rsid w:val="000A2980"/>
    <w:rsid w:val="000A3B7B"/>
    <w:rsid w:val="000A3D56"/>
    <w:rsid w:val="000A4485"/>
    <w:rsid w:val="000A4A59"/>
    <w:rsid w:val="000A4CF3"/>
    <w:rsid w:val="000A4D42"/>
    <w:rsid w:val="000A5208"/>
    <w:rsid w:val="000A5BAA"/>
    <w:rsid w:val="000A5CA2"/>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0E8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E20"/>
    <w:rsid w:val="000E0700"/>
    <w:rsid w:val="000E179D"/>
    <w:rsid w:val="000E2962"/>
    <w:rsid w:val="000E2C47"/>
    <w:rsid w:val="000E2DED"/>
    <w:rsid w:val="000E31BF"/>
    <w:rsid w:val="000E321F"/>
    <w:rsid w:val="000E37F4"/>
    <w:rsid w:val="000E383E"/>
    <w:rsid w:val="000E3948"/>
    <w:rsid w:val="000E41F0"/>
    <w:rsid w:val="000E4595"/>
    <w:rsid w:val="000E45B8"/>
    <w:rsid w:val="000E478A"/>
    <w:rsid w:val="000E4E7E"/>
    <w:rsid w:val="000E54B2"/>
    <w:rsid w:val="000E55C0"/>
    <w:rsid w:val="000E6995"/>
    <w:rsid w:val="000E72A6"/>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B75"/>
    <w:rsid w:val="0010348F"/>
    <w:rsid w:val="001034A6"/>
    <w:rsid w:val="0010388D"/>
    <w:rsid w:val="00103D5A"/>
    <w:rsid w:val="00104C63"/>
    <w:rsid w:val="0010686F"/>
    <w:rsid w:val="0010717F"/>
    <w:rsid w:val="00107881"/>
    <w:rsid w:val="001106E1"/>
    <w:rsid w:val="0011175F"/>
    <w:rsid w:val="00111A85"/>
    <w:rsid w:val="00112086"/>
    <w:rsid w:val="0011312C"/>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3378"/>
    <w:rsid w:val="0012444B"/>
    <w:rsid w:val="00125976"/>
    <w:rsid w:val="00126A2C"/>
    <w:rsid w:val="00131D50"/>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203"/>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365"/>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70A"/>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F4A"/>
    <w:rsid w:val="001975C8"/>
    <w:rsid w:val="001978B8"/>
    <w:rsid w:val="001A00C0"/>
    <w:rsid w:val="001A0933"/>
    <w:rsid w:val="001A16D8"/>
    <w:rsid w:val="001A1907"/>
    <w:rsid w:val="001A1A8D"/>
    <w:rsid w:val="001A2AC9"/>
    <w:rsid w:val="001A3177"/>
    <w:rsid w:val="001A385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2F0"/>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C793A"/>
    <w:rsid w:val="001D00FF"/>
    <w:rsid w:val="001D07EE"/>
    <w:rsid w:val="001D1126"/>
    <w:rsid w:val="001D1635"/>
    <w:rsid w:val="001D1B5F"/>
    <w:rsid w:val="001D257B"/>
    <w:rsid w:val="001D280A"/>
    <w:rsid w:val="001D2EA7"/>
    <w:rsid w:val="001D33CB"/>
    <w:rsid w:val="001D3E7E"/>
    <w:rsid w:val="001D4ED3"/>
    <w:rsid w:val="001D6104"/>
    <w:rsid w:val="001D7F37"/>
    <w:rsid w:val="001E0888"/>
    <w:rsid w:val="001E08AC"/>
    <w:rsid w:val="001E2E15"/>
    <w:rsid w:val="001E3547"/>
    <w:rsid w:val="001E4177"/>
    <w:rsid w:val="001E41D3"/>
    <w:rsid w:val="001E424E"/>
    <w:rsid w:val="001E4491"/>
    <w:rsid w:val="001E46AC"/>
    <w:rsid w:val="001E59AD"/>
    <w:rsid w:val="001E70E4"/>
    <w:rsid w:val="001E764E"/>
    <w:rsid w:val="001F0973"/>
    <w:rsid w:val="001F0B25"/>
    <w:rsid w:val="001F18BC"/>
    <w:rsid w:val="001F22E9"/>
    <w:rsid w:val="001F2518"/>
    <w:rsid w:val="001F25C4"/>
    <w:rsid w:val="001F2B35"/>
    <w:rsid w:val="001F3AC3"/>
    <w:rsid w:val="001F3F32"/>
    <w:rsid w:val="001F4C8B"/>
    <w:rsid w:val="001F502E"/>
    <w:rsid w:val="001F5596"/>
    <w:rsid w:val="001F56B5"/>
    <w:rsid w:val="001F5AA5"/>
    <w:rsid w:val="001F5D09"/>
    <w:rsid w:val="001F611B"/>
    <w:rsid w:val="001F6DD6"/>
    <w:rsid w:val="001F777F"/>
    <w:rsid w:val="0020068B"/>
    <w:rsid w:val="00201E57"/>
    <w:rsid w:val="00203125"/>
    <w:rsid w:val="002034CD"/>
    <w:rsid w:val="0020361C"/>
    <w:rsid w:val="00203B3F"/>
    <w:rsid w:val="00204053"/>
    <w:rsid w:val="0020446D"/>
    <w:rsid w:val="00204F89"/>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F9"/>
    <w:rsid w:val="002161A1"/>
    <w:rsid w:val="00216F6F"/>
    <w:rsid w:val="00217658"/>
    <w:rsid w:val="0022104E"/>
    <w:rsid w:val="00221498"/>
    <w:rsid w:val="00221529"/>
    <w:rsid w:val="00221D6D"/>
    <w:rsid w:val="00221E15"/>
    <w:rsid w:val="00222671"/>
    <w:rsid w:val="002234B9"/>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DD0"/>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C61"/>
    <w:rsid w:val="00247DF3"/>
    <w:rsid w:val="0025069C"/>
    <w:rsid w:val="00250889"/>
    <w:rsid w:val="00251BD0"/>
    <w:rsid w:val="00252C91"/>
    <w:rsid w:val="00252F53"/>
    <w:rsid w:val="00253110"/>
    <w:rsid w:val="00254E9E"/>
    <w:rsid w:val="002575BB"/>
    <w:rsid w:val="00257967"/>
    <w:rsid w:val="00257FB5"/>
    <w:rsid w:val="00260A57"/>
    <w:rsid w:val="002611C7"/>
    <w:rsid w:val="00261536"/>
    <w:rsid w:val="002617AA"/>
    <w:rsid w:val="002621B7"/>
    <w:rsid w:val="00262474"/>
    <w:rsid w:val="0026287B"/>
    <w:rsid w:val="002638A0"/>
    <w:rsid w:val="0026494F"/>
    <w:rsid w:val="0026552A"/>
    <w:rsid w:val="00265F0B"/>
    <w:rsid w:val="002662E2"/>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B"/>
    <w:rsid w:val="00292A18"/>
    <w:rsid w:val="00292DBA"/>
    <w:rsid w:val="0029364C"/>
    <w:rsid w:val="00293655"/>
    <w:rsid w:val="00293841"/>
    <w:rsid w:val="002943B6"/>
    <w:rsid w:val="0029547E"/>
    <w:rsid w:val="002956ED"/>
    <w:rsid w:val="00295D3C"/>
    <w:rsid w:val="00295E73"/>
    <w:rsid w:val="0029600D"/>
    <w:rsid w:val="002962B2"/>
    <w:rsid w:val="00296464"/>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E3E"/>
    <w:rsid w:val="002B04FA"/>
    <w:rsid w:val="002B1420"/>
    <w:rsid w:val="002B171E"/>
    <w:rsid w:val="002B2986"/>
    <w:rsid w:val="002B2C59"/>
    <w:rsid w:val="002B2F84"/>
    <w:rsid w:val="002B4296"/>
    <w:rsid w:val="002B4306"/>
    <w:rsid w:val="002B463E"/>
    <w:rsid w:val="002B464A"/>
    <w:rsid w:val="002B4721"/>
    <w:rsid w:val="002B4DDD"/>
    <w:rsid w:val="002B50A0"/>
    <w:rsid w:val="002B5C96"/>
    <w:rsid w:val="002B5E09"/>
    <w:rsid w:val="002B6A63"/>
    <w:rsid w:val="002B786D"/>
    <w:rsid w:val="002B7CFF"/>
    <w:rsid w:val="002C0572"/>
    <w:rsid w:val="002C1485"/>
    <w:rsid w:val="002C1AFF"/>
    <w:rsid w:val="002C1F9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B5"/>
    <w:rsid w:val="002D4484"/>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8F1"/>
    <w:rsid w:val="002F525A"/>
    <w:rsid w:val="002F63F7"/>
    <w:rsid w:val="002F673E"/>
    <w:rsid w:val="002F6A83"/>
    <w:rsid w:val="002F6B17"/>
    <w:rsid w:val="002F6C21"/>
    <w:rsid w:val="002F784D"/>
    <w:rsid w:val="002F79BD"/>
    <w:rsid w:val="002F7AE1"/>
    <w:rsid w:val="00300AFD"/>
    <w:rsid w:val="00300DB7"/>
    <w:rsid w:val="0030136E"/>
    <w:rsid w:val="00301CB4"/>
    <w:rsid w:val="00302DFC"/>
    <w:rsid w:val="00303698"/>
    <w:rsid w:val="00303ADC"/>
    <w:rsid w:val="00304059"/>
    <w:rsid w:val="00304365"/>
    <w:rsid w:val="003048E6"/>
    <w:rsid w:val="00304BBD"/>
    <w:rsid w:val="003057E9"/>
    <w:rsid w:val="003060EE"/>
    <w:rsid w:val="00306620"/>
    <w:rsid w:val="0030793E"/>
    <w:rsid w:val="00307A8B"/>
    <w:rsid w:val="00307EA1"/>
    <w:rsid w:val="003117F4"/>
    <w:rsid w:val="00312163"/>
    <w:rsid w:val="003139BB"/>
    <w:rsid w:val="00313E9A"/>
    <w:rsid w:val="0031504C"/>
    <w:rsid w:val="00315844"/>
    <w:rsid w:val="00315F6E"/>
    <w:rsid w:val="0031611E"/>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58B1"/>
    <w:rsid w:val="00335ECB"/>
    <w:rsid w:val="00336829"/>
    <w:rsid w:val="00336F8D"/>
    <w:rsid w:val="003371DE"/>
    <w:rsid w:val="00337571"/>
    <w:rsid w:val="003407A5"/>
    <w:rsid w:val="00340972"/>
    <w:rsid w:val="003409E6"/>
    <w:rsid w:val="00341503"/>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6D9"/>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6DC6"/>
    <w:rsid w:val="00377E67"/>
    <w:rsid w:val="00380066"/>
    <w:rsid w:val="00380744"/>
    <w:rsid w:val="00380E79"/>
    <w:rsid w:val="003810C1"/>
    <w:rsid w:val="00382074"/>
    <w:rsid w:val="0038216B"/>
    <w:rsid w:val="00382B18"/>
    <w:rsid w:val="003834EA"/>
    <w:rsid w:val="00383C28"/>
    <w:rsid w:val="00383F4C"/>
    <w:rsid w:val="00384D20"/>
    <w:rsid w:val="00384DD1"/>
    <w:rsid w:val="003879C8"/>
    <w:rsid w:val="003901F7"/>
    <w:rsid w:val="003902CF"/>
    <w:rsid w:val="00390B43"/>
    <w:rsid w:val="00390C7B"/>
    <w:rsid w:val="003930BA"/>
    <w:rsid w:val="003937F5"/>
    <w:rsid w:val="0039419A"/>
    <w:rsid w:val="00394206"/>
    <w:rsid w:val="003942B5"/>
    <w:rsid w:val="00394975"/>
    <w:rsid w:val="0039737E"/>
    <w:rsid w:val="003A0373"/>
    <w:rsid w:val="003A21B5"/>
    <w:rsid w:val="003A225A"/>
    <w:rsid w:val="003A2C1E"/>
    <w:rsid w:val="003A34E1"/>
    <w:rsid w:val="003A3892"/>
    <w:rsid w:val="003A3B0B"/>
    <w:rsid w:val="003A3B16"/>
    <w:rsid w:val="003A3B82"/>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1E27"/>
    <w:rsid w:val="003E248D"/>
    <w:rsid w:val="003E24F5"/>
    <w:rsid w:val="003E2AF3"/>
    <w:rsid w:val="003E3EA4"/>
    <w:rsid w:val="003E4B1F"/>
    <w:rsid w:val="003E4E9A"/>
    <w:rsid w:val="003E4FB4"/>
    <w:rsid w:val="003E5172"/>
    <w:rsid w:val="003E558E"/>
    <w:rsid w:val="003E5FB0"/>
    <w:rsid w:val="003E7092"/>
    <w:rsid w:val="003E7A0A"/>
    <w:rsid w:val="003E7C9F"/>
    <w:rsid w:val="003F0342"/>
    <w:rsid w:val="003F19F9"/>
    <w:rsid w:val="003F2075"/>
    <w:rsid w:val="003F253D"/>
    <w:rsid w:val="003F290B"/>
    <w:rsid w:val="003F2F8C"/>
    <w:rsid w:val="003F47D6"/>
    <w:rsid w:val="003F4C1A"/>
    <w:rsid w:val="003F5CCB"/>
    <w:rsid w:val="003F7E2A"/>
    <w:rsid w:val="00400211"/>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9E"/>
    <w:rsid w:val="004225E5"/>
    <w:rsid w:val="00422864"/>
    <w:rsid w:val="00422B70"/>
    <w:rsid w:val="004235F0"/>
    <w:rsid w:val="00423E53"/>
    <w:rsid w:val="0042484B"/>
    <w:rsid w:val="00424B34"/>
    <w:rsid w:val="00424B40"/>
    <w:rsid w:val="004252D9"/>
    <w:rsid w:val="00425B9E"/>
    <w:rsid w:val="00426015"/>
    <w:rsid w:val="004263B4"/>
    <w:rsid w:val="004265A9"/>
    <w:rsid w:val="00427520"/>
    <w:rsid w:val="004276EF"/>
    <w:rsid w:val="0043053B"/>
    <w:rsid w:val="00430B7B"/>
    <w:rsid w:val="00430D11"/>
    <w:rsid w:val="00432B0A"/>
    <w:rsid w:val="00432D53"/>
    <w:rsid w:val="00433631"/>
    <w:rsid w:val="00433633"/>
    <w:rsid w:val="00434340"/>
    <w:rsid w:val="0043449E"/>
    <w:rsid w:val="00434DA0"/>
    <w:rsid w:val="00435E5E"/>
    <w:rsid w:val="0043619E"/>
    <w:rsid w:val="004361E1"/>
    <w:rsid w:val="00436911"/>
    <w:rsid w:val="00436C86"/>
    <w:rsid w:val="00436E5D"/>
    <w:rsid w:val="00436E85"/>
    <w:rsid w:val="0043701D"/>
    <w:rsid w:val="004404D3"/>
    <w:rsid w:val="00440A9E"/>
    <w:rsid w:val="00440ADC"/>
    <w:rsid w:val="004417FD"/>
    <w:rsid w:val="004419FF"/>
    <w:rsid w:val="00442FD1"/>
    <w:rsid w:val="00443126"/>
    <w:rsid w:val="00443969"/>
    <w:rsid w:val="0044398C"/>
    <w:rsid w:val="00444EA9"/>
    <w:rsid w:val="00445712"/>
    <w:rsid w:val="00445946"/>
    <w:rsid w:val="00445EB6"/>
    <w:rsid w:val="00446193"/>
    <w:rsid w:val="00446D6F"/>
    <w:rsid w:val="00447543"/>
    <w:rsid w:val="0044795B"/>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8AE"/>
    <w:rsid w:val="00463A20"/>
    <w:rsid w:val="004641B4"/>
    <w:rsid w:val="004643CB"/>
    <w:rsid w:val="0046614A"/>
    <w:rsid w:val="00467A61"/>
    <w:rsid w:val="00467A86"/>
    <w:rsid w:val="00467D33"/>
    <w:rsid w:val="00471176"/>
    <w:rsid w:val="004711FA"/>
    <w:rsid w:val="00471355"/>
    <w:rsid w:val="0047149E"/>
    <w:rsid w:val="0047173E"/>
    <w:rsid w:val="00471DE3"/>
    <w:rsid w:val="00471F6E"/>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90420"/>
    <w:rsid w:val="00491180"/>
    <w:rsid w:val="00491295"/>
    <w:rsid w:val="004912A6"/>
    <w:rsid w:val="00491881"/>
    <w:rsid w:val="0049224A"/>
    <w:rsid w:val="0049261A"/>
    <w:rsid w:val="00492823"/>
    <w:rsid w:val="00492E57"/>
    <w:rsid w:val="0049376C"/>
    <w:rsid w:val="00494EEA"/>
    <w:rsid w:val="00494F25"/>
    <w:rsid w:val="0049535A"/>
    <w:rsid w:val="00495DF9"/>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0FA"/>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E003E"/>
    <w:rsid w:val="004E067F"/>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C1D"/>
    <w:rsid w:val="004F6D33"/>
    <w:rsid w:val="004F6E42"/>
    <w:rsid w:val="004F7447"/>
    <w:rsid w:val="004F76F6"/>
    <w:rsid w:val="004F79D7"/>
    <w:rsid w:val="00500475"/>
    <w:rsid w:val="005004A5"/>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66BE"/>
    <w:rsid w:val="00506A57"/>
    <w:rsid w:val="00507404"/>
    <w:rsid w:val="00512490"/>
    <w:rsid w:val="005124B7"/>
    <w:rsid w:val="00513355"/>
    <w:rsid w:val="00513BDB"/>
    <w:rsid w:val="0051528D"/>
    <w:rsid w:val="005156A6"/>
    <w:rsid w:val="005159C3"/>
    <w:rsid w:val="00515E33"/>
    <w:rsid w:val="00516224"/>
    <w:rsid w:val="00516282"/>
    <w:rsid w:val="00516E83"/>
    <w:rsid w:val="0051727A"/>
    <w:rsid w:val="00517D0E"/>
    <w:rsid w:val="00520A6F"/>
    <w:rsid w:val="00521416"/>
    <w:rsid w:val="005234A3"/>
    <w:rsid w:val="005237B9"/>
    <w:rsid w:val="00524684"/>
    <w:rsid w:val="00524C7B"/>
    <w:rsid w:val="005269CC"/>
    <w:rsid w:val="00527FBE"/>
    <w:rsid w:val="00530BE0"/>
    <w:rsid w:val="0053132E"/>
    <w:rsid w:val="00531F15"/>
    <w:rsid w:val="0053289B"/>
    <w:rsid w:val="00532FB3"/>
    <w:rsid w:val="005336C2"/>
    <w:rsid w:val="00533922"/>
    <w:rsid w:val="00533B2C"/>
    <w:rsid w:val="00533B37"/>
    <w:rsid w:val="0053425C"/>
    <w:rsid w:val="00534B93"/>
    <w:rsid w:val="005354AF"/>
    <w:rsid w:val="0053590F"/>
    <w:rsid w:val="005368B4"/>
    <w:rsid w:val="00536D93"/>
    <w:rsid w:val="00537721"/>
    <w:rsid w:val="00540AC4"/>
    <w:rsid w:val="005414B9"/>
    <w:rsid w:val="00541613"/>
    <w:rsid w:val="00541C96"/>
    <w:rsid w:val="0054231D"/>
    <w:rsid w:val="0054235F"/>
    <w:rsid w:val="00542ED6"/>
    <w:rsid w:val="00543C4A"/>
    <w:rsid w:val="005453C4"/>
    <w:rsid w:val="00545B71"/>
    <w:rsid w:val="00546081"/>
    <w:rsid w:val="0054668E"/>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4EA5"/>
    <w:rsid w:val="0056589C"/>
    <w:rsid w:val="005669BD"/>
    <w:rsid w:val="005675CA"/>
    <w:rsid w:val="00567886"/>
    <w:rsid w:val="00567B95"/>
    <w:rsid w:val="00567EAB"/>
    <w:rsid w:val="00567F11"/>
    <w:rsid w:val="005702D2"/>
    <w:rsid w:val="00570581"/>
    <w:rsid w:val="0057071B"/>
    <w:rsid w:val="005709DA"/>
    <w:rsid w:val="0057134B"/>
    <w:rsid w:val="00571CD3"/>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220D"/>
    <w:rsid w:val="005922A2"/>
    <w:rsid w:val="005938B3"/>
    <w:rsid w:val="00593A4B"/>
    <w:rsid w:val="00593D7E"/>
    <w:rsid w:val="0059430A"/>
    <w:rsid w:val="00594503"/>
    <w:rsid w:val="005945C4"/>
    <w:rsid w:val="00594680"/>
    <w:rsid w:val="00595102"/>
    <w:rsid w:val="005952B2"/>
    <w:rsid w:val="00595FEB"/>
    <w:rsid w:val="005960ED"/>
    <w:rsid w:val="00596857"/>
    <w:rsid w:val="00596BEA"/>
    <w:rsid w:val="00596C5A"/>
    <w:rsid w:val="00597892"/>
    <w:rsid w:val="005A066E"/>
    <w:rsid w:val="005A0726"/>
    <w:rsid w:val="005A1CD3"/>
    <w:rsid w:val="005A2123"/>
    <w:rsid w:val="005A2A9F"/>
    <w:rsid w:val="005A36E8"/>
    <w:rsid w:val="005A42A9"/>
    <w:rsid w:val="005A46A4"/>
    <w:rsid w:val="005A499F"/>
    <w:rsid w:val="005A5775"/>
    <w:rsid w:val="005A58C2"/>
    <w:rsid w:val="005A58E7"/>
    <w:rsid w:val="005A6146"/>
    <w:rsid w:val="005A7297"/>
    <w:rsid w:val="005B042B"/>
    <w:rsid w:val="005B0D86"/>
    <w:rsid w:val="005B13A4"/>
    <w:rsid w:val="005B1492"/>
    <w:rsid w:val="005B1C3D"/>
    <w:rsid w:val="005B29B2"/>
    <w:rsid w:val="005B34A2"/>
    <w:rsid w:val="005B35CC"/>
    <w:rsid w:val="005B36AA"/>
    <w:rsid w:val="005B4019"/>
    <w:rsid w:val="005B634D"/>
    <w:rsid w:val="005B6A02"/>
    <w:rsid w:val="005B6A11"/>
    <w:rsid w:val="005B6F02"/>
    <w:rsid w:val="005B7651"/>
    <w:rsid w:val="005B7703"/>
    <w:rsid w:val="005B78E3"/>
    <w:rsid w:val="005B7B70"/>
    <w:rsid w:val="005B7F08"/>
    <w:rsid w:val="005B7F4B"/>
    <w:rsid w:val="005C0B74"/>
    <w:rsid w:val="005C122B"/>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AC6"/>
    <w:rsid w:val="005D3B26"/>
    <w:rsid w:val="005D3B3A"/>
    <w:rsid w:val="005D488A"/>
    <w:rsid w:val="005D5566"/>
    <w:rsid w:val="005D670B"/>
    <w:rsid w:val="005D6884"/>
    <w:rsid w:val="005D7B57"/>
    <w:rsid w:val="005D7E7F"/>
    <w:rsid w:val="005E11AB"/>
    <w:rsid w:val="005E1E32"/>
    <w:rsid w:val="005E2090"/>
    <w:rsid w:val="005E2679"/>
    <w:rsid w:val="005E2D86"/>
    <w:rsid w:val="005E4429"/>
    <w:rsid w:val="005E49D1"/>
    <w:rsid w:val="005E4AA7"/>
    <w:rsid w:val="005E5292"/>
    <w:rsid w:val="005E54B7"/>
    <w:rsid w:val="005E6232"/>
    <w:rsid w:val="005E69CF"/>
    <w:rsid w:val="005E7163"/>
    <w:rsid w:val="005E7598"/>
    <w:rsid w:val="005E7C1B"/>
    <w:rsid w:val="005F20DE"/>
    <w:rsid w:val="005F2B6C"/>
    <w:rsid w:val="005F382E"/>
    <w:rsid w:val="005F4115"/>
    <w:rsid w:val="005F46AA"/>
    <w:rsid w:val="005F4A00"/>
    <w:rsid w:val="005F507B"/>
    <w:rsid w:val="005F55D4"/>
    <w:rsid w:val="005F5618"/>
    <w:rsid w:val="005F5B5E"/>
    <w:rsid w:val="005F71A8"/>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503"/>
    <w:rsid w:val="00606682"/>
    <w:rsid w:val="00607EFC"/>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DE"/>
    <w:rsid w:val="0062005F"/>
    <w:rsid w:val="00620AD8"/>
    <w:rsid w:val="00620C8F"/>
    <w:rsid w:val="00620E48"/>
    <w:rsid w:val="00621282"/>
    <w:rsid w:val="00621822"/>
    <w:rsid w:val="00622341"/>
    <w:rsid w:val="0062267B"/>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5689"/>
    <w:rsid w:val="0064611C"/>
    <w:rsid w:val="00646459"/>
    <w:rsid w:val="00646CC8"/>
    <w:rsid w:val="00646D32"/>
    <w:rsid w:val="00647AAF"/>
    <w:rsid w:val="00647BAE"/>
    <w:rsid w:val="00647D60"/>
    <w:rsid w:val="006500D3"/>
    <w:rsid w:val="00652715"/>
    <w:rsid w:val="006528A8"/>
    <w:rsid w:val="0065292D"/>
    <w:rsid w:val="00654583"/>
    <w:rsid w:val="00654A3B"/>
    <w:rsid w:val="00655053"/>
    <w:rsid w:val="006550DB"/>
    <w:rsid w:val="00656319"/>
    <w:rsid w:val="00656323"/>
    <w:rsid w:val="006563EF"/>
    <w:rsid w:val="006565E1"/>
    <w:rsid w:val="00656E6F"/>
    <w:rsid w:val="00657364"/>
    <w:rsid w:val="00657D37"/>
    <w:rsid w:val="00661C30"/>
    <w:rsid w:val="00661E30"/>
    <w:rsid w:val="00661F03"/>
    <w:rsid w:val="006625D6"/>
    <w:rsid w:val="00662B6C"/>
    <w:rsid w:val="00662C71"/>
    <w:rsid w:val="006637F7"/>
    <w:rsid w:val="00663A61"/>
    <w:rsid w:val="00663D31"/>
    <w:rsid w:val="0066443D"/>
    <w:rsid w:val="006644E7"/>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970"/>
    <w:rsid w:val="00674C1F"/>
    <w:rsid w:val="00675C18"/>
    <w:rsid w:val="006765C0"/>
    <w:rsid w:val="006769DF"/>
    <w:rsid w:val="006777EE"/>
    <w:rsid w:val="0068034D"/>
    <w:rsid w:val="00680782"/>
    <w:rsid w:val="00680AEA"/>
    <w:rsid w:val="006820D0"/>
    <w:rsid w:val="006828C5"/>
    <w:rsid w:val="0068330D"/>
    <w:rsid w:val="006847A2"/>
    <w:rsid w:val="00684B17"/>
    <w:rsid w:val="00684C14"/>
    <w:rsid w:val="00684D1E"/>
    <w:rsid w:val="0068566E"/>
    <w:rsid w:val="00685753"/>
    <w:rsid w:val="00685852"/>
    <w:rsid w:val="006858BF"/>
    <w:rsid w:val="00685E71"/>
    <w:rsid w:val="0069118D"/>
    <w:rsid w:val="006915F6"/>
    <w:rsid w:val="006915FA"/>
    <w:rsid w:val="00691BFC"/>
    <w:rsid w:val="00691C3F"/>
    <w:rsid w:val="00691DEE"/>
    <w:rsid w:val="00691DF9"/>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E7EC8"/>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3981"/>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C0E"/>
    <w:rsid w:val="00744508"/>
    <w:rsid w:val="0074556C"/>
    <w:rsid w:val="007456C7"/>
    <w:rsid w:val="00745A71"/>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7BEF"/>
    <w:rsid w:val="0078133E"/>
    <w:rsid w:val="00781D8E"/>
    <w:rsid w:val="00782494"/>
    <w:rsid w:val="007825D7"/>
    <w:rsid w:val="00782F16"/>
    <w:rsid w:val="007830C8"/>
    <w:rsid w:val="00784836"/>
    <w:rsid w:val="00784DC0"/>
    <w:rsid w:val="00785292"/>
    <w:rsid w:val="0078584E"/>
    <w:rsid w:val="007866D6"/>
    <w:rsid w:val="00786ACA"/>
    <w:rsid w:val="007870CC"/>
    <w:rsid w:val="00791752"/>
    <w:rsid w:val="00791BC1"/>
    <w:rsid w:val="00791C9A"/>
    <w:rsid w:val="0079250A"/>
    <w:rsid w:val="007928DB"/>
    <w:rsid w:val="007937AF"/>
    <w:rsid w:val="00794FAB"/>
    <w:rsid w:val="00795080"/>
    <w:rsid w:val="007955F0"/>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B0041"/>
    <w:rsid w:val="007B073F"/>
    <w:rsid w:val="007B0D9B"/>
    <w:rsid w:val="007B1C22"/>
    <w:rsid w:val="007B2593"/>
    <w:rsid w:val="007B397E"/>
    <w:rsid w:val="007B4B93"/>
    <w:rsid w:val="007B51BC"/>
    <w:rsid w:val="007B60E5"/>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5A84"/>
    <w:rsid w:val="007C62E5"/>
    <w:rsid w:val="007C6402"/>
    <w:rsid w:val="007C64E5"/>
    <w:rsid w:val="007C6C62"/>
    <w:rsid w:val="007C7147"/>
    <w:rsid w:val="007C74EB"/>
    <w:rsid w:val="007C7766"/>
    <w:rsid w:val="007C7F65"/>
    <w:rsid w:val="007D00B3"/>
    <w:rsid w:val="007D0FBC"/>
    <w:rsid w:val="007D2808"/>
    <w:rsid w:val="007D4481"/>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58B"/>
    <w:rsid w:val="007E37E6"/>
    <w:rsid w:val="007E4556"/>
    <w:rsid w:val="007E45D4"/>
    <w:rsid w:val="007E4AE5"/>
    <w:rsid w:val="007E5011"/>
    <w:rsid w:val="007E53FE"/>
    <w:rsid w:val="007E5716"/>
    <w:rsid w:val="007E7BA7"/>
    <w:rsid w:val="007F0450"/>
    <w:rsid w:val="007F0534"/>
    <w:rsid w:val="007F1771"/>
    <w:rsid w:val="007F24DB"/>
    <w:rsid w:val="007F2524"/>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6BB"/>
    <w:rsid w:val="00815EC1"/>
    <w:rsid w:val="0081663E"/>
    <w:rsid w:val="008170ED"/>
    <w:rsid w:val="0081774A"/>
    <w:rsid w:val="00817AC1"/>
    <w:rsid w:val="00820319"/>
    <w:rsid w:val="00821095"/>
    <w:rsid w:val="00821846"/>
    <w:rsid w:val="00821F92"/>
    <w:rsid w:val="0082354E"/>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3B17"/>
    <w:rsid w:val="00854341"/>
    <w:rsid w:val="0085434D"/>
    <w:rsid w:val="00855AC4"/>
    <w:rsid w:val="008577A7"/>
    <w:rsid w:val="00857E72"/>
    <w:rsid w:val="00860451"/>
    <w:rsid w:val="008605DA"/>
    <w:rsid w:val="008606B2"/>
    <w:rsid w:val="00861190"/>
    <w:rsid w:val="00861504"/>
    <w:rsid w:val="00861680"/>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1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8020C"/>
    <w:rsid w:val="00880D17"/>
    <w:rsid w:val="0088123D"/>
    <w:rsid w:val="0088212B"/>
    <w:rsid w:val="008822BA"/>
    <w:rsid w:val="00882B3E"/>
    <w:rsid w:val="0088349E"/>
    <w:rsid w:val="0088495B"/>
    <w:rsid w:val="00885719"/>
    <w:rsid w:val="008862AB"/>
    <w:rsid w:val="00886C02"/>
    <w:rsid w:val="00886FDE"/>
    <w:rsid w:val="008877E3"/>
    <w:rsid w:val="00887EE5"/>
    <w:rsid w:val="008904CC"/>
    <w:rsid w:val="00891656"/>
    <w:rsid w:val="00891D6A"/>
    <w:rsid w:val="00892E96"/>
    <w:rsid w:val="0089334C"/>
    <w:rsid w:val="00893A90"/>
    <w:rsid w:val="00894448"/>
    <w:rsid w:val="00895325"/>
    <w:rsid w:val="00895880"/>
    <w:rsid w:val="00896850"/>
    <w:rsid w:val="00897696"/>
    <w:rsid w:val="00897F3C"/>
    <w:rsid w:val="008A01AC"/>
    <w:rsid w:val="008A032B"/>
    <w:rsid w:val="008A0588"/>
    <w:rsid w:val="008A0675"/>
    <w:rsid w:val="008A1C13"/>
    <w:rsid w:val="008A1C6B"/>
    <w:rsid w:val="008A2FEE"/>
    <w:rsid w:val="008A3860"/>
    <w:rsid w:val="008A4550"/>
    <w:rsid w:val="008A5309"/>
    <w:rsid w:val="008A544C"/>
    <w:rsid w:val="008A582D"/>
    <w:rsid w:val="008A5A3E"/>
    <w:rsid w:val="008A6D98"/>
    <w:rsid w:val="008A6EC9"/>
    <w:rsid w:val="008A7351"/>
    <w:rsid w:val="008A7A56"/>
    <w:rsid w:val="008A7B69"/>
    <w:rsid w:val="008B01D4"/>
    <w:rsid w:val="008B029C"/>
    <w:rsid w:val="008B0336"/>
    <w:rsid w:val="008B0D36"/>
    <w:rsid w:val="008B1BA6"/>
    <w:rsid w:val="008B27BC"/>
    <w:rsid w:val="008B29A8"/>
    <w:rsid w:val="008B36EF"/>
    <w:rsid w:val="008B3F09"/>
    <w:rsid w:val="008B3FAB"/>
    <w:rsid w:val="008B4221"/>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4E8C"/>
    <w:rsid w:val="008C555B"/>
    <w:rsid w:val="008C6827"/>
    <w:rsid w:val="008C7F51"/>
    <w:rsid w:val="008D00B8"/>
    <w:rsid w:val="008D0B93"/>
    <w:rsid w:val="008D1BB8"/>
    <w:rsid w:val="008D2442"/>
    <w:rsid w:val="008D26C6"/>
    <w:rsid w:val="008D2D5F"/>
    <w:rsid w:val="008D3077"/>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4046"/>
    <w:rsid w:val="008F454D"/>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1783"/>
    <w:rsid w:val="0091236E"/>
    <w:rsid w:val="00912376"/>
    <w:rsid w:val="009125EC"/>
    <w:rsid w:val="00912E3F"/>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5BC4"/>
    <w:rsid w:val="00927DA2"/>
    <w:rsid w:val="0093027C"/>
    <w:rsid w:val="00930312"/>
    <w:rsid w:val="00930E00"/>
    <w:rsid w:val="0093186F"/>
    <w:rsid w:val="0093187D"/>
    <w:rsid w:val="00931E46"/>
    <w:rsid w:val="00932276"/>
    <w:rsid w:val="0093244B"/>
    <w:rsid w:val="00932479"/>
    <w:rsid w:val="00932B5D"/>
    <w:rsid w:val="00932D82"/>
    <w:rsid w:val="009337DD"/>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6DB9"/>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045"/>
    <w:rsid w:val="009607A2"/>
    <w:rsid w:val="0096083F"/>
    <w:rsid w:val="00961D17"/>
    <w:rsid w:val="00962503"/>
    <w:rsid w:val="00962C4F"/>
    <w:rsid w:val="00963E6D"/>
    <w:rsid w:val="009646B1"/>
    <w:rsid w:val="0096496F"/>
    <w:rsid w:val="0096549F"/>
    <w:rsid w:val="00966466"/>
    <w:rsid w:val="0096669C"/>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65AB"/>
    <w:rsid w:val="009A7DF2"/>
    <w:rsid w:val="009B0106"/>
    <w:rsid w:val="009B089F"/>
    <w:rsid w:val="009B08D0"/>
    <w:rsid w:val="009B0A68"/>
    <w:rsid w:val="009B0F39"/>
    <w:rsid w:val="009B1E68"/>
    <w:rsid w:val="009B2B5E"/>
    <w:rsid w:val="009B3D41"/>
    <w:rsid w:val="009B3DB1"/>
    <w:rsid w:val="009B3E00"/>
    <w:rsid w:val="009B3EE6"/>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98A"/>
    <w:rsid w:val="009E19DD"/>
    <w:rsid w:val="009E328E"/>
    <w:rsid w:val="009E3B83"/>
    <w:rsid w:val="009E4CEE"/>
    <w:rsid w:val="009E5417"/>
    <w:rsid w:val="009E54BF"/>
    <w:rsid w:val="009E5664"/>
    <w:rsid w:val="009E59B9"/>
    <w:rsid w:val="009E5A3D"/>
    <w:rsid w:val="009E6081"/>
    <w:rsid w:val="009E6170"/>
    <w:rsid w:val="009E61E2"/>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4CE"/>
    <w:rsid w:val="00A11F2D"/>
    <w:rsid w:val="00A122F2"/>
    <w:rsid w:val="00A12C3C"/>
    <w:rsid w:val="00A13410"/>
    <w:rsid w:val="00A14212"/>
    <w:rsid w:val="00A144EA"/>
    <w:rsid w:val="00A14B1A"/>
    <w:rsid w:val="00A15636"/>
    <w:rsid w:val="00A156B4"/>
    <w:rsid w:val="00A1644F"/>
    <w:rsid w:val="00A16ECE"/>
    <w:rsid w:val="00A17B0B"/>
    <w:rsid w:val="00A17F28"/>
    <w:rsid w:val="00A205B4"/>
    <w:rsid w:val="00A20C2D"/>
    <w:rsid w:val="00A23332"/>
    <w:rsid w:val="00A24042"/>
    <w:rsid w:val="00A2642A"/>
    <w:rsid w:val="00A27897"/>
    <w:rsid w:val="00A278BB"/>
    <w:rsid w:val="00A30D7A"/>
    <w:rsid w:val="00A30DC3"/>
    <w:rsid w:val="00A31204"/>
    <w:rsid w:val="00A31FA7"/>
    <w:rsid w:val="00A327D6"/>
    <w:rsid w:val="00A332EA"/>
    <w:rsid w:val="00A33E0A"/>
    <w:rsid w:val="00A34403"/>
    <w:rsid w:val="00A34581"/>
    <w:rsid w:val="00A34883"/>
    <w:rsid w:val="00A35421"/>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F5"/>
    <w:rsid w:val="00A5574B"/>
    <w:rsid w:val="00A558A3"/>
    <w:rsid w:val="00A5649F"/>
    <w:rsid w:val="00A57B74"/>
    <w:rsid w:val="00A60840"/>
    <w:rsid w:val="00A61353"/>
    <w:rsid w:val="00A613CB"/>
    <w:rsid w:val="00A61658"/>
    <w:rsid w:val="00A6198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166"/>
    <w:rsid w:val="00A82B66"/>
    <w:rsid w:val="00A83EBA"/>
    <w:rsid w:val="00A842B4"/>
    <w:rsid w:val="00A843BD"/>
    <w:rsid w:val="00A84FF7"/>
    <w:rsid w:val="00A85064"/>
    <w:rsid w:val="00A85364"/>
    <w:rsid w:val="00A8541D"/>
    <w:rsid w:val="00A85B0A"/>
    <w:rsid w:val="00A86BDB"/>
    <w:rsid w:val="00A86CE1"/>
    <w:rsid w:val="00A87468"/>
    <w:rsid w:val="00A87BE1"/>
    <w:rsid w:val="00A9082C"/>
    <w:rsid w:val="00A90838"/>
    <w:rsid w:val="00A90D68"/>
    <w:rsid w:val="00A911A4"/>
    <w:rsid w:val="00A9222E"/>
    <w:rsid w:val="00A9282E"/>
    <w:rsid w:val="00A939DC"/>
    <w:rsid w:val="00A93A4B"/>
    <w:rsid w:val="00A93D67"/>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3353"/>
    <w:rsid w:val="00AA36F5"/>
    <w:rsid w:val="00AA3845"/>
    <w:rsid w:val="00AA4919"/>
    <w:rsid w:val="00AA5366"/>
    <w:rsid w:val="00AA541F"/>
    <w:rsid w:val="00AA59B0"/>
    <w:rsid w:val="00AA60DD"/>
    <w:rsid w:val="00AB037B"/>
    <w:rsid w:val="00AB05C2"/>
    <w:rsid w:val="00AB0EB2"/>
    <w:rsid w:val="00AB0F3A"/>
    <w:rsid w:val="00AB0F47"/>
    <w:rsid w:val="00AB0F9B"/>
    <w:rsid w:val="00AB10A2"/>
    <w:rsid w:val="00AB18A3"/>
    <w:rsid w:val="00AB2A5E"/>
    <w:rsid w:val="00AB2B6D"/>
    <w:rsid w:val="00AB3807"/>
    <w:rsid w:val="00AB3C2D"/>
    <w:rsid w:val="00AB3F1B"/>
    <w:rsid w:val="00AB4542"/>
    <w:rsid w:val="00AB4984"/>
    <w:rsid w:val="00AB4C03"/>
    <w:rsid w:val="00AB5125"/>
    <w:rsid w:val="00AB5525"/>
    <w:rsid w:val="00AB5F8C"/>
    <w:rsid w:val="00AB60BB"/>
    <w:rsid w:val="00AB638F"/>
    <w:rsid w:val="00AB64E3"/>
    <w:rsid w:val="00AB6657"/>
    <w:rsid w:val="00AB6A83"/>
    <w:rsid w:val="00AB6C28"/>
    <w:rsid w:val="00AC00A0"/>
    <w:rsid w:val="00AC153D"/>
    <w:rsid w:val="00AC1815"/>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E0981"/>
    <w:rsid w:val="00AE0F22"/>
    <w:rsid w:val="00AE120A"/>
    <w:rsid w:val="00AE14FB"/>
    <w:rsid w:val="00AE1A8A"/>
    <w:rsid w:val="00AE2497"/>
    <w:rsid w:val="00AE252F"/>
    <w:rsid w:val="00AE2B3D"/>
    <w:rsid w:val="00AE341B"/>
    <w:rsid w:val="00AE3593"/>
    <w:rsid w:val="00AE4105"/>
    <w:rsid w:val="00AE45B9"/>
    <w:rsid w:val="00AE51C7"/>
    <w:rsid w:val="00AE5470"/>
    <w:rsid w:val="00AE5475"/>
    <w:rsid w:val="00AE56EE"/>
    <w:rsid w:val="00AE5A63"/>
    <w:rsid w:val="00AE5D6F"/>
    <w:rsid w:val="00AE6D71"/>
    <w:rsid w:val="00AE7512"/>
    <w:rsid w:val="00AE7929"/>
    <w:rsid w:val="00AF0B43"/>
    <w:rsid w:val="00AF144C"/>
    <w:rsid w:val="00AF1BFA"/>
    <w:rsid w:val="00AF2B7F"/>
    <w:rsid w:val="00AF2BDF"/>
    <w:rsid w:val="00AF3736"/>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7131"/>
    <w:rsid w:val="00B076A2"/>
    <w:rsid w:val="00B10140"/>
    <w:rsid w:val="00B10756"/>
    <w:rsid w:val="00B11B31"/>
    <w:rsid w:val="00B12180"/>
    <w:rsid w:val="00B1234C"/>
    <w:rsid w:val="00B132BD"/>
    <w:rsid w:val="00B14736"/>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40A37"/>
    <w:rsid w:val="00B4153F"/>
    <w:rsid w:val="00B42113"/>
    <w:rsid w:val="00B42123"/>
    <w:rsid w:val="00B42131"/>
    <w:rsid w:val="00B42BB8"/>
    <w:rsid w:val="00B43244"/>
    <w:rsid w:val="00B438DB"/>
    <w:rsid w:val="00B4446E"/>
    <w:rsid w:val="00B444EF"/>
    <w:rsid w:val="00B446E8"/>
    <w:rsid w:val="00B4489B"/>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B3A"/>
    <w:rsid w:val="00B53E20"/>
    <w:rsid w:val="00B54214"/>
    <w:rsid w:val="00B55076"/>
    <w:rsid w:val="00B551F1"/>
    <w:rsid w:val="00B55276"/>
    <w:rsid w:val="00B576E5"/>
    <w:rsid w:val="00B578E7"/>
    <w:rsid w:val="00B60087"/>
    <w:rsid w:val="00B606FD"/>
    <w:rsid w:val="00B60A98"/>
    <w:rsid w:val="00B60CE9"/>
    <w:rsid w:val="00B60EAA"/>
    <w:rsid w:val="00B60FB9"/>
    <w:rsid w:val="00B61874"/>
    <w:rsid w:val="00B63743"/>
    <w:rsid w:val="00B63B26"/>
    <w:rsid w:val="00B64AA3"/>
    <w:rsid w:val="00B64BE5"/>
    <w:rsid w:val="00B64D94"/>
    <w:rsid w:val="00B65B2A"/>
    <w:rsid w:val="00B65B9B"/>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667"/>
    <w:rsid w:val="00B81BE4"/>
    <w:rsid w:val="00B82593"/>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393C"/>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74B"/>
    <w:rsid w:val="00BC2828"/>
    <w:rsid w:val="00BC4076"/>
    <w:rsid w:val="00BC4853"/>
    <w:rsid w:val="00BC4857"/>
    <w:rsid w:val="00BC4984"/>
    <w:rsid w:val="00BC612D"/>
    <w:rsid w:val="00BC62A4"/>
    <w:rsid w:val="00BC69AD"/>
    <w:rsid w:val="00BC69C2"/>
    <w:rsid w:val="00BC6BEE"/>
    <w:rsid w:val="00BC6E90"/>
    <w:rsid w:val="00BC70CF"/>
    <w:rsid w:val="00BC7100"/>
    <w:rsid w:val="00BC7419"/>
    <w:rsid w:val="00BC7766"/>
    <w:rsid w:val="00BD0683"/>
    <w:rsid w:val="00BD07A7"/>
    <w:rsid w:val="00BD0BBB"/>
    <w:rsid w:val="00BD0F2E"/>
    <w:rsid w:val="00BD12B5"/>
    <w:rsid w:val="00BD2B81"/>
    <w:rsid w:val="00BD36C4"/>
    <w:rsid w:val="00BD414F"/>
    <w:rsid w:val="00BD4363"/>
    <w:rsid w:val="00BD54AA"/>
    <w:rsid w:val="00BD5B1D"/>
    <w:rsid w:val="00BD5D12"/>
    <w:rsid w:val="00BD607B"/>
    <w:rsid w:val="00BD61A1"/>
    <w:rsid w:val="00BD65C3"/>
    <w:rsid w:val="00BD67D2"/>
    <w:rsid w:val="00BD7C96"/>
    <w:rsid w:val="00BE00CA"/>
    <w:rsid w:val="00BE04F8"/>
    <w:rsid w:val="00BE065A"/>
    <w:rsid w:val="00BE082C"/>
    <w:rsid w:val="00BE0CBA"/>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5FFD"/>
    <w:rsid w:val="00BE6BA2"/>
    <w:rsid w:val="00BE6FCE"/>
    <w:rsid w:val="00BE7828"/>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96F"/>
    <w:rsid w:val="00C21F0C"/>
    <w:rsid w:val="00C23DD4"/>
    <w:rsid w:val="00C24103"/>
    <w:rsid w:val="00C24AE7"/>
    <w:rsid w:val="00C24F15"/>
    <w:rsid w:val="00C2644B"/>
    <w:rsid w:val="00C264BE"/>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7B2"/>
    <w:rsid w:val="00C54A30"/>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EB4"/>
    <w:rsid w:val="00C7019F"/>
    <w:rsid w:val="00C70204"/>
    <w:rsid w:val="00C704D4"/>
    <w:rsid w:val="00C70FC4"/>
    <w:rsid w:val="00C72DC8"/>
    <w:rsid w:val="00C742A6"/>
    <w:rsid w:val="00C75683"/>
    <w:rsid w:val="00C75805"/>
    <w:rsid w:val="00C75F22"/>
    <w:rsid w:val="00C765D7"/>
    <w:rsid w:val="00C76886"/>
    <w:rsid w:val="00C774C0"/>
    <w:rsid w:val="00C775E3"/>
    <w:rsid w:val="00C816BD"/>
    <w:rsid w:val="00C819CD"/>
    <w:rsid w:val="00C81AFE"/>
    <w:rsid w:val="00C81C9C"/>
    <w:rsid w:val="00C8235E"/>
    <w:rsid w:val="00C823F0"/>
    <w:rsid w:val="00C8272D"/>
    <w:rsid w:val="00C82DA1"/>
    <w:rsid w:val="00C8309E"/>
    <w:rsid w:val="00C8348D"/>
    <w:rsid w:val="00C83BC0"/>
    <w:rsid w:val="00C83C9F"/>
    <w:rsid w:val="00C84F2F"/>
    <w:rsid w:val="00C85AEC"/>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74FD"/>
    <w:rsid w:val="00CA7A3F"/>
    <w:rsid w:val="00CB034B"/>
    <w:rsid w:val="00CB0535"/>
    <w:rsid w:val="00CB09E4"/>
    <w:rsid w:val="00CB0D13"/>
    <w:rsid w:val="00CB1ED3"/>
    <w:rsid w:val="00CB2861"/>
    <w:rsid w:val="00CB4D7B"/>
    <w:rsid w:val="00CB50AE"/>
    <w:rsid w:val="00CB63FC"/>
    <w:rsid w:val="00CB746E"/>
    <w:rsid w:val="00CB76AF"/>
    <w:rsid w:val="00CB7E88"/>
    <w:rsid w:val="00CB7F94"/>
    <w:rsid w:val="00CC028D"/>
    <w:rsid w:val="00CC0BC5"/>
    <w:rsid w:val="00CC1957"/>
    <w:rsid w:val="00CC2759"/>
    <w:rsid w:val="00CC29A5"/>
    <w:rsid w:val="00CC2E22"/>
    <w:rsid w:val="00CC3300"/>
    <w:rsid w:val="00CC41D2"/>
    <w:rsid w:val="00CC4C06"/>
    <w:rsid w:val="00CC4F74"/>
    <w:rsid w:val="00CC50A0"/>
    <w:rsid w:val="00CC576D"/>
    <w:rsid w:val="00CC67E7"/>
    <w:rsid w:val="00CC68A3"/>
    <w:rsid w:val="00CD01BD"/>
    <w:rsid w:val="00CD08CB"/>
    <w:rsid w:val="00CD160D"/>
    <w:rsid w:val="00CD18A3"/>
    <w:rsid w:val="00CD240F"/>
    <w:rsid w:val="00CD27F5"/>
    <w:rsid w:val="00CD3056"/>
    <w:rsid w:val="00CD3706"/>
    <w:rsid w:val="00CD3952"/>
    <w:rsid w:val="00CD395C"/>
    <w:rsid w:val="00CD5875"/>
    <w:rsid w:val="00CD6E6B"/>
    <w:rsid w:val="00CE05E7"/>
    <w:rsid w:val="00CE09B9"/>
    <w:rsid w:val="00CE0CF3"/>
    <w:rsid w:val="00CE1391"/>
    <w:rsid w:val="00CE16CB"/>
    <w:rsid w:val="00CE1F2E"/>
    <w:rsid w:val="00CE2CFA"/>
    <w:rsid w:val="00CE3282"/>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3A32"/>
    <w:rsid w:val="00D747CE"/>
    <w:rsid w:val="00D756F8"/>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15F9"/>
    <w:rsid w:val="00D91FD2"/>
    <w:rsid w:val="00D9232D"/>
    <w:rsid w:val="00D923C5"/>
    <w:rsid w:val="00D92930"/>
    <w:rsid w:val="00D92B52"/>
    <w:rsid w:val="00D933A0"/>
    <w:rsid w:val="00D93D9F"/>
    <w:rsid w:val="00D9417B"/>
    <w:rsid w:val="00D9514A"/>
    <w:rsid w:val="00D95237"/>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743C"/>
    <w:rsid w:val="00DA7D52"/>
    <w:rsid w:val="00DB118D"/>
    <w:rsid w:val="00DB2C2F"/>
    <w:rsid w:val="00DB2E1F"/>
    <w:rsid w:val="00DB392A"/>
    <w:rsid w:val="00DB39E7"/>
    <w:rsid w:val="00DB3C8B"/>
    <w:rsid w:val="00DB3DED"/>
    <w:rsid w:val="00DB4339"/>
    <w:rsid w:val="00DB4403"/>
    <w:rsid w:val="00DB46F3"/>
    <w:rsid w:val="00DB4771"/>
    <w:rsid w:val="00DB5454"/>
    <w:rsid w:val="00DB56F0"/>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4971"/>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66A"/>
    <w:rsid w:val="00E20C40"/>
    <w:rsid w:val="00E20FCA"/>
    <w:rsid w:val="00E210A9"/>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BC7"/>
    <w:rsid w:val="00E33BFF"/>
    <w:rsid w:val="00E35454"/>
    <w:rsid w:val="00E35725"/>
    <w:rsid w:val="00E35C19"/>
    <w:rsid w:val="00E35C61"/>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67C7"/>
    <w:rsid w:val="00E576D5"/>
    <w:rsid w:val="00E578AD"/>
    <w:rsid w:val="00E57EEE"/>
    <w:rsid w:val="00E60A23"/>
    <w:rsid w:val="00E60E7B"/>
    <w:rsid w:val="00E614C0"/>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B65"/>
    <w:rsid w:val="00E716F4"/>
    <w:rsid w:val="00E71A1F"/>
    <w:rsid w:val="00E71D82"/>
    <w:rsid w:val="00E72886"/>
    <w:rsid w:val="00E729C6"/>
    <w:rsid w:val="00E73F00"/>
    <w:rsid w:val="00E7459D"/>
    <w:rsid w:val="00E748DC"/>
    <w:rsid w:val="00E753DF"/>
    <w:rsid w:val="00E763E8"/>
    <w:rsid w:val="00E768E7"/>
    <w:rsid w:val="00E76DC6"/>
    <w:rsid w:val="00E77353"/>
    <w:rsid w:val="00E776A0"/>
    <w:rsid w:val="00E801A0"/>
    <w:rsid w:val="00E8052F"/>
    <w:rsid w:val="00E8107F"/>
    <w:rsid w:val="00E8120E"/>
    <w:rsid w:val="00E81324"/>
    <w:rsid w:val="00E8135A"/>
    <w:rsid w:val="00E81929"/>
    <w:rsid w:val="00E819A6"/>
    <w:rsid w:val="00E82980"/>
    <w:rsid w:val="00E82D8D"/>
    <w:rsid w:val="00E83808"/>
    <w:rsid w:val="00E8399A"/>
    <w:rsid w:val="00E84326"/>
    <w:rsid w:val="00E84EF6"/>
    <w:rsid w:val="00E86766"/>
    <w:rsid w:val="00E86AB6"/>
    <w:rsid w:val="00E86C55"/>
    <w:rsid w:val="00E876DA"/>
    <w:rsid w:val="00E87F51"/>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9F2"/>
    <w:rsid w:val="00EA2633"/>
    <w:rsid w:val="00EA2D49"/>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FB2"/>
    <w:rsid w:val="00EB3642"/>
    <w:rsid w:val="00EB3BE4"/>
    <w:rsid w:val="00EB3CD9"/>
    <w:rsid w:val="00EB4A41"/>
    <w:rsid w:val="00EB5F8A"/>
    <w:rsid w:val="00EB64F8"/>
    <w:rsid w:val="00EB6606"/>
    <w:rsid w:val="00EB77CC"/>
    <w:rsid w:val="00EB7E18"/>
    <w:rsid w:val="00EB7EF4"/>
    <w:rsid w:val="00EC035C"/>
    <w:rsid w:val="00EC19E3"/>
    <w:rsid w:val="00EC20D2"/>
    <w:rsid w:val="00EC26F2"/>
    <w:rsid w:val="00EC288B"/>
    <w:rsid w:val="00EC2B4A"/>
    <w:rsid w:val="00EC30C8"/>
    <w:rsid w:val="00EC3751"/>
    <w:rsid w:val="00EC3F72"/>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0601"/>
    <w:rsid w:val="00F010BE"/>
    <w:rsid w:val="00F01153"/>
    <w:rsid w:val="00F01782"/>
    <w:rsid w:val="00F02377"/>
    <w:rsid w:val="00F03005"/>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3F30"/>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E8"/>
    <w:rsid w:val="00F31AA7"/>
    <w:rsid w:val="00F323BA"/>
    <w:rsid w:val="00F32A9F"/>
    <w:rsid w:val="00F32E91"/>
    <w:rsid w:val="00F32F8E"/>
    <w:rsid w:val="00F334B3"/>
    <w:rsid w:val="00F3396F"/>
    <w:rsid w:val="00F34180"/>
    <w:rsid w:val="00F3485A"/>
    <w:rsid w:val="00F354D2"/>
    <w:rsid w:val="00F35CFA"/>
    <w:rsid w:val="00F35DDE"/>
    <w:rsid w:val="00F37225"/>
    <w:rsid w:val="00F37507"/>
    <w:rsid w:val="00F375C1"/>
    <w:rsid w:val="00F377D2"/>
    <w:rsid w:val="00F40D35"/>
    <w:rsid w:val="00F40DF0"/>
    <w:rsid w:val="00F416DB"/>
    <w:rsid w:val="00F4294B"/>
    <w:rsid w:val="00F42AC7"/>
    <w:rsid w:val="00F43A1D"/>
    <w:rsid w:val="00F43FDE"/>
    <w:rsid w:val="00F44464"/>
    <w:rsid w:val="00F44D7F"/>
    <w:rsid w:val="00F45366"/>
    <w:rsid w:val="00F45957"/>
    <w:rsid w:val="00F46254"/>
    <w:rsid w:val="00F463F2"/>
    <w:rsid w:val="00F46E85"/>
    <w:rsid w:val="00F46FE8"/>
    <w:rsid w:val="00F472AD"/>
    <w:rsid w:val="00F50CB8"/>
    <w:rsid w:val="00F51438"/>
    <w:rsid w:val="00F520F2"/>
    <w:rsid w:val="00F529AC"/>
    <w:rsid w:val="00F52E24"/>
    <w:rsid w:val="00F5349F"/>
    <w:rsid w:val="00F545A5"/>
    <w:rsid w:val="00F5491A"/>
    <w:rsid w:val="00F54E80"/>
    <w:rsid w:val="00F54FE5"/>
    <w:rsid w:val="00F55192"/>
    <w:rsid w:val="00F5548D"/>
    <w:rsid w:val="00F55B92"/>
    <w:rsid w:val="00F55F2B"/>
    <w:rsid w:val="00F5602F"/>
    <w:rsid w:val="00F5618F"/>
    <w:rsid w:val="00F56467"/>
    <w:rsid w:val="00F56617"/>
    <w:rsid w:val="00F567E9"/>
    <w:rsid w:val="00F56D9C"/>
    <w:rsid w:val="00F573CE"/>
    <w:rsid w:val="00F5795C"/>
    <w:rsid w:val="00F57DD5"/>
    <w:rsid w:val="00F600A7"/>
    <w:rsid w:val="00F60102"/>
    <w:rsid w:val="00F61663"/>
    <w:rsid w:val="00F617CE"/>
    <w:rsid w:val="00F62482"/>
    <w:rsid w:val="00F62D9E"/>
    <w:rsid w:val="00F6324B"/>
    <w:rsid w:val="00F63CA9"/>
    <w:rsid w:val="00F64D94"/>
    <w:rsid w:val="00F65044"/>
    <w:rsid w:val="00F6537E"/>
    <w:rsid w:val="00F67028"/>
    <w:rsid w:val="00F670A3"/>
    <w:rsid w:val="00F67AA8"/>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822"/>
    <w:rsid w:val="00F93A0D"/>
    <w:rsid w:val="00F947D5"/>
    <w:rsid w:val="00F94A49"/>
    <w:rsid w:val="00F95275"/>
    <w:rsid w:val="00F9670A"/>
    <w:rsid w:val="00F96D24"/>
    <w:rsid w:val="00F96D8C"/>
    <w:rsid w:val="00F96F7F"/>
    <w:rsid w:val="00F9780A"/>
    <w:rsid w:val="00F97B01"/>
    <w:rsid w:val="00F97F77"/>
    <w:rsid w:val="00FA0DA4"/>
    <w:rsid w:val="00FA0FC8"/>
    <w:rsid w:val="00FA1D2B"/>
    <w:rsid w:val="00FA2A35"/>
    <w:rsid w:val="00FA355E"/>
    <w:rsid w:val="00FA467C"/>
    <w:rsid w:val="00FA5436"/>
    <w:rsid w:val="00FA54AB"/>
    <w:rsid w:val="00FA583E"/>
    <w:rsid w:val="00FA5869"/>
    <w:rsid w:val="00FA6818"/>
    <w:rsid w:val="00FA77B6"/>
    <w:rsid w:val="00FB03C5"/>
    <w:rsid w:val="00FB06E5"/>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594"/>
    <w:rsid w:val="00FC2F5B"/>
    <w:rsid w:val="00FC3632"/>
    <w:rsid w:val="00FC3B4A"/>
    <w:rsid w:val="00FC4273"/>
    <w:rsid w:val="00FC4889"/>
    <w:rsid w:val="00FC4F48"/>
    <w:rsid w:val="00FC5B5B"/>
    <w:rsid w:val="00FC66B5"/>
    <w:rsid w:val="00FC6842"/>
    <w:rsid w:val="00FC73B8"/>
    <w:rsid w:val="00FC7575"/>
    <w:rsid w:val="00FC7F1E"/>
    <w:rsid w:val="00FD0CE5"/>
    <w:rsid w:val="00FD0DEF"/>
    <w:rsid w:val="00FD0EC5"/>
    <w:rsid w:val="00FD0FA6"/>
    <w:rsid w:val="00FD270A"/>
    <w:rsid w:val="00FD37C1"/>
    <w:rsid w:val="00FD472E"/>
    <w:rsid w:val="00FD4CE1"/>
    <w:rsid w:val="00FD5D35"/>
    <w:rsid w:val="00FD6183"/>
    <w:rsid w:val="00FE19EC"/>
    <w:rsid w:val="00FE1C43"/>
    <w:rsid w:val="00FE26F3"/>
    <w:rsid w:val="00FE2A42"/>
    <w:rsid w:val="00FE3CB6"/>
    <w:rsid w:val="00FE3D8C"/>
    <w:rsid w:val="00FE430E"/>
    <w:rsid w:val="00FE4642"/>
    <w:rsid w:val="00FE65BC"/>
    <w:rsid w:val="00FE6FDE"/>
    <w:rsid w:val="00FE7DC9"/>
    <w:rsid w:val="00FF0198"/>
    <w:rsid w:val="00FF0C52"/>
    <w:rsid w:val="00FF0DED"/>
    <w:rsid w:val="00FF1926"/>
    <w:rsid w:val="00FF330C"/>
    <w:rsid w:val="00FF5DBA"/>
    <w:rsid w:val="00FF6696"/>
    <w:rsid w:val="00FF7ADC"/>
    <w:rsid w:val="00FF7B2C"/>
    <w:rsid w:val="01230692"/>
    <w:rsid w:val="016247FA"/>
    <w:rsid w:val="01745EE6"/>
    <w:rsid w:val="018326A3"/>
    <w:rsid w:val="0194674A"/>
    <w:rsid w:val="01A06A8F"/>
    <w:rsid w:val="01C6622B"/>
    <w:rsid w:val="01CE57B8"/>
    <w:rsid w:val="01E07CD8"/>
    <w:rsid w:val="01EA671C"/>
    <w:rsid w:val="021673DB"/>
    <w:rsid w:val="022353B4"/>
    <w:rsid w:val="022A3557"/>
    <w:rsid w:val="024A56F5"/>
    <w:rsid w:val="025E27F6"/>
    <w:rsid w:val="026E0F2B"/>
    <w:rsid w:val="027A2F04"/>
    <w:rsid w:val="02845B9C"/>
    <w:rsid w:val="028B60E1"/>
    <w:rsid w:val="02B1196D"/>
    <w:rsid w:val="02DD55DA"/>
    <w:rsid w:val="02EE4475"/>
    <w:rsid w:val="02F92F2F"/>
    <w:rsid w:val="02FC32E3"/>
    <w:rsid w:val="032A676A"/>
    <w:rsid w:val="032D7D27"/>
    <w:rsid w:val="03415224"/>
    <w:rsid w:val="03E32C2B"/>
    <w:rsid w:val="03E45FEA"/>
    <w:rsid w:val="03F375BC"/>
    <w:rsid w:val="044C3505"/>
    <w:rsid w:val="04551879"/>
    <w:rsid w:val="04704D33"/>
    <w:rsid w:val="047713FB"/>
    <w:rsid w:val="04887A66"/>
    <w:rsid w:val="04AD576D"/>
    <w:rsid w:val="04C65B16"/>
    <w:rsid w:val="04D56F5C"/>
    <w:rsid w:val="05184748"/>
    <w:rsid w:val="053A77BB"/>
    <w:rsid w:val="055B55D2"/>
    <w:rsid w:val="05DD7507"/>
    <w:rsid w:val="05FE680E"/>
    <w:rsid w:val="060824FF"/>
    <w:rsid w:val="06137FD2"/>
    <w:rsid w:val="063F11B9"/>
    <w:rsid w:val="06710E08"/>
    <w:rsid w:val="067D07B2"/>
    <w:rsid w:val="06944506"/>
    <w:rsid w:val="06B12657"/>
    <w:rsid w:val="070C0CAE"/>
    <w:rsid w:val="07286983"/>
    <w:rsid w:val="072C420B"/>
    <w:rsid w:val="07725961"/>
    <w:rsid w:val="078B7CA7"/>
    <w:rsid w:val="07A86AAB"/>
    <w:rsid w:val="07E04069"/>
    <w:rsid w:val="08101121"/>
    <w:rsid w:val="08356532"/>
    <w:rsid w:val="083945D9"/>
    <w:rsid w:val="08A14F57"/>
    <w:rsid w:val="08B1395B"/>
    <w:rsid w:val="08EE742E"/>
    <w:rsid w:val="09275B42"/>
    <w:rsid w:val="09547520"/>
    <w:rsid w:val="09697C1D"/>
    <w:rsid w:val="097C6BDA"/>
    <w:rsid w:val="09CA6EA6"/>
    <w:rsid w:val="0A2B7D2A"/>
    <w:rsid w:val="0A57260B"/>
    <w:rsid w:val="0A6C0E35"/>
    <w:rsid w:val="0ABC7BEE"/>
    <w:rsid w:val="0ACC1410"/>
    <w:rsid w:val="0B083D6B"/>
    <w:rsid w:val="0B141F1A"/>
    <w:rsid w:val="0B322903"/>
    <w:rsid w:val="0B6262C9"/>
    <w:rsid w:val="0B6573F2"/>
    <w:rsid w:val="0B73328B"/>
    <w:rsid w:val="0BB958B8"/>
    <w:rsid w:val="0BBA2A31"/>
    <w:rsid w:val="0BC663BC"/>
    <w:rsid w:val="0BD537C3"/>
    <w:rsid w:val="0BD92474"/>
    <w:rsid w:val="0BDF460D"/>
    <w:rsid w:val="0C1E7663"/>
    <w:rsid w:val="0C600AAB"/>
    <w:rsid w:val="0C650670"/>
    <w:rsid w:val="0D172061"/>
    <w:rsid w:val="0D1A2F49"/>
    <w:rsid w:val="0D5A60C0"/>
    <w:rsid w:val="0D8A6FC1"/>
    <w:rsid w:val="0DAD4070"/>
    <w:rsid w:val="0DCA115E"/>
    <w:rsid w:val="0E115C8A"/>
    <w:rsid w:val="0E207C45"/>
    <w:rsid w:val="0E356BBF"/>
    <w:rsid w:val="0E415B17"/>
    <w:rsid w:val="0E9E6512"/>
    <w:rsid w:val="0EA30700"/>
    <w:rsid w:val="0EB31142"/>
    <w:rsid w:val="0F095504"/>
    <w:rsid w:val="0F145F47"/>
    <w:rsid w:val="0F3B2473"/>
    <w:rsid w:val="0F9C56BF"/>
    <w:rsid w:val="0FBA74F6"/>
    <w:rsid w:val="0FBD710C"/>
    <w:rsid w:val="0FC3085C"/>
    <w:rsid w:val="0FE20946"/>
    <w:rsid w:val="10067489"/>
    <w:rsid w:val="10111F7C"/>
    <w:rsid w:val="1023263D"/>
    <w:rsid w:val="102A44B6"/>
    <w:rsid w:val="104F1744"/>
    <w:rsid w:val="106016F3"/>
    <w:rsid w:val="10861BA8"/>
    <w:rsid w:val="1094132B"/>
    <w:rsid w:val="10A2001C"/>
    <w:rsid w:val="10A52D12"/>
    <w:rsid w:val="10A56E7C"/>
    <w:rsid w:val="10E02E12"/>
    <w:rsid w:val="11203590"/>
    <w:rsid w:val="11244826"/>
    <w:rsid w:val="11402F73"/>
    <w:rsid w:val="11454713"/>
    <w:rsid w:val="114F5A4E"/>
    <w:rsid w:val="11612A9E"/>
    <w:rsid w:val="118E35A7"/>
    <w:rsid w:val="119A3B84"/>
    <w:rsid w:val="12577104"/>
    <w:rsid w:val="126266D8"/>
    <w:rsid w:val="12671F77"/>
    <w:rsid w:val="127A0FCA"/>
    <w:rsid w:val="127E4ECB"/>
    <w:rsid w:val="12BD152A"/>
    <w:rsid w:val="12E9710D"/>
    <w:rsid w:val="12EF1953"/>
    <w:rsid w:val="12F67447"/>
    <w:rsid w:val="13177D05"/>
    <w:rsid w:val="131A0221"/>
    <w:rsid w:val="13211804"/>
    <w:rsid w:val="1335429C"/>
    <w:rsid w:val="13540009"/>
    <w:rsid w:val="13C6414B"/>
    <w:rsid w:val="13C91949"/>
    <w:rsid w:val="13DF3855"/>
    <w:rsid w:val="141D2C0B"/>
    <w:rsid w:val="148235FD"/>
    <w:rsid w:val="148F7131"/>
    <w:rsid w:val="14957781"/>
    <w:rsid w:val="14A70005"/>
    <w:rsid w:val="154801C9"/>
    <w:rsid w:val="15736D6B"/>
    <w:rsid w:val="158603BE"/>
    <w:rsid w:val="1593631A"/>
    <w:rsid w:val="159B19FD"/>
    <w:rsid w:val="16103820"/>
    <w:rsid w:val="161B6B1A"/>
    <w:rsid w:val="16263110"/>
    <w:rsid w:val="16814E2A"/>
    <w:rsid w:val="16A375EE"/>
    <w:rsid w:val="16B761A1"/>
    <w:rsid w:val="16E37A10"/>
    <w:rsid w:val="1711684A"/>
    <w:rsid w:val="173516EA"/>
    <w:rsid w:val="173D7D0F"/>
    <w:rsid w:val="17965F21"/>
    <w:rsid w:val="17D404BB"/>
    <w:rsid w:val="17EC4251"/>
    <w:rsid w:val="17F13463"/>
    <w:rsid w:val="187E553C"/>
    <w:rsid w:val="18A60DD5"/>
    <w:rsid w:val="18E427C8"/>
    <w:rsid w:val="18E52B69"/>
    <w:rsid w:val="18EF177D"/>
    <w:rsid w:val="18FD47EE"/>
    <w:rsid w:val="19013F4B"/>
    <w:rsid w:val="192223EF"/>
    <w:rsid w:val="194B192D"/>
    <w:rsid w:val="19523A78"/>
    <w:rsid w:val="196F2052"/>
    <w:rsid w:val="197449B0"/>
    <w:rsid w:val="19AE7F28"/>
    <w:rsid w:val="19B6113F"/>
    <w:rsid w:val="19CA0989"/>
    <w:rsid w:val="19E659D9"/>
    <w:rsid w:val="19F40797"/>
    <w:rsid w:val="1A0136FD"/>
    <w:rsid w:val="1A213ABD"/>
    <w:rsid w:val="1A323279"/>
    <w:rsid w:val="1A617FFD"/>
    <w:rsid w:val="1ACC75C5"/>
    <w:rsid w:val="1AE1319A"/>
    <w:rsid w:val="1AF71523"/>
    <w:rsid w:val="1AFC1130"/>
    <w:rsid w:val="1B010952"/>
    <w:rsid w:val="1B1A4A1C"/>
    <w:rsid w:val="1B38030C"/>
    <w:rsid w:val="1B3C1C8E"/>
    <w:rsid w:val="1B48577A"/>
    <w:rsid w:val="1B514959"/>
    <w:rsid w:val="1B647F51"/>
    <w:rsid w:val="1B674AC7"/>
    <w:rsid w:val="1B695F6C"/>
    <w:rsid w:val="1B746B39"/>
    <w:rsid w:val="1B80541E"/>
    <w:rsid w:val="1BA621CD"/>
    <w:rsid w:val="1BC50187"/>
    <w:rsid w:val="1BCA7842"/>
    <w:rsid w:val="1C42696B"/>
    <w:rsid w:val="1C427144"/>
    <w:rsid w:val="1C4409AC"/>
    <w:rsid w:val="1C530BD0"/>
    <w:rsid w:val="1C8F133C"/>
    <w:rsid w:val="1CB60F72"/>
    <w:rsid w:val="1CBB0ED4"/>
    <w:rsid w:val="1CC90CBC"/>
    <w:rsid w:val="1D094F9C"/>
    <w:rsid w:val="1D0E23E7"/>
    <w:rsid w:val="1D37200B"/>
    <w:rsid w:val="1D487AB6"/>
    <w:rsid w:val="1D491EF1"/>
    <w:rsid w:val="1D8C2345"/>
    <w:rsid w:val="1D8D7A52"/>
    <w:rsid w:val="1DAE65F0"/>
    <w:rsid w:val="1DEF5D9F"/>
    <w:rsid w:val="1E111767"/>
    <w:rsid w:val="1E117A37"/>
    <w:rsid w:val="1E192DA5"/>
    <w:rsid w:val="1E720322"/>
    <w:rsid w:val="1E8B4AEE"/>
    <w:rsid w:val="1EB142DF"/>
    <w:rsid w:val="1EDA1C8D"/>
    <w:rsid w:val="1EE871B6"/>
    <w:rsid w:val="1F035E51"/>
    <w:rsid w:val="1F2C6632"/>
    <w:rsid w:val="1F656BFD"/>
    <w:rsid w:val="1F9E565E"/>
    <w:rsid w:val="1FA2333B"/>
    <w:rsid w:val="1FA77090"/>
    <w:rsid w:val="1FE217EC"/>
    <w:rsid w:val="2023550C"/>
    <w:rsid w:val="203B4DB3"/>
    <w:rsid w:val="208E77B9"/>
    <w:rsid w:val="20EE6F0E"/>
    <w:rsid w:val="20F64BEA"/>
    <w:rsid w:val="20F75FD5"/>
    <w:rsid w:val="20FB6AEC"/>
    <w:rsid w:val="2105481C"/>
    <w:rsid w:val="210E4642"/>
    <w:rsid w:val="213011D5"/>
    <w:rsid w:val="21B45DF5"/>
    <w:rsid w:val="21E15853"/>
    <w:rsid w:val="21F77FBB"/>
    <w:rsid w:val="21FF139B"/>
    <w:rsid w:val="220F05F7"/>
    <w:rsid w:val="22211C9D"/>
    <w:rsid w:val="224332AE"/>
    <w:rsid w:val="22581B32"/>
    <w:rsid w:val="22605689"/>
    <w:rsid w:val="228377FC"/>
    <w:rsid w:val="22AD589A"/>
    <w:rsid w:val="22F439BF"/>
    <w:rsid w:val="22FB72D8"/>
    <w:rsid w:val="23245B22"/>
    <w:rsid w:val="23314333"/>
    <w:rsid w:val="23360FD0"/>
    <w:rsid w:val="23914CAB"/>
    <w:rsid w:val="23C2673F"/>
    <w:rsid w:val="23CC6C6C"/>
    <w:rsid w:val="23DD6BC5"/>
    <w:rsid w:val="24105B34"/>
    <w:rsid w:val="24220DFA"/>
    <w:rsid w:val="24777F0B"/>
    <w:rsid w:val="24975E97"/>
    <w:rsid w:val="24D17B32"/>
    <w:rsid w:val="24F23AE4"/>
    <w:rsid w:val="24F565AC"/>
    <w:rsid w:val="24FD13D3"/>
    <w:rsid w:val="25247B1D"/>
    <w:rsid w:val="253C2765"/>
    <w:rsid w:val="256652B4"/>
    <w:rsid w:val="256D377B"/>
    <w:rsid w:val="256F5ACC"/>
    <w:rsid w:val="2581184D"/>
    <w:rsid w:val="25965F7C"/>
    <w:rsid w:val="25A517EF"/>
    <w:rsid w:val="25AE084C"/>
    <w:rsid w:val="26165538"/>
    <w:rsid w:val="26557F83"/>
    <w:rsid w:val="26713644"/>
    <w:rsid w:val="2674362D"/>
    <w:rsid w:val="26767945"/>
    <w:rsid w:val="268F20C6"/>
    <w:rsid w:val="26C72B6F"/>
    <w:rsid w:val="26DA605D"/>
    <w:rsid w:val="26EC6985"/>
    <w:rsid w:val="270D3D0D"/>
    <w:rsid w:val="273A63A3"/>
    <w:rsid w:val="2749444C"/>
    <w:rsid w:val="27595BF9"/>
    <w:rsid w:val="27C235C4"/>
    <w:rsid w:val="27E21148"/>
    <w:rsid w:val="28197154"/>
    <w:rsid w:val="28B65382"/>
    <w:rsid w:val="28DE02D2"/>
    <w:rsid w:val="28F84B93"/>
    <w:rsid w:val="29077D29"/>
    <w:rsid w:val="2918419C"/>
    <w:rsid w:val="294616FD"/>
    <w:rsid w:val="29777662"/>
    <w:rsid w:val="2997424E"/>
    <w:rsid w:val="29AB330F"/>
    <w:rsid w:val="29AC5FBF"/>
    <w:rsid w:val="29D85204"/>
    <w:rsid w:val="29F8157A"/>
    <w:rsid w:val="2A1E335D"/>
    <w:rsid w:val="2A327EDF"/>
    <w:rsid w:val="2A524FDF"/>
    <w:rsid w:val="2A753158"/>
    <w:rsid w:val="2A9253E9"/>
    <w:rsid w:val="2A965B0A"/>
    <w:rsid w:val="2AAC37FB"/>
    <w:rsid w:val="2ADB2BD5"/>
    <w:rsid w:val="2BA519D8"/>
    <w:rsid w:val="2BB57038"/>
    <w:rsid w:val="2C1F7206"/>
    <w:rsid w:val="2C250B14"/>
    <w:rsid w:val="2C3B5405"/>
    <w:rsid w:val="2C4B2FA5"/>
    <w:rsid w:val="2C59031C"/>
    <w:rsid w:val="2C5907E9"/>
    <w:rsid w:val="2C650E64"/>
    <w:rsid w:val="2C6579B8"/>
    <w:rsid w:val="2CD56F5D"/>
    <w:rsid w:val="2CF00EAC"/>
    <w:rsid w:val="2D163797"/>
    <w:rsid w:val="2DAC19F5"/>
    <w:rsid w:val="2DC31A3D"/>
    <w:rsid w:val="2DE03CE6"/>
    <w:rsid w:val="2E0470F3"/>
    <w:rsid w:val="2E0D253C"/>
    <w:rsid w:val="2E486DD2"/>
    <w:rsid w:val="2E4D210D"/>
    <w:rsid w:val="2E57306B"/>
    <w:rsid w:val="2E576B62"/>
    <w:rsid w:val="2EB12ABF"/>
    <w:rsid w:val="2EB95AB9"/>
    <w:rsid w:val="2ECD0241"/>
    <w:rsid w:val="2F1B7500"/>
    <w:rsid w:val="2F4C544D"/>
    <w:rsid w:val="2F662C24"/>
    <w:rsid w:val="2F6B3D97"/>
    <w:rsid w:val="2F7067E6"/>
    <w:rsid w:val="2F757199"/>
    <w:rsid w:val="2F872907"/>
    <w:rsid w:val="2F885A73"/>
    <w:rsid w:val="2F8922A1"/>
    <w:rsid w:val="2FD46330"/>
    <w:rsid w:val="2FDF791C"/>
    <w:rsid w:val="2FE34720"/>
    <w:rsid w:val="2FE9521D"/>
    <w:rsid w:val="2FEA60CD"/>
    <w:rsid w:val="2FFC2193"/>
    <w:rsid w:val="300D2C1D"/>
    <w:rsid w:val="30341FA2"/>
    <w:rsid w:val="303E25B2"/>
    <w:rsid w:val="305153FF"/>
    <w:rsid w:val="305B0B3B"/>
    <w:rsid w:val="305E61C4"/>
    <w:rsid w:val="307E7C38"/>
    <w:rsid w:val="30BF374F"/>
    <w:rsid w:val="30E0747C"/>
    <w:rsid w:val="3106378E"/>
    <w:rsid w:val="312E2219"/>
    <w:rsid w:val="316651A6"/>
    <w:rsid w:val="31EF1640"/>
    <w:rsid w:val="31F777CB"/>
    <w:rsid w:val="321C5403"/>
    <w:rsid w:val="321F5EE6"/>
    <w:rsid w:val="32BE14DB"/>
    <w:rsid w:val="32D80A01"/>
    <w:rsid w:val="32E22E40"/>
    <w:rsid w:val="3301618B"/>
    <w:rsid w:val="33280090"/>
    <w:rsid w:val="334249CD"/>
    <w:rsid w:val="33982369"/>
    <w:rsid w:val="33A201DA"/>
    <w:rsid w:val="33A32A64"/>
    <w:rsid w:val="33CE2B4A"/>
    <w:rsid w:val="33D1015A"/>
    <w:rsid w:val="33D25DFC"/>
    <w:rsid w:val="34210BA2"/>
    <w:rsid w:val="342B3CB6"/>
    <w:rsid w:val="344C1902"/>
    <w:rsid w:val="344D31C4"/>
    <w:rsid w:val="346B5F4A"/>
    <w:rsid w:val="346D2233"/>
    <w:rsid w:val="346D28AC"/>
    <w:rsid w:val="34986757"/>
    <w:rsid w:val="34C834CB"/>
    <w:rsid w:val="34CB6FA5"/>
    <w:rsid w:val="34DF211F"/>
    <w:rsid w:val="35154E98"/>
    <w:rsid w:val="35186016"/>
    <w:rsid w:val="35245E9E"/>
    <w:rsid w:val="35995441"/>
    <w:rsid w:val="35B01E4A"/>
    <w:rsid w:val="361E2AC3"/>
    <w:rsid w:val="36496066"/>
    <w:rsid w:val="36C2714B"/>
    <w:rsid w:val="36D11B69"/>
    <w:rsid w:val="36E92171"/>
    <w:rsid w:val="36EA2872"/>
    <w:rsid w:val="37021DBA"/>
    <w:rsid w:val="378739DC"/>
    <w:rsid w:val="37905BEB"/>
    <w:rsid w:val="37B55A13"/>
    <w:rsid w:val="37D050DF"/>
    <w:rsid w:val="37D44F73"/>
    <w:rsid w:val="38556DEE"/>
    <w:rsid w:val="388E70B3"/>
    <w:rsid w:val="38CF612C"/>
    <w:rsid w:val="38E5008F"/>
    <w:rsid w:val="39B73FB9"/>
    <w:rsid w:val="39CA423B"/>
    <w:rsid w:val="3A2D21AE"/>
    <w:rsid w:val="3A41153E"/>
    <w:rsid w:val="3A476958"/>
    <w:rsid w:val="3A5D6198"/>
    <w:rsid w:val="3A5E004A"/>
    <w:rsid w:val="3A6409FF"/>
    <w:rsid w:val="3A9D283C"/>
    <w:rsid w:val="3AA24F6A"/>
    <w:rsid w:val="3AAC1867"/>
    <w:rsid w:val="3AED0349"/>
    <w:rsid w:val="3AF9445F"/>
    <w:rsid w:val="3B027B15"/>
    <w:rsid w:val="3B07421D"/>
    <w:rsid w:val="3B146EA0"/>
    <w:rsid w:val="3B1C7208"/>
    <w:rsid w:val="3B26064F"/>
    <w:rsid w:val="3BB47D76"/>
    <w:rsid w:val="3BCA3D2B"/>
    <w:rsid w:val="3BDD3D31"/>
    <w:rsid w:val="3BEE002A"/>
    <w:rsid w:val="3C0C24D0"/>
    <w:rsid w:val="3C2329DE"/>
    <w:rsid w:val="3C387C13"/>
    <w:rsid w:val="3C3C148C"/>
    <w:rsid w:val="3C566D4D"/>
    <w:rsid w:val="3CF51FB8"/>
    <w:rsid w:val="3D1F45F0"/>
    <w:rsid w:val="3D676C4F"/>
    <w:rsid w:val="3D6D42D8"/>
    <w:rsid w:val="3D82706F"/>
    <w:rsid w:val="3D9764AF"/>
    <w:rsid w:val="3DCA4307"/>
    <w:rsid w:val="3DCD5673"/>
    <w:rsid w:val="3DDC6D05"/>
    <w:rsid w:val="3DEB3467"/>
    <w:rsid w:val="3DEB3817"/>
    <w:rsid w:val="3E01510C"/>
    <w:rsid w:val="3E4973E9"/>
    <w:rsid w:val="3E6E6B8D"/>
    <w:rsid w:val="3E98592E"/>
    <w:rsid w:val="3E9D14EA"/>
    <w:rsid w:val="3EC64079"/>
    <w:rsid w:val="3ECD1262"/>
    <w:rsid w:val="3F216D3E"/>
    <w:rsid w:val="3F69603F"/>
    <w:rsid w:val="3FA622F7"/>
    <w:rsid w:val="3FD95300"/>
    <w:rsid w:val="3FE8458F"/>
    <w:rsid w:val="3FE93DFA"/>
    <w:rsid w:val="405A0883"/>
    <w:rsid w:val="406A7E41"/>
    <w:rsid w:val="407767B1"/>
    <w:rsid w:val="40DC1DD0"/>
    <w:rsid w:val="40EB305C"/>
    <w:rsid w:val="40FA2DBD"/>
    <w:rsid w:val="411469D6"/>
    <w:rsid w:val="4137798B"/>
    <w:rsid w:val="413C07FF"/>
    <w:rsid w:val="413C70D0"/>
    <w:rsid w:val="414423C4"/>
    <w:rsid w:val="41755597"/>
    <w:rsid w:val="418878EA"/>
    <w:rsid w:val="41A30C6B"/>
    <w:rsid w:val="41BF5814"/>
    <w:rsid w:val="41E57B4F"/>
    <w:rsid w:val="41EC5F21"/>
    <w:rsid w:val="42247208"/>
    <w:rsid w:val="4235385F"/>
    <w:rsid w:val="42466EB4"/>
    <w:rsid w:val="425B616B"/>
    <w:rsid w:val="42815EC9"/>
    <w:rsid w:val="42B34FB0"/>
    <w:rsid w:val="42F47F65"/>
    <w:rsid w:val="432033BE"/>
    <w:rsid w:val="43256988"/>
    <w:rsid w:val="433444B4"/>
    <w:rsid w:val="433E181F"/>
    <w:rsid w:val="434F194C"/>
    <w:rsid w:val="437D5F38"/>
    <w:rsid w:val="43F63A9A"/>
    <w:rsid w:val="440D168C"/>
    <w:rsid w:val="441A5719"/>
    <w:rsid w:val="44454911"/>
    <w:rsid w:val="444570D7"/>
    <w:rsid w:val="44687A88"/>
    <w:rsid w:val="44693328"/>
    <w:rsid w:val="44B741BA"/>
    <w:rsid w:val="44C9538F"/>
    <w:rsid w:val="451106FD"/>
    <w:rsid w:val="454F554E"/>
    <w:rsid w:val="45966907"/>
    <w:rsid w:val="459906E4"/>
    <w:rsid w:val="45A76D4B"/>
    <w:rsid w:val="45BA501A"/>
    <w:rsid w:val="45F22775"/>
    <w:rsid w:val="462D281F"/>
    <w:rsid w:val="46386346"/>
    <w:rsid w:val="46857774"/>
    <w:rsid w:val="46B30DE6"/>
    <w:rsid w:val="46C45A77"/>
    <w:rsid w:val="46E20A9A"/>
    <w:rsid w:val="473258A5"/>
    <w:rsid w:val="47993A99"/>
    <w:rsid w:val="47A130F5"/>
    <w:rsid w:val="47A42777"/>
    <w:rsid w:val="47AA6410"/>
    <w:rsid w:val="47E8192D"/>
    <w:rsid w:val="47EB1ADB"/>
    <w:rsid w:val="47F05DD2"/>
    <w:rsid w:val="47FA1031"/>
    <w:rsid w:val="481E0C0D"/>
    <w:rsid w:val="483D4185"/>
    <w:rsid w:val="48403B96"/>
    <w:rsid w:val="485754EA"/>
    <w:rsid w:val="48683EBE"/>
    <w:rsid w:val="486E73B8"/>
    <w:rsid w:val="487C3FC9"/>
    <w:rsid w:val="487F367A"/>
    <w:rsid w:val="48812E9A"/>
    <w:rsid w:val="48BB4C17"/>
    <w:rsid w:val="48DD7E3B"/>
    <w:rsid w:val="492C319F"/>
    <w:rsid w:val="493B21BD"/>
    <w:rsid w:val="496F4763"/>
    <w:rsid w:val="49963007"/>
    <w:rsid w:val="49B10DCB"/>
    <w:rsid w:val="49F112D9"/>
    <w:rsid w:val="4A275032"/>
    <w:rsid w:val="4ADD1124"/>
    <w:rsid w:val="4AE43E3C"/>
    <w:rsid w:val="4B2D7D1E"/>
    <w:rsid w:val="4B323E0F"/>
    <w:rsid w:val="4B64236F"/>
    <w:rsid w:val="4B977869"/>
    <w:rsid w:val="4BA86EA2"/>
    <w:rsid w:val="4BB369F5"/>
    <w:rsid w:val="4BC87E09"/>
    <w:rsid w:val="4BED7415"/>
    <w:rsid w:val="4C0F3FD0"/>
    <w:rsid w:val="4C28492A"/>
    <w:rsid w:val="4C56200A"/>
    <w:rsid w:val="4C6F1833"/>
    <w:rsid w:val="4C8D360A"/>
    <w:rsid w:val="4CA0731E"/>
    <w:rsid w:val="4CA14229"/>
    <w:rsid w:val="4CC35913"/>
    <w:rsid w:val="4CD16286"/>
    <w:rsid w:val="4CEA78A8"/>
    <w:rsid w:val="4D0C3224"/>
    <w:rsid w:val="4D221CD7"/>
    <w:rsid w:val="4D266C7C"/>
    <w:rsid w:val="4D377045"/>
    <w:rsid w:val="4D6C41D0"/>
    <w:rsid w:val="4D6F32C7"/>
    <w:rsid w:val="4D8656DA"/>
    <w:rsid w:val="4DA40E96"/>
    <w:rsid w:val="4DAF0F0C"/>
    <w:rsid w:val="4DB466DA"/>
    <w:rsid w:val="4DDC7AE7"/>
    <w:rsid w:val="4DED05FC"/>
    <w:rsid w:val="4DF36CCF"/>
    <w:rsid w:val="4E1A38B1"/>
    <w:rsid w:val="4E3852C6"/>
    <w:rsid w:val="4E9904C8"/>
    <w:rsid w:val="4EBC7A0C"/>
    <w:rsid w:val="4EFC5C9A"/>
    <w:rsid w:val="4F236AC7"/>
    <w:rsid w:val="4F2D6FE8"/>
    <w:rsid w:val="4F5370C0"/>
    <w:rsid w:val="4F5438DD"/>
    <w:rsid w:val="4F581010"/>
    <w:rsid w:val="4F5B3392"/>
    <w:rsid w:val="4F6F338F"/>
    <w:rsid w:val="4F726AC9"/>
    <w:rsid w:val="4FAC5FB2"/>
    <w:rsid w:val="4FE63299"/>
    <w:rsid w:val="500322C8"/>
    <w:rsid w:val="50045AC3"/>
    <w:rsid w:val="50244C57"/>
    <w:rsid w:val="50276B4E"/>
    <w:rsid w:val="506D59CD"/>
    <w:rsid w:val="50717707"/>
    <w:rsid w:val="509408F9"/>
    <w:rsid w:val="50AA4B2B"/>
    <w:rsid w:val="50AB3096"/>
    <w:rsid w:val="50AD2C9D"/>
    <w:rsid w:val="50C51B9D"/>
    <w:rsid w:val="50E02F36"/>
    <w:rsid w:val="50F02B8B"/>
    <w:rsid w:val="514C21C1"/>
    <w:rsid w:val="517717CD"/>
    <w:rsid w:val="52030F03"/>
    <w:rsid w:val="52091678"/>
    <w:rsid w:val="5212572E"/>
    <w:rsid w:val="521438ED"/>
    <w:rsid w:val="521469DC"/>
    <w:rsid w:val="522C74B0"/>
    <w:rsid w:val="527B7A70"/>
    <w:rsid w:val="528002E3"/>
    <w:rsid w:val="528662F8"/>
    <w:rsid w:val="52D27B05"/>
    <w:rsid w:val="52D35F4F"/>
    <w:rsid w:val="52FA6F7C"/>
    <w:rsid w:val="53130BF7"/>
    <w:rsid w:val="531B1423"/>
    <w:rsid w:val="5322600D"/>
    <w:rsid w:val="533E1D0F"/>
    <w:rsid w:val="534479FE"/>
    <w:rsid w:val="53531332"/>
    <w:rsid w:val="5363180D"/>
    <w:rsid w:val="53694B2E"/>
    <w:rsid w:val="538B12BE"/>
    <w:rsid w:val="53B35F17"/>
    <w:rsid w:val="540D783D"/>
    <w:rsid w:val="541B65F4"/>
    <w:rsid w:val="549D73AB"/>
    <w:rsid w:val="54A02E19"/>
    <w:rsid w:val="54A40375"/>
    <w:rsid w:val="54A414C7"/>
    <w:rsid w:val="54A746AA"/>
    <w:rsid w:val="54D0545F"/>
    <w:rsid w:val="551D25FD"/>
    <w:rsid w:val="551E1C8F"/>
    <w:rsid w:val="5552691D"/>
    <w:rsid w:val="55566A4B"/>
    <w:rsid w:val="55A44BCF"/>
    <w:rsid w:val="55A60A43"/>
    <w:rsid w:val="55E23B6E"/>
    <w:rsid w:val="55E8379E"/>
    <w:rsid w:val="55FC278C"/>
    <w:rsid w:val="56011DF0"/>
    <w:rsid w:val="56180A5E"/>
    <w:rsid w:val="56341678"/>
    <w:rsid w:val="56E6151A"/>
    <w:rsid w:val="5702055E"/>
    <w:rsid w:val="575F25C1"/>
    <w:rsid w:val="576E7DC8"/>
    <w:rsid w:val="57A03881"/>
    <w:rsid w:val="57B66DF8"/>
    <w:rsid w:val="57E2605D"/>
    <w:rsid w:val="57FD1792"/>
    <w:rsid w:val="583B339B"/>
    <w:rsid w:val="58415193"/>
    <w:rsid w:val="584621E1"/>
    <w:rsid w:val="58481CE4"/>
    <w:rsid w:val="5898636D"/>
    <w:rsid w:val="58AB1524"/>
    <w:rsid w:val="58B73B3C"/>
    <w:rsid w:val="58BA34DE"/>
    <w:rsid w:val="58BC5859"/>
    <w:rsid w:val="58C953BB"/>
    <w:rsid w:val="590B5212"/>
    <w:rsid w:val="5926651D"/>
    <w:rsid w:val="593D497F"/>
    <w:rsid w:val="59830BF8"/>
    <w:rsid w:val="59BC0916"/>
    <w:rsid w:val="59CB138B"/>
    <w:rsid w:val="59D5057A"/>
    <w:rsid w:val="5A024091"/>
    <w:rsid w:val="5A8A6DE2"/>
    <w:rsid w:val="5AAA1B1D"/>
    <w:rsid w:val="5ABB44D0"/>
    <w:rsid w:val="5AFC5479"/>
    <w:rsid w:val="5B151CE2"/>
    <w:rsid w:val="5B1E5FDD"/>
    <w:rsid w:val="5B3A4EE7"/>
    <w:rsid w:val="5B40336D"/>
    <w:rsid w:val="5B4E4486"/>
    <w:rsid w:val="5B7C0BB4"/>
    <w:rsid w:val="5B8C5D73"/>
    <w:rsid w:val="5B9F1E05"/>
    <w:rsid w:val="5BEE65FC"/>
    <w:rsid w:val="5BFA36D3"/>
    <w:rsid w:val="5BFD58A1"/>
    <w:rsid w:val="5C084732"/>
    <w:rsid w:val="5C125816"/>
    <w:rsid w:val="5C13465C"/>
    <w:rsid w:val="5C2115FE"/>
    <w:rsid w:val="5C2C2BF7"/>
    <w:rsid w:val="5C566B5C"/>
    <w:rsid w:val="5C924479"/>
    <w:rsid w:val="5CB24E73"/>
    <w:rsid w:val="5CDE571C"/>
    <w:rsid w:val="5CE16196"/>
    <w:rsid w:val="5D720F98"/>
    <w:rsid w:val="5D91179A"/>
    <w:rsid w:val="5DCE0AA9"/>
    <w:rsid w:val="5DD07523"/>
    <w:rsid w:val="5DDA0FE2"/>
    <w:rsid w:val="5DE73D28"/>
    <w:rsid w:val="5E527C50"/>
    <w:rsid w:val="5EA701D4"/>
    <w:rsid w:val="5EC703E6"/>
    <w:rsid w:val="5ECB0068"/>
    <w:rsid w:val="5EDB4F20"/>
    <w:rsid w:val="5F124393"/>
    <w:rsid w:val="5F1669E3"/>
    <w:rsid w:val="5F284E40"/>
    <w:rsid w:val="5F5641FA"/>
    <w:rsid w:val="5F754BEE"/>
    <w:rsid w:val="5F89287F"/>
    <w:rsid w:val="5FB5188F"/>
    <w:rsid w:val="5FF240E0"/>
    <w:rsid w:val="602148BA"/>
    <w:rsid w:val="606317CC"/>
    <w:rsid w:val="607625F6"/>
    <w:rsid w:val="60A832D2"/>
    <w:rsid w:val="60EA14E8"/>
    <w:rsid w:val="610E711E"/>
    <w:rsid w:val="61145E0F"/>
    <w:rsid w:val="614B7F86"/>
    <w:rsid w:val="61624FEF"/>
    <w:rsid w:val="61997B21"/>
    <w:rsid w:val="61BB2F63"/>
    <w:rsid w:val="61E25761"/>
    <w:rsid w:val="62030D09"/>
    <w:rsid w:val="62123DA7"/>
    <w:rsid w:val="622D4EEC"/>
    <w:rsid w:val="623D546B"/>
    <w:rsid w:val="624F538D"/>
    <w:rsid w:val="626271F8"/>
    <w:rsid w:val="62746729"/>
    <w:rsid w:val="629275AC"/>
    <w:rsid w:val="629A5F2E"/>
    <w:rsid w:val="62B46A9A"/>
    <w:rsid w:val="62B603BE"/>
    <w:rsid w:val="62B836E7"/>
    <w:rsid w:val="62CD3163"/>
    <w:rsid w:val="62F55F13"/>
    <w:rsid w:val="62FE04A2"/>
    <w:rsid w:val="636E3A96"/>
    <w:rsid w:val="63951267"/>
    <w:rsid w:val="63BE1A11"/>
    <w:rsid w:val="640F46E0"/>
    <w:rsid w:val="64112095"/>
    <w:rsid w:val="64224B50"/>
    <w:rsid w:val="642E62DB"/>
    <w:rsid w:val="646F4906"/>
    <w:rsid w:val="64EF1EE4"/>
    <w:rsid w:val="65044496"/>
    <w:rsid w:val="65215EF2"/>
    <w:rsid w:val="654A3F98"/>
    <w:rsid w:val="655167DB"/>
    <w:rsid w:val="65611DD3"/>
    <w:rsid w:val="658F1C8B"/>
    <w:rsid w:val="659A53D5"/>
    <w:rsid w:val="65CD47ED"/>
    <w:rsid w:val="65FC33BF"/>
    <w:rsid w:val="661C031E"/>
    <w:rsid w:val="665D1497"/>
    <w:rsid w:val="66EC609B"/>
    <w:rsid w:val="67041FC6"/>
    <w:rsid w:val="67054BC5"/>
    <w:rsid w:val="67072FFE"/>
    <w:rsid w:val="671477D7"/>
    <w:rsid w:val="672958C3"/>
    <w:rsid w:val="672D6E57"/>
    <w:rsid w:val="673226C3"/>
    <w:rsid w:val="67380715"/>
    <w:rsid w:val="674928AC"/>
    <w:rsid w:val="679423AA"/>
    <w:rsid w:val="67DF2416"/>
    <w:rsid w:val="67F61CED"/>
    <w:rsid w:val="68326D2F"/>
    <w:rsid w:val="683449CB"/>
    <w:rsid w:val="68361EAB"/>
    <w:rsid w:val="6887014C"/>
    <w:rsid w:val="688A62C1"/>
    <w:rsid w:val="68A7765D"/>
    <w:rsid w:val="68B61ACB"/>
    <w:rsid w:val="68CD2DF1"/>
    <w:rsid w:val="68D0691E"/>
    <w:rsid w:val="68D61FD5"/>
    <w:rsid w:val="68F65338"/>
    <w:rsid w:val="690F3D82"/>
    <w:rsid w:val="694834FE"/>
    <w:rsid w:val="695745BC"/>
    <w:rsid w:val="69AB4CF2"/>
    <w:rsid w:val="69C94CCC"/>
    <w:rsid w:val="69D96939"/>
    <w:rsid w:val="69F53BBD"/>
    <w:rsid w:val="69F86402"/>
    <w:rsid w:val="6A457966"/>
    <w:rsid w:val="6A476AE4"/>
    <w:rsid w:val="6A517BC2"/>
    <w:rsid w:val="6A65224D"/>
    <w:rsid w:val="6AD03CA4"/>
    <w:rsid w:val="6AFE02A6"/>
    <w:rsid w:val="6B015F03"/>
    <w:rsid w:val="6B730D8D"/>
    <w:rsid w:val="6B782404"/>
    <w:rsid w:val="6B7A5E67"/>
    <w:rsid w:val="6BC45011"/>
    <w:rsid w:val="6C140B92"/>
    <w:rsid w:val="6C327132"/>
    <w:rsid w:val="6C4F0A89"/>
    <w:rsid w:val="6C9735EF"/>
    <w:rsid w:val="6C9B33DD"/>
    <w:rsid w:val="6CC1445E"/>
    <w:rsid w:val="6CFB6AE7"/>
    <w:rsid w:val="6D3C62EF"/>
    <w:rsid w:val="6D3E020C"/>
    <w:rsid w:val="6D5B7C22"/>
    <w:rsid w:val="6D6D47E3"/>
    <w:rsid w:val="6D7F34AE"/>
    <w:rsid w:val="6D96073B"/>
    <w:rsid w:val="6D9F6F97"/>
    <w:rsid w:val="6DD803C3"/>
    <w:rsid w:val="6DF158E2"/>
    <w:rsid w:val="6E2A03E1"/>
    <w:rsid w:val="6E3217E2"/>
    <w:rsid w:val="6E46523A"/>
    <w:rsid w:val="6E49116B"/>
    <w:rsid w:val="6E4E02CB"/>
    <w:rsid w:val="6EBC193D"/>
    <w:rsid w:val="6F0F37DA"/>
    <w:rsid w:val="6F345DED"/>
    <w:rsid w:val="6F405526"/>
    <w:rsid w:val="6F4A4CF9"/>
    <w:rsid w:val="6F4E6D96"/>
    <w:rsid w:val="6F647671"/>
    <w:rsid w:val="6F713328"/>
    <w:rsid w:val="6F9B0AD8"/>
    <w:rsid w:val="6FD553A6"/>
    <w:rsid w:val="702173D8"/>
    <w:rsid w:val="705F6AE0"/>
    <w:rsid w:val="70616C6C"/>
    <w:rsid w:val="706F4382"/>
    <w:rsid w:val="70C31947"/>
    <w:rsid w:val="70DA5CBA"/>
    <w:rsid w:val="710924D1"/>
    <w:rsid w:val="71477CB9"/>
    <w:rsid w:val="71542DC3"/>
    <w:rsid w:val="71B04CB7"/>
    <w:rsid w:val="71E6401D"/>
    <w:rsid w:val="71EC6C57"/>
    <w:rsid w:val="720A1AEC"/>
    <w:rsid w:val="720F447A"/>
    <w:rsid w:val="72377A68"/>
    <w:rsid w:val="724F6160"/>
    <w:rsid w:val="72AA2522"/>
    <w:rsid w:val="72C23555"/>
    <w:rsid w:val="72D0311E"/>
    <w:rsid w:val="72E15C27"/>
    <w:rsid w:val="733D3771"/>
    <w:rsid w:val="73470CFE"/>
    <w:rsid w:val="73702B31"/>
    <w:rsid w:val="73C26E90"/>
    <w:rsid w:val="73D3670A"/>
    <w:rsid w:val="73EC4408"/>
    <w:rsid w:val="73F6144E"/>
    <w:rsid w:val="74006B47"/>
    <w:rsid w:val="741E7F6E"/>
    <w:rsid w:val="744C66E2"/>
    <w:rsid w:val="74613231"/>
    <w:rsid w:val="74734462"/>
    <w:rsid w:val="74902E15"/>
    <w:rsid w:val="74C81B3F"/>
    <w:rsid w:val="74EC3944"/>
    <w:rsid w:val="75076AED"/>
    <w:rsid w:val="752D39CB"/>
    <w:rsid w:val="75956A24"/>
    <w:rsid w:val="759B20C5"/>
    <w:rsid w:val="75C62F7B"/>
    <w:rsid w:val="76565CF8"/>
    <w:rsid w:val="765D6AD9"/>
    <w:rsid w:val="768C18A5"/>
    <w:rsid w:val="76AF7703"/>
    <w:rsid w:val="771C2B72"/>
    <w:rsid w:val="773D399C"/>
    <w:rsid w:val="776E2CBE"/>
    <w:rsid w:val="77887588"/>
    <w:rsid w:val="778B4C48"/>
    <w:rsid w:val="77AE64E8"/>
    <w:rsid w:val="77B072BC"/>
    <w:rsid w:val="77BC46A9"/>
    <w:rsid w:val="77D72625"/>
    <w:rsid w:val="77F80F61"/>
    <w:rsid w:val="78031D58"/>
    <w:rsid w:val="78207259"/>
    <w:rsid w:val="7832110C"/>
    <w:rsid w:val="784259B5"/>
    <w:rsid w:val="78546EFA"/>
    <w:rsid w:val="78627FD0"/>
    <w:rsid w:val="78E32DDE"/>
    <w:rsid w:val="78EF05F9"/>
    <w:rsid w:val="78F723CB"/>
    <w:rsid w:val="792A77D2"/>
    <w:rsid w:val="793F27C8"/>
    <w:rsid w:val="79645141"/>
    <w:rsid w:val="79661EFB"/>
    <w:rsid w:val="796A7017"/>
    <w:rsid w:val="796C2017"/>
    <w:rsid w:val="797125E2"/>
    <w:rsid w:val="799D2830"/>
    <w:rsid w:val="79A37060"/>
    <w:rsid w:val="79DF25E2"/>
    <w:rsid w:val="79E24222"/>
    <w:rsid w:val="7A2309E8"/>
    <w:rsid w:val="7A4C5CF5"/>
    <w:rsid w:val="7A591AD6"/>
    <w:rsid w:val="7A5E1396"/>
    <w:rsid w:val="7ACB247F"/>
    <w:rsid w:val="7AEB20F3"/>
    <w:rsid w:val="7AFA6573"/>
    <w:rsid w:val="7B097CF6"/>
    <w:rsid w:val="7B1D7B50"/>
    <w:rsid w:val="7B2A639A"/>
    <w:rsid w:val="7B8D25BC"/>
    <w:rsid w:val="7BBF0C53"/>
    <w:rsid w:val="7BCF49AA"/>
    <w:rsid w:val="7C344213"/>
    <w:rsid w:val="7C4C6056"/>
    <w:rsid w:val="7C6712B6"/>
    <w:rsid w:val="7C7270F4"/>
    <w:rsid w:val="7C754C18"/>
    <w:rsid w:val="7C8B4E4F"/>
    <w:rsid w:val="7CB5087B"/>
    <w:rsid w:val="7CC806D1"/>
    <w:rsid w:val="7CCC2871"/>
    <w:rsid w:val="7CFA0158"/>
    <w:rsid w:val="7CFF1633"/>
    <w:rsid w:val="7D1F2AE3"/>
    <w:rsid w:val="7D2E4F75"/>
    <w:rsid w:val="7D322D1E"/>
    <w:rsid w:val="7D362C5F"/>
    <w:rsid w:val="7D4C467F"/>
    <w:rsid w:val="7DE63809"/>
    <w:rsid w:val="7E723B52"/>
    <w:rsid w:val="7E782E0A"/>
    <w:rsid w:val="7EAD4DFF"/>
    <w:rsid w:val="7EBB7B93"/>
    <w:rsid w:val="7EC363D0"/>
    <w:rsid w:val="7EDE775D"/>
    <w:rsid w:val="7EE80CA9"/>
    <w:rsid w:val="7F3B0A52"/>
    <w:rsid w:val="7FC71D43"/>
    <w:rsid w:val="7FD97488"/>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912"/>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913"/>
    <w:qFormat/>
    <w:uiPriority w:val="0"/>
    <w:pPr>
      <w:keepNext/>
      <w:adjustRightInd w:val="0"/>
      <w:spacing w:before="120" w:line="360" w:lineRule="auto"/>
      <w:jc w:val="center"/>
      <w:outlineLvl w:val="1"/>
    </w:pPr>
    <w:rPr>
      <w:rFonts w:eastAsia="隶书"/>
      <w:b/>
      <w:kern w:val="0"/>
      <w:sz w:val="44"/>
      <w:szCs w:val="20"/>
    </w:rPr>
  </w:style>
  <w:style w:type="paragraph" w:styleId="6">
    <w:name w:val="heading 3"/>
    <w:basedOn w:val="1"/>
    <w:next w:val="1"/>
    <w:link w:val="914"/>
    <w:qFormat/>
    <w:uiPriority w:val="0"/>
    <w:pPr>
      <w:keepNext/>
      <w:keepLines/>
      <w:spacing w:before="260" w:after="260" w:line="416" w:lineRule="auto"/>
      <w:outlineLvl w:val="2"/>
    </w:pPr>
    <w:rPr>
      <w:b/>
      <w:bCs/>
      <w:sz w:val="32"/>
      <w:szCs w:val="32"/>
    </w:rPr>
  </w:style>
  <w:style w:type="paragraph" w:styleId="7">
    <w:name w:val="heading 4"/>
    <w:basedOn w:val="1"/>
    <w:next w:val="1"/>
    <w:link w:val="915"/>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916"/>
    <w:qFormat/>
    <w:uiPriority w:val="0"/>
    <w:pPr>
      <w:keepNext/>
      <w:keepLines/>
      <w:numPr>
        <w:ilvl w:val="4"/>
        <w:numId w:val="1"/>
      </w:numPr>
      <w:spacing w:before="280" w:after="290" w:line="376" w:lineRule="auto"/>
      <w:outlineLvl w:val="4"/>
    </w:pPr>
    <w:rPr>
      <w:b/>
      <w:sz w:val="28"/>
    </w:rPr>
  </w:style>
  <w:style w:type="paragraph" w:styleId="10">
    <w:name w:val="heading 6"/>
    <w:basedOn w:val="1"/>
    <w:next w:val="9"/>
    <w:link w:val="917"/>
    <w:qFormat/>
    <w:uiPriority w:val="0"/>
    <w:pPr>
      <w:keepNext/>
      <w:keepLines/>
      <w:numPr>
        <w:ilvl w:val="5"/>
        <w:numId w:val="1"/>
      </w:numPr>
      <w:spacing w:before="240" w:after="64" w:line="320" w:lineRule="auto"/>
      <w:outlineLvl w:val="5"/>
    </w:pPr>
    <w:rPr>
      <w:rFonts w:ascii="Arial" w:hAnsi="Arial" w:eastAsia="黑体"/>
      <w:b/>
      <w:sz w:val="24"/>
    </w:rPr>
  </w:style>
  <w:style w:type="paragraph" w:styleId="11">
    <w:name w:val="heading 7"/>
    <w:basedOn w:val="1"/>
    <w:next w:val="9"/>
    <w:link w:val="88"/>
    <w:qFormat/>
    <w:uiPriority w:val="0"/>
    <w:pPr>
      <w:keepNext/>
      <w:keepLines/>
      <w:numPr>
        <w:ilvl w:val="6"/>
        <w:numId w:val="1"/>
      </w:numPr>
      <w:spacing w:before="240" w:after="64" w:line="320" w:lineRule="auto"/>
      <w:outlineLvl w:val="6"/>
    </w:pPr>
    <w:rPr>
      <w:b/>
      <w:sz w:val="24"/>
    </w:rPr>
  </w:style>
  <w:style w:type="paragraph" w:styleId="12">
    <w:name w:val="heading 8"/>
    <w:basedOn w:val="1"/>
    <w:next w:val="9"/>
    <w:link w:val="135"/>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9"/>
    <w:link w:val="64"/>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1"/>
    <w:qFormat/>
    <w:uiPriority w:val="0"/>
    <w:pPr>
      <w:spacing w:line="420" w:lineRule="exact"/>
    </w:pPr>
    <w:rPr>
      <w:sz w:val="24"/>
    </w:rPr>
  </w:style>
  <w:style w:type="paragraph" w:styleId="3">
    <w:name w:val="macro"/>
    <w:link w:val="9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9">
    <w:name w:val="Normal Indent"/>
    <w:basedOn w:val="1"/>
    <w:link w:val="87"/>
    <w:qFormat/>
    <w:uiPriority w:val="0"/>
    <w:pPr>
      <w:spacing w:line="240" w:lineRule="atLeast"/>
      <w:ind w:left="900" w:hanging="900"/>
      <w:jc w:val="left"/>
    </w:pPr>
    <w:rPr>
      <w:rFonts w:ascii="宋体"/>
      <w:snapToGrid w:val="0"/>
      <w:kern w:val="0"/>
      <w:sz w:val="20"/>
      <w:szCs w:val="20"/>
    </w:rPr>
  </w:style>
  <w:style w:type="paragraph" w:styleId="14">
    <w:name w:val="toc 7"/>
    <w:basedOn w:val="1"/>
    <w:next w:val="1"/>
    <w:qFormat/>
    <w:uiPriority w:val="39"/>
    <w:pPr>
      <w:ind w:left="1260"/>
      <w:jc w:val="left"/>
    </w:pPr>
    <w:rPr>
      <w:rFonts w:ascii="Calibri" w:hAnsi="Calibri"/>
      <w:sz w:val="18"/>
      <w:szCs w:val="18"/>
    </w:rPr>
  </w:style>
  <w:style w:type="paragraph" w:styleId="15">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6">
    <w:name w:val="caption"/>
    <w:basedOn w:val="1"/>
    <w:next w:val="1"/>
    <w:link w:val="65"/>
    <w:qFormat/>
    <w:uiPriority w:val="0"/>
    <w:pPr>
      <w:spacing w:before="152" w:after="160"/>
    </w:pPr>
    <w:rPr>
      <w:rFonts w:ascii="Arial" w:hAnsi="Arial" w:eastAsia="黑体"/>
      <w:sz w:val="20"/>
      <w:szCs w:val="20"/>
    </w:rPr>
  </w:style>
  <w:style w:type="paragraph" w:styleId="17">
    <w:name w:val="Document Map"/>
    <w:basedOn w:val="1"/>
    <w:link w:val="131"/>
    <w:qFormat/>
    <w:uiPriority w:val="0"/>
    <w:pPr>
      <w:shd w:val="clear" w:color="auto" w:fill="000080"/>
    </w:pPr>
  </w:style>
  <w:style w:type="paragraph" w:styleId="18">
    <w:name w:val="annotation text"/>
    <w:basedOn w:val="1"/>
    <w:link w:val="104"/>
    <w:unhideWhenUsed/>
    <w:qFormat/>
    <w:uiPriority w:val="99"/>
    <w:pPr>
      <w:jc w:val="left"/>
    </w:pPr>
  </w:style>
  <w:style w:type="paragraph" w:styleId="19">
    <w:name w:val="Body Text 3"/>
    <w:basedOn w:val="1"/>
    <w:link w:val="85"/>
    <w:qFormat/>
    <w:uiPriority w:val="0"/>
    <w:pPr>
      <w:spacing w:line="500" w:lineRule="exact"/>
    </w:pPr>
    <w:rPr>
      <w:b/>
      <w:bCs/>
      <w:kern w:val="0"/>
      <w:sz w:val="24"/>
    </w:rPr>
  </w:style>
  <w:style w:type="paragraph" w:styleId="20">
    <w:name w:val="Body Text Indent"/>
    <w:basedOn w:val="1"/>
    <w:link w:val="71"/>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2"/>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5"/>
    <w:qFormat/>
    <w:uiPriority w:val="0"/>
    <w:pPr>
      <w:ind w:left="100" w:leftChars="2500"/>
    </w:pPr>
    <w:rPr>
      <w:sz w:val="24"/>
    </w:rPr>
  </w:style>
  <w:style w:type="paragraph" w:styleId="29">
    <w:name w:val="Body Text Indent 2"/>
    <w:basedOn w:val="1"/>
    <w:link w:val="141"/>
    <w:qFormat/>
    <w:uiPriority w:val="0"/>
    <w:pPr>
      <w:spacing w:after="120" w:line="480" w:lineRule="auto"/>
      <w:ind w:left="420" w:leftChars="200"/>
    </w:pPr>
  </w:style>
  <w:style w:type="paragraph" w:styleId="30">
    <w:name w:val="Balloon Text"/>
    <w:basedOn w:val="1"/>
    <w:link w:val="142"/>
    <w:qFormat/>
    <w:uiPriority w:val="0"/>
    <w:rPr>
      <w:sz w:val="18"/>
      <w:szCs w:val="18"/>
    </w:rPr>
  </w:style>
  <w:style w:type="paragraph" w:styleId="31">
    <w:name w:val="footer"/>
    <w:basedOn w:val="1"/>
    <w:link w:val="134"/>
    <w:qFormat/>
    <w:uiPriority w:val="99"/>
    <w:pPr>
      <w:tabs>
        <w:tab w:val="center" w:pos="4153"/>
        <w:tab w:val="right" w:pos="8306"/>
      </w:tabs>
      <w:snapToGrid w:val="0"/>
      <w:jc w:val="left"/>
    </w:pPr>
    <w:rPr>
      <w:sz w:val="18"/>
      <w:szCs w:val="18"/>
    </w:rPr>
  </w:style>
  <w:style w:type="paragraph" w:styleId="32">
    <w:name w:val="header"/>
    <w:basedOn w:val="1"/>
    <w:link w:val="128"/>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2"/>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8"/>
    <w:qFormat/>
    <w:uiPriority w:val="0"/>
    <w:pPr>
      <w:spacing w:after="120" w:line="480" w:lineRule="auto"/>
    </w:pPr>
    <w:rPr>
      <w:kern w:val="0"/>
      <w:sz w:val="20"/>
    </w:rPr>
  </w:style>
  <w:style w:type="paragraph" w:styleId="42">
    <w:name w:val="HTML Preformatted"/>
    <w:basedOn w:val="1"/>
    <w:link w:val="113"/>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8"/>
    <w:next w:val="18"/>
    <w:link w:val="123"/>
    <w:unhideWhenUsed/>
    <w:qFormat/>
    <w:uiPriority w:val="0"/>
    <w:rPr>
      <w:b/>
      <w:bCs/>
    </w:rPr>
  </w:style>
  <w:style w:type="paragraph" w:styleId="47">
    <w:name w:val="Body Text First Indent 2"/>
    <w:basedOn w:val="20"/>
    <w:link w:val="234"/>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HTML Code"/>
    <w:basedOn w:val="50"/>
    <w:semiHidden/>
    <w:unhideWhenUsed/>
    <w:qFormat/>
    <w:uiPriority w:val="0"/>
    <w:rPr>
      <w:rFonts w:ascii="Courier New" w:hAnsi="Courier New"/>
      <w:sz w:val="20"/>
    </w:rPr>
  </w:style>
  <w:style w:type="character" w:styleId="57">
    <w:name w:val="annotation reference"/>
    <w:unhideWhenUsed/>
    <w:qFormat/>
    <w:uiPriority w:val="99"/>
    <w:rPr>
      <w:sz w:val="21"/>
      <w:szCs w:val="21"/>
    </w:rPr>
  </w:style>
  <w:style w:type="character" w:customStyle="1" w:styleId="58">
    <w:name w:val="font51"/>
    <w:qFormat/>
    <w:uiPriority w:val="0"/>
    <w:rPr>
      <w:rFonts w:hint="eastAsia" w:ascii="宋体" w:hAnsi="宋体" w:eastAsia="宋体" w:cs="宋体"/>
      <w:color w:val="000000"/>
      <w:sz w:val="20"/>
      <w:szCs w:val="20"/>
      <w:u w:val="none"/>
    </w:rPr>
  </w:style>
  <w:style w:type="character" w:customStyle="1" w:styleId="59">
    <w:name w:val="正文文本缩进 2 Char2"/>
    <w:semiHidden/>
    <w:qFormat/>
    <w:uiPriority w:val="99"/>
    <w:rPr>
      <w:kern w:val="2"/>
      <w:sz w:val="21"/>
      <w:szCs w:val="24"/>
    </w:rPr>
  </w:style>
  <w:style w:type="character" w:customStyle="1" w:styleId="60">
    <w:name w:val="宏文本 Char1"/>
    <w:qFormat/>
    <w:uiPriority w:val="99"/>
    <w:rPr>
      <w:rFonts w:ascii="Courier New" w:hAnsi="Courier New" w:cs="Courier New"/>
      <w:kern w:val="2"/>
      <w:sz w:val="24"/>
      <w:szCs w:val="24"/>
    </w:rPr>
  </w:style>
  <w:style w:type="character" w:customStyle="1" w:styleId="61">
    <w:name w:val="正文文本缩进 2 Char1"/>
    <w:semiHidden/>
    <w:qFormat/>
    <w:uiPriority w:val="99"/>
    <w:rPr>
      <w:rFonts w:ascii="Times New Roman" w:hAnsi="Times New Roman" w:eastAsia="宋体" w:cs="Times New Roman"/>
      <w:szCs w:val="24"/>
    </w:rPr>
  </w:style>
  <w:style w:type="character" w:customStyle="1" w:styleId="62">
    <w:name w:val="样式2"/>
    <w:qFormat/>
    <w:uiPriority w:val="0"/>
    <w:rPr>
      <w:rFonts w:ascii="宋体" w:hAnsi="宋体"/>
      <w:b/>
      <w:szCs w:val="21"/>
    </w:rPr>
  </w:style>
  <w:style w:type="character" w:customStyle="1" w:styleId="63">
    <w:name w:val="apple-converted-space"/>
    <w:basedOn w:val="50"/>
    <w:qFormat/>
    <w:uiPriority w:val="0"/>
  </w:style>
  <w:style w:type="character" w:customStyle="1" w:styleId="64">
    <w:name w:val="标题 9 字符"/>
    <w:link w:val="13"/>
    <w:qFormat/>
    <w:uiPriority w:val="0"/>
    <w:rPr>
      <w:rFonts w:ascii="Arial" w:hAnsi="Arial" w:eastAsia="黑体"/>
      <w:kern w:val="2"/>
      <w:sz w:val="21"/>
      <w:szCs w:val="24"/>
    </w:rPr>
  </w:style>
  <w:style w:type="character" w:customStyle="1" w:styleId="65">
    <w:name w:val="题注 字符"/>
    <w:link w:val="16"/>
    <w:qFormat/>
    <w:uiPriority w:val="0"/>
    <w:rPr>
      <w:rFonts w:ascii="Arial" w:hAnsi="Arial" w:eastAsia="黑体" w:cs="Arial"/>
      <w:kern w:val="2"/>
    </w:rPr>
  </w:style>
  <w:style w:type="character" w:customStyle="1" w:styleId="66">
    <w:name w:val="标题 5 字符"/>
    <w:link w:val="8"/>
    <w:qFormat/>
    <w:uiPriority w:val="0"/>
    <w:rPr>
      <w:b/>
      <w:kern w:val="2"/>
      <w:sz w:val="28"/>
      <w:szCs w:val="24"/>
    </w:rPr>
  </w:style>
  <w:style w:type="character" w:customStyle="1" w:styleId="67">
    <w:name w:val="正文文本 3 Char1"/>
    <w:qFormat/>
    <w:uiPriority w:val="99"/>
    <w:rPr>
      <w:kern w:val="2"/>
      <w:sz w:val="16"/>
      <w:szCs w:val="16"/>
    </w:rPr>
  </w:style>
  <w:style w:type="character" w:customStyle="1" w:styleId="68">
    <w:name w:val="标题 3 字符"/>
    <w:link w:val="6"/>
    <w:qFormat/>
    <w:uiPriority w:val="0"/>
    <w:rPr>
      <w:b/>
      <w:bCs/>
      <w:kern w:val="2"/>
      <w:sz w:val="32"/>
      <w:szCs w:val="32"/>
    </w:rPr>
  </w:style>
  <w:style w:type="character" w:customStyle="1" w:styleId="69">
    <w:name w:val="样式1"/>
    <w:qFormat/>
    <w:uiPriority w:val="0"/>
    <w:rPr>
      <w:rFonts w:ascii="宋体" w:hAnsi="宋体"/>
      <w:szCs w:val="21"/>
    </w:rPr>
  </w:style>
  <w:style w:type="character" w:customStyle="1" w:styleId="70">
    <w:name w:val="标题 2 字符"/>
    <w:link w:val="5"/>
    <w:qFormat/>
    <w:uiPriority w:val="0"/>
    <w:rPr>
      <w:rFonts w:eastAsia="隶书"/>
      <w:b/>
      <w:sz w:val="44"/>
    </w:rPr>
  </w:style>
  <w:style w:type="character" w:customStyle="1" w:styleId="71">
    <w:name w:val="正文文本缩进 字符"/>
    <w:link w:val="20"/>
    <w:qFormat/>
    <w:uiPriority w:val="0"/>
    <w:rPr>
      <w:kern w:val="2"/>
      <w:sz w:val="21"/>
      <w:szCs w:val="24"/>
    </w:rPr>
  </w:style>
  <w:style w:type="character" w:customStyle="1" w:styleId="72">
    <w:name w:val="页脚 Char2"/>
    <w:semiHidden/>
    <w:qFormat/>
    <w:uiPriority w:val="99"/>
    <w:rPr>
      <w:kern w:val="2"/>
      <w:sz w:val="18"/>
      <w:szCs w:val="18"/>
    </w:rPr>
  </w:style>
  <w:style w:type="character" w:customStyle="1" w:styleId="73">
    <w:name w:val="列表段落 字符"/>
    <w:link w:val="74"/>
    <w:qFormat/>
    <w:locked/>
    <w:uiPriority w:val="34"/>
    <w:rPr>
      <w:rFonts w:ascii="Calibri" w:hAnsi="Calibri"/>
      <w:kern w:val="2"/>
      <w:sz w:val="21"/>
      <w:szCs w:val="22"/>
    </w:rPr>
  </w:style>
  <w:style w:type="paragraph" w:styleId="74">
    <w:name w:val="List Paragraph"/>
    <w:basedOn w:val="1"/>
    <w:link w:val="73"/>
    <w:qFormat/>
    <w:uiPriority w:val="34"/>
    <w:pPr>
      <w:ind w:firstLine="420" w:firstLineChars="200"/>
    </w:pPr>
    <w:rPr>
      <w:rFonts w:ascii="Calibri" w:hAnsi="Calibri"/>
      <w:szCs w:val="22"/>
    </w:rPr>
  </w:style>
  <w:style w:type="character" w:customStyle="1" w:styleId="75">
    <w:name w:val="gray"/>
    <w:qFormat/>
    <w:uiPriority w:val="0"/>
    <w:rPr>
      <w:rFonts w:ascii="Tahoma" w:hAnsi="Tahoma" w:eastAsia="宋体"/>
      <w:kern w:val="2"/>
      <w:sz w:val="24"/>
      <w:szCs w:val="24"/>
      <w:lang w:val="en-US" w:eastAsia="zh-CN" w:bidi="ar-SA"/>
    </w:rPr>
  </w:style>
  <w:style w:type="character" w:customStyle="1" w:styleId="76">
    <w:name w:val="HTML 预设格式 Char1"/>
    <w:qFormat/>
    <w:uiPriority w:val="99"/>
    <w:rPr>
      <w:rFonts w:ascii="Courier New" w:hAnsi="Courier New" w:cs="Courier New"/>
      <w:kern w:val="2"/>
    </w:rPr>
  </w:style>
  <w:style w:type="character" w:customStyle="1" w:styleId="77">
    <w:name w:val="mark"/>
    <w:basedOn w:val="50"/>
    <w:qFormat/>
    <w:uiPriority w:val="0"/>
  </w:style>
  <w:style w:type="character" w:customStyle="1" w:styleId="78">
    <w:name w:val="A15"/>
    <w:qFormat/>
    <w:uiPriority w:val="0"/>
    <w:rPr>
      <w:rFonts w:ascii="Times New Roman" w:hAnsi="Times New Roman"/>
      <w:color w:val="000000"/>
      <w:sz w:val="14"/>
      <w:szCs w:val="14"/>
    </w:rPr>
  </w:style>
  <w:style w:type="character" w:customStyle="1" w:styleId="79">
    <w:name w:val="日期 Char1"/>
    <w:semiHidden/>
    <w:qFormat/>
    <w:uiPriority w:val="99"/>
    <w:rPr>
      <w:rFonts w:ascii="Times New Roman" w:hAnsi="Times New Roman" w:eastAsia="宋体" w:cs="Times New Roman"/>
      <w:szCs w:val="24"/>
    </w:rPr>
  </w:style>
  <w:style w:type="character" w:customStyle="1" w:styleId="80">
    <w:name w:val="引用 字符"/>
    <w:link w:val="81"/>
    <w:qFormat/>
    <w:uiPriority w:val="29"/>
    <w:rPr>
      <w:i/>
      <w:iCs/>
      <w:color w:val="404040"/>
      <w:kern w:val="2"/>
      <w:sz w:val="21"/>
      <w:szCs w:val="24"/>
    </w:rPr>
  </w:style>
  <w:style w:type="paragraph" w:styleId="81">
    <w:name w:val="Quote"/>
    <w:basedOn w:val="1"/>
    <w:next w:val="1"/>
    <w:link w:val="80"/>
    <w:qFormat/>
    <w:uiPriority w:val="29"/>
    <w:pPr>
      <w:spacing w:before="200" w:after="160"/>
      <w:ind w:left="864" w:right="864"/>
      <w:jc w:val="center"/>
    </w:pPr>
    <w:rPr>
      <w:i/>
      <w:iCs/>
      <w:color w:val="404040"/>
    </w:rPr>
  </w:style>
  <w:style w:type="character" w:customStyle="1" w:styleId="82">
    <w:name w:val="超链接2"/>
    <w:qFormat/>
    <w:uiPriority w:val="0"/>
    <w:rPr>
      <w:rFonts w:hint="eastAsia" w:ascii="宋体" w:hAnsi="宋体" w:eastAsia="宋体"/>
      <w:color w:val="FFFFFF"/>
      <w:sz w:val="18"/>
      <w:szCs w:val="18"/>
      <w:u w:val="none"/>
    </w:rPr>
  </w:style>
  <w:style w:type="character" w:customStyle="1" w:styleId="83">
    <w:name w:val="ca-2"/>
    <w:basedOn w:val="50"/>
    <w:qFormat/>
    <w:uiPriority w:val="0"/>
  </w:style>
  <w:style w:type="character" w:customStyle="1" w:styleId="84">
    <w:name w:val="页脚 Char1"/>
    <w:semiHidden/>
    <w:qFormat/>
    <w:uiPriority w:val="99"/>
    <w:rPr>
      <w:rFonts w:ascii="Times New Roman" w:hAnsi="Times New Roman" w:eastAsia="宋体" w:cs="Times New Roman"/>
      <w:sz w:val="18"/>
      <w:szCs w:val="18"/>
    </w:rPr>
  </w:style>
  <w:style w:type="character" w:customStyle="1" w:styleId="85">
    <w:name w:val="正文文本 3 字符"/>
    <w:link w:val="19"/>
    <w:qFormat/>
    <w:uiPriority w:val="0"/>
    <w:rPr>
      <w:b/>
      <w:bCs/>
      <w:sz w:val="24"/>
      <w:szCs w:val="24"/>
    </w:rPr>
  </w:style>
  <w:style w:type="character" w:customStyle="1" w:styleId="86">
    <w:name w:val="引用 Char1"/>
    <w:qFormat/>
    <w:uiPriority w:val="99"/>
    <w:rPr>
      <w:rFonts w:ascii="Times New Roman" w:hAnsi="Times New Roman"/>
      <w:i/>
      <w:iCs/>
      <w:color w:val="000000"/>
      <w:kern w:val="2"/>
      <w:sz w:val="21"/>
      <w:szCs w:val="24"/>
    </w:rPr>
  </w:style>
  <w:style w:type="character" w:customStyle="1" w:styleId="87">
    <w:name w:val="正文缩进 字符"/>
    <w:link w:val="9"/>
    <w:qFormat/>
    <w:uiPriority w:val="0"/>
    <w:rPr>
      <w:rFonts w:ascii="宋体"/>
      <w:snapToGrid w:val="0"/>
    </w:rPr>
  </w:style>
  <w:style w:type="character" w:customStyle="1" w:styleId="88">
    <w:name w:val="标题 7 字符"/>
    <w:link w:val="11"/>
    <w:qFormat/>
    <w:uiPriority w:val="0"/>
    <w:rPr>
      <w:b/>
      <w:kern w:val="2"/>
      <w:sz w:val="24"/>
      <w:szCs w:val="24"/>
    </w:rPr>
  </w:style>
  <w:style w:type="character" w:customStyle="1" w:styleId="89">
    <w:name w:val="style21"/>
    <w:qFormat/>
    <w:uiPriority w:val="0"/>
    <w:rPr>
      <w:sz w:val="22"/>
      <w:szCs w:val="22"/>
    </w:rPr>
  </w:style>
  <w:style w:type="character" w:customStyle="1" w:styleId="90">
    <w:name w:val="A4"/>
    <w:qFormat/>
    <w:uiPriority w:val="0"/>
    <w:rPr>
      <w:rFonts w:ascii="新宋体" w:eastAsia="新宋体" w:cs="新宋体"/>
      <w:color w:val="000000"/>
      <w:lang w:bidi="ar-SA"/>
    </w:rPr>
  </w:style>
  <w:style w:type="character" w:customStyle="1" w:styleId="91">
    <w:name w:val="纯文本 字符1"/>
    <w:qFormat/>
    <w:uiPriority w:val="0"/>
    <w:rPr>
      <w:rFonts w:ascii="宋体" w:hAnsi="Courier New" w:eastAsia="宋体" w:cs="Courier New"/>
      <w:szCs w:val="21"/>
    </w:rPr>
  </w:style>
  <w:style w:type="character" w:customStyle="1" w:styleId="92">
    <w:name w:val="Subtle Emphasis"/>
    <w:qFormat/>
    <w:uiPriority w:val="19"/>
    <w:rPr>
      <w:i/>
      <w:iCs/>
      <w:color w:val="808080"/>
    </w:rPr>
  </w:style>
  <w:style w:type="character" w:customStyle="1" w:styleId="93">
    <w:name w:val="宏文本 字符"/>
    <w:link w:val="3"/>
    <w:qFormat/>
    <w:uiPriority w:val="99"/>
    <w:rPr>
      <w:rFonts w:ascii="Courier New" w:hAnsi="Courier New"/>
      <w:kern w:val="2"/>
      <w:sz w:val="24"/>
      <w:szCs w:val="24"/>
      <w:lang w:val="en-US" w:eastAsia="zh-CN" w:bidi="ar-SA"/>
    </w:rPr>
  </w:style>
  <w:style w:type="character" w:customStyle="1" w:styleId="94">
    <w:name w:val="正文文本缩进 3 Char2"/>
    <w:semiHidden/>
    <w:qFormat/>
    <w:uiPriority w:val="99"/>
    <w:rPr>
      <w:kern w:val="2"/>
      <w:sz w:val="16"/>
      <w:szCs w:val="16"/>
    </w:rPr>
  </w:style>
  <w:style w:type="character" w:customStyle="1" w:styleId="95">
    <w:name w:val="日期 字符"/>
    <w:link w:val="28"/>
    <w:qFormat/>
    <w:uiPriority w:val="0"/>
    <w:rPr>
      <w:kern w:val="2"/>
      <w:sz w:val="24"/>
      <w:szCs w:val="24"/>
    </w:rPr>
  </w:style>
  <w:style w:type="character" w:customStyle="1" w:styleId="96">
    <w:name w:val="正文文本缩进 3 Char1"/>
    <w:semiHidden/>
    <w:qFormat/>
    <w:uiPriority w:val="99"/>
    <w:rPr>
      <w:rFonts w:ascii="Times New Roman" w:hAnsi="Times New Roman" w:eastAsia="宋体" w:cs="Times New Roman"/>
      <w:sz w:val="16"/>
      <w:szCs w:val="16"/>
    </w:rPr>
  </w:style>
  <w:style w:type="character" w:customStyle="1" w:styleId="97">
    <w:name w:val="普通文字 Char Char4"/>
    <w:qFormat/>
    <w:uiPriority w:val="0"/>
    <w:rPr>
      <w:rFonts w:ascii="宋体" w:hAnsi="Courier New" w:eastAsia="宋体" w:cs="Courier New"/>
      <w:szCs w:val="21"/>
    </w:rPr>
  </w:style>
  <w:style w:type="character" w:customStyle="1" w:styleId="98">
    <w:name w:val="text1"/>
    <w:basedOn w:val="50"/>
    <w:qFormat/>
    <w:uiPriority w:val="0"/>
  </w:style>
  <w:style w:type="character" w:customStyle="1" w:styleId="99">
    <w:name w:val="表正文 Char2"/>
    <w:qFormat/>
    <w:uiPriority w:val="0"/>
    <w:rPr>
      <w:rFonts w:ascii="Times New Roman" w:hAnsi="Times New Roman"/>
      <w:kern w:val="2"/>
      <w:sz w:val="21"/>
    </w:rPr>
  </w:style>
  <w:style w:type="character" w:customStyle="1" w:styleId="100">
    <w:name w:val="项目排列 Char Char"/>
    <w:link w:val="101"/>
    <w:qFormat/>
    <w:uiPriority w:val="0"/>
    <w:rPr>
      <w:kern w:val="2"/>
      <w:sz w:val="24"/>
      <w:szCs w:val="24"/>
    </w:rPr>
  </w:style>
  <w:style w:type="paragraph" w:customStyle="1" w:styleId="101">
    <w:name w:val="项目排列"/>
    <w:basedOn w:val="1"/>
    <w:link w:val="100"/>
    <w:qFormat/>
    <w:uiPriority w:val="0"/>
    <w:pPr>
      <w:numPr>
        <w:ilvl w:val="0"/>
        <w:numId w:val="1"/>
      </w:numPr>
      <w:tabs>
        <w:tab w:val="left" w:pos="1200"/>
      </w:tabs>
      <w:spacing w:before="156" w:beforeLines="50" w:after="156" w:afterLines="50" w:line="300" w:lineRule="auto"/>
    </w:pPr>
    <w:rPr>
      <w:sz w:val="24"/>
    </w:rPr>
  </w:style>
  <w:style w:type="character" w:customStyle="1" w:styleId="102">
    <w:name w:val="正文文本缩进 3 字符"/>
    <w:link w:val="38"/>
    <w:qFormat/>
    <w:uiPriority w:val="0"/>
    <w:rPr>
      <w:kern w:val="2"/>
      <w:sz w:val="16"/>
      <w:szCs w:val="16"/>
    </w:rPr>
  </w:style>
  <w:style w:type="character" w:customStyle="1" w:styleId="103">
    <w:name w:val="text11"/>
    <w:qFormat/>
    <w:uiPriority w:val="0"/>
    <w:rPr>
      <w:rFonts w:hint="default" w:ascii="Verdana" w:hAnsi="Verdana"/>
      <w:color w:val="4E4E4E"/>
      <w:sz w:val="18"/>
      <w:szCs w:val="18"/>
    </w:rPr>
  </w:style>
  <w:style w:type="character" w:customStyle="1" w:styleId="104">
    <w:name w:val="批注文字 字符"/>
    <w:link w:val="18"/>
    <w:qFormat/>
    <w:uiPriority w:val="99"/>
    <w:rPr>
      <w:kern w:val="2"/>
      <w:sz w:val="21"/>
      <w:szCs w:val="24"/>
    </w:rPr>
  </w:style>
  <w:style w:type="character" w:customStyle="1" w:styleId="105">
    <w:name w:val="lmain1"/>
    <w:qFormat/>
    <w:uiPriority w:val="0"/>
    <w:rPr>
      <w:color w:val="407AAB"/>
      <w:sz w:val="30"/>
      <w:szCs w:val="30"/>
    </w:rPr>
  </w:style>
  <w:style w:type="character" w:customStyle="1" w:styleId="106">
    <w:name w:val="case31"/>
    <w:qFormat/>
    <w:uiPriority w:val="0"/>
    <w:rPr>
      <w:rFonts w:hint="default"/>
      <w:sz w:val="21"/>
      <w:szCs w:val="21"/>
    </w:rPr>
  </w:style>
  <w:style w:type="character" w:customStyle="1" w:styleId="107">
    <w:name w:val="ca-11"/>
    <w:qFormat/>
    <w:uiPriority w:val="0"/>
    <w:rPr>
      <w:rFonts w:hint="eastAsia" w:ascii="宋体" w:hAnsi="宋体" w:eastAsia="宋体"/>
      <w:b/>
      <w:bCs/>
      <w:spacing w:val="-20"/>
      <w:sz w:val="21"/>
      <w:szCs w:val="21"/>
    </w:rPr>
  </w:style>
  <w:style w:type="character" w:customStyle="1" w:styleId="108">
    <w:name w:val="f161"/>
    <w:qFormat/>
    <w:uiPriority w:val="0"/>
    <w:rPr>
      <w:b/>
      <w:bCs/>
      <w:sz w:val="24"/>
      <w:szCs w:val="24"/>
    </w:rPr>
  </w:style>
  <w:style w:type="character" w:customStyle="1" w:styleId="109">
    <w:name w:val="标题 4 字符"/>
    <w:link w:val="7"/>
    <w:qFormat/>
    <w:uiPriority w:val="0"/>
    <w:rPr>
      <w:rFonts w:ascii="Arial" w:hAnsi="Arial" w:eastAsia="黑体"/>
      <w:b/>
      <w:bCs/>
      <w:kern w:val="2"/>
      <w:sz w:val="28"/>
      <w:szCs w:val="28"/>
    </w:rPr>
  </w:style>
  <w:style w:type="character" w:customStyle="1" w:styleId="110">
    <w:name w:val="正文文本 2 Char2"/>
    <w:qFormat/>
    <w:uiPriority w:val="99"/>
    <w:rPr>
      <w:kern w:val="2"/>
      <w:sz w:val="21"/>
      <w:szCs w:val="24"/>
    </w:rPr>
  </w:style>
  <w:style w:type="character" w:customStyle="1" w:styleId="111">
    <w:name w:val="style1"/>
    <w:basedOn w:val="50"/>
    <w:qFormat/>
    <w:uiPriority w:val="0"/>
  </w:style>
  <w:style w:type="character" w:customStyle="1" w:styleId="112">
    <w:name w:val="ca-21"/>
    <w:qFormat/>
    <w:uiPriority w:val="0"/>
    <w:rPr>
      <w:rFonts w:hint="eastAsia" w:ascii="宋体" w:hAnsi="宋体" w:eastAsia="宋体"/>
      <w:sz w:val="21"/>
      <w:szCs w:val="21"/>
    </w:rPr>
  </w:style>
  <w:style w:type="character" w:customStyle="1" w:styleId="113">
    <w:name w:val="HTML 预设格式 字符"/>
    <w:link w:val="42"/>
    <w:qFormat/>
    <w:uiPriority w:val="99"/>
    <w:rPr>
      <w:rFonts w:ascii="宋体" w:hAnsi="宋体" w:cs="宋体"/>
      <w:sz w:val="24"/>
      <w:szCs w:val="24"/>
    </w:rPr>
  </w:style>
  <w:style w:type="character" w:customStyle="1" w:styleId="114">
    <w:name w:val="Char Char11"/>
    <w:qFormat/>
    <w:uiPriority w:val="0"/>
    <w:rPr>
      <w:rFonts w:ascii="宋体" w:hAnsi="Courier New" w:eastAsia="宋体" w:cs="Courier New"/>
      <w:szCs w:val="21"/>
    </w:rPr>
  </w:style>
  <w:style w:type="character" w:customStyle="1" w:styleId="115">
    <w:name w:val="日期 Char2"/>
    <w:semiHidden/>
    <w:qFormat/>
    <w:uiPriority w:val="99"/>
    <w:rPr>
      <w:kern w:val="2"/>
      <w:sz w:val="21"/>
      <w:szCs w:val="24"/>
    </w:rPr>
  </w:style>
  <w:style w:type="character" w:customStyle="1" w:styleId="116">
    <w:name w:val="hei16b"/>
    <w:basedOn w:val="50"/>
    <w:qFormat/>
    <w:uiPriority w:val="0"/>
  </w:style>
  <w:style w:type="character" w:customStyle="1" w:styleId="117">
    <w:name w:val="标题 1 字符"/>
    <w:link w:val="4"/>
    <w:qFormat/>
    <w:uiPriority w:val="0"/>
    <w:rPr>
      <w:b/>
      <w:bCs/>
      <w:kern w:val="44"/>
      <w:sz w:val="44"/>
      <w:szCs w:val="44"/>
    </w:rPr>
  </w:style>
  <w:style w:type="character" w:customStyle="1" w:styleId="118">
    <w:name w:val="页眉 Char1"/>
    <w:semiHidden/>
    <w:qFormat/>
    <w:uiPriority w:val="99"/>
    <w:rPr>
      <w:kern w:val="2"/>
      <w:sz w:val="18"/>
      <w:szCs w:val="18"/>
    </w:rPr>
  </w:style>
  <w:style w:type="character" w:customStyle="1" w:styleId="119">
    <w:name w:val="正文缩进 Char1"/>
    <w:qFormat/>
    <w:uiPriority w:val="0"/>
    <w:rPr>
      <w:rFonts w:ascii="Times New Roman" w:hAnsi="Times New Roman"/>
      <w:kern w:val="2"/>
      <w:sz w:val="21"/>
    </w:rPr>
  </w:style>
  <w:style w:type="character" w:customStyle="1" w:styleId="120">
    <w:name w:val="font12-blue-bold1"/>
    <w:qFormat/>
    <w:uiPriority w:val="0"/>
    <w:rPr>
      <w:b/>
      <w:bCs/>
      <w:color w:val="0249A5"/>
      <w:sz w:val="14"/>
      <w:szCs w:val="14"/>
      <w:u w:val="none"/>
    </w:rPr>
  </w:style>
  <w:style w:type="character" w:customStyle="1" w:styleId="121">
    <w:name w:val="正文文本 字符"/>
    <w:link w:val="2"/>
    <w:qFormat/>
    <w:uiPriority w:val="0"/>
    <w:rPr>
      <w:kern w:val="2"/>
      <w:sz w:val="24"/>
      <w:szCs w:val="24"/>
    </w:rPr>
  </w:style>
  <w:style w:type="character" w:customStyle="1" w:styleId="122">
    <w:name w:val="Body Text Indent 3 Char"/>
    <w:qFormat/>
    <w:locked/>
    <w:uiPriority w:val="99"/>
    <w:rPr>
      <w:rFonts w:eastAsia="宋体"/>
      <w:sz w:val="16"/>
    </w:rPr>
  </w:style>
  <w:style w:type="character" w:customStyle="1" w:styleId="123">
    <w:name w:val="批注主题 字符"/>
    <w:link w:val="46"/>
    <w:qFormat/>
    <w:uiPriority w:val="0"/>
    <w:rPr>
      <w:b/>
      <w:bCs/>
      <w:kern w:val="2"/>
      <w:sz w:val="21"/>
      <w:szCs w:val="24"/>
    </w:rPr>
  </w:style>
  <w:style w:type="character" w:customStyle="1" w:styleId="124">
    <w:name w:val="bold1"/>
    <w:qFormat/>
    <w:uiPriority w:val="0"/>
    <w:rPr>
      <w:rFonts w:hint="default"/>
      <w:b/>
      <w:bCs/>
      <w:color w:val="000000"/>
      <w:sz w:val="18"/>
      <w:szCs w:val="18"/>
    </w:rPr>
  </w:style>
  <w:style w:type="character" w:customStyle="1" w:styleId="125">
    <w:name w:val="标题 6 字符"/>
    <w:link w:val="10"/>
    <w:qFormat/>
    <w:uiPriority w:val="0"/>
    <w:rPr>
      <w:rFonts w:ascii="Arial" w:hAnsi="Arial" w:eastAsia="黑体"/>
      <w:b/>
      <w:kern w:val="2"/>
      <w:sz w:val="24"/>
      <w:szCs w:val="24"/>
    </w:rPr>
  </w:style>
  <w:style w:type="character" w:customStyle="1" w:styleId="126">
    <w:name w:val="文档结构图 Char1"/>
    <w:qFormat/>
    <w:uiPriority w:val="99"/>
    <w:rPr>
      <w:rFonts w:ascii="宋体"/>
      <w:kern w:val="2"/>
      <w:sz w:val="18"/>
      <w:szCs w:val="18"/>
    </w:rPr>
  </w:style>
  <w:style w:type="character" w:customStyle="1" w:styleId="127">
    <w:name w:val="正文文本 Char1"/>
    <w:semiHidden/>
    <w:qFormat/>
    <w:uiPriority w:val="99"/>
    <w:rPr>
      <w:rFonts w:ascii="Times New Roman" w:hAnsi="Times New Roman" w:eastAsia="宋体" w:cs="Times New Roman"/>
      <w:szCs w:val="24"/>
    </w:rPr>
  </w:style>
  <w:style w:type="character" w:customStyle="1" w:styleId="128">
    <w:name w:val="页眉 字符"/>
    <w:link w:val="32"/>
    <w:qFormat/>
    <w:uiPriority w:val="0"/>
    <w:rPr>
      <w:kern w:val="2"/>
      <w:sz w:val="18"/>
      <w:szCs w:val="18"/>
    </w:rPr>
  </w:style>
  <w:style w:type="character" w:customStyle="1" w:styleId="129">
    <w:name w:val="正文文本缩进 Char1"/>
    <w:semiHidden/>
    <w:qFormat/>
    <w:uiPriority w:val="99"/>
    <w:rPr>
      <w:kern w:val="2"/>
      <w:sz w:val="21"/>
      <w:szCs w:val="24"/>
    </w:rPr>
  </w:style>
  <w:style w:type="character" w:customStyle="1" w:styleId="130">
    <w:name w:val="正文文本 2 Char1"/>
    <w:semiHidden/>
    <w:qFormat/>
    <w:uiPriority w:val="99"/>
    <w:rPr>
      <w:rFonts w:ascii="Times New Roman" w:hAnsi="Times New Roman" w:eastAsia="宋体" w:cs="Times New Roman"/>
      <w:szCs w:val="24"/>
    </w:rPr>
  </w:style>
  <w:style w:type="character" w:customStyle="1" w:styleId="131">
    <w:name w:val="文档结构图 字符"/>
    <w:link w:val="17"/>
    <w:qFormat/>
    <w:uiPriority w:val="0"/>
    <w:rPr>
      <w:kern w:val="2"/>
      <w:sz w:val="21"/>
      <w:szCs w:val="24"/>
      <w:shd w:val="clear" w:color="auto" w:fill="000080"/>
    </w:rPr>
  </w:style>
  <w:style w:type="character" w:customStyle="1" w:styleId="132">
    <w:name w:val="纯文本 字符"/>
    <w:link w:val="26"/>
    <w:qFormat/>
    <w:uiPriority w:val="0"/>
    <w:rPr>
      <w:rFonts w:ascii="宋体" w:hAnsi="Courier New" w:eastAsia="宋体" w:cs="Courier New"/>
      <w:kern w:val="2"/>
      <w:sz w:val="21"/>
      <w:szCs w:val="21"/>
      <w:lang w:val="en-US" w:eastAsia="zh-CN" w:bidi="ar-SA"/>
    </w:rPr>
  </w:style>
  <w:style w:type="character" w:customStyle="1" w:styleId="133">
    <w:name w:val="apple-style-span"/>
    <w:qFormat/>
    <w:uiPriority w:val="0"/>
  </w:style>
  <w:style w:type="character" w:customStyle="1" w:styleId="134">
    <w:name w:val="页脚 字符"/>
    <w:link w:val="31"/>
    <w:qFormat/>
    <w:uiPriority w:val="99"/>
    <w:rPr>
      <w:kern w:val="2"/>
      <w:sz w:val="18"/>
      <w:szCs w:val="18"/>
    </w:rPr>
  </w:style>
  <w:style w:type="character" w:customStyle="1" w:styleId="135">
    <w:name w:val="标题 8 字符"/>
    <w:link w:val="12"/>
    <w:qFormat/>
    <w:uiPriority w:val="0"/>
    <w:rPr>
      <w:rFonts w:ascii="Arial" w:hAnsi="Arial" w:eastAsia="黑体"/>
      <w:kern w:val="2"/>
      <w:sz w:val="24"/>
      <w:szCs w:val="24"/>
    </w:rPr>
  </w:style>
  <w:style w:type="character" w:customStyle="1" w:styleId="136">
    <w:name w:val="Char Char4"/>
    <w:semiHidden/>
    <w:qFormat/>
    <w:uiPriority w:val="0"/>
    <w:rPr>
      <w:rFonts w:ascii="Times New Roman" w:hAnsi="Times New Roman" w:eastAsia="宋体" w:cs="Times New Roman"/>
      <w:sz w:val="16"/>
      <w:szCs w:val="16"/>
    </w:rPr>
  </w:style>
  <w:style w:type="character" w:customStyle="1" w:styleId="137">
    <w:name w:val="Plain Text Char"/>
    <w:qFormat/>
    <w:locked/>
    <w:uiPriority w:val="0"/>
    <w:rPr>
      <w:rFonts w:ascii="宋体" w:hAnsi="Courier New" w:eastAsia="宋体"/>
    </w:rPr>
  </w:style>
  <w:style w:type="character" w:customStyle="1" w:styleId="138">
    <w:name w:val="ca-41"/>
    <w:qFormat/>
    <w:uiPriority w:val="0"/>
    <w:rPr>
      <w:rFonts w:hint="eastAsia" w:ascii="宋体" w:hAnsi="宋体" w:eastAsia="宋体"/>
      <w:color w:val="FF0000"/>
      <w:sz w:val="21"/>
      <w:szCs w:val="21"/>
    </w:rPr>
  </w:style>
  <w:style w:type="character" w:customStyle="1" w:styleId="139">
    <w:name w:val="无间隔 字符"/>
    <w:link w:val="140"/>
    <w:qFormat/>
    <w:uiPriority w:val="1"/>
    <w:rPr>
      <w:rFonts w:hAnsi="Courier New"/>
      <w:kern w:val="2"/>
      <w:sz w:val="21"/>
      <w:lang w:val="en-US" w:eastAsia="zh-CN" w:bidi="ar-SA"/>
    </w:rPr>
  </w:style>
  <w:style w:type="paragraph" w:styleId="140">
    <w:name w:val="No Spacing"/>
    <w:link w:val="139"/>
    <w:qFormat/>
    <w:uiPriority w:val="1"/>
    <w:pPr>
      <w:widowControl w:val="0"/>
      <w:jc w:val="both"/>
    </w:pPr>
    <w:rPr>
      <w:rFonts w:ascii="Times New Roman" w:hAnsi="Courier New" w:eastAsia="宋体" w:cs="Times New Roman"/>
      <w:kern w:val="2"/>
      <w:sz w:val="21"/>
      <w:lang w:val="en-US" w:eastAsia="zh-CN" w:bidi="ar-SA"/>
    </w:rPr>
  </w:style>
  <w:style w:type="character" w:customStyle="1" w:styleId="141">
    <w:name w:val="正文文本缩进 2 字符"/>
    <w:link w:val="29"/>
    <w:qFormat/>
    <w:uiPriority w:val="0"/>
    <w:rPr>
      <w:kern w:val="2"/>
      <w:sz w:val="21"/>
      <w:szCs w:val="24"/>
    </w:rPr>
  </w:style>
  <w:style w:type="character" w:customStyle="1" w:styleId="142">
    <w:name w:val="批注框文本 字符"/>
    <w:link w:val="30"/>
    <w:qFormat/>
    <w:uiPriority w:val="0"/>
    <w:rPr>
      <w:kern w:val="2"/>
      <w:sz w:val="18"/>
      <w:szCs w:val="18"/>
    </w:rPr>
  </w:style>
  <w:style w:type="character" w:customStyle="1" w:styleId="143">
    <w:name w:val="文档正文 Char Char"/>
    <w:link w:val="144"/>
    <w:qFormat/>
    <w:locked/>
    <w:uiPriority w:val="0"/>
    <w:rPr>
      <w:rFonts w:ascii="华文细黑" w:hAnsi="华文细黑" w:eastAsia="华文细黑"/>
      <w:color w:val="000000"/>
      <w:sz w:val="24"/>
    </w:rPr>
  </w:style>
  <w:style w:type="paragraph" w:customStyle="1" w:styleId="144">
    <w:name w:val="文档正文"/>
    <w:basedOn w:val="1"/>
    <w:link w:val="143"/>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5">
    <w:name w:val="纯文本 Char2"/>
    <w:qFormat/>
    <w:uiPriority w:val="0"/>
    <w:rPr>
      <w:rFonts w:ascii="宋体" w:hAnsi="Courier New" w:eastAsia="宋体" w:cs="Courier New"/>
      <w:kern w:val="2"/>
      <w:sz w:val="21"/>
      <w:szCs w:val="21"/>
      <w:lang w:val="en-US" w:eastAsia="zh-CN" w:bidi="ar-SA"/>
    </w:rPr>
  </w:style>
  <w:style w:type="character" w:customStyle="1" w:styleId="146">
    <w:name w:val="font91"/>
    <w:qFormat/>
    <w:uiPriority w:val="0"/>
    <w:rPr>
      <w:rFonts w:hint="default" w:ascii="Times New Roman" w:hAnsi="Times New Roman" w:cs="Times New Roman"/>
      <w:color w:val="000000"/>
      <w:sz w:val="20"/>
      <w:szCs w:val="20"/>
      <w:u w:val="none"/>
    </w:rPr>
  </w:style>
  <w:style w:type="character" w:customStyle="1" w:styleId="147">
    <w:name w:val="062"/>
    <w:qFormat/>
    <w:uiPriority w:val="0"/>
    <w:rPr>
      <w:rFonts w:ascii="宋体" w:hAnsi="宋体"/>
      <w:b/>
      <w:bCs/>
      <w:sz w:val="32"/>
    </w:rPr>
  </w:style>
  <w:style w:type="character" w:customStyle="1" w:styleId="148">
    <w:name w:val="纯文本 Char3"/>
    <w:qFormat/>
    <w:uiPriority w:val="0"/>
    <w:rPr>
      <w:rFonts w:ascii="宋体" w:hAnsi="Courier New" w:eastAsia="宋体" w:cs="Courier New"/>
      <w:szCs w:val="21"/>
    </w:rPr>
  </w:style>
  <w:style w:type="character" w:customStyle="1" w:styleId="149">
    <w:name w:val="正文文本 Char2"/>
    <w:semiHidden/>
    <w:qFormat/>
    <w:uiPriority w:val="99"/>
    <w:rPr>
      <w:kern w:val="2"/>
      <w:sz w:val="21"/>
      <w:szCs w:val="24"/>
    </w:rPr>
  </w:style>
  <w:style w:type="character" w:customStyle="1" w:styleId="150">
    <w:name w:val="纯文本 Char1"/>
    <w:qFormat/>
    <w:uiPriority w:val="0"/>
    <w:rPr>
      <w:rFonts w:ascii="宋体" w:hAnsi="Courier New" w:eastAsia="宋体" w:cs="Courier New"/>
      <w:szCs w:val="21"/>
    </w:rPr>
  </w:style>
  <w:style w:type="character" w:customStyle="1" w:styleId="151">
    <w:name w:val="Char Char1"/>
    <w:qFormat/>
    <w:uiPriority w:val="0"/>
    <w:rPr>
      <w:rFonts w:eastAsia="宋体"/>
      <w:kern w:val="2"/>
      <w:sz w:val="21"/>
      <w:szCs w:val="24"/>
      <w:lang w:bidi="ar-SA"/>
    </w:rPr>
  </w:style>
  <w:style w:type="character" w:customStyle="1" w:styleId="152">
    <w:name w:val="1ji Char"/>
    <w:link w:val="153"/>
    <w:qFormat/>
    <w:uiPriority w:val="0"/>
    <w:rPr>
      <w:rFonts w:ascii="宋体" w:hAnsi="宋体"/>
      <w:b/>
      <w:bCs/>
      <w:kern w:val="44"/>
      <w:sz w:val="36"/>
      <w:szCs w:val="44"/>
    </w:rPr>
  </w:style>
  <w:style w:type="paragraph" w:customStyle="1" w:styleId="153">
    <w:name w:val="1ji"/>
    <w:basedOn w:val="4"/>
    <w:link w:val="152"/>
    <w:qFormat/>
    <w:uiPriority w:val="0"/>
    <w:pPr>
      <w:keepLines w:val="0"/>
      <w:widowControl/>
      <w:spacing w:before="0" w:after="0" w:line="240" w:lineRule="auto"/>
      <w:jc w:val="center"/>
    </w:pPr>
    <w:rPr>
      <w:rFonts w:ascii="宋体" w:hAnsi="宋体"/>
      <w:sz w:val="36"/>
    </w:rPr>
  </w:style>
  <w:style w:type="character" w:customStyle="1" w:styleId="154">
    <w:name w:val="批注主题 Char1"/>
    <w:qFormat/>
    <w:uiPriority w:val="99"/>
    <w:rPr>
      <w:b/>
      <w:bCs/>
      <w:kern w:val="2"/>
      <w:sz w:val="21"/>
      <w:szCs w:val="24"/>
    </w:rPr>
  </w:style>
  <w:style w:type="character" w:customStyle="1" w:styleId="155">
    <w:name w:val="标题3 Char Char"/>
    <w:link w:val="156"/>
    <w:qFormat/>
    <w:uiPriority w:val="0"/>
    <w:rPr>
      <w:rFonts w:eastAsia="仿宋_GB2312"/>
      <w:bCs/>
      <w:kern w:val="2"/>
      <w:sz w:val="30"/>
      <w:szCs w:val="32"/>
    </w:rPr>
  </w:style>
  <w:style w:type="paragraph" w:customStyle="1" w:styleId="156">
    <w:name w:val="标题3"/>
    <w:basedOn w:val="6"/>
    <w:link w:val="155"/>
    <w:qFormat/>
    <w:uiPriority w:val="0"/>
    <w:pPr>
      <w:keepNext w:val="0"/>
      <w:keepLines w:val="0"/>
      <w:spacing w:before="0" w:after="0" w:line="360" w:lineRule="auto"/>
    </w:pPr>
    <w:rPr>
      <w:rFonts w:eastAsia="仿宋_GB2312"/>
      <w:b w:val="0"/>
      <w:sz w:val="30"/>
    </w:rPr>
  </w:style>
  <w:style w:type="character" w:customStyle="1" w:styleId="157">
    <w:name w:val="批注框文本 Char1"/>
    <w:semiHidden/>
    <w:qFormat/>
    <w:uiPriority w:val="99"/>
    <w:rPr>
      <w:kern w:val="2"/>
      <w:sz w:val="18"/>
      <w:szCs w:val="18"/>
    </w:rPr>
  </w:style>
  <w:style w:type="character" w:customStyle="1" w:styleId="158">
    <w:name w:val="正文文本 2 字符"/>
    <w:link w:val="41"/>
    <w:qFormat/>
    <w:uiPriority w:val="0"/>
    <w:rPr>
      <w:szCs w:val="24"/>
    </w:rPr>
  </w:style>
  <w:style w:type="character" w:customStyle="1" w:styleId="159">
    <w:name w:val="引用 Char2"/>
    <w:qFormat/>
    <w:uiPriority w:val="29"/>
    <w:rPr>
      <w:i/>
      <w:iCs/>
      <w:color w:val="000000"/>
      <w:kern w:val="2"/>
      <w:sz w:val="21"/>
      <w:szCs w:val="24"/>
    </w:rPr>
  </w:style>
  <w:style w:type="paragraph" w:customStyle="1" w:styleId="160">
    <w:name w:val="Char Char Char"/>
    <w:basedOn w:val="1"/>
    <w:qFormat/>
    <w:uiPriority w:val="0"/>
    <w:rPr>
      <w:rFonts w:ascii="Tahoma" w:hAnsi="Tahoma"/>
      <w:sz w:val="24"/>
      <w:szCs w:val="20"/>
    </w:rPr>
  </w:style>
  <w:style w:type="paragraph" w:customStyle="1" w:styleId="161">
    <w:name w:val="Char11"/>
    <w:basedOn w:val="1"/>
    <w:qFormat/>
    <w:uiPriority w:val="0"/>
    <w:rPr>
      <w:szCs w:val="21"/>
    </w:rPr>
  </w:style>
  <w:style w:type="paragraph" w:customStyle="1" w:styleId="162">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3">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4">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5">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6">
    <w:name w:val="2ji"/>
    <w:basedOn w:val="5"/>
    <w:qFormat/>
    <w:uiPriority w:val="0"/>
    <w:pPr>
      <w:keepLines/>
      <w:spacing w:before="0"/>
      <w:jc w:val="both"/>
      <w:textAlignment w:val="baseline"/>
    </w:pPr>
    <w:rPr>
      <w:rFonts w:ascii="宋体" w:hAnsi="宋体" w:eastAsia="宋体"/>
      <w:bCs/>
      <w:sz w:val="21"/>
      <w:szCs w:val="21"/>
    </w:rPr>
  </w:style>
  <w:style w:type="paragraph" w:customStyle="1" w:styleId="167">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8">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9">
    <w:name w:val="正文段"/>
    <w:basedOn w:val="1"/>
    <w:qFormat/>
    <w:uiPriority w:val="0"/>
    <w:pPr>
      <w:widowControl/>
      <w:snapToGrid w:val="0"/>
      <w:spacing w:after="156" w:afterLines="50"/>
      <w:ind w:firstLine="200" w:firstLineChars="200"/>
    </w:pPr>
    <w:rPr>
      <w:kern w:val="0"/>
      <w:sz w:val="24"/>
      <w:szCs w:val="20"/>
    </w:rPr>
  </w:style>
  <w:style w:type="paragraph" w:customStyle="1" w:styleId="170">
    <w:name w:val="五级条标题"/>
    <w:basedOn w:val="171"/>
    <w:next w:val="174"/>
    <w:qFormat/>
    <w:uiPriority w:val="0"/>
    <w:pPr>
      <w:outlineLvl w:val="6"/>
    </w:pPr>
  </w:style>
  <w:style w:type="paragraph" w:customStyle="1" w:styleId="171">
    <w:name w:val="四级条标题"/>
    <w:basedOn w:val="172"/>
    <w:next w:val="174"/>
    <w:qFormat/>
    <w:uiPriority w:val="0"/>
    <w:pPr>
      <w:outlineLvl w:val="5"/>
    </w:pPr>
  </w:style>
  <w:style w:type="paragraph" w:customStyle="1" w:styleId="172">
    <w:name w:val="三级条标题"/>
    <w:basedOn w:val="173"/>
    <w:next w:val="174"/>
    <w:qFormat/>
    <w:uiPriority w:val="0"/>
    <w:pPr>
      <w:outlineLvl w:val="4"/>
    </w:pPr>
  </w:style>
  <w:style w:type="paragraph" w:customStyle="1" w:styleId="173">
    <w:name w:val="二级条标题"/>
    <w:basedOn w:val="1"/>
    <w:next w:val="1"/>
    <w:qFormat/>
    <w:uiPriority w:val="0"/>
    <w:pPr>
      <w:widowControl/>
      <w:jc w:val="left"/>
      <w:outlineLvl w:val="3"/>
    </w:pPr>
    <w:rPr>
      <w:rFonts w:ascii="宋体" w:hAnsi="宋体"/>
      <w:color w:val="000000"/>
      <w:kern w:val="0"/>
      <w:szCs w:val="20"/>
    </w:rPr>
  </w:style>
  <w:style w:type="paragraph" w:customStyle="1" w:styleId="174">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5">
    <w:name w:val="表格"/>
    <w:basedOn w:val="1"/>
    <w:qFormat/>
    <w:uiPriority w:val="0"/>
    <w:pPr>
      <w:spacing w:line="400" w:lineRule="exact"/>
    </w:pPr>
    <w:rPr>
      <w:sz w:val="24"/>
    </w:rPr>
  </w:style>
  <w:style w:type="paragraph" w:customStyle="1" w:styleId="176">
    <w:name w:val="列表段落1"/>
    <w:basedOn w:val="1"/>
    <w:qFormat/>
    <w:uiPriority w:val="0"/>
    <w:pPr>
      <w:ind w:firstLine="420" w:firstLineChars="200"/>
    </w:pPr>
    <w:rPr>
      <w:rFonts w:ascii="Calibri" w:hAnsi="Calibri"/>
      <w:szCs w:val="22"/>
    </w:rPr>
  </w:style>
  <w:style w:type="paragraph" w:customStyle="1" w:styleId="177">
    <w:name w:val="Char1 Char Char Char Char Char Char Char Char Char Char Char Char"/>
    <w:basedOn w:val="1"/>
    <w:qFormat/>
    <w:uiPriority w:val="0"/>
    <w:rPr>
      <w:rFonts w:ascii="Tahoma" w:hAnsi="Tahoma"/>
      <w:sz w:val="24"/>
      <w:szCs w:val="20"/>
    </w:rPr>
  </w:style>
  <w:style w:type="paragraph" w:customStyle="1" w:styleId="178">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
    <w:name w:val="p0"/>
    <w:basedOn w:val="1"/>
    <w:qFormat/>
    <w:uiPriority w:val="0"/>
    <w:pPr>
      <w:widowControl/>
    </w:pPr>
    <w:rPr>
      <w:kern w:val="0"/>
      <w:szCs w:val="21"/>
    </w:rPr>
  </w:style>
  <w:style w:type="paragraph" w:customStyle="1" w:styleId="180">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1">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2">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4">
    <w:name w:val="pa-5"/>
    <w:basedOn w:val="1"/>
    <w:qFormat/>
    <w:uiPriority w:val="0"/>
    <w:pPr>
      <w:widowControl/>
      <w:spacing w:line="240" w:lineRule="atLeast"/>
      <w:ind w:firstLine="420"/>
    </w:pPr>
    <w:rPr>
      <w:rFonts w:ascii="宋体" w:hAnsi="宋体" w:cs="宋体"/>
      <w:kern w:val="0"/>
      <w:sz w:val="24"/>
    </w:rPr>
  </w:style>
  <w:style w:type="paragraph" w:customStyle="1" w:styleId="185">
    <w:name w:val="默认段落字体 Para Char Char Char1 Char"/>
    <w:basedOn w:val="1"/>
    <w:qFormat/>
    <w:uiPriority w:val="0"/>
    <w:rPr>
      <w:rFonts w:ascii="Tahoma" w:hAnsi="Tahoma"/>
      <w:sz w:val="24"/>
      <w:szCs w:val="20"/>
    </w:rPr>
  </w:style>
  <w:style w:type="paragraph" w:customStyle="1" w:styleId="186">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7">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
    <w:name w:val="444"/>
    <w:basedOn w:val="1"/>
    <w:qFormat/>
    <w:uiPriority w:val="0"/>
    <w:pPr>
      <w:adjustRightInd w:val="0"/>
      <w:spacing w:line="312" w:lineRule="atLeast"/>
      <w:jc w:val="center"/>
      <w:textAlignment w:val="baseline"/>
    </w:pPr>
    <w:rPr>
      <w:b/>
      <w:kern w:val="0"/>
      <w:sz w:val="36"/>
      <w:szCs w:val="36"/>
    </w:rPr>
  </w:style>
  <w:style w:type="paragraph" w:customStyle="1" w:styleId="189">
    <w:name w:val="列表1"/>
    <w:basedOn w:val="190"/>
    <w:qFormat/>
    <w:uiPriority w:val="0"/>
    <w:pPr>
      <w:tabs>
        <w:tab w:val="left" w:pos="900"/>
      </w:tabs>
      <w:ind w:left="900" w:hanging="420"/>
    </w:pPr>
    <w:rPr>
      <w:rFonts w:ascii="Times New Roman" w:hAnsi="Times New Roman"/>
      <w:szCs w:val="20"/>
    </w:rPr>
  </w:style>
  <w:style w:type="paragraph" w:customStyle="1" w:styleId="190">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1">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2">
    <w:name w:val="样式 标题 2 + Times New Roman 四号 非加粗 段前: 5 磅 段后: 0 磅 行距: 固定值 20..."/>
    <w:basedOn w:val="5"/>
    <w:qFormat/>
    <w:uiPriority w:val="0"/>
    <w:pPr>
      <w:keepLines/>
      <w:adjustRightInd/>
      <w:spacing w:before="100" w:line="400" w:lineRule="exact"/>
      <w:jc w:val="both"/>
    </w:pPr>
    <w:rPr>
      <w:rFonts w:eastAsia="黑体" w:cs="宋体"/>
      <w:b w:val="0"/>
      <w:sz w:val="28"/>
    </w:rPr>
  </w:style>
  <w:style w:type="paragraph" w:customStyle="1" w:styleId="193">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4">
    <w:name w:val="样式 Verdana 首行缩进:  0.74 厘米"/>
    <w:basedOn w:val="1"/>
    <w:qFormat/>
    <w:uiPriority w:val="0"/>
    <w:pPr>
      <w:spacing w:line="360" w:lineRule="auto"/>
      <w:ind w:firstLine="420"/>
    </w:pPr>
    <w:rPr>
      <w:rFonts w:ascii="Verdana" w:hAnsi="Verdana"/>
      <w:sz w:val="24"/>
      <w:szCs w:val="20"/>
    </w:rPr>
  </w:style>
  <w:style w:type="paragraph" w:customStyle="1" w:styleId="195">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6">
    <w:name w:val="1 Char"/>
    <w:basedOn w:val="9"/>
    <w:qFormat/>
    <w:uiPriority w:val="0"/>
    <w:pPr>
      <w:spacing w:line="360" w:lineRule="auto"/>
      <w:ind w:left="0" w:firstLine="200" w:firstLineChars="200"/>
      <w:jc w:val="both"/>
    </w:pPr>
    <w:rPr>
      <w:rFonts w:ascii="Times New Roman"/>
      <w:snapToGrid/>
      <w:kern w:val="2"/>
      <w:sz w:val="21"/>
    </w:rPr>
  </w:style>
  <w:style w:type="paragraph" w:customStyle="1" w:styleId="197">
    <w:name w:val="列出段落1"/>
    <w:basedOn w:val="1"/>
    <w:qFormat/>
    <w:uiPriority w:val="0"/>
    <w:pPr>
      <w:ind w:firstLine="420" w:firstLineChars="200"/>
    </w:pPr>
    <w:rPr>
      <w:rFonts w:ascii="Calibri" w:hAnsi="Calibri"/>
      <w:szCs w:val="22"/>
    </w:rPr>
  </w:style>
  <w:style w:type="paragraph" w:customStyle="1" w:styleId="198">
    <w:name w:val="_Style 2"/>
    <w:basedOn w:val="1"/>
    <w:qFormat/>
    <w:uiPriority w:val="0"/>
    <w:pPr>
      <w:ind w:firstLine="420" w:firstLineChars="200"/>
    </w:pPr>
  </w:style>
  <w:style w:type="paragraph" w:customStyle="1" w:styleId="199">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00">
    <w:name w:val="Char"/>
    <w:basedOn w:val="1"/>
    <w:qFormat/>
    <w:uiPriority w:val="0"/>
  </w:style>
  <w:style w:type="paragraph" w:customStyle="1" w:styleId="201">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2">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4">
    <w:name w:val="Char Char Char Char"/>
    <w:basedOn w:val="1"/>
    <w:qFormat/>
    <w:uiPriority w:val="0"/>
  </w:style>
  <w:style w:type="paragraph" w:customStyle="1" w:styleId="205">
    <w:name w:val="1"/>
    <w:basedOn w:val="1"/>
    <w:next w:val="26"/>
    <w:qFormat/>
    <w:uiPriority w:val="0"/>
    <w:rPr>
      <w:rFonts w:ascii="宋体" w:hAnsi="Courier New"/>
      <w:szCs w:val="20"/>
    </w:rPr>
  </w:style>
  <w:style w:type="paragraph" w:customStyle="1" w:styleId="206">
    <w:name w:val="Char Char Char Char1"/>
    <w:basedOn w:val="1"/>
    <w:qFormat/>
    <w:uiPriority w:val="0"/>
  </w:style>
  <w:style w:type="paragraph" w:customStyle="1" w:styleId="207">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8">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9">
    <w:name w:val="pa-3"/>
    <w:basedOn w:val="1"/>
    <w:qFormat/>
    <w:uiPriority w:val="0"/>
    <w:pPr>
      <w:widowControl/>
      <w:spacing w:line="240" w:lineRule="atLeast"/>
    </w:pPr>
    <w:rPr>
      <w:rFonts w:ascii="宋体" w:hAnsi="宋体" w:cs="宋体"/>
      <w:kern w:val="0"/>
      <w:sz w:val="24"/>
    </w:rPr>
  </w:style>
  <w:style w:type="paragraph" w:customStyle="1" w:styleId="210">
    <w:name w:val="规范正文"/>
    <w:basedOn w:val="1"/>
    <w:qFormat/>
    <w:uiPriority w:val="0"/>
    <w:pPr>
      <w:adjustRightInd w:val="0"/>
      <w:spacing w:line="360" w:lineRule="auto"/>
      <w:ind w:left="480"/>
      <w:textAlignment w:val="baseline"/>
    </w:pPr>
    <w:rPr>
      <w:kern w:val="0"/>
      <w:sz w:val="24"/>
      <w:szCs w:val="20"/>
    </w:rPr>
  </w:style>
  <w:style w:type="paragraph" w:customStyle="1" w:styleId="211">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2">
    <w:name w:val="pa-2"/>
    <w:basedOn w:val="1"/>
    <w:qFormat/>
    <w:uiPriority w:val="0"/>
    <w:pPr>
      <w:widowControl/>
      <w:spacing w:line="280" w:lineRule="atLeast"/>
      <w:ind w:firstLine="420"/>
    </w:pPr>
    <w:rPr>
      <w:rFonts w:ascii="宋体" w:hAnsi="宋体" w:cs="宋体"/>
      <w:kern w:val="0"/>
      <w:sz w:val="24"/>
    </w:rPr>
  </w:style>
  <w:style w:type="paragraph" w:customStyle="1" w:styleId="213">
    <w:name w:val="Char1"/>
    <w:basedOn w:val="17"/>
    <w:qFormat/>
    <w:uiPriority w:val="0"/>
    <w:pPr>
      <w:widowControl/>
      <w:ind w:firstLine="454"/>
      <w:jc w:val="left"/>
    </w:pPr>
    <w:rPr>
      <w:rFonts w:ascii="Tahoma" w:hAnsi="Tahoma" w:cs="宋体"/>
      <w:kern w:val="0"/>
      <w:sz w:val="24"/>
      <w:szCs w:val="20"/>
    </w:rPr>
  </w:style>
  <w:style w:type="paragraph" w:customStyle="1" w:styleId="214">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5">
    <w:name w:val="正文1"/>
    <w:basedOn w:val="1"/>
    <w:qFormat/>
    <w:uiPriority w:val="0"/>
    <w:pPr>
      <w:widowControl/>
      <w:overflowPunct w:val="0"/>
      <w:autoSpaceDE w:val="0"/>
      <w:autoSpaceDN w:val="0"/>
      <w:adjustRightInd w:val="0"/>
    </w:pPr>
    <w:rPr>
      <w:rFonts w:ascii="宋体"/>
      <w:kern w:val="0"/>
      <w:szCs w:val="20"/>
    </w:rPr>
  </w:style>
  <w:style w:type="paragraph" w:customStyle="1" w:styleId="216">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217">
    <w:name w:val="正文首行缩进两字符"/>
    <w:basedOn w:val="1"/>
    <w:qFormat/>
    <w:uiPriority w:val="0"/>
    <w:pPr>
      <w:spacing w:line="360" w:lineRule="auto"/>
      <w:ind w:firstLine="200" w:firstLineChars="200"/>
    </w:pPr>
  </w:style>
  <w:style w:type="paragraph" w:customStyle="1" w:styleId="218">
    <w:name w:val="一级条标题"/>
    <w:next w:val="174"/>
    <w:qFormat/>
    <w:uiPriority w:val="0"/>
    <w:pPr>
      <w:ind w:left="284"/>
      <w:outlineLvl w:val="2"/>
    </w:pPr>
    <w:rPr>
      <w:rFonts w:ascii="Times New Roman" w:hAnsi="Times New Roman" w:eastAsia="黑体" w:cs="Times New Roman"/>
      <w:sz w:val="21"/>
      <w:lang w:val="en-US" w:eastAsia="zh-CN" w:bidi="ar-SA"/>
    </w:rPr>
  </w:style>
  <w:style w:type="paragraph" w:customStyle="1" w:styleId="219">
    <w:name w:val="1."/>
    <w:basedOn w:val="1"/>
    <w:qFormat/>
    <w:uiPriority w:val="0"/>
    <w:pPr>
      <w:spacing w:line="360" w:lineRule="auto"/>
      <w:ind w:firstLine="480" w:firstLineChars="200"/>
    </w:pPr>
    <w:rPr>
      <w:rFonts w:ascii="宋体" w:hAnsi="宋体"/>
      <w:sz w:val="24"/>
    </w:rPr>
  </w:style>
  <w:style w:type="paragraph" w:customStyle="1" w:styleId="220">
    <w:name w:val="样式 首行缩进:  2 字符"/>
    <w:basedOn w:val="1"/>
    <w:qFormat/>
    <w:uiPriority w:val="0"/>
    <w:pPr>
      <w:spacing w:line="400" w:lineRule="exact"/>
      <w:ind w:firstLine="200" w:firstLineChars="200"/>
    </w:pPr>
    <w:rPr>
      <w:rFonts w:cs="宋体"/>
      <w:sz w:val="24"/>
    </w:rPr>
  </w:style>
  <w:style w:type="paragraph" w:customStyle="1" w:styleId="221">
    <w:name w:val="Char Char3 Char Char"/>
    <w:basedOn w:val="1"/>
    <w:qFormat/>
    <w:uiPriority w:val="0"/>
  </w:style>
  <w:style w:type="paragraph" w:customStyle="1" w:styleId="222">
    <w:name w:val="Char12"/>
    <w:basedOn w:val="1"/>
    <w:qFormat/>
    <w:uiPriority w:val="0"/>
    <w:rPr>
      <w:szCs w:val="21"/>
    </w:rPr>
  </w:style>
  <w:style w:type="paragraph" w:customStyle="1" w:styleId="223">
    <w:name w:val="F2"/>
    <w:basedOn w:val="1"/>
    <w:qFormat/>
    <w:uiPriority w:val="0"/>
    <w:pPr>
      <w:autoSpaceDE w:val="0"/>
      <w:autoSpaceDN w:val="0"/>
      <w:adjustRightInd w:val="0"/>
      <w:ind w:firstLine="601"/>
      <w:textAlignment w:val="baseline"/>
    </w:pPr>
    <w:rPr>
      <w:kern w:val="0"/>
      <w:sz w:val="24"/>
      <w:szCs w:val="20"/>
    </w:rPr>
  </w:style>
  <w:style w:type="paragraph" w:customStyle="1" w:styleId="224">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5">
    <w:name w:val="样式6"/>
    <w:basedOn w:val="8"/>
    <w:qFormat/>
    <w:uiPriority w:val="0"/>
    <w:pPr>
      <w:numPr>
        <w:numId w:val="0"/>
      </w:numPr>
      <w:spacing w:line="360" w:lineRule="auto"/>
      <w:ind w:left="210" w:leftChars="100"/>
    </w:pPr>
    <w:rPr>
      <w:rFonts w:ascii="宋体" w:hAnsi="宋体" w:cs="Arial"/>
      <w:bCs/>
      <w:sz w:val="24"/>
    </w:rPr>
  </w:style>
  <w:style w:type="paragraph" w:customStyle="1" w:styleId="226">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7">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8">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29">
    <w:name w:val="样式5"/>
    <w:basedOn w:val="5"/>
    <w:qFormat/>
    <w:uiPriority w:val="0"/>
    <w:pPr>
      <w:keepLines/>
      <w:adjustRightInd/>
      <w:spacing w:before="260" w:after="260"/>
      <w:ind w:left="420" w:leftChars="200"/>
      <w:jc w:val="both"/>
    </w:pPr>
    <w:rPr>
      <w:rFonts w:ascii="宋体" w:hAnsi="宋体" w:eastAsia="宋体"/>
      <w:bCs/>
      <w:sz w:val="24"/>
      <w:szCs w:val="24"/>
    </w:rPr>
  </w:style>
  <w:style w:type="paragraph" w:customStyle="1" w:styleId="230">
    <w:name w:val="默认段落字体 Para Char Char Char Char Char Char Char Char Char1 Char Char Char Char"/>
    <w:basedOn w:val="1"/>
    <w:qFormat/>
    <w:uiPriority w:val="0"/>
    <w:rPr>
      <w:rFonts w:ascii="Tahoma" w:hAnsi="Tahoma"/>
      <w:sz w:val="24"/>
      <w:szCs w:val="20"/>
    </w:rPr>
  </w:style>
  <w:style w:type="paragraph" w:customStyle="1" w:styleId="231">
    <w:name w:val="2-2ji"/>
    <w:basedOn w:val="5"/>
    <w:qFormat/>
    <w:uiPriority w:val="0"/>
    <w:pPr>
      <w:keepLines/>
      <w:spacing w:before="0"/>
      <w:textAlignment w:val="baseline"/>
    </w:pPr>
    <w:rPr>
      <w:rFonts w:ascii="宋体" w:hAnsi="宋体" w:eastAsia="宋体"/>
      <w:sz w:val="36"/>
      <w:szCs w:val="32"/>
    </w:rPr>
  </w:style>
  <w:style w:type="paragraph" w:customStyle="1" w:styleId="232">
    <w:name w:val="表格文字"/>
    <w:basedOn w:val="1"/>
    <w:qFormat/>
    <w:uiPriority w:val="99"/>
    <w:pPr>
      <w:spacing w:before="25" w:after="25"/>
      <w:jc w:val="left"/>
    </w:pPr>
    <w:rPr>
      <w:bCs/>
      <w:spacing w:val="10"/>
      <w:kern w:val="0"/>
      <w:sz w:val="24"/>
    </w:rPr>
  </w:style>
  <w:style w:type="paragraph" w:customStyle="1" w:styleId="233">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4">
    <w:name w:val="正文文本首行缩进 2 字符"/>
    <w:basedOn w:val="71"/>
    <w:link w:val="47"/>
    <w:semiHidden/>
    <w:qFormat/>
    <w:uiPriority w:val="0"/>
    <w:rPr>
      <w:kern w:val="2"/>
      <w:sz w:val="21"/>
      <w:szCs w:val="24"/>
    </w:rPr>
  </w:style>
  <w:style w:type="paragraph" w:customStyle="1" w:styleId="235">
    <w:name w:val="Normal_file_52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6">
    <w:name w:val="heading 2_file_528"/>
    <w:basedOn w:val="235"/>
    <w:next w:val="4"/>
    <w:qFormat/>
    <w:uiPriority w:val="0"/>
    <w:pPr>
      <w:keepNext/>
      <w:keepLines/>
      <w:spacing w:before="260" w:after="260" w:line="416" w:lineRule="auto"/>
      <w:outlineLvl w:val="1"/>
    </w:pPr>
    <w:rPr>
      <w:rFonts w:ascii="Arial" w:hAnsi="Arial" w:eastAsia="黑体"/>
      <w:b/>
      <w:bCs/>
      <w:sz w:val="32"/>
      <w:szCs w:val="32"/>
    </w:rPr>
  </w:style>
  <w:style w:type="paragraph" w:customStyle="1" w:styleId="237">
    <w:name w:val="heading 3_file_528"/>
    <w:basedOn w:val="235"/>
    <w:next w:val="4"/>
    <w:qFormat/>
    <w:uiPriority w:val="0"/>
    <w:pPr>
      <w:keepNext/>
      <w:keepLines/>
      <w:spacing w:before="260" w:after="260" w:line="416" w:lineRule="auto"/>
      <w:outlineLvl w:val="2"/>
    </w:pPr>
    <w:rPr>
      <w:b/>
      <w:bCs/>
      <w:sz w:val="32"/>
      <w:szCs w:val="32"/>
    </w:rPr>
  </w:style>
  <w:style w:type="character" w:customStyle="1" w:styleId="238">
    <w:name w:val="Default Paragraph Font_file_528"/>
    <w:semiHidden/>
    <w:qFormat/>
    <w:uiPriority w:val="0"/>
  </w:style>
  <w:style w:type="table" w:customStyle="1" w:styleId="239">
    <w:name w:val="Normal Table_file_528"/>
    <w:semiHidden/>
    <w:qFormat/>
    <w:uiPriority w:val="0"/>
    <w:tblPr>
      <w:tblCellMar>
        <w:top w:w="0" w:type="dxa"/>
        <w:left w:w="108" w:type="dxa"/>
        <w:bottom w:w="0" w:type="dxa"/>
        <w:right w:w="108" w:type="dxa"/>
      </w:tblCellMar>
    </w:tblPr>
  </w:style>
  <w:style w:type="paragraph" w:customStyle="1" w:styleId="240">
    <w:name w:val="annotation text_file_528"/>
    <w:basedOn w:val="235"/>
    <w:qFormat/>
    <w:uiPriority w:val="0"/>
    <w:pPr>
      <w:jc w:val="left"/>
    </w:pPr>
  </w:style>
  <w:style w:type="paragraph" w:customStyle="1" w:styleId="241">
    <w:name w:val="toc 3_file_528"/>
    <w:basedOn w:val="235"/>
    <w:next w:val="4"/>
    <w:qFormat/>
    <w:uiPriority w:val="39"/>
    <w:pPr>
      <w:ind w:left="420"/>
      <w:jc w:val="left"/>
    </w:pPr>
    <w:rPr>
      <w:rFonts w:ascii="Calibri" w:hAnsi="Calibri"/>
      <w:i/>
      <w:iCs/>
      <w:sz w:val="20"/>
      <w:szCs w:val="20"/>
    </w:rPr>
  </w:style>
  <w:style w:type="character" w:customStyle="1" w:styleId="242">
    <w:name w:val="Strong_file_528"/>
    <w:basedOn w:val="238"/>
    <w:qFormat/>
    <w:uiPriority w:val="0"/>
    <w:rPr>
      <w:b/>
    </w:rPr>
  </w:style>
  <w:style w:type="table" w:customStyle="1" w:styleId="243">
    <w:name w:val="Normal Table_file_369_file_420_file_606_file_927_file_528"/>
    <w:unhideWhenUsed/>
    <w:qFormat/>
    <w:uiPriority w:val="99"/>
    <w:tblPr>
      <w:tblCellMar>
        <w:top w:w="0" w:type="dxa"/>
        <w:left w:w="108" w:type="dxa"/>
        <w:bottom w:w="0" w:type="dxa"/>
        <w:right w:w="108" w:type="dxa"/>
      </w:tblCellMar>
    </w:tblPr>
  </w:style>
  <w:style w:type="paragraph" w:customStyle="1" w:styleId="244">
    <w:name w:val="Plain Text_file_369_file_420_file_606_file_927_file_528"/>
    <w:basedOn w:val="245"/>
    <w:qFormat/>
    <w:uiPriority w:val="0"/>
    <w:rPr>
      <w:rFonts w:ascii="宋体" w:hAnsi="Courier New" w:cs="Courier New"/>
      <w:szCs w:val="21"/>
    </w:rPr>
  </w:style>
  <w:style w:type="paragraph" w:customStyle="1" w:styleId="245">
    <w:name w:val="Normal_file_369_file_420_file_606_file_927_file_528"/>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6">
    <w:name w:val="Table Paragraph_file_341_file_528"/>
    <w:basedOn w:val="247"/>
    <w:autoRedefine/>
    <w:qFormat/>
    <w:uiPriority w:val="1"/>
    <w:pPr>
      <w:autoSpaceDE w:val="0"/>
      <w:autoSpaceDN w:val="0"/>
      <w:adjustRightInd w:val="0"/>
      <w:jc w:val="left"/>
    </w:pPr>
    <w:rPr>
      <w:rFonts w:ascii="黑体" w:eastAsia="黑体" w:cs="黑体"/>
      <w:kern w:val="0"/>
      <w:sz w:val="24"/>
    </w:rPr>
  </w:style>
  <w:style w:type="paragraph" w:customStyle="1" w:styleId="247">
    <w:name w:val="Normal_file_341_file_528"/>
    <w:next w:val="5"/>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8">
    <w:name w:val="Table Paragraph_file_341_file_360_file_528"/>
    <w:basedOn w:val="249"/>
    <w:qFormat/>
    <w:uiPriority w:val="1"/>
    <w:pPr>
      <w:autoSpaceDE w:val="0"/>
      <w:autoSpaceDN w:val="0"/>
      <w:adjustRightInd w:val="0"/>
      <w:jc w:val="left"/>
    </w:pPr>
    <w:rPr>
      <w:rFonts w:ascii="黑体" w:eastAsia="黑体" w:cs="黑体"/>
      <w:kern w:val="0"/>
      <w:sz w:val="24"/>
    </w:rPr>
  </w:style>
  <w:style w:type="paragraph" w:customStyle="1" w:styleId="249">
    <w:name w:val="Normal_file_341_file_360_file_528"/>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0">
    <w:name w:val="Table Paragraph_file_528"/>
    <w:basedOn w:val="235"/>
    <w:autoRedefine/>
    <w:qFormat/>
    <w:uiPriority w:val="1"/>
    <w:pPr>
      <w:autoSpaceDE w:val="0"/>
      <w:autoSpaceDN w:val="0"/>
      <w:adjustRightInd w:val="0"/>
      <w:jc w:val="left"/>
    </w:pPr>
    <w:rPr>
      <w:rFonts w:ascii="黑体" w:eastAsia="黑体" w:cs="黑体"/>
      <w:kern w:val="0"/>
      <w:sz w:val="24"/>
    </w:rPr>
  </w:style>
  <w:style w:type="paragraph" w:customStyle="1" w:styleId="251">
    <w:name w:val="Normal_file_52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2">
    <w:name w:val="heading 2_file_529"/>
    <w:basedOn w:val="251"/>
    <w:next w:val="4"/>
    <w:qFormat/>
    <w:uiPriority w:val="0"/>
    <w:pPr>
      <w:keepNext/>
      <w:keepLines/>
      <w:spacing w:before="260" w:after="260" w:line="416" w:lineRule="auto"/>
      <w:outlineLvl w:val="1"/>
    </w:pPr>
    <w:rPr>
      <w:rFonts w:ascii="Arial" w:hAnsi="Arial" w:eastAsia="黑体"/>
      <w:b/>
      <w:bCs/>
      <w:sz w:val="32"/>
      <w:szCs w:val="32"/>
    </w:rPr>
  </w:style>
  <w:style w:type="paragraph" w:customStyle="1" w:styleId="253">
    <w:name w:val="heading 3_file_529"/>
    <w:basedOn w:val="251"/>
    <w:next w:val="4"/>
    <w:qFormat/>
    <w:uiPriority w:val="0"/>
    <w:pPr>
      <w:keepNext/>
      <w:keepLines/>
      <w:spacing w:before="260" w:after="260" w:line="416" w:lineRule="auto"/>
      <w:outlineLvl w:val="2"/>
    </w:pPr>
    <w:rPr>
      <w:b/>
      <w:bCs/>
      <w:sz w:val="32"/>
      <w:szCs w:val="32"/>
    </w:rPr>
  </w:style>
  <w:style w:type="character" w:customStyle="1" w:styleId="254">
    <w:name w:val="Default Paragraph Font_file_529"/>
    <w:semiHidden/>
    <w:qFormat/>
    <w:uiPriority w:val="0"/>
  </w:style>
  <w:style w:type="table" w:customStyle="1" w:styleId="255">
    <w:name w:val="Normal Table_file_529"/>
    <w:semiHidden/>
    <w:qFormat/>
    <w:uiPriority w:val="0"/>
    <w:tblPr>
      <w:tblCellMar>
        <w:top w:w="0" w:type="dxa"/>
        <w:left w:w="108" w:type="dxa"/>
        <w:bottom w:w="0" w:type="dxa"/>
        <w:right w:w="108" w:type="dxa"/>
      </w:tblCellMar>
    </w:tblPr>
  </w:style>
  <w:style w:type="paragraph" w:customStyle="1" w:styleId="256">
    <w:name w:val="annotation text_file_529"/>
    <w:basedOn w:val="251"/>
    <w:qFormat/>
    <w:uiPriority w:val="0"/>
    <w:pPr>
      <w:jc w:val="left"/>
    </w:pPr>
  </w:style>
  <w:style w:type="paragraph" w:customStyle="1" w:styleId="257">
    <w:name w:val="toc 3_file_529"/>
    <w:basedOn w:val="251"/>
    <w:next w:val="4"/>
    <w:qFormat/>
    <w:uiPriority w:val="39"/>
    <w:pPr>
      <w:ind w:left="420"/>
      <w:jc w:val="left"/>
    </w:pPr>
    <w:rPr>
      <w:rFonts w:ascii="Calibri" w:hAnsi="Calibri"/>
      <w:i/>
      <w:iCs/>
      <w:sz w:val="20"/>
      <w:szCs w:val="20"/>
    </w:rPr>
  </w:style>
  <w:style w:type="character" w:customStyle="1" w:styleId="258">
    <w:name w:val="Strong_file_529"/>
    <w:basedOn w:val="254"/>
    <w:qFormat/>
    <w:uiPriority w:val="0"/>
    <w:rPr>
      <w:b/>
    </w:rPr>
  </w:style>
  <w:style w:type="table" w:customStyle="1" w:styleId="259">
    <w:name w:val="Normal Table_file_369_file_420_file_606_file_927_file_529"/>
    <w:unhideWhenUsed/>
    <w:qFormat/>
    <w:uiPriority w:val="99"/>
    <w:tblPr>
      <w:tblCellMar>
        <w:top w:w="0" w:type="dxa"/>
        <w:left w:w="108" w:type="dxa"/>
        <w:bottom w:w="0" w:type="dxa"/>
        <w:right w:w="108" w:type="dxa"/>
      </w:tblCellMar>
    </w:tblPr>
  </w:style>
  <w:style w:type="paragraph" w:customStyle="1" w:styleId="260">
    <w:name w:val="Plain Text_file_369_file_420_file_606_file_927_file_529"/>
    <w:basedOn w:val="261"/>
    <w:qFormat/>
    <w:uiPriority w:val="0"/>
    <w:rPr>
      <w:rFonts w:ascii="宋体" w:hAnsi="Courier New" w:cs="Courier New"/>
      <w:szCs w:val="21"/>
    </w:rPr>
  </w:style>
  <w:style w:type="paragraph" w:customStyle="1" w:styleId="261">
    <w:name w:val="Normal_file_369_file_420_file_606_file_927_file_529"/>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2">
    <w:name w:val="Table Paragraph_file_341_file_529"/>
    <w:basedOn w:val="263"/>
    <w:autoRedefine/>
    <w:qFormat/>
    <w:uiPriority w:val="1"/>
    <w:pPr>
      <w:autoSpaceDE w:val="0"/>
      <w:autoSpaceDN w:val="0"/>
      <w:adjustRightInd w:val="0"/>
      <w:jc w:val="left"/>
    </w:pPr>
    <w:rPr>
      <w:rFonts w:ascii="黑体" w:eastAsia="黑体" w:cs="黑体"/>
      <w:kern w:val="0"/>
      <w:sz w:val="24"/>
    </w:rPr>
  </w:style>
  <w:style w:type="paragraph" w:customStyle="1" w:styleId="263">
    <w:name w:val="Normal_file_341_file_529"/>
    <w:next w:val="5"/>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4">
    <w:name w:val="Table Paragraph_file_341_file_360_file_529"/>
    <w:basedOn w:val="265"/>
    <w:qFormat/>
    <w:uiPriority w:val="1"/>
    <w:pPr>
      <w:autoSpaceDE w:val="0"/>
      <w:autoSpaceDN w:val="0"/>
      <w:adjustRightInd w:val="0"/>
      <w:jc w:val="left"/>
    </w:pPr>
    <w:rPr>
      <w:rFonts w:ascii="黑体" w:eastAsia="黑体" w:cs="黑体"/>
      <w:kern w:val="0"/>
      <w:sz w:val="24"/>
    </w:rPr>
  </w:style>
  <w:style w:type="paragraph" w:customStyle="1" w:styleId="265">
    <w:name w:val="Normal_file_341_file_360_file_529"/>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6">
    <w:name w:val="Table Paragraph_file_529"/>
    <w:basedOn w:val="251"/>
    <w:autoRedefine/>
    <w:qFormat/>
    <w:uiPriority w:val="1"/>
    <w:pPr>
      <w:autoSpaceDE w:val="0"/>
      <w:autoSpaceDN w:val="0"/>
      <w:adjustRightInd w:val="0"/>
      <w:jc w:val="left"/>
    </w:pPr>
    <w:rPr>
      <w:rFonts w:ascii="黑体" w:eastAsia="黑体" w:cs="黑体"/>
      <w:kern w:val="0"/>
      <w:sz w:val="24"/>
    </w:rPr>
  </w:style>
  <w:style w:type="paragraph" w:customStyle="1" w:styleId="267">
    <w:name w:val="Normal_file_53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8">
    <w:name w:val="heading 1_file_530"/>
    <w:basedOn w:val="267"/>
    <w:qFormat/>
    <w:uiPriority w:val="9"/>
    <w:pPr>
      <w:outlineLvl w:val="0"/>
    </w:pPr>
    <w:rPr>
      <w:kern w:val="36"/>
      <w:sz w:val="48"/>
      <w:szCs w:val="48"/>
    </w:rPr>
  </w:style>
  <w:style w:type="paragraph" w:customStyle="1" w:styleId="269">
    <w:name w:val="heading 2_file_530"/>
    <w:basedOn w:val="267"/>
    <w:qFormat/>
    <w:uiPriority w:val="9"/>
    <w:pPr>
      <w:outlineLvl w:val="1"/>
    </w:pPr>
    <w:rPr>
      <w:sz w:val="36"/>
      <w:szCs w:val="36"/>
    </w:rPr>
  </w:style>
  <w:style w:type="paragraph" w:customStyle="1" w:styleId="270">
    <w:name w:val="heading 3_file_530"/>
    <w:basedOn w:val="267"/>
    <w:qFormat/>
    <w:uiPriority w:val="9"/>
    <w:pPr>
      <w:outlineLvl w:val="2"/>
    </w:pPr>
    <w:rPr>
      <w:sz w:val="27"/>
      <w:szCs w:val="27"/>
    </w:rPr>
  </w:style>
  <w:style w:type="paragraph" w:customStyle="1" w:styleId="271">
    <w:name w:val="heading 4_file_530"/>
    <w:basedOn w:val="267"/>
    <w:qFormat/>
    <w:uiPriority w:val="9"/>
    <w:pPr>
      <w:outlineLvl w:val="3"/>
    </w:pPr>
  </w:style>
  <w:style w:type="paragraph" w:customStyle="1" w:styleId="272">
    <w:name w:val="heading 5_file_530"/>
    <w:basedOn w:val="267"/>
    <w:qFormat/>
    <w:uiPriority w:val="9"/>
    <w:pPr>
      <w:outlineLvl w:val="4"/>
    </w:pPr>
    <w:rPr>
      <w:sz w:val="20"/>
      <w:szCs w:val="20"/>
    </w:rPr>
  </w:style>
  <w:style w:type="paragraph" w:customStyle="1" w:styleId="273">
    <w:name w:val="heading 6_file_530"/>
    <w:basedOn w:val="267"/>
    <w:qFormat/>
    <w:uiPriority w:val="9"/>
    <w:pPr>
      <w:outlineLvl w:val="5"/>
    </w:pPr>
    <w:rPr>
      <w:sz w:val="15"/>
      <w:szCs w:val="15"/>
    </w:rPr>
  </w:style>
  <w:style w:type="character" w:customStyle="1" w:styleId="274">
    <w:name w:val="Default Paragraph Font_file_530"/>
    <w:semiHidden/>
    <w:unhideWhenUsed/>
    <w:qFormat/>
    <w:uiPriority w:val="1"/>
  </w:style>
  <w:style w:type="table" w:customStyle="1" w:styleId="275">
    <w:name w:val="Normal Table_file_530"/>
    <w:semiHidden/>
    <w:unhideWhenUsed/>
    <w:qFormat/>
    <w:uiPriority w:val="99"/>
    <w:tblPr>
      <w:tblCellMar>
        <w:top w:w="0" w:type="dxa"/>
        <w:left w:w="108" w:type="dxa"/>
        <w:bottom w:w="0" w:type="dxa"/>
        <w:right w:w="108" w:type="dxa"/>
      </w:tblCellMar>
    </w:tblPr>
  </w:style>
  <w:style w:type="character" w:customStyle="1" w:styleId="276">
    <w:name w:val="Hyperlink_file_530"/>
    <w:basedOn w:val="274"/>
    <w:semiHidden/>
    <w:unhideWhenUsed/>
    <w:qFormat/>
    <w:uiPriority w:val="99"/>
    <w:rPr>
      <w:color w:val="0782C1"/>
      <w:u w:val="single"/>
    </w:rPr>
  </w:style>
  <w:style w:type="character" w:customStyle="1" w:styleId="277">
    <w:name w:val="FollowedHyperlink_file_530"/>
    <w:basedOn w:val="274"/>
    <w:semiHidden/>
    <w:unhideWhenUsed/>
    <w:qFormat/>
    <w:uiPriority w:val="99"/>
    <w:rPr>
      <w:color w:val="0782C1"/>
      <w:u w:val="single"/>
    </w:rPr>
  </w:style>
  <w:style w:type="character" w:customStyle="1" w:styleId="278">
    <w:name w:val="标题 1 Char_file_530"/>
    <w:basedOn w:val="274"/>
    <w:link w:val="4"/>
    <w:qFormat/>
    <w:uiPriority w:val="9"/>
    <w:rPr>
      <w:rFonts w:ascii="宋体" w:hAnsi="宋体" w:eastAsia="宋体" w:cs="宋体"/>
      <w:b/>
      <w:bCs/>
      <w:kern w:val="44"/>
      <w:sz w:val="44"/>
      <w:szCs w:val="44"/>
    </w:rPr>
  </w:style>
  <w:style w:type="character" w:customStyle="1" w:styleId="279">
    <w:name w:val="标题 2 Char_file_530"/>
    <w:basedOn w:val="274"/>
    <w:link w:val="5"/>
    <w:semiHidden/>
    <w:qFormat/>
    <w:uiPriority w:val="9"/>
    <w:rPr>
      <w:rFonts w:asciiTheme="majorHAnsi" w:hAnsiTheme="majorHAnsi" w:eastAsiaTheme="majorEastAsia" w:cstheme="majorBidi"/>
      <w:b/>
      <w:bCs/>
      <w:sz w:val="32"/>
      <w:szCs w:val="32"/>
    </w:rPr>
  </w:style>
  <w:style w:type="character" w:customStyle="1" w:styleId="280">
    <w:name w:val="标题 3 Char_file_530"/>
    <w:basedOn w:val="274"/>
    <w:link w:val="6"/>
    <w:semiHidden/>
    <w:qFormat/>
    <w:uiPriority w:val="9"/>
    <w:rPr>
      <w:rFonts w:ascii="宋体" w:hAnsi="宋体" w:eastAsia="宋体" w:cs="宋体"/>
      <w:b/>
      <w:bCs/>
      <w:sz w:val="32"/>
      <w:szCs w:val="32"/>
    </w:rPr>
  </w:style>
  <w:style w:type="character" w:customStyle="1" w:styleId="281">
    <w:name w:val="标题 4 Char_file_530"/>
    <w:basedOn w:val="274"/>
    <w:link w:val="7"/>
    <w:semiHidden/>
    <w:qFormat/>
    <w:uiPriority w:val="9"/>
    <w:rPr>
      <w:rFonts w:asciiTheme="majorHAnsi" w:hAnsiTheme="majorHAnsi" w:eastAsiaTheme="majorEastAsia" w:cstheme="majorBidi"/>
      <w:b/>
      <w:bCs/>
      <w:sz w:val="28"/>
      <w:szCs w:val="28"/>
    </w:rPr>
  </w:style>
  <w:style w:type="character" w:customStyle="1" w:styleId="282">
    <w:name w:val="标题 5 Char_file_530"/>
    <w:basedOn w:val="274"/>
    <w:link w:val="8"/>
    <w:semiHidden/>
    <w:qFormat/>
    <w:uiPriority w:val="9"/>
    <w:rPr>
      <w:rFonts w:ascii="宋体" w:hAnsi="宋体" w:eastAsia="宋体" w:cs="宋体"/>
      <w:b/>
      <w:bCs/>
      <w:sz w:val="28"/>
      <w:szCs w:val="28"/>
    </w:rPr>
  </w:style>
  <w:style w:type="character" w:customStyle="1" w:styleId="283">
    <w:name w:val="标题 6 Char_file_530"/>
    <w:basedOn w:val="274"/>
    <w:link w:val="10"/>
    <w:semiHidden/>
    <w:qFormat/>
    <w:uiPriority w:val="9"/>
    <w:rPr>
      <w:rFonts w:asciiTheme="majorHAnsi" w:hAnsiTheme="majorHAnsi" w:eastAsiaTheme="majorEastAsia" w:cstheme="majorBidi"/>
      <w:b/>
      <w:bCs/>
      <w:sz w:val="24"/>
      <w:szCs w:val="24"/>
    </w:rPr>
  </w:style>
  <w:style w:type="paragraph" w:customStyle="1" w:styleId="284">
    <w:name w:val="cke_editable_file_530"/>
    <w:basedOn w:val="267"/>
    <w:qFormat/>
    <w:uiPriority w:val="0"/>
    <w:rPr>
      <w:rFonts w:ascii="仿宋_GB2312" w:eastAsia="仿宋_GB2312"/>
    </w:rPr>
  </w:style>
  <w:style w:type="paragraph" w:customStyle="1" w:styleId="285">
    <w:name w:val="marker_file_530"/>
    <w:basedOn w:val="267"/>
    <w:qFormat/>
    <w:uiPriority w:val="0"/>
    <w:pPr>
      <w:shd w:val="clear" w:color="auto" w:fill="FFFF00"/>
    </w:pPr>
  </w:style>
  <w:style w:type="paragraph" w:customStyle="1" w:styleId="286">
    <w:name w:val="Normal (Web)_file_530"/>
    <w:basedOn w:val="267"/>
    <w:semiHidden/>
    <w:unhideWhenUsed/>
    <w:qFormat/>
    <w:uiPriority w:val="99"/>
  </w:style>
  <w:style w:type="paragraph" w:customStyle="1" w:styleId="287">
    <w:name w:val="Normal_file_53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88">
    <w:name w:val="heading 1_file_531"/>
    <w:basedOn w:val="287"/>
    <w:qFormat/>
    <w:uiPriority w:val="9"/>
    <w:pPr>
      <w:outlineLvl w:val="0"/>
    </w:pPr>
    <w:rPr>
      <w:kern w:val="36"/>
      <w:sz w:val="48"/>
      <w:szCs w:val="48"/>
    </w:rPr>
  </w:style>
  <w:style w:type="paragraph" w:customStyle="1" w:styleId="289">
    <w:name w:val="heading 2_file_531"/>
    <w:basedOn w:val="287"/>
    <w:qFormat/>
    <w:uiPriority w:val="9"/>
    <w:pPr>
      <w:outlineLvl w:val="1"/>
    </w:pPr>
    <w:rPr>
      <w:sz w:val="36"/>
      <w:szCs w:val="36"/>
    </w:rPr>
  </w:style>
  <w:style w:type="paragraph" w:customStyle="1" w:styleId="290">
    <w:name w:val="heading 3_file_531"/>
    <w:basedOn w:val="287"/>
    <w:qFormat/>
    <w:uiPriority w:val="9"/>
    <w:pPr>
      <w:outlineLvl w:val="2"/>
    </w:pPr>
    <w:rPr>
      <w:sz w:val="27"/>
      <w:szCs w:val="27"/>
    </w:rPr>
  </w:style>
  <w:style w:type="paragraph" w:customStyle="1" w:styleId="291">
    <w:name w:val="heading 4_file_531"/>
    <w:basedOn w:val="287"/>
    <w:qFormat/>
    <w:uiPriority w:val="9"/>
    <w:pPr>
      <w:outlineLvl w:val="3"/>
    </w:pPr>
  </w:style>
  <w:style w:type="paragraph" w:customStyle="1" w:styleId="292">
    <w:name w:val="heading 5_file_531"/>
    <w:basedOn w:val="287"/>
    <w:qFormat/>
    <w:uiPriority w:val="9"/>
    <w:pPr>
      <w:outlineLvl w:val="4"/>
    </w:pPr>
    <w:rPr>
      <w:sz w:val="20"/>
      <w:szCs w:val="20"/>
    </w:rPr>
  </w:style>
  <w:style w:type="paragraph" w:customStyle="1" w:styleId="293">
    <w:name w:val="heading 6_file_531"/>
    <w:basedOn w:val="287"/>
    <w:qFormat/>
    <w:uiPriority w:val="9"/>
    <w:pPr>
      <w:outlineLvl w:val="5"/>
    </w:pPr>
    <w:rPr>
      <w:sz w:val="15"/>
      <w:szCs w:val="15"/>
    </w:rPr>
  </w:style>
  <w:style w:type="character" w:customStyle="1" w:styleId="294">
    <w:name w:val="Default Paragraph Font_file_531"/>
    <w:semiHidden/>
    <w:unhideWhenUsed/>
    <w:qFormat/>
    <w:uiPriority w:val="1"/>
  </w:style>
  <w:style w:type="table" w:customStyle="1" w:styleId="295">
    <w:name w:val="Normal Table_file_531"/>
    <w:semiHidden/>
    <w:unhideWhenUsed/>
    <w:qFormat/>
    <w:uiPriority w:val="99"/>
    <w:tblPr>
      <w:tblCellMar>
        <w:top w:w="0" w:type="dxa"/>
        <w:left w:w="108" w:type="dxa"/>
        <w:bottom w:w="0" w:type="dxa"/>
        <w:right w:w="108" w:type="dxa"/>
      </w:tblCellMar>
    </w:tblPr>
  </w:style>
  <w:style w:type="character" w:customStyle="1" w:styleId="296">
    <w:name w:val="Hyperlink_file_531"/>
    <w:basedOn w:val="294"/>
    <w:semiHidden/>
    <w:unhideWhenUsed/>
    <w:qFormat/>
    <w:uiPriority w:val="99"/>
    <w:rPr>
      <w:color w:val="0782C1"/>
      <w:u w:val="single"/>
    </w:rPr>
  </w:style>
  <w:style w:type="character" w:customStyle="1" w:styleId="297">
    <w:name w:val="FollowedHyperlink_file_531"/>
    <w:basedOn w:val="294"/>
    <w:semiHidden/>
    <w:unhideWhenUsed/>
    <w:qFormat/>
    <w:uiPriority w:val="99"/>
    <w:rPr>
      <w:color w:val="0782C1"/>
      <w:u w:val="single"/>
    </w:rPr>
  </w:style>
  <w:style w:type="character" w:customStyle="1" w:styleId="298">
    <w:name w:val="标题 1 Char_file_531"/>
    <w:basedOn w:val="294"/>
    <w:link w:val="4"/>
    <w:qFormat/>
    <w:uiPriority w:val="9"/>
    <w:rPr>
      <w:rFonts w:ascii="宋体" w:hAnsi="宋体" w:eastAsia="宋体" w:cs="宋体"/>
      <w:b/>
      <w:bCs/>
      <w:kern w:val="44"/>
      <w:sz w:val="44"/>
      <w:szCs w:val="44"/>
    </w:rPr>
  </w:style>
  <w:style w:type="character" w:customStyle="1" w:styleId="299">
    <w:name w:val="标题 2 Char_file_531"/>
    <w:basedOn w:val="294"/>
    <w:link w:val="5"/>
    <w:semiHidden/>
    <w:qFormat/>
    <w:uiPriority w:val="9"/>
    <w:rPr>
      <w:rFonts w:asciiTheme="majorHAnsi" w:hAnsiTheme="majorHAnsi" w:eastAsiaTheme="majorEastAsia" w:cstheme="majorBidi"/>
      <w:b/>
      <w:bCs/>
      <w:sz w:val="32"/>
      <w:szCs w:val="32"/>
    </w:rPr>
  </w:style>
  <w:style w:type="character" w:customStyle="1" w:styleId="300">
    <w:name w:val="标题 3 Char_file_531"/>
    <w:basedOn w:val="294"/>
    <w:link w:val="6"/>
    <w:semiHidden/>
    <w:qFormat/>
    <w:uiPriority w:val="9"/>
    <w:rPr>
      <w:rFonts w:ascii="宋体" w:hAnsi="宋体" w:eastAsia="宋体" w:cs="宋体"/>
      <w:b/>
      <w:bCs/>
      <w:sz w:val="32"/>
      <w:szCs w:val="32"/>
    </w:rPr>
  </w:style>
  <w:style w:type="character" w:customStyle="1" w:styleId="301">
    <w:name w:val="标题 4 Char_file_531"/>
    <w:basedOn w:val="294"/>
    <w:link w:val="7"/>
    <w:semiHidden/>
    <w:qFormat/>
    <w:uiPriority w:val="9"/>
    <w:rPr>
      <w:rFonts w:asciiTheme="majorHAnsi" w:hAnsiTheme="majorHAnsi" w:eastAsiaTheme="majorEastAsia" w:cstheme="majorBidi"/>
      <w:b/>
      <w:bCs/>
      <w:sz w:val="28"/>
      <w:szCs w:val="28"/>
    </w:rPr>
  </w:style>
  <w:style w:type="character" w:customStyle="1" w:styleId="302">
    <w:name w:val="标题 5 Char_file_531"/>
    <w:basedOn w:val="294"/>
    <w:link w:val="8"/>
    <w:semiHidden/>
    <w:qFormat/>
    <w:uiPriority w:val="9"/>
    <w:rPr>
      <w:rFonts w:ascii="宋体" w:hAnsi="宋体" w:eastAsia="宋体" w:cs="宋体"/>
      <w:b/>
      <w:bCs/>
      <w:sz w:val="28"/>
      <w:szCs w:val="28"/>
    </w:rPr>
  </w:style>
  <w:style w:type="character" w:customStyle="1" w:styleId="303">
    <w:name w:val="标题 6 Char_file_531"/>
    <w:basedOn w:val="294"/>
    <w:link w:val="10"/>
    <w:semiHidden/>
    <w:qFormat/>
    <w:uiPriority w:val="9"/>
    <w:rPr>
      <w:rFonts w:asciiTheme="majorHAnsi" w:hAnsiTheme="majorHAnsi" w:eastAsiaTheme="majorEastAsia" w:cstheme="majorBidi"/>
      <w:b/>
      <w:bCs/>
      <w:sz w:val="24"/>
      <w:szCs w:val="24"/>
    </w:rPr>
  </w:style>
  <w:style w:type="paragraph" w:customStyle="1" w:styleId="304">
    <w:name w:val="cke_editable_file_531"/>
    <w:basedOn w:val="287"/>
    <w:qFormat/>
    <w:uiPriority w:val="0"/>
    <w:rPr>
      <w:rFonts w:ascii="仿宋_GB2312" w:eastAsia="仿宋_GB2312"/>
    </w:rPr>
  </w:style>
  <w:style w:type="paragraph" w:customStyle="1" w:styleId="305">
    <w:name w:val="marker_file_531"/>
    <w:basedOn w:val="287"/>
    <w:qFormat/>
    <w:uiPriority w:val="0"/>
    <w:pPr>
      <w:shd w:val="clear" w:color="auto" w:fill="FFFF00"/>
    </w:pPr>
  </w:style>
  <w:style w:type="paragraph" w:customStyle="1" w:styleId="306">
    <w:name w:val="Normal (Web)_file_531"/>
    <w:basedOn w:val="287"/>
    <w:semiHidden/>
    <w:unhideWhenUsed/>
    <w:qFormat/>
    <w:uiPriority w:val="99"/>
  </w:style>
  <w:style w:type="paragraph" w:customStyle="1" w:styleId="307">
    <w:name w:val="Normal_file_532"/>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8">
    <w:name w:val="heading 2_file_532"/>
    <w:basedOn w:val="307"/>
    <w:next w:val="4"/>
    <w:qFormat/>
    <w:uiPriority w:val="0"/>
    <w:pPr>
      <w:keepNext/>
      <w:adjustRightInd w:val="0"/>
      <w:spacing w:before="120" w:line="360" w:lineRule="auto"/>
      <w:jc w:val="center"/>
      <w:outlineLvl w:val="1"/>
    </w:pPr>
    <w:rPr>
      <w:rFonts w:eastAsia="隶书"/>
      <w:b/>
      <w:kern w:val="0"/>
      <w:sz w:val="44"/>
      <w:szCs w:val="20"/>
    </w:rPr>
  </w:style>
  <w:style w:type="paragraph" w:customStyle="1" w:styleId="309">
    <w:name w:val="heading 3_file_532"/>
    <w:basedOn w:val="307"/>
    <w:next w:val="4"/>
    <w:qFormat/>
    <w:uiPriority w:val="0"/>
    <w:pPr>
      <w:keepNext/>
      <w:keepLines/>
      <w:spacing w:before="260" w:after="260" w:line="416" w:lineRule="auto"/>
      <w:outlineLvl w:val="2"/>
    </w:pPr>
    <w:rPr>
      <w:b/>
      <w:bCs/>
      <w:sz w:val="32"/>
      <w:szCs w:val="32"/>
    </w:rPr>
  </w:style>
  <w:style w:type="paragraph" w:customStyle="1" w:styleId="310">
    <w:name w:val="heading 4_file_532"/>
    <w:basedOn w:val="307"/>
    <w:next w:val="4"/>
    <w:qFormat/>
    <w:uiPriority w:val="0"/>
    <w:pPr>
      <w:keepNext/>
      <w:keepLines/>
      <w:spacing w:before="280" w:after="290" w:line="376" w:lineRule="auto"/>
      <w:outlineLvl w:val="3"/>
    </w:pPr>
    <w:rPr>
      <w:rFonts w:ascii="Arial" w:hAnsi="Arial" w:eastAsia="黑体"/>
      <w:b/>
      <w:bCs/>
      <w:sz w:val="28"/>
      <w:szCs w:val="28"/>
    </w:rPr>
  </w:style>
  <w:style w:type="paragraph" w:customStyle="1" w:styleId="311">
    <w:name w:val="heading 5_file_532"/>
    <w:basedOn w:val="307"/>
    <w:next w:val="11"/>
    <w:qFormat/>
    <w:uiPriority w:val="0"/>
    <w:pPr>
      <w:keepNext/>
      <w:keepLines/>
      <w:numPr>
        <w:ilvl w:val="4"/>
        <w:numId w:val="1"/>
      </w:numPr>
      <w:spacing w:before="280" w:after="290" w:line="376" w:lineRule="auto"/>
      <w:outlineLvl w:val="4"/>
    </w:pPr>
    <w:rPr>
      <w:b/>
      <w:sz w:val="28"/>
    </w:rPr>
  </w:style>
  <w:style w:type="character" w:customStyle="1" w:styleId="312">
    <w:name w:val="Default Paragraph Font_file_532"/>
    <w:semiHidden/>
    <w:qFormat/>
    <w:uiPriority w:val="0"/>
  </w:style>
  <w:style w:type="table" w:customStyle="1" w:styleId="313">
    <w:name w:val="Normal Table_file_532"/>
    <w:semiHidden/>
    <w:qFormat/>
    <w:uiPriority w:val="0"/>
    <w:tblPr>
      <w:tblCellMar>
        <w:top w:w="0" w:type="dxa"/>
        <w:left w:w="108" w:type="dxa"/>
        <w:bottom w:w="0" w:type="dxa"/>
        <w:right w:w="108" w:type="dxa"/>
      </w:tblCellMar>
    </w:tblPr>
  </w:style>
  <w:style w:type="paragraph" w:customStyle="1" w:styleId="314">
    <w:name w:val="footer_file_532"/>
    <w:basedOn w:val="307"/>
    <w:next w:val="4"/>
    <w:qFormat/>
    <w:uiPriority w:val="99"/>
    <w:pPr>
      <w:tabs>
        <w:tab w:val="center" w:pos="4153"/>
        <w:tab w:val="right" w:pos="8306"/>
      </w:tabs>
      <w:snapToGrid w:val="0"/>
      <w:jc w:val="left"/>
    </w:pPr>
    <w:rPr>
      <w:sz w:val="18"/>
      <w:szCs w:val="18"/>
    </w:rPr>
  </w:style>
  <w:style w:type="paragraph" w:customStyle="1" w:styleId="315">
    <w:name w:val="Normal Indent_file_532"/>
    <w:basedOn w:val="307"/>
    <w:qFormat/>
    <w:uiPriority w:val="0"/>
    <w:pPr>
      <w:spacing w:line="240" w:lineRule="atLeast"/>
      <w:ind w:left="900" w:hanging="900"/>
      <w:jc w:val="left"/>
    </w:pPr>
    <w:rPr>
      <w:rFonts w:ascii="宋体"/>
      <w:snapToGrid w:val="0"/>
      <w:kern w:val="0"/>
      <w:sz w:val="20"/>
      <w:szCs w:val="20"/>
    </w:rPr>
  </w:style>
  <w:style w:type="table" w:customStyle="1" w:styleId="316">
    <w:name w:val="Normal Table_file_104_file_532"/>
    <w:semiHidden/>
    <w:qFormat/>
    <w:uiPriority w:val="0"/>
    <w:tblPr>
      <w:tblCellMar>
        <w:top w:w="0" w:type="dxa"/>
        <w:left w:w="108" w:type="dxa"/>
        <w:bottom w:w="0" w:type="dxa"/>
        <w:right w:w="108" w:type="dxa"/>
      </w:tblCellMar>
    </w:tblPr>
  </w:style>
  <w:style w:type="paragraph" w:customStyle="1" w:styleId="317">
    <w:name w:val="Plain Text_file_104_file_532"/>
    <w:basedOn w:val="318"/>
    <w:qFormat/>
    <w:uiPriority w:val="0"/>
    <w:rPr>
      <w:rFonts w:ascii="宋体" w:hAnsi="Courier New" w:cs="Courier New"/>
      <w:szCs w:val="21"/>
    </w:rPr>
  </w:style>
  <w:style w:type="paragraph" w:customStyle="1" w:styleId="318">
    <w:name w:val="Normal_file_104_file_532"/>
    <w:next w:val="6"/>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319">
    <w:name w:val="Normal Table_file_592_file_509_file_669_file_674_file_222_file_179_file_1600_file_2639_file_1366_file_532"/>
    <w:semiHidden/>
    <w:qFormat/>
    <w:uiPriority w:val="0"/>
    <w:tblPr>
      <w:tblCellMar>
        <w:top w:w="0" w:type="dxa"/>
        <w:left w:w="108" w:type="dxa"/>
        <w:bottom w:w="0" w:type="dxa"/>
        <w:right w:w="108" w:type="dxa"/>
      </w:tblCellMar>
    </w:tblPr>
  </w:style>
  <w:style w:type="paragraph" w:customStyle="1" w:styleId="320">
    <w:name w:val="表格文字_file_592_file_509_file_457_file_528_file_222_file_179_file_1600_file_2639_file_1366_file_532"/>
    <w:basedOn w:val="321"/>
    <w:qFormat/>
    <w:uiPriority w:val="99"/>
    <w:pPr>
      <w:spacing w:before="25" w:after="25"/>
      <w:jc w:val="left"/>
    </w:pPr>
    <w:rPr>
      <w:bCs/>
      <w:spacing w:val="10"/>
      <w:kern w:val="0"/>
      <w:sz w:val="24"/>
    </w:rPr>
  </w:style>
  <w:style w:type="paragraph" w:customStyle="1" w:styleId="321">
    <w:name w:val="Normal_file_592_file_509_file_457_file_528_file_222_file_179_file_1600_file_2639_file_1366_file_5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2">
    <w:name w:val="表格文字_file_457_file_528_file_222_file_179_file_1600_file_2639_file_1366_file_532"/>
    <w:basedOn w:val="323"/>
    <w:qFormat/>
    <w:uiPriority w:val="99"/>
    <w:pPr>
      <w:spacing w:before="25" w:after="25"/>
      <w:jc w:val="left"/>
    </w:pPr>
    <w:rPr>
      <w:bCs/>
      <w:spacing w:val="10"/>
      <w:kern w:val="0"/>
      <w:sz w:val="24"/>
    </w:rPr>
  </w:style>
  <w:style w:type="paragraph" w:customStyle="1" w:styleId="323">
    <w:name w:val="Normal_file_457_file_528_file_222_file_179_file_1600_file_2639_file_1366_file_532"/>
    <w:next w:val="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4">
    <w:name w:val="Plain Text_file_457_file_528_file_222_file_179_file_1600_file_2639_file_1366_file_532"/>
    <w:basedOn w:val="323"/>
    <w:next w:val="8"/>
    <w:qFormat/>
    <w:uiPriority w:val="0"/>
    <w:rPr>
      <w:rFonts w:ascii="宋体" w:hAnsi="Courier New" w:cs="Courier New"/>
      <w:szCs w:val="21"/>
    </w:rPr>
  </w:style>
  <w:style w:type="paragraph" w:customStyle="1" w:styleId="325">
    <w:name w:val="Plain Text_file_222_file_179_file_1600_file_2639_file_1366_file_532"/>
    <w:basedOn w:val="326"/>
    <w:next w:val="8"/>
    <w:qFormat/>
    <w:uiPriority w:val="0"/>
    <w:rPr>
      <w:rFonts w:ascii="宋体" w:hAnsi="Courier New" w:cs="Courier New"/>
      <w:szCs w:val="21"/>
    </w:rPr>
  </w:style>
  <w:style w:type="paragraph" w:customStyle="1" w:styleId="326">
    <w:name w:val="Normal_file_222_file_179_file_1600_file_2639_file_1366_file_532"/>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7">
    <w:name w:val="Plain Text_file_372_file_669_file_674_file_222_file_179_file_1600_file_2639_file_1366_file_532"/>
    <w:basedOn w:val="328"/>
    <w:qFormat/>
    <w:uiPriority w:val="0"/>
    <w:rPr>
      <w:rFonts w:ascii="宋体" w:hAnsi="Courier New" w:cs="Courier New"/>
      <w:szCs w:val="21"/>
    </w:rPr>
  </w:style>
  <w:style w:type="paragraph" w:customStyle="1" w:styleId="328">
    <w:name w:val="Normal_file_372_file_669_file_674_file_222_file_179_file_1600_file_2639_file_1366_file_532"/>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9">
    <w:name w:val="Plain Text_file_592_file_509_file_669_file_674_file_222_file_179_file_1600_file_2639_file_1366_file_532"/>
    <w:basedOn w:val="330"/>
    <w:qFormat/>
    <w:uiPriority w:val="0"/>
    <w:rPr>
      <w:rFonts w:ascii="宋体" w:hAnsi="Courier New" w:cs="Courier New"/>
      <w:szCs w:val="21"/>
    </w:rPr>
  </w:style>
  <w:style w:type="paragraph" w:customStyle="1" w:styleId="330">
    <w:name w:val="Normal_file_592_file_509_file_669_file_674_file_222_file_179_file_1600_file_2639_file_1366_file_5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1">
    <w:name w:val="Normal_file_5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32">
    <w:name w:val="heading 1_file_533"/>
    <w:basedOn w:val="331"/>
    <w:qFormat/>
    <w:uiPriority w:val="9"/>
    <w:pPr>
      <w:outlineLvl w:val="0"/>
    </w:pPr>
    <w:rPr>
      <w:kern w:val="36"/>
      <w:sz w:val="48"/>
      <w:szCs w:val="48"/>
    </w:rPr>
  </w:style>
  <w:style w:type="paragraph" w:customStyle="1" w:styleId="333">
    <w:name w:val="heading 2_file_533"/>
    <w:basedOn w:val="331"/>
    <w:qFormat/>
    <w:uiPriority w:val="9"/>
    <w:pPr>
      <w:outlineLvl w:val="1"/>
    </w:pPr>
    <w:rPr>
      <w:sz w:val="36"/>
      <w:szCs w:val="36"/>
    </w:rPr>
  </w:style>
  <w:style w:type="paragraph" w:customStyle="1" w:styleId="334">
    <w:name w:val="heading 3_file_533"/>
    <w:basedOn w:val="331"/>
    <w:qFormat/>
    <w:uiPriority w:val="9"/>
    <w:pPr>
      <w:outlineLvl w:val="2"/>
    </w:pPr>
    <w:rPr>
      <w:sz w:val="27"/>
      <w:szCs w:val="27"/>
    </w:rPr>
  </w:style>
  <w:style w:type="paragraph" w:customStyle="1" w:styleId="335">
    <w:name w:val="heading 4_file_533"/>
    <w:basedOn w:val="331"/>
    <w:qFormat/>
    <w:uiPriority w:val="9"/>
    <w:pPr>
      <w:outlineLvl w:val="3"/>
    </w:pPr>
  </w:style>
  <w:style w:type="paragraph" w:customStyle="1" w:styleId="336">
    <w:name w:val="heading 5_file_533"/>
    <w:basedOn w:val="331"/>
    <w:qFormat/>
    <w:uiPriority w:val="9"/>
    <w:pPr>
      <w:outlineLvl w:val="4"/>
    </w:pPr>
    <w:rPr>
      <w:sz w:val="20"/>
      <w:szCs w:val="20"/>
    </w:rPr>
  </w:style>
  <w:style w:type="paragraph" w:customStyle="1" w:styleId="337">
    <w:name w:val="heading 6_file_533"/>
    <w:basedOn w:val="331"/>
    <w:qFormat/>
    <w:uiPriority w:val="9"/>
    <w:pPr>
      <w:outlineLvl w:val="5"/>
    </w:pPr>
    <w:rPr>
      <w:sz w:val="15"/>
      <w:szCs w:val="15"/>
    </w:rPr>
  </w:style>
  <w:style w:type="character" w:customStyle="1" w:styleId="338">
    <w:name w:val="Default Paragraph Font_file_533"/>
    <w:semiHidden/>
    <w:unhideWhenUsed/>
    <w:qFormat/>
    <w:uiPriority w:val="1"/>
  </w:style>
  <w:style w:type="table" w:customStyle="1" w:styleId="339">
    <w:name w:val="Normal Table_file_533"/>
    <w:semiHidden/>
    <w:unhideWhenUsed/>
    <w:qFormat/>
    <w:uiPriority w:val="99"/>
    <w:tblPr>
      <w:tblCellMar>
        <w:top w:w="0" w:type="dxa"/>
        <w:left w:w="108" w:type="dxa"/>
        <w:bottom w:w="0" w:type="dxa"/>
        <w:right w:w="108" w:type="dxa"/>
      </w:tblCellMar>
    </w:tblPr>
  </w:style>
  <w:style w:type="character" w:customStyle="1" w:styleId="340">
    <w:name w:val="Hyperlink_file_533"/>
    <w:basedOn w:val="338"/>
    <w:semiHidden/>
    <w:unhideWhenUsed/>
    <w:qFormat/>
    <w:uiPriority w:val="99"/>
    <w:rPr>
      <w:color w:val="0782C1"/>
      <w:u w:val="single"/>
    </w:rPr>
  </w:style>
  <w:style w:type="character" w:customStyle="1" w:styleId="341">
    <w:name w:val="FollowedHyperlink_file_533"/>
    <w:basedOn w:val="338"/>
    <w:semiHidden/>
    <w:unhideWhenUsed/>
    <w:qFormat/>
    <w:uiPriority w:val="99"/>
    <w:rPr>
      <w:color w:val="0782C1"/>
      <w:u w:val="single"/>
    </w:rPr>
  </w:style>
  <w:style w:type="character" w:customStyle="1" w:styleId="342">
    <w:name w:val="标题 1 Char_file_533"/>
    <w:basedOn w:val="338"/>
    <w:link w:val="4"/>
    <w:qFormat/>
    <w:uiPriority w:val="9"/>
    <w:rPr>
      <w:rFonts w:ascii="宋体" w:hAnsi="宋体" w:eastAsia="宋体" w:cs="宋体"/>
      <w:b/>
      <w:bCs/>
      <w:kern w:val="44"/>
      <w:sz w:val="44"/>
      <w:szCs w:val="44"/>
    </w:rPr>
  </w:style>
  <w:style w:type="character" w:customStyle="1" w:styleId="343">
    <w:name w:val="标题 2 Char_file_533"/>
    <w:basedOn w:val="338"/>
    <w:link w:val="5"/>
    <w:semiHidden/>
    <w:qFormat/>
    <w:uiPriority w:val="9"/>
    <w:rPr>
      <w:rFonts w:asciiTheme="majorHAnsi" w:hAnsiTheme="majorHAnsi" w:eastAsiaTheme="majorEastAsia" w:cstheme="majorBidi"/>
      <w:b/>
      <w:bCs/>
      <w:sz w:val="32"/>
      <w:szCs w:val="32"/>
    </w:rPr>
  </w:style>
  <w:style w:type="character" w:customStyle="1" w:styleId="344">
    <w:name w:val="标题 3 Char_file_533"/>
    <w:basedOn w:val="338"/>
    <w:link w:val="6"/>
    <w:semiHidden/>
    <w:qFormat/>
    <w:uiPriority w:val="9"/>
    <w:rPr>
      <w:rFonts w:ascii="宋体" w:hAnsi="宋体" w:eastAsia="宋体" w:cs="宋体"/>
      <w:b/>
      <w:bCs/>
      <w:sz w:val="32"/>
      <w:szCs w:val="32"/>
    </w:rPr>
  </w:style>
  <w:style w:type="character" w:customStyle="1" w:styleId="345">
    <w:name w:val="标题 4 Char_file_533"/>
    <w:basedOn w:val="338"/>
    <w:link w:val="7"/>
    <w:semiHidden/>
    <w:qFormat/>
    <w:uiPriority w:val="9"/>
    <w:rPr>
      <w:rFonts w:asciiTheme="majorHAnsi" w:hAnsiTheme="majorHAnsi" w:eastAsiaTheme="majorEastAsia" w:cstheme="majorBidi"/>
      <w:b/>
      <w:bCs/>
      <w:sz w:val="28"/>
      <w:szCs w:val="28"/>
    </w:rPr>
  </w:style>
  <w:style w:type="character" w:customStyle="1" w:styleId="346">
    <w:name w:val="标题 5 Char_file_533"/>
    <w:basedOn w:val="338"/>
    <w:link w:val="8"/>
    <w:semiHidden/>
    <w:qFormat/>
    <w:uiPriority w:val="9"/>
    <w:rPr>
      <w:rFonts w:ascii="宋体" w:hAnsi="宋体" w:eastAsia="宋体" w:cs="宋体"/>
      <w:b/>
      <w:bCs/>
      <w:sz w:val="28"/>
      <w:szCs w:val="28"/>
    </w:rPr>
  </w:style>
  <w:style w:type="character" w:customStyle="1" w:styleId="347">
    <w:name w:val="标题 6 Char_file_533"/>
    <w:basedOn w:val="338"/>
    <w:link w:val="10"/>
    <w:semiHidden/>
    <w:qFormat/>
    <w:uiPriority w:val="9"/>
    <w:rPr>
      <w:rFonts w:asciiTheme="majorHAnsi" w:hAnsiTheme="majorHAnsi" w:eastAsiaTheme="majorEastAsia" w:cstheme="majorBidi"/>
      <w:b/>
      <w:bCs/>
      <w:sz w:val="24"/>
      <w:szCs w:val="24"/>
    </w:rPr>
  </w:style>
  <w:style w:type="paragraph" w:customStyle="1" w:styleId="348">
    <w:name w:val="cke_editable_file_533"/>
    <w:basedOn w:val="331"/>
    <w:qFormat/>
    <w:uiPriority w:val="0"/>
    <w:rPr>
      <w:rFonts w:ascii="仿宋_GB2312" w:eastAsia="仿宋_GB2312"/>
    </w:rPr>
  </w:style>
  <w:style w:type="paragraph" w:customStyle="1" w:styleId="349">
    <w:name w:val="marker_file_533"/>
    <w:basedOn w:val="331"/>
    <w:qFormat/>
    <w:uiPriority w:val="0"/>
    <w:pPr>
      <w:shd w:val="clear" w:color="auto" w:fill="FFFF00"/>
    </w:pPr>
  </w:style>
  <w:style w:type="paragraph" w:customStyle="1" w:styleId="350">
    <w:name w:val="Normal (Web)_file_533"/>
    <w:basedOn w:val="331"/>
    <w:semiHidden/>
    <w:unhideWhenUsed/>
    <w:qFormat/>
    <w:uiPriority w:val="99"/>
  </w:style>
  <w:style w:type="paragraph" w:customStyle="1" w:styleId="351">
    <w:name w:val="Normal_file_5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52">
    <w:name w:val="heading 1_file_534"/>
    <w:basedOn w:val="351"/>
    <w:qFormat/>
    <w:uiPriority w:val="9"/>
    <w:pPr>
      <w:outlineLvl w:val="0"/>
    </w:pPr>
    <w:rPr>
      <w:kern w:val="36"/>
      <w:sz w:val="48"/>
      <w:szCs w:val="48"/>
    </w:rPr>
  </w:style>
  <w:style w:type="paragraph" w:customStyle="1" w:styleId="353">
    <w:name w:val="heading 2_file_534"/>
    <w:basedOn w:val="351"/>
    <w:qFormat/>
    <w:uiPriority w:val="9"/>
    <w:pPr>
      <w:outlineLvl w:val="1"/>
    </w:pPr>
    <w:rPr>
      <w:sz w:val="36"/>
      <w:szCs w:val="36"/>
    </w:rPr>
  </w:style>
  <w:style w:type="paragraph" w:customStyle="1" w:styleId="354">
    <w:name w:val="heading 3_file_534"/>
    <w:basedOn w:val="351"/>
    <w:qFormat/>
    <w:uiPriority w:val="9"/>
    <w:pPr>
      <w:outlineLvl w:val="2"/>
    </w:pPr>
    <w:rPr>
      <w:sz w:val="27"/>
      <w:szCs w:val="27"/>
    </w:rPr>
  </w:style>
  <w:style w:type="paragraph" w:customStyle="1" w:styleId="355">
    <w:name w:val="heading 4_file_534"/>
    <w:basedOn w:val="351"/>
    <w:qFormat/>
    <w:uiPriority w:val="9"/>
    <w:pPr>
      <w:outlineLvl w:val="3"/>
    </w:pPr>
  </w:style>
  <w:style w:type="paragraph" w:customStyle="1" w:styleId="356">
    <w:name w:val="heading 5_file_534"/>
    <w:basedOn w:val="351"/>
    <w:qFormat/>
    <w:uiPriority w:val="9"/>
    <w:pPr>
      <w:outlineLvl w:val="4"/>
    </w:pPr>
    <w:rPr>
      <w:sz w:val="20"/>
      <w:szCs w:val="20"/>
    </w:rPr>
  </w:style>
  <w:style w:type="paragraph" w:customStyle="1" w:styleId="357">
    <w:name w:val="heading 6_file_534"/>
    <w:basedOn w:val="351"/>
    <w:qFormat/>
    <w:uiPriority w:val="9"/>
    <w:pPr>
      <w:outlineLvl w:val="5"/>
    </w:pPr>
    <w:rPr>
      <w:sz w:val="15"/>
      <w:szCs w:val="15"/>
    </w:rPr>
  </w:style>
  <w:style w:type="character" w:customStyle="1" w:styleId="358">
    <w:name w:val="Default Paragraph Font_file_534"/>
    <w:semiHidden/>
    <w:unhideWhenUsed/>
    <w:qFormat/>
    <w:uiPriority w:val="1"/>
  </w:style>
  <w:style w:type="table" w:customStyle="1" w:styleId="359">
    <w:name w:val="Normal Table_file_534"/>
    <w:semiHidden/>
    <w:unhideWhenUsed/>
    <w:qFormat/>
    <w:uiPriority w:val="99"/>
    <w:tblPr>
      <w:tblCellMar>
        <w:top w:w="0" w:type="dxa"/>
        <w:left w:w="108" w:type="dxa"/>
        <w:bottom w:w="0" w:type="dxa"/>
        <w:right w:w="108" w:type="dxa"/>
      </w:tblCellMar>
    </w:tblPr>
  </w:style>
  <w:style w:type="character" w:customStyle="1" w:styleId="360">
    <w:name w:val="Hyperlink_file_534"/>
    <w:basedOn w:val="358"/>
    <w:semiHidden/>
    <w:unhideWhenUsed/>
    <w:qFormat/>
    <w:uiPriority w:val="99"/>
    <w:rPr>
      <w:color w:val="0782C1"/>
      <w:u w:val="single"/>
    </w:rPr>
  </w:style>
  <w:style w:type="character" w:customStyle="1" w:styleId="361">
    <w:name w:val="FollowedHyperlink_file_534"/>
    <w:basedOn w:val="358"/>
    <w:semiHidden/>
    <w:unhideWhenUsed/>
    <w:qFormat/>
    <w:uiPriority w:val="99"/>
    <w:rPr>
      <w:color w:val="0782C1"/>
      <w:u w:val="single"/>
    </w:rPr>
  </w:style>
  <w:style w:type="character" w:customStyle="1" w:styleId="362">
    <w:name w:val="标题 1 Char_file_534"/>
    <w:basedOn w:val="358"/>
    <w:link w:val="4"/>
    <w:qFormat/>
    <w:uiPriority w:val="9"/>
    <w:rPr>
      <w:rFonts w:ascii="宋体" w:hAnsi="宋体" w:eastAsia="宋体" w:cs="宋体"/>
      <w:b/>
      <w:bCs/>
      <w:kern w:val="44"/>
      <w:sz w:val="44"/>
      <w:szCs w:val="44"/>
    </w:rPr>
  </w:style>
  <w:style w:type="character" w:customStyle="1" w:styleId="363">
    <w:name w:val="标题 2 Char_file_534"/>
    <w:basedOn w:val="358"/>
    <w:link w:val="5"/>
    <w:semiHidden/>
    <w:qFormat/>
    <w:uiPriority w:val="9"/>
    <w:rPr>
      <w:rFonts w:asciiTheme="majorHAnsi" w:hAnsiTheme="majorHAnsi" w:eastAsiaTheme="majorEastAsia" w:cstheme="majorBidi"/>
      <w:b/>
      <w:bCs/>
      <w:sz w:val="32"/>
      <w:szCs w:val="32"/>
    </w:rPr>
  </w:style>
  <w:style w:type="character" w:customStyle="1" w:styleId="364">
    <w:name w:val="标题 3 Char_file_534"/>
    <w:basedOn w:val="358"/>
    <w:link w:val="6"/>
    <w:semiHidden/>
    <w:qFormat/>
    <w:uiPriority w:val="9"/>
    <w:rPr>
      <w:rFonts w:ascii="宋体" w:hAnsi="宋体" w:eastAsia="宋体" w:cs="宋体"/>
      <w:b/>
      <w:bCs/>
      <w:sz w:val="32"/>
      <w:szCs w:val="32"/>
    </w:rPr>
  </w:style>
  <w:style w:type="character" w:customStyle="1" w:styleId="365">
    <w:name w:val="标题 4 Char_file_534"/>
    <w:basedOn w:val="358"/>
    <w:link w:val="7"/>
    <w:semiHidden/>
    <w:qFormat/>
    <w:uiPriority w:val="9"/>
    <w:rPr>
      <w:rFonts w:asciiTheme="majorHAnsi" w:hAnsiTheme="majorHAnsi" w:eastAsiaTheme="majorEastAsia" w:cstheme="majorBidi"/>
      <w:b/>
      <w:bCs/>
      <w:sz w:val="28"/>
      <w:szCs w:val="28"/>
    </w:rPr>
  </w:style>
  <w:style w:type="character" w:customStyle="1" w:styleId="366">
    <w:name w:val="标题 5 Char_file_534"/>
    <w:basedOn w:val="358"/>
    <w:link w:val="8"/>
    <w:semiHidden/>
    <w:qFormat/>
    <w:uiPriority w:val="9"/>
    <w:rPr>
      <w:rFonts w:ascii="宋体" w:hAnsi="宋体" w:eastAsia="宋体" w:cs="宋体"/>
      <w:b/>
      <w:bCs/>
      <w:sz w:val="28"/>
      <w:szCs w:val="28"/>
    </w:rPr>
  </w:style>
  <w:style w:type="character" w:customStyle="1" w:styleId="367">
    <w:name w:val="标题 6 Char_file_534"/>
    <w:basedOn w:val="358"/>
    <w:link w:val="10"/>
    <w:semiHidden/>
    <w:qFormat/>
    <w:uiPriority w:val="9"/>
    <w:rPr>
      <w:rFonts w:asciiTheme="majorHAnsi" w:hAnsiTheme="majorHAnsi" w:eastAsiaTheme="majorEastAsia" w:cstheme="majorBidi"/>
      <w:b/>
      <w:bCs/>
      <w:sz w:val="24"/>
      <w:szCs w:val="24"/>
    </w:rPr>
  </w:style>
  <w:style w:type="paragraph" w:customStyle="1" w:styleId="368">
    <w:name w:val="cke_editable_file_534"/>
    <w:basedOn w:val="351"/>
    <w:qFormat/>
    <w:uiPriority w:val="0"/>
    <w:rPr>
      <w:rFonts w:ascii="仿宋_GB2312" w:eastAsia="仿宋_GB2312"/>
    </w:rPr>
  </w:style>
  <w:style w:type="paragraph" w:customStyle="1" w:styleId="369">
    <w:name w:val="marker_file_534"/>
    <w:basedOn w:val="351"/>
    <w:qFormat/>
    <w:uiPriority w:val="0"/>
    <w:pPr>
      <w:shd w:val="clear" w:color="auto" w:fill="FFFF00"/>
    </w:pPr>
  </w:style>
  <w:style w:type="paragraph" w:customStyle="1" w:styleId="370">
    <w:name w:val="Normal (Web)_file_534"/>
    <w:basedOn w:val="351"/>
    <w:semiHidden/>
    <w:unhideWhenUsed/>
    <w:qFormat/>
    <w:uiPriority w:val="99"/>
  </w:style>
  <w:style w:type="paragraph" w:customStyle="1" w:styleId="371">
    <w:name w:val="Normal_file_53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72">
    <w:name w:val="heading 1_file_535"/>
    <w:basedOn w:val="371"/>
    <w:qFormat/>
    <w:uiPriority w:val="9"/>
    <w:pPr>
      <w:outlineLvl w:val="0"/>
    </w:pPr>
    <w:rPr>
      <w:kern w:val="36"/>
      <w:sz w:val="48"/>
      <w:szCs w:val="48"/>
    </w:rPr>
  </w:style>
  <w:style w:type="paragraph" w:customStyle="1" w:styleId="373">
    <w:name w:val="heading 2_file_535"/>
    <w:basedOn w:val="371"/>
    <w:qFormat/>
    <w:uiPriority w:val="9"/>
    <w:pPr>
      <w:outlineLvl w:val="1"/>
    </w:pPr>
    <w:rPr>
      <w:sz w:val="36"/>
      <w:szCs w:val="36"/>
    </w:rPr>
  </w:style>
  <w:style w:type="paragraph" w:customStyle="1" w:styleId="374">
    <w:name w:val="heading 3_file_535"/>
    <w:basedOn w:val="371"/>
    <w:qFormat/>
    <w:uiPriority w:val="9"/>
    <w:pPr>
      <w:outlineLvl w:val="2"/>
    </w:pPr>
    <w:rPr>
      <w:sz w:val="27"/>
      <w:szCs w:val="27"/>
    </w:rPr>
  </w:style>
  <w:style w:type="paragraph" w:customStyle="1" w:styleId="375">
    <w:name w:val="heading 4_file_535"/>
    <w:basedOn w:val="371"/>
    <w:qFormat/>
    <w:uiPriority w:val="9"/>
    <w:pPr>
      <w:outlineLvl w:val="3"/>
    </w:pPr>
  </w:style>
  <w:style w:type="paragraph" w:customStyle="1" w:styleId="376">
    <w:name w:val="heading 5_file_535"/>
    <w:basedOn w:val="371"/>
    <w:qFormat/>
    <w:uiPriority w:val="9"/>
    <w:pPr>
      <w:outlineLvl w:val="4"/>
    </w:pPr>
    <w:rPr>
      <w:sz w:val="20"/>
      <w:szCs w:val="20"/>
    </w:rPr>
  </w:style>
  <w:style w:type="paragraph" w:customStyle="1" w:styleId="377">
    <w:name w:val="heading 6_file_535"/>
    <w:basedOn w:val="371"/>
    <w:qFormat/>
    <w:uiPriority w:val="9"/>
    <w:pPr>
      <w:outlineLvl w:val="5"/>
    </w:pPr>
    <w:rPr>
      <w:sz w:val="15"/>
      <w:szCs w:val="15"/>
    </w:rPr>
  </w:style>
  <w:style w:type="character" w:customStyle="1" w:styleId="378">
    <w:name w:val="Default Paragraph Font_file_535"/>
    <w:semiHidden/>
    <w:unhideWhenUsed/>
    <w:qFormat/>
    <w:uiPriority w:val="1"/>
  </w:style>
  <w:style w:type="table" w:customStyle="1" w:styleId="379">
    <w:name w:val="Normal Table_file_535"/>
    <w:semiHidden/>
    <w:unhideWhenUsed/>
    <w:qFormat/>
    <w:uiPriority w:val="99"/>
    <w:tblPr>
      <w:tblCellMar>
        <w:top w:w="0" w:type="dxa"/>
        <w:left w:w="108" w:type="dxa"/>
        <w:bottom w:w="0" w:type="dxa"/>
        <w:right w:w="108" w:type="dxa"/>
      </w:tblCellMar>
    </w:tblPr>
  </w:style>
  <w:style w:type="character" w:customStyle="1" w:styleId="380">
    <w:name w:val="Hyperlink_file_535"/>
    <w:basedOn w:val="378"/>
    <w:semiHidden/>
    <w:unhideWhenUsed/>
    <w:qFormat/>
    <w:uiPriority w:val="99"/>
    <w:rPr>
      <w:color w:val="0782C1"/>
      <w:u w:val="single"/>
    </w:rPr>
  </w:style>
  <w:style w:type="character" w:customStyle="1" w:styleId="381">
    <w:name w:val="FollowedHyperlink_file_535"/>
    <w:basedOn w:val="378"/>
    <w:semiHidden/>
    <w:unhideWhenUsed/>
    <w:qFormat/>
    <w:uiPriority w:val="99"/>
    <w:rPr>
      <w:color w:val="0782C1"/>
      <w:u w:val="single"/>
    </w:rPr>
  </w:style>
  <w:style w:type="character" w:customStyle="1" w:styleId="382">
    <w:name w:val="标题 1 Char_file_535"/>
    <w:basedOn w:val="378"/>
    <w:link w:val="4"/>
    <w:qFormat/>
    <w:uiPriority w:val="9"/>
    <w:rPr>
      <w:rFonts w:ascii="宋体" w:hAnsi="宋体" w:eastAsia="宋体" w:cs="宋体"/>
      <w:b/>
      <w:bCs/>
      <w:kern w:val="44"/>
      <w:sz w:val="44"/>
      <w:szCs w:val="44"/>
    </w:rPr>
  </w:style>
  <w:style w:type="character" w:customStyle="1" w:styleId="383">
    <w:name w:val="标题 2 Char_file_535"/>
    <w:basedOn w:val="378"/>
    <w:link w:val="5"/>
    <w:semiHidden/>
    <w:qFormat/>
    <w:uiPriority w:val="9"/>
    <w:rPr>
      <w:rFonts w:asciiTheme="majorHAnsi" w:hAnsiTheme="majorHAnsi" w:eastAsiaTheme="majorEastAsia" w:cstheme="majorBidi"/>
      <w:b/>
      <w:bCs/>
      <w:sz w:val="32"/>
      <w:szCs w:val="32"/>
    </w:rPr>
  </w:style>
  <w:style w:type="character" w:customStyle="1" w:styleId="384">
    <w:name w:val="标题 3 Char_file_535"/>
    <w:basedOn w:val="378"/>
    <w:link w:val="6"/>
    <w:semiHidden/>
    <w:qFormat/>
    <w:uiPriority w:val="9"/>
    <w:rPr>
      <w:rFonts w:ascii="宋体" w:hAnsi="宋体" w:eastAsia="宋体" w:cs="宋体"/>
      <w:b/>
      <w:bCs/>
      <w:sz w:val="32"/>
      <w:szCs w:val="32"/>
    </w:rPr>
  </w:style>
  <w:style w:type="character" w:customStyle="1" w:styleId="385">
    <w:name w:val="标题 4 Char_file_535"/>
    <w:basedOn w:val="378"/>
    <w:link w:val="7"/>
    <w:semiHidden/>
    <w:qFormat/>
    <w:uiPriority w:val="9"/>
    <w:rPr>
      <w:rFonts w:asciiTheme="majorHAnsi" w:hAnsiTheme="majorHAnsi" w:eastAsiaTheme="majorEastAsia" w:cstheme="majorBidi"/>
      <w:b/>
      <w:bCs/>
      <w:sz w:val="28"/>
      <w:szCs w:val="28"/>
    </w:rPr>
  </w:style>
  <w:style w:type="character" w:customStyle="1" w:styleId="386">
    <w:name w:val="标题 5 Char_file_535"/>
    <w:basedOn w:val="378"/>
    <w:link w:val="8"/>
    <w:semiHidden/>
    <w:qFormat/>
    <w:uiPriority w:val="9"/>
    <w:rPr>
      <w:rFonts w:ascii="宋体" w:hAnsi="宋体" w:eastAsia="宋体" w:cs="宋体"/>
      <w:b/>
      <w:bCs/>
      <w:sz w:val="28"/>
      <w:szCs w:val="28"/>
    </w:rPr>
  </w:style>
  <w:style w:type="character" w:customStyle="1" w:styleId="387">
    <w:name w:val="标题 6 Char_file_535"/>
    <w:basedOn w:val="378"/>
    <w:link w:val="10"/>
    <w:semiHidden/>
    <w:qFormat/>
    <w:uiPriority w:val="9"/>
    <w:rPr>
      <w:rFonts w:asciiTheme="majorHAnsi" w:hAnsiTheme="majorHAnsi" w:eastAsiaTheme="majorEastAsia" w:cstheme="majorBidi"/>
      <w:b/>
      <w:bCs/>
      <w:sz w:val="24"/>
      <w:szCs w:val="24"/>
    </w:rPr>
  </w:style>
  <w:style w:type="paragraph" w:customStyle="1" w:styleId="388">
    <w:name w:val="cke_editable_file_535"/>
    <w:basedOn w:val="371"/>
    <w:qFormat/>
    <w:uiPriority w:val="0"/>
    <w:rPr>
      <w:rFonts w:ascii="仿宋_GB2312" w:eastAsia="仿宋_GB2312"/>
    </w:rPr>
  </w:style>
  <w:style w:type="paragraph" w:customStyle="1" w:styleId="389">
    <w:name w:val="marker_file_535"/>
    <w:basedOn w:val="371"/>
    <w:qFormat/>
    <w:uiPriority w:val="0"/>
    <w:pPr>
      <w:shd w:val="clear" w:color="auto" w:fill="FFFF00"/>
    </w:pPr>
  </w:style>
  <w:style w:type="paragraph" w:customStyle="1" w:styleId="390">
    <w:name w:val="Normal (Web)_file_535"/>
    <w:basedOn w:val="371"/>
    <w:semiHidden/>
    <w:unhideWhenUsed/>
    <w:qFormat/>
    <w:uiPriority w:val="99"/>
  </w:style>
  <w:style w:type="character" w:customStyle="1" w:styleId="391">
    <w:name w:val="Emphasis_file_535"/>
    <w:basedOn w:val="378"/>
    <w:qFormat/>
    <w:uiPriority w:val="20"/>
    <w:rPr>
      <w:i/>
      <w:iCs/>
    </w:rPr>
  </w:style>
  <w:style w:type="paragraph" w:customStyle="1" w:styleId="392">
    <w:name w:val="Normal_file_53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93">
    <w:name w:val="heading 1_file_536"/>
    <w:basedOn w:val="392"/>
    <w:qFormat/>
    <w:uiPriority w:val="9"/>
    <w:pPr>
      <w:outlineLvl w:val="0"/>
    </w:pPr>
    <w:rPr>
      <w:kern w:val="36"/>
      <w:sz w:val="48"/>
      <w:szCs w:val="48"/>
    </w:rPr>
  </w:style>
  <w:style w:type="paragraph" w:customStyle="1" w:styleId="394">
    <w:name w:val="heading 2_file_536"/>
    <w:basedOn w:val="392"/>
    <w:qFormat/>
    <w:uiPriority w:val="9"/>
    <w:pPr>
      <w:outlineLvl w:val="1"/>
    </w:pPr>
    <w:rPr>
      <w:sz w:val="36"/>
      <w:szCs w:val="36"/>
    </w:rPr>
  </w:style>
  <w:style w:type="paragraph" w:customStyle="1" w:styleId="395">
    <w:name w:val="heading 3_file_536"/>
    <w:basedOn w:val="392"/>
    <w:qFormat/>
    <w:uiPriority w:val="9"/>
    <w:pPr>
      <w:outlineLvl w:val="2"/>
    </w:pPr>
    <w:rPr>
      <w:sz w:val="27"/>
      <w:szCs w:val="27"/>
    </w:rPr>
  </w:style>
  <w:style w:type="paragraph" w:customStyle="1" w:styleId="396">
    <w:name w:val="heading 4_file_536"/>
    <w:basedOn w:val="392"/>
    <w:qFormat/>
    <w:uiPriority w:val="9"/>
    <w:pPr>
      <w:outlineLvl w:val="3"/>
    </w:pPr>
  </w:style>
  <w:style w:type="paragraph" w:customStyle="1" w:styleId="397">
    <w:name w:val="heading 5_file_536"/>
    <w:basedOn w:val="392"/>
    <w:qFormat/>
    <w:uiPriority w:val="9"/>
    <w:pPr>
      <w:outlineLvl w:val="4"/>
    </w:pPr>
    <w:rPr>
      <w:sz w:val="20"/>
      <w:szCs w:val="20"/>
    </w:rPr>
  </w:style>
  <w:style w:type="paragraph" w:customStyle="1" w:styleId="398">
    <w:name w:val="heading 6_file_536"/>
    <w:basedOn w:val="392"/>
    <w:qFormat/>
    <w:uiPriority w:val="9"/>
    <w:pPr>
      <w:outlineLvl w:val="5"/>
    </w:pPr>
    <w:rPr>
      <w:sz w:val="15"/>
      <w:szCs w:val="15"/>
    </w:rPr>
  </w:style>
  <w:style w:type="character" w:customStyle="1" w:styleId="399">
    <w:name w:val="Default Paragraph Font_file_536"/>
    <w:semiHidden/>
    <w:unhideWhenUsed/>
    <w:qFormat/>
    <w:uiPriority w:val="1"/>
  </w:style>
  <w:style w:type="table" w:customStyle="1" w:styleId="400">
    <w:name w:val="Normal Table_file_536"/>
    <w:semiHidden/>
    <w:unhideWhenUsed/>
    <w:qFormat/>
    <w:uiPriority w:val="99"/>
    <w:tblPr>
      <w:tblCellMar>
        <w:top w:w="0" w:type="dxa"/>
        <w:left w:w="108" w:type="dxa"/>
        <w:bottom w:w="0" w:type="dxa"/>
        <w:right w:w="108" w:type="dxa"/>
      </w:tblCellMar>
    </w:tblPr>
  </w:style>
  <w:style w:type="character" w:customStyle="1" w:styleId="401">
    <w:name w:val="Hyperlink_file_536"/>
    <w:basedOn w:val="399"/>
    <w:semiHidden/>
    <w:unhideWhenUsed/>
    <w:qFormat/>
    <w:uiPriority w:val="99"/>
    <w:rPr>
      <w:color w:val="0782C1"/>
      <w:u w:val="single"/>
    </w:rPr>
  </w:style>
  <w:style w:type="character" w:customStyle="1" w:styleId="402">
    <w:name w:val="FollowedHyperlink_file_536"/>
    <w:basedOn w:val="399"/>
    <w:semiHidden/>
    <w:unhideWhenUsed/>
    <w:qFormat/>
    <w:uiPriority w:val="99"/>
    <w:rPr>
      <w:color w:val="0782C1"/>
      <w:u w:val="single"/>
    </w:rPr>
  </w:style>
  <w:style w:type="character" w:customStyle="1" w:styleId="403">
    <w:name w:val="标题 1 Char_file_536"/>
    <w:basedOn w:val="399"/>
    <w:link w:val="4"/>
    <w:qFormat/>
    <w:uiPriority w:val="9"/>
    <w:rPr>
      <w:rFonts w:ascii="宋体" w:hAnsi="宋体" w:eastAsia="宋体" w:cs="宋体"/>
      <w:b/>
      <w:bCs/>
      <w:kern w:val="44"/>
      <w:sz w:val="44"/>
      <w:szCs w:val="44"/>
    </w:rPr>
  </w:style>
  <w:style w:type="character" w:customStyle="1" w:styleId="404">
    <w:name w:val="标题 2 Char_file_536"/>
    <w:basedOn w:val="399"/>
    <w:link w:val="5"/>
    <w:semiHidden/>
    <w:qFormat/>
    <w:uiPriority w:val="9"/>
    <w:rPr>
      <w:rFonts w:asciiTheme="majorHAnsi" w:hAnsiTheme="majorHAnsi" w:eastAsiaTheme="majorEastAsia" w:cstheme="majorBidi"/>
      <w:b/>
      <w:bCs/>
      <w:sz w:val="32"/>
      <w:szCs w:val="32"/>
    </w:rPr>
  </w:style>
  <w:style w:type="character" w:customStyle="1" w:styleId="405">
    <w:name w:val="标题 3 Char_file_536"/>
    <w:basedOn w:val="399"/>
    <w:link w:val="6"/>
    <w:semiHidden/>
    <w:qFormat/>
    <w:uiPriority w:val="9"/>
    <w:rPr>
      <w:rFonts w:ascii="宋体" w:hAnsi="宋体" w:eastAsia="宋体" w:cs="宋体"/>
      <w:b/>
      <w:bCs/>
      <w:sz w:val="32"/>
      <w:szCs w:val="32"/>
    </w:rPr>
  </w:style>
  <w:style w:type="character" w:customStyle="1" w:styleId="406">
    <w:name w:val="标题 4 Char_file_536"/>
    <w:basedOn w:val="399"/>
    <w:link w:val="7"/>
    <w:semiHidden/>
    <w:qFormat/>
    <w:uiPriority w:val="9"/>
    <w:rPr>
      <w:rFonts w:asciiTheme="majorHAnsi" w:hAnsiTheme="majorHAnsi" w:eastAsiaTheme="majorEastAsia" w:cstheme="majorBidi"/>
      <w:b/>
      <w:bCs/>
      <w:sz w:val="28"/>
      <w:szCs w:val="28"/>
    </w:rPr>
  </w:style>
  <w:style w:type="character" w:customStyle="1" w:styleId="407">
    <w:name w:val="标题 5 Char_file_536"/>
    <w:basedOn w:val="399"/>
    <w:link w:val="8"/>
    <w:semiHidden/>
    <w:qFormat/>
    <w:uiPriority w:val="9"/>
    <w:rPr>
      <w:rFonts w:ascii="宋体" w:hAnsi="宋体" w:eastAsia="宋体" w:cs="宋体"/>
      <w:b/>
      <w:bCs/>
      <w:sz w:val="28"/>
      <w:szCs w:val="28"/>
    </w:rPr>
  </w:style>
  <w:style w:type="character" w:customStyle="1" w:styleId="408">
    <w:name w:val="标题 6 Char_file_536"/>
    <w:basedOn w:val="399"/>
    <w:link w:val="10"/>
    <w:semiHidden/>
    <w:qFormat/>
    <w:uiPriority w:val="9"/>
    <w:rPr>
      <w:rFonts w:asciiTheme="majorHAnsi" w:hAnsiTheme="majorHAnsi" w:eastAsiaTheme="majorEastAsia" w:cstheme="majorBidi"/>
      <w:b/>
      <w:bCs/>
      <w:sz w:val="24"/>
      <w:szCs w:val="24"/>
    </w:rPr>
  </w:style>
  <w:style w:type="paragraph" w:customStyle="1" w:styleId="409">
    <w:name w:val="cke_editable_file_536"/>
    <w:basedOn w:val="392"/>
    <w:qFormat/>
    <w:uiPriority w:val="0"/>
    <w:rPr>
      <w:rFonts w:ascii="仿宋_GB2312" w:eastAsia="仿宋_GB2312"/>
    </w:rPr>
  </w:style>
  <w:style w:type="paragraph" w:customStyle="1" w:styleId="410">
    <w:name w:val="marker_file_536"/>
    <w:basedOn w:val="392"/>
    <w:qFormat/>
    <w:uiPriority w:val="0"/>
    <w:pPr>
      <w:shd w:val="clear" w:color="auto" w:fill="FFFF00"/>
    </w:pPr>
  </w:style>
  <w:style w:type="paragraph" w:customStyle="1" w:styleId="411">
    <w:name w:val="Normal (Web)_file_536"/>
    <w:basedOn w:val="392"/>
    <w:semiHidden/>
    <w:unhideWhenUsed/>
    <w:qFormat/>
    <w:uiPriority w:val="99"/>
  </w:style>
  <w:style w:type="paragraph" w:customStyle="1" w:styleId="412">
    <w:name w:val="Normal_file_53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13">
    <w:name w:val="heading 1_file_537"/>
    <w:basedOn w:val="412"/>
    <w:qFormat/>
    <w:uiPriority w:val="9"/>
    <w:pPr>
      <w:outlineLvl w:val="0"/>
    </w:pPr>
    <w:rPr>
      <w:kern w:val="36"/>
      <w:sz w:val="48"/>
      <w:szCs w:val="48"/>
    </w:rPr>
  </w:style>
  <w:style w:type="paragraph" w:customStyle="1" w:styleId="414">
    <w:name w:val="heading 2_file_537"/>
    <w:basedOn w:val="412"/>
    <w:qFormat/>
    <w:uiPriority w:val="9"/>
    <w:pPr>
      <w:outlineLvl w:val="1"/>
    </w:pPr>
    <w:rPr>
      <w:sz w:val="36"/>
      <w:szCs w:val="36"/>
    </w:rPr>
  </w:style>
  <w:style w:type="paragraph" w:customStyle="1" w:styleId="415">
    <w:name w:val="heading 3_file_537"/>
    <w:basedOn w:val="412"/>
    <w:qFormat/>
    <w:uiPriority w:val="9"/>
    <w:pPr>
      <w:outlineLvl w:val="2"/>
    </w:pPr>
    <w:rPr>
      <w:sz w:val="27"/>
      <w:szCs w:val="27"/>
    </w:rPr>
  </w:style>
  <w:style w:type="paragraph" w:customStyle="1" w:styleId="416">
    <w:name w:val="heading 4_file_537"/>
    <w:basedOn w:val="412"/>
    <w:qFormat/>
    <w:uiPriority w:val="9"/>
    <w:pPr>
      <w:outlineLvl w:val="3"/>
    </w:pPr>
  </w:style>
  <w:style w:type="paragraph" w:customStyle="1" w:styleId="417">
    <w:name w:val="heading 5_file_537"/>
    <w:basedOn w:val="412"/>
    <w:qFormat/>
    <w:uiPriority w:val="9"/>
    <w:pPr>
      <w:outlineLvl w:val="4"/>
    </w:pPr>
    <w:rPr>
      <w:sz w:val="20"/>
      <w:szCs w:val="20"/>
    </w:rPr>
  </w:style>
  <w:style w:type="paragraph" w:customStyle="1" w:styleId="418">
    <w:name w:val="heading 6_file_537"/>
    <w:basedOn w:val="412"/>
    <w:qFormat/>
    <w:uiPriority w:val="9"/>
    <w:pPr>
      <w:outlineLvl w:val="5"/>
    </w:pPr>
    <w:rPr>
      <w:sz w:val="15"/>
      <w:szCs w:val="15"/>
    </w:rPr>
  </w:style>
  <w:style w:type="character" w:customStyle="1" w:styleId="419">
    <w:name w:val="Default Paragraph Font_file_537"/>
    <w:semiHidden/>
    <w:unhideWhenUsed/>
    <w:qFormat/>
    <w:uiPriority w:val="1"/>
  </w:style>
  <w:style w:type="table" w:customStyle="1" w:styleId="420">
    <w:name w:val="Normal Table_file_537"/>
    <w:semiHidden/>
    <w:unhideWhenUsed/>
    <w:qFormat/>
    <w:uiPriority w:val="99"/>
    <w:tblPr>
      <w:tblCellMar>
        <w:top w:w="0" w:type="dxa"/>
        <w:left w:w="108" w:type="dxa"/>
        <w:bottom w:w="0" w:type="dxa"/>
        <w:right w:w="108" w:type="dxa"/>
      </w:tblCellMar>
    </w:tblPr>
  </w:style>
  <w:style w:type="character" w:customStyle="1" w:styleId="421">
    <w:name w:val="Hyperlink_file_537"/>
    <w:basedOn w:val="419"/>
    <w:semiHidden/>
    <w:unhideWhenUsed/>
    <w:qFormat/>
    <w:uiPriority w:val="99"/>
    <w:rPr>
      <w:color w:val="0782C1"/>
      <w:u w:val="single"/>
    </w:rPr>
  </w:style>
  <w:style w:type="character" w:customStyle="1" w:styleId="422">
    <w:name w:val="FollowedHyperlink_file_537"/>
    <w:basedOn w:val="419"/>
    <w:semiHidden/>
    <w:unhideWhenUsed/>
    <w:qFormat/>
    <w:uiPriority w:val="99"/>
    <w:rPr>
      <w:color w:val="0782C1"/>
      <w:u w:val="single"/>
    </w:rPr>
  </w:style>
  <w:style w:type="character" w:customStyle="1" w:styleId="423">
    <w:name w:val="标题 1 Char_file_537"/>
    <w:basedOn w:val="419"/>
    <w:link w:val="4"/>
    <w:qFormat/>
    <w:uiPriority w:val="9"/>
    <w:rPr>
      <w:rFonts w:ascii="宋体" w:hAnsi="宋体" w:eastAsia="宋体" w:cs="宋体"/>
      <w:b/>
      <w:bCs/>
      <w:kern w:val="44"/>
      <w:sz w:val="44"/>
      <w:szCs w:val="44"/>
    </w:rPr>
  </w:style>
  <w:style w:type="character" w:customStyle="1" w:styleId="424">
    <w:name w:val="标题 2 Char_file_537"/>
    <w:basedOn w:val="419"/>
    <w:link w:val="5"/>
    <w:semiHidden/>
    <w:qFormat/>
    <w:uiPriority w:val="9"/>
    <w:rPr>
      <w:rFonts w:asciiTheme="majorHAnsi" w:hAnsiTheme="majorHAnsi" w:eastAsiaTheme="majorEastAsia" w:cstheme="majorBidi"/>
      <w:b/>
      <w:bCs/>
      <w:sz w:val="32"/>
      <w:szCs w:val="32"/>
    </w:rPr>
  </w:style>
  <w:style w:type="character" w:customStyle="1" w:styleId="425">
    <w:name w:val="标题 3 Char_file_537"/>
    <w:basedOn w:val="419"/>
    <w:link w:val="6"/>
    <w:semiHidden/>
    <w:qFormat/>
    <w:uiPriority w:val="9"/>
    <w:rPr>
      <w:rFonts w:ascii="宋体" w:hAnsi="宋体" w:eastAsia="宋体" w:cs="宋体"/>
      <w:b/>
      <w:bCs/>
      <w:sz w:val="32"/>
      <w:szCs w:val="32"/>
    </w:rPr>
  </w:style>
  <w:style w:type="character" w:customStyle="1" w:styleId="426">
    <w:name w:val="标题 4 Char_file_537"/>
    <w:basedOn w:val="419"/>
    <w:link w:val="7"/>
    <w:semiHidden/>
    <w:qFormat/>
    <w:uiPriority w:val="9"/>
    <w:rPr>
      <w:rFonts w:asciiTheme="majorHAnsi" w:hAnsiTheme="majorHAnsi" w:eastAsiaTheme="majorEastAsia" w:cstheme="majorBidi"/>
      <w:b/>
      <w:bCs/>
      <w:sz w:val="28"/>
      <w:szCs w:val="28"/>
    </w:rPr>
  </w:style>
  <w:style w:type="character" w:customStyle="1" w:styleId="427">
    <w:name w:val="标题 5 Char_file_537"/>
    <w:basedOn w:val="419"/>
    <w:link w:val="8"/>
    <w:semiHidden/>
    <w:qFormat/>
    <w:uiPriority w:val="9"/>
    <w:rPr>
      <w:rFonts w:ascii="宋体" w:hAnsi="宋体" w:eastAsia="宋体" w:cs="宋体"/>
      <w:b/>
      <w:bCs/>
      <w:sz w:val="28"/>
      <w:szCs w:val="28"/>
    </w:rPr>
  </w:style>
  <w:style w:type="character" w:customStyle="1" w:styleId="428">
    <w:name w:val="标题 6 Char_file_537"/>
    <w:basedOn w:val="419"/>
    <w:link w:val="10"/>
    <w:semiHidden/>
    <w:qFormat/>
    <w:uiPriority w:val="9"/>
    <w:rPr>
      <w:rFonts w:asciiTheme="majorHAnsi" w:hAnsiTheme="majorHAnsi" w:eastAsiaTheme="majorEastAsia" w:cstheme="majorBidi"/>
      <w:b/>
      <w:bCs/>
      <w:sz w:val="24"/>
      <w:szCs w:val="24"/>
    </w:rPr>
  </w:style>
  <w:style w:type="paragraph" w:customStyle="1" w:styleId="429">
    <w:name w:val="cke_editable_file_537"/>
    <w:basedOn w:val="412"/>
    <w:qFormat/>
    <w:uiPriority w:val="0"/>
    <w:rPr>
      <w:rFonts w:ascii="仿宋_GB2312" w:eastAsia="仿宋_GB2312"/>
    </w:rPr>
  </w:style>
  <w:style w:type="paragraph" w:customStyle="1" w:styleId="430">
    <w:name w:val="marker_file_537"/>
    <w:basedOn w:val="412"/>
    <w:qFormat/>
    <w:uiPriority w:val="0"/>
    <w:pPr>
      <w:shd w:val="clear" w:color="auto" w:fill="FFFF00"/>
    </w:pPr>
  </w:style>
  <w:style w:type="paragraph" w:customStyle="1" w:styleId="431">
    <w:name w:val="Normal (Web)_file_537"/>
    <w:basedOn w:val="412"/>
    <w:semiHidden/>
    <w:unhideWhenUsed/>
    <w:qFormat/>
    <w:uiPriority w:val="99"/>
  </w:style>
  <w:style w:type="paragraph" w:customStyle="1" w:styleId="432">
    <w:name w:val="Normal_file_53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33">
    <w:name w:val="heading 1_file_538"/>
    <w:basedOn w:val="432"/>
    <w:qFormat/>
    <w:uiPriority w:val="9"/>
    <w:pPr>
      <w:outlineLvl w:val="0"/>
    </w:pPr>
    <w:rPr>
      <w:kern w:val="36"/>
      <w:sz w:val="48"/>
      <w:szCs w:val="48"/>
    </w:rPr>
  </w:style>
  <w:style w:type="paragraph" w:customStyle="1" w:styleId="434">
    <w:name w:val="heading 2_file_538"/>
    <w:basedOn w:val="432"/>
    <w:qFormat/>
    <w:uiPriority w:val="9"/>
    <w:pPr>
      <w:outlineLvl w:val="1"/>
    </w:pPr>
    <w:rPr>
      <w:sz w:val="36"/>
      <w:szCs w:val="36"/>
    </w:rPr>
  </w:style>
  <w:style w:type="paragraph" w:customStyle="1" w:styleId="435">
    <w:name w:val="heading 3_file_538"/>
    <w:basedOn w:val="432"/>
    <w:qFormat/>
    <w:uiPriority w:val="9"/>
    <w:pPr>
      <w:outlineLvl w:val="2"/>
    </w:pPr>
    <w:rPr>
      <w:sz w:val="27"/>
      <w:szCs w:val="27"/>
    </w:rPr>
  </w:style>
  <w:style w:type="paragraph" w:customStyle="1" w:styleId="436">
    <w:name w:val="heading 4_file_538"/>
    <w:basedOn w:val="432"/>
    <w:qFormat/>
    <w:uiPriority w:val="9"/>
    <w:pPr>
      <w:outlineLvl w:val="3"/>
    </w:pPr>
  </w:style>
  <w:style w:type="paragraph" w:customStyle="1" w:styleId="437">
    <w:name w:val="heading 5_file_538"/>
    <w:basedOn w:val="432"/>
    <w:qFormat/>
    <w:uiPriority w:val="9"/>
    <w:pPr>
      <w:outlineLvl w:val="4"/>
    </w:pPr>
    <w:rPr>
      <w:sz w:val="20"/>
      <w:szCs w:val="20"/>
    </w:rPr>
  </w:style>
  <w:style w:type="paragraph" w:customStyle="1" w:styleId="438">
    <w:name w:val="heading 6_file_538"/>
    <w:basedOn w:val="432"/>
    <w:qFormat/>
    <w:uiPriority w:val="9"/>
    <w:pPr>
      <w:outlineLvl w:val="5"/>
    </w:pPr>
    <w:rPr>
      <w:sz w:val="15"/>
      <w:szCs w:val="15"/>
    </w:rPr>
  </w:style>
  <w:style w:type="character" w:customStyle="1" w:styleId="439">
    <w:name w:val="Default Paragraph Font_file_538"/>
    <w:semiHidden/>
    <w:unhideWhenUsed/>
    <w:qFormat/>
    <w:uiPriority w:val="1"/>
  </w:style>
  <w:style w:type="table" w:customStyle="1" w:styleId="440">
    <w:name w:val="Normal Table_file_538"/>
    <w:semiHidden/>
    <w:unhideWhenUsed/>
    <w:qFormat/>
    <w:uiPriority w:val="99"/>
    <w:tblPr>
      <w:tblCellMar>
        <w:top w:w="0" w:type="dxa"/>
        <w:left w:w="108" w:type="dxa"/>
        <w:bottom w:w="0" w:type="dxa"/>
        <w:right w:w="108" w:type="dxa"/>
      </w:tblCellMar>
    </w:tblPr>
  </w:style>
  <w:style w:type="character" w:customStyle="1" w:styleId="441">
    <w:name w:val="Hyperlink_file_538"/>
    <w:basedOn w:val="439"/>
    <w:semiHidden/>
    <w:unhideWhenUsed/>
    <w:qFormat/>
    <w:uiPriority w:val="99"/>
    <w:rPr>
      <w:color w:val="0782C1"/>
      <w:u w:val="single"/>
    </w:rPr>
  </w:style>
  <w:style w:type="character" w:customStyle="1" w:styleId="442">
    <w:name w:val="FollowedHyperlink_file_538"/>
    <w:basedOn w:val="439"/>
    <w:semiHidden/>
    <w:unhideWhenUsed/>
    <w:qFormat/>
    <w:uiPriority w:val="99"/>
    <w:rPr>
      <w:color w:val="0782C1"/>
      <w:u w:val="single"/>
    </w:rPr>
  </w:style>
  <w:style w:type="character" w:customStyle="1" w:styleId="443">
    <w:name w:val="标题 1 Char_file_538"/>
    <w:basedOn w:val="439"/>
    <w:link w:val="4"/>
    <w:qFormat/>
    <w:uiPriority w:val="9"/>
    <w:rPr>
      <w:rFonts w:ascii="宋体" w:hAnsi="宋体" w:eastAsia="宋体" w:cs="宋体"/>
      <w:b/>
      <w:bCs/>
      <w:kern w:val="44"/>
      <w:sz w:val="44"/>
      <w:szCs w:val="44"/>
    </w:rPr>
  </w:style>
  <w:style w:type="character" w:customStyle="1" w:styleId="444">
    <w:name w:val="标题 2 Char_file_538"/>
    <w:basedOn w:val="439"/>
    <w:link w:val="5"/>
    <w:semiHidden/>
    <w:qFormat/>
    <w:uiPriority w:val="9"/>
    <w:rPr>
      <w:rFonts w:asciiTheme="majorHAnsi" w:hAnsiTheme="majorHAnsi" w:eastAsiaTheme="majorEastAsia" w:cstheme="majorBidi"/>
      <w:b/>
      <w:bCs/>
      <w:sz w:val="32"/>
      <w:szCs w:val="32"/>
    </w:rPr>
  </w:style>
  <w:style w:type="character" w:customStyle="1" w:styleId="445">
    <w:name w:val="标题 3 Char_file_538"/>
    <w:basedOn w:val="439"/>
    <w:link w:val="6"/>
    <w:semiHidden/>
    <w:qFormat/>
    <w:uiPriority w:val="9"/>
    <w:rPr>
      <w:rFonts w:ascii="宋体" w:hAnsi="宋体" w:eastAsia="宋体" w:cs="宋体"/>
      <w:b/>
      <w:bCs/>
      <w:sz w:val="32"/>
      <w:szCs w:val="32"/>
    </w:rPr>
  </w:style>
  <w:style w:type="character" w:customStyle="1" w:styleId="446">
    <w:name w:val="标题 4 Char_file_538"/>
    <w:basedOn w:val="439"/>
    <w:link w:val="7"/>
    <w:semiHidden/>
    <w:qFormat/>
    <w:uiPriority w:val="9"/>
    <w:rPr>
      <w:rFonts w:asciiTheme="majorHAnsi" w:hAnsiTheme="majorHAnsi" w:eastAsiaTheme="majorEastAsia" w:cstheme="majorBidi"/>
      <w:b/>
      <w:bCs/>
      <w:sz w:val="28"/>
      <w:szCs w:val="28"/>
    </w:rPr>
  </w:style>
  <w:style w:type="character" w:customStyle="1" w:styleId="447">
    <w:name w:val="标题 5 Char_file_538"/>
    <w:basedOn w:val="439"/>
    <w:link w:val="8"/>
    <w:semiHidden/>
    <w:qFormat/>
    <w:uiPriority w:val="9"/>
    <w:rPr>
      <w:rFonts w:ascii="宋体" w:hAnsi="宋体" w:eastAsia="宋体" w:cs="宋体"/>
      <w:b/>
      <w:bCs/>
      <w:sz w:val="28"/>
      <w:szCs w:val="28"/>
    </w:rPr>
  </w:style>
  <w:style w:type="character" w:customStyle="1" w:styleId="448">
    <w:name w:val="标题 6 Char_file_538"/>
    <w:basedOn w:val="439"/>
    <w:link w:val="10"/>
    <w:semiHidden/>
    <w:qFormat/>
    <w:uiPriority w:val="9"/>
    <w:rPr>
      <w:rFonts w:asciiTheme="majorHAnsi" w:hAnsiTheme="majorHAnsi" w:eastAsiaTheme="majorEastAsia" w:cstheme="majorBidi"/>
      <w:b/>
      <w:bCs/>
      <w:sz w:val="24"/>
      <w:szCs w:val="24"/>
    </w:rPr>
  </w:style>
  <w:style w:type="paragraph" w:customStyle="1" w:styleId="449">
    <w:name w:val="cke_editable_file_538"/>
    <w:basedOn w:val="432"/>
    <w:qFormat/>
    <w:uiPriority w:val="0"/>
    <w:rPr>
      <w:rFonts w:ascii="仿宋_GB2312" w:eastAsia="仿宋_GB2312"/>
    </w:rPr>
  </w:style>
  <w:style w:type="paragraph" w:customStyle="1" w:styleId="450">
    <w:name w:val="marker_file_538"/>
    <w:basedOn w:val="432"/>
    <w:qFormat/>
    <w:uiPriority w:val="0"/>
    <w:pPr>
      <w:shd w:val="clear" w:color="auto" w:fill="FFFF00"/>
    </w:pPr>
  </w:style>
  <w:style w:type="paragraph" w:customStyle="1" w:styleId="451">
    <w:name w:val="Normal (Web)_file_538"/>
    <w:basedOn w:val="432"/>
    <w:semiHidden/>
    <w:unhideWhenUsed/>
    <w:qFormat/>
    <w:uiPriority w:val="99"/>
  </w:style>
  <w:style w:type="paragraph" w:customStyle="1" w:styleId="452">
    <w:name w:val="Normal_file_539"/>
    <w:qFormat/>
    <w:uiPriority w:val="0"/>
    <w:pPr>
      <w:widowControl w:val="0"/>
      <w:jc w:val="both"/>
    </w:pPr>
    <w:rPr>
      <w:rFonts w:ascii="Times New Roman" w:hAnsi="Times New Roman" w:eastAsia="宋体" w:cs="Times New Roman"/>
      <w:szCs w:val="24"/>
      <w:lang w:val="en-US" w:eastAsia="zh-CN" w:bidi="ar-SA"/>
    </w:rPr>
  </w:style>
  <w:style w:type="character" w:customStyle="1" w:styleId="453">
    <w:name w:val="Default Paragraph Font_file_539"/>
    <w:semiHidden/>
    <w:unhideWhenUsed/>
    <w:qFormat/>
    <w:uiPriority w:val="1"/>
  </w:style>
  <w:style w:type="table" w:customStyle="1" w:styleId="454">
    <w:name w:val="Normal Table_file_539"/>
    <w:semiHidden/>
    <w:unhideWhenUsed/>
    <w:qFormat/>
    <w:uiPriority w:val="99"/>
    <w:tblPr>
      <w:tblCellMar>
        <w:top w:w="0" w:type="dxa"/>
        <w:left w:w="108" w:type="dxa"/>
        <w:bottom w:w="0" w:type="dxa"/>
        <w:right w:w="108" w:type="dxa"/>
      </w:tblCellMar>
    </w:tblPr>
  </w:style>
  <w:style w:type="paragraph" w:customStyle="1" w:styleId="455">
    <w:name w:val="Normal_file_527_file_5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6">
    <w:name w:val="heading 1_file_527_file_539"/>
    <w:basedOn w:val="455"/>
    <w:qFormat/>
    <w:uiPriority w:val="9"/>
    <w:pPr>
      <w:outlineLvl w:val="0"/>
    </w:pPr>
    <w:rPr>
      <w:kern w:val="36"/>
      <w:sz w:val="48"/>
      <w:szCs w:val="48"/>
    </w:rPr>
  </w:style>
  <w:style w:type="paragraph" w:customStyle="1" w:styleId="457">
    <w:name w:val="heading 2_file_527_file_539"/>
    <w:basedOn w:val="455"/>
    <w:qFormat/>
    <w:uiPriority w:val="9"/>
    <w:pPr>
      <w:outlineLvl w:val="1"/>
    </w:pPr>
    <w:rPr>
      <w:sz w:val="36"/>
      <w:szCs w:val="36"/>
    </w:rPr>
  </w:style>
  <w:style w:type="paragraph" w:customStyle="1" w:styleId="458">
    <w:name w:val="heading 3_file_527_file_539"/>
    <w:basedOn w:val="455"/>
    <w:qFormat/>
    <w:uiPriority w:val="9"/>
    <w:pPr>
      <w:outlineLvl w:val="2"/>
    </w:pPr>
    <w:rPr>
      <w:sz w:val="27"/>
      <w:szCs w:val="27"/>
    </w:rPr>
  </w:style>
  <w:style w:type="paragraph" w:customStyle="1" w:styleId="459">
    <w:name w:val="heading 4_file_527_file_539"/>
    <w:basedOn w:val="455"/>
    <w:qFormat/>
    <w:uiPriority w:val="9"/>
    <w:pPr>
      <w:outlineLvl w:val="3"/>
    </w:pPr>
  </w:style>
  <w:style w:type="paragraph" w:customStyle="1" w:styleId="460">
    <w:name w:val="heading 5_file_527_file_539"/>
    <w:basedOn w:val="455"/>
    <w:qFormat/>
    <w:uiPriority w:val="9"/>
    <w:pPr>
      <w:outlineLvl w:val="4"/>
    </w:pPr>
    <w:rPr>
      <w:sz w:val="20"/>
      <w:szCs w:val="20"/>
    </w:rPr>
  </w:style>
  <w:style w:type="paragraph" w:customStyle="1" w:styleId="461">
    <w:name w:val="heading 6_file_527_file_539"/>
    <w:basedOn w:val="455"/>
    <w:qFormat/>
    <w:uiPriority w:val="9"/>
    <w:pPr>
      <w:outlineLvl w:val="5"/>
    </w:pPr>
    <w:rPr>
      <w:sz w:val="15"/>
      <w:szCs w:val="15"/>
    </w:rPr>
  </w:style>
  <w:style w:type="character" w:customStyle="1" w:styleId="462">
    <w:name w:val="Default Paragraph Font_file_527_file_539"/>
    <w:semiHidden/>
    <w:unhideWhenUsed/>
    <w:qFormat/>
    <w:uiPriority w:val="1"/>
  </w:style>
  <w:style w:type="table" w:customStyle="1" w:styleId="463">
    <w:name w:val="Normal Table_file_527_file_539"/>
    <w:semiHidden/>
    <w:unhideWhenUsed/>
    <w:qFormat/>
    <w:uiPriority w:val="99"/>
    <w:tblPr>
      <w:tblCellMar>
        <w:top w:w="0" w:type="dxa"/>
        <w:left w:w="108" w:type="dxa"/>
        <w:bottom w:w="0" w:type="dxa"/>
        <w:right w:w="108" w:type="dxa"/>
      </w:tblCellMar>
    </w:tblPr>
  </w:style>
  <w:style w:type="character" w:customStyle="1" w:styleId="464">
    <w:name w:val="Hyperlink_file_527_file_539"/>
    <w:basedOn w:val="462"/>
    <w:semiHidden/>
    <w:unhideWhenUsed/>
    <w:qFormat/>
    <w:uiPriority w:val="99"/>
    <w:rPr>
      <w:color w:val="0782C1"/>
      <w:u w:val="single"/>
    </w:rPr>
  </w:style>
  <w:style w:type="character" w:customStyle="1" w:styleId="465">
    <w:name w:val="FollowedHyperlink_file_527_file_539"/>
    <w:basedOn w:val="462"/>
    <w:semiHidden/>
    <w:unhideWhenUsed/>
    <w:qFormat/>
    <w:uiPriority w:val="99"/>
    <w:rPr>
      <w:color w:val="0782C1"/>
      <w:u w:val="single"/>
    </w:rPr>
  </w:style>
  <w:style w:type="character" w:customStyle="1" w:styleId="466">
    <w:name w:val="标题 1 Char_file_527_file_539"/>
    <w:basedOn w:val="462"/>
    <w:link w:val="4"/>
    <w:qFormat/>
    <w:uiPriority w:val="9"/>
    <w:rPr>
      <w:rFonts w:ascii="宋体" w:hAnsi="宋体" w:eastAsia="宋体" w:cs="宋体"/>
      <w:b/>
      <w:bCs/>
      <w:kern w:val="44"/>
      <w:sz w:val="44"/>
      <w:szCs w:val="44"/>
    </w:rPr>
  </w:style>
  <w:style w:type="character" w:customStyle="1" w:styleId="467">
    <w:name w:val="标题 2 Char_file_527_file_539"/>
    <w:basedOn w:val="462"/>
    <w:link w:val="5"/>
    <w:semiHidden/>
    <w:qFormat/>
    <w:uiPriority w:val="9"/>
    <w:rPr>
      <w:rFonts w:asciiTheme="majorHAnsi" w:hAnsiTheme="majorHAnsi" w:eastAsiaTheme="majorEastAsia" w:cstheme="majorBidi"/>
      <w:b/>
      <w:bCs/>
      <w:sz w:val="32"/>
      <w:szCs w:val="32"/>
    </w:rPr>
  </w:style>
  <w:style w:type="character" w:customStyle="1" w:styleId="468">
    <w:name w:val="标题 3 Char_file_527_file_539"/>
    <w:basedOn w:val="462"/>
    <w:link w:val="6"/>
    <w:semiHidden/>
    <w:qFormat/>
    <w:uiPriority w:val="9"/>
    <w:rPr>
      <w:rFonts w:ascii="宋体" w:hAnsi="宋体" w:eastAsia="宋体" w:cs="宋体"/>
      <w:b/>
      <w:bCs/>
      <w:sz w:val="32"/>
      <w:szCs w:val="32"/>
    </w:rPr>
  </w:style>
  <w:style w:type="character" w:customStyle="1" w:styleId="469">
    <w:name w:val="标题 4 Char_file_527_file_539"/>
    <w:basedOn w:val="462"/>
    <w:link w:val="7"/>
    <w:semiHidden/>
    <w:qFormat/>
    <w:uiPriority w:val="9"/>
    <w:rPr>
      <w:rFonts w:asciiTheme="majorHAnsi" w:hAnsiTheme="majorHAnsi" w:eastAsiaTheme="majorEastAsia" w:cstheme="majorBidi"/>
      <w:b/>
      <w:bCs/>
      <w:sz w:val="28"/>
      <w:szCs w:val="28"/>
    </w:rPr>
  </w:style>
  <w:style w:type="character" w:customStyle="1" w:styleId="470">
    <w:name w:val="标题 5 Char_file_527_file_539"/>
    <w:basedOn w:val="462"/>
    <w:link w:val="8"/>
    <w:semiHidden/>
    <w:qFormat/>
    <w:uiPriority w:val="9"/>
    <w:rPr>
      <w:rFonts w:ascii="宋体" w:hAnsi="宋体" w:eastAsia="宋体" w:cs="宋体"/>
      <w:b/>
      <w:bCs/>
      <w:sz w:val="28"/>
      <w:szCs w:val="28"/>
    </w:rPr>
  </w:style>
  <w:style w:type="character" w:customStyle="1" w:styleId="471">
    <w:name w:val="标题 6 Char_file_527_file_539"/>
    <w:basedOn w:val="462"/>
    <w:link w:val="10"/>
    <w:semiHidden/>
    <w:qFormat/>
    <w:uiPriority w:val="9"/>
    <w:rPr>
      <w:rFonts w:asciiTheme="majorHAnsi" w:hAnsiTheme="majorHAnsi" w:eastAsiaTheme="majorEastAsia" w:cstheme="majorBidi"/>
      <w:b/>
      <w:bCs/>
      <w:sz w:val="24"/>
      <w:szCs w:val="24"/>
    </w:rPr>
  </w:style>
  <w:style w:type="paragraph" w:customStyle="1" w:styleId="472">
    <w:name w:val="cke_editable_file_527_file_539"/>
    <w:basedOn w:val="455"/>
    <w:qFormat/>
    <w:uiPriority w:val="0"/>
    <w:rPr>
      <w:rFonts w:ascii="仿宋_GB2312" w:eastAsia="仿宋_GB2312"/>
    </w:rPr>
  </w:style>
  <w:style w:type="paragraph" w:customStyle="1" w:styleId="473">
    <w:name w:val="marker_file_527_file_539"/>
    <w:basedOn w:val="455"/>
    <w:qFormat/>
    <w:uiPriority w:val="0"/>
    <w:pPr>
      <w:shd w:val="clear" w:color="auto" w:fill="FFFF00"/>
    </w:pPr>
  </w:style>
  <w:style w:type="paragraph" w:customStyle="1" w:styleId="474">
    <w:name w:val="Normal (Web)_file_527_file_539"/>
    <w:basedOn w:val="455"/>
    <w:semiHidden/>
    <w:unhideWhenUsed/>
    <w:qFormat/>
    <w:uiPriority w:val="99"/>
  </w:style>
  <w:style w:type="paragraph" w:customStyle="1" w:styleId="475">
    <w:name w:val="Normal_file_54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6">
    <w:name w:val="heading 1_file_540"/>
    <w:basedOn w:val="475"/>
    <w:qFormat/>
    <w:uiPriority w:val="9"/>
    <w:pPr>
      <w:outlineLvl w:val="0"/>
    </w:pPr>
    <w:rPr>
      <w:kern w:val="36"/>
      <w:sz w:val="48"/>
      <w:szCs w:val="48"/>
    </w:rPr>
  </w:style>
  <w:style w:type="paragraph" w:customStyle="1" w:styleId="477">
    <w:name w:val="heading 2_file_540"/>
    <w:basedOn w:val="475"/>
    <w:qFormat/>
    <w:uiPriority w:val="9"/>
    <w:pPr>
      <w:outlineLvl w:val="1"/>
    </w:pPr>
    <w:rPr>
      <w:sz w:val="36"/>
      <w:szCs w:val="36"/>
    </w:rPr>
  </w:style>
  <w:style w:type="paragraph" w:customStyle="1" w:styleId="478">
    <w:name w:val="heading 3_file_540"/>
    <w:basedOn w:val="475"/>
    <w:qFormat/>
    <w:uiPriority w:val="9"/>
    <w:pPr>
      <w:outlineLvl w:val="2"/>
    </w:pPr>
    <w:rPr>
      <w:sz w:val="27"/>
      <w:szCs w:val="27"/>
    </w:rPr>
  </w:style>
  <w:style w:type="paragraph" w:customStyle="1" w:styleId="479">
    <w:name w:val="heading 4_file_540"/>
    <w:basedOn w:val="475"/>
    <w:qFormat/>
    <w:uiPriority w:val="9"/>
    <w:pPr>
      <w:outlineLvl w:val="3"/>
    </w:pPr>
  </w:style>
  <w:style w:type="paragraph" w:customStyle="1" w:styleId="480">
    <w:name w:val="heading 5_file_540"/>
    <w:basedOn w:val="475"/>
    <w:qFormat/>
    <w:uiPriority w:val="9"/>
    <w:pPr>
      <w:outlineLvl w:val="4"/>
    </w:pPr>
    <w:rPr>
      <w:sz w:val="20"/>
      <w:szCs w:val="20"/>
    </w:rPr>
  </w:style>
  <w:style w:type="paragraph" w:customStyle="1" w:styleId="481">
    <w:name w:val="heading 6_file_540"/>
    <w:basedOn w:val="475"/>
    <w:qFormat/>
    <w:uiPriority w:val="9"/>
    <w:pPr>
      <w:outlineLvl w:val="5"/>
    </w:pPr>
    <w:rPr>
      <w:sz w:val="15"/>
      <w:szCs w:val="15"/>
    </w:rPr>
  </w:style>
  <w:style w:type="character" w:customStyle="1" w:styleId="482">
    <w:name w:val="Default Paragraph Font_file_540"/>
    <w:semiHidden/>
    <w:unhideWhenUsed/>
    <w:qFormat/>
    <w:uiPriority w:val="1"/>
  </w:style>
  <w:style w:type="table" w:customStyle="1" w:styleId="483">
    <w:name w:val="Normal Table_file_540"/>
    <w:semiHidden/>
    <w:unhideWhenUsed/>
    <w:qFormat/>
    <w:uiPriority w:val="99"/>
    <w:tblPr>
      <w:tblCellMar>
        <w:top w:w="0" w:type="dxa"/>
        <w:left w:w="108" w:type="dxa"/>
        <w:bottom w:w="0" w:type="dxa"/>
        <w:right w:w="108" w:type="dxa"/>
      </w:tblCellMar>
    </w:tblPr>
  </w:style>
  <w:style w:type="character" w:customStyle="1" w:styleId="484">
    <w:name w:val="Hyperlink_file_540"/>
    <w:basedOn w:val="482"/>
    <w:semiHidden/>
    <w:unhideWhenUsed/>
    <w:qFormat/>
    <w:uiPriority w:val="99"/>
    <w:rPr>
      <w:color w:val="0782C1"/>
      <w:u w:val="single"/>
    </w:rPr>
  </w:style>
  <w:style w:type="character" w:customStyle="1" w:styleId="485">
    <w:name w:val="FollowedHyperlink_file_540"/>
    <w:basedOn w:val="482"/>
    <w:semiHidden/>
    <w:unhideWhenUsed/>
    <w:qFormat/>
    <w:uiPriority w:val="99"/>
    <w:rPr>
      <w:color w:val="0782C1"/>
      <w:u w:val="single"/>
    </w:rPr>
  </w:style>
  <w:style w:type="character" w:customStyle="1" w:styleId="486">
    <w:name w:val="标题 1 Char_file_540"/>
    <w:basedOn w:val="482"/>
    <w:link w:val="4"/>
    <w:qFormat/>
    <w:uiPriority w:val="9"/>
    <w:rPr>
      <w:rFonts w:ascii="宋体" w:hAnsi="宋体" w:eastAsia="宋体" w:cs="宋体"/>
      <w:b/>
      <w:bCs/>
      <w:kern w:val="44"/>
      <w:sz w:val="44"/>
      <w:szCs w:val="44"/>
    </w:rPr>
  </w:style>
  <w:style w:type="character" w:customStyle="1" w:styleId="487">
    <w:name w:val="标题 2 Char_file_540"/>
    <w:basedOn w:val="482"/>
    <w:link w:val="5"/>
    <w:semiHidden/>
    <w:qFormat/>
    <w:uiPriority w:val="9"/>
    <w:rPr>
      <w:rFonts w:asciiTheme="majorHAnsi" w:hAnsiTheme="majorHAnsi" w:eastAsiaTheme="majorEastAsia" w:cstheme="majorBidi"/>
      <w:b/>
      <w:bCs/>
      <w:sz w:val="32"/>
      <w:szCs w:val="32"/>
    </w:rPr>
  </w:style>
  <w:style w:type="character" w:customStyle="1" w:styleId="488">
    <w:name w:val="标题 3 Char_file_540"/>
    <w:basedOn w:val="482"/>
    <w:link w:val="6"/>
    <w:semiHidden/>
    <w:qFormat/>
    <w:uiPriority w:val="9"/>
    <w:rPr>
      <w:rFonts w:ascii="宋体" w:hAnsi="宋体" w:eastAsia="宋体" w:cs="宋体"/>
      <w:b/>
      <w:bCs/>
      <w:sz w:val="32"/>
      <w:szCs w:val="32"/>
    </w:rPr>
  </w:style>
  <w:style w:type="character" w:customStyle="1" w:styleId="489">
    <w:name w:val="标题 4 Char_file_540"/>
    <w:basedOn w:val="482"/>
    <w:link w:val="7"/>
    <w:semiHidden/>
    <w:qFormat/>
    <w:uiPriority w:val="9"/>
    <w:rPr>
      <w:rFonts w:asciiTheme="majorHAnsi" w:hAnsiTheme="majorHAnsi" w:eastAsiaTheme="majorEastAsia" w:cstheme="majorBidi"/>
      <w:b/>
      <w:bCs/>
      <w:sz w:val="28"/>
      <w:szCs w:val="28"/>
    </w:rPr>
  </w:style>
  <w:style w:type="character" w:customStyle="1" w:styleId="490">
    <w:name w:val="标题 5 Char_file_540"/>
    <w:basedOn w:val="482"/>
    <w:link w:val="8"/>
    <w:semiHidden/>
    <w:qFormat/>
    <w:uiPriority w:val="9"/>
    <w:rPr>
      <w:rFonts w:ascii="宋体" w:hAnsi="宋体" w:eastAsia="宋体" w:cs="宋体"/>
      <w:b/>
      <w:bCs/>
      <w:sz w:val="28"/>
      <w:szCs w:val="28"/>
    </w:rPr>
  </w:style>
  <w:style w:type="character" w:customStyle="1" w:styleId="491">
    <w:name w:val="标题 6 Char_file_540"/>
    <w:basedOn w:val="482"/>
    <w:link w:val="10"/>
    <w:semiHidden/>
    <w:qFormat/>
    <w:uiPriority w:val="9"/>
    <w:rPr>
      <w:rFonts w:asciiTheme="majorHAnsi" w:hAnsiTheme="majorHAnsi" w:eastAsiaTheme="majorEastAsia" w:cstheme="majorBidi"/>
      <w:b/>
      <w:bCs/>
      <w:sz w:val="24"/>
      <w:szCs w:val="24"/>
    </w:rPr>
  </w:style>
  <w:style w:type="paragraph" w:customStyle="1" w:styleId="492">
    <w:name w:val="cke_editable_file_540"/>
    <w:basedOn w:val="475"/>
    <w:qFormat/>
    <w:uiPriority w:val="0"/>
    <w:rPr>
      <w:rFonts w:ascii="仿宋_GB2312" w:eastAsia="仿宋_GB2312"/>
    </w:rPr>
  </w:style>
  <w:style w:type="paragraph" w:customStyle="1" w:styleId="493">
    <w:name w:val="marker_file_540"/>
    <w:basedOn w:val="475"/>
    <w:qFormat/>
    <w:uiPriority w:val="0"/>
    <w:pPr>
      <w:shd w:val="clear" w:color="auto" w:fill="FFFF00"/>
    </w:pPr>
  </w:style>
  <w:style w:type="paragraph" w:customStyle="1" w:styleId="494">
    <w:name w:val="Normal (Web)_file_540"/>
    <w:basedOn w:val="475"/>
    <w:semiHidden/>
    <w:unhideWhenUsed/>
    <w:qFormat/>
    <w:uiPriority w:val="99"/>
  </w:style>
  <w:style w:type="paragraph" w:customStyle="1" w:styleId="495">
    <w:name w:val="Normal_file_54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96">
    <w:name w:val="heading 1_file_541"/>
    <w:basedOn w:val="495"/>
    <w:qFormat/>
    <w:uiPriority w:val="9"/>
    <w:pPr>
      <w:outlineLvl w:val="0"/>
    </w:pPr>
    <w:rPr>
      <w:kern w:val="36"/>
      <w:sz w:val="48"/>
      <w:szCs w:val="48"/>
    </w:rPr>
  </w:style>
  <w:style w:type="paragraph" w:customStyle="1" w:styleId="497">
    <w:name w:val="heading 2_file_541"/>
    <w:basedOn w:val="495"/>
    <w:qFormat/>
    <w:uiPriority w:val="9"/>
    <w:pPr>
      <w:outlineLvl w:val="1"/>
    </w:pPr>
    <w:rPr>
      <w:sz w:val="36"/>
      <w:szCs w:val="36"/>
    </w:rPr>
  </w:style>
  <w:style w:type="paragraph" w:customStyle="1" w:styleId="498">
    <w:name w:val="heading 3_file_541"/>
    <w:basedOn w:val="495"/>
    <w:qFormat/>
    <w:uiPriority w:val="9"/>
    <w:pPr>
      <w:outlineLvl w:val="2"/>
    </w:pPr>
    <w:rPr>
      <w:sz w:val="27"/>
      <w:szCs w:val="27"/>
    </w:rPr>
  </w:style>
  <w:style w:type="paragraph" w:customStyle="1" w:styleId="499">
    <w:name w:val="heading 4_file_541"/>
    <w:basedOn w:val="495"/>
    <w:qFormat/>
    <w:uiPriority w:val="9"/>
    <w:pPr>
      <w:outlineLvl w:val="3"/>
    </w:pPr>
  </w:style>
  <w:style w:type="paragraph" w:customStyle="1" w:styleId="500">
    <w:name w:val="heading 5_file_541"/>
    <w:basedOn w:val="495"/>
    <w:qFormat/>
    <w:uiPriority w:val="9"/>
    <w:pPr>
      <w:outlineLvl w:val="4"/>
    </w:pPr>
    <w:rPr>
      <w:sz w:val="20"/>
      <w:szCs w:val="20"/>
    </w:rPr>
  </w:style>
  <w:style w:type="paragraph" w:customStyle="1" w:styleId="501">
    <w:name w:val="heading 6_file_541"/>
    <w:basedOn w:val="495"/>
    <w:qFormat/>
    <w:uiPriority w:val="9"/>
    <w:pPr>
      <w:outlineLvl w:val="5"/>
    </w:pPr>
    <w:rPr>
      <w:sz w:val="15"/>
      <w:szCs w:val="15"/>
    </w:rPr>
  </w:style>
  <w:style w:type="character" w:customStyle="1" w:styleId="502">
    <w:name w:val="Default Paragraph Font_file_541"/>
    <w:semiHidden/>
    <w:unhideWhenUsed/>
    <w:qFormat/>
    <w:uiPriority w:val="1"/>
  </w:style>
  <w:style w:type="table" w:customStyle="1" w:styleId="503">
    <w:name w:val="Normal Table_file_541"/>
    <w:semiHidden/>
    <w:unhideWhenUsed/>
    <w:qFormat/>
    <w:uiPriority w:val="99"/>
    <w:tblPr>
      <w:tblCellMar>
        <w:top w:w="0" w:type="dxa"/>
        <w:left w:w="108" w:type="dxa"/>
        <w:bottom w:w="0" w:type="dxa"/>
        <w:right w:w="108" w:type="dxa"/>
      </w:tblCellMar>
    </w:tblPr>
  </w:style>
  <w:style w:type="character" w:customStyle="1" w:styleId="504">
    <w:name w:val="Hyperlink_file_541"/>
    <w:basedOn w:val="502"/>
    <w:semiHidden/>
    <w:unhideWhenUsed/>
    <w:qFormat/>
    <w:uiPriority w:val="99"/>
    <w:rPr>
      <w:color w:val="0782C1"/>
      <w:u w:val="single"/>
    </w:rPr>
  </w:style>
  <w:style w:type="character" w:customStyle="1" w:styleId="505">
    <w:name w:val="FollowedHyperlink_file_541"/>
    <w:basedOn w:val="502"/>
    <w:semiHidden/>
    <w:unhideWhenUsed/>
    <w:qFormat/>
    <w:uiPriority w:val="99"/>
    <w:rPr>
      <w:color w:val="0782C1"/>
      <w:u w:val="single"/>
    </w:rPr>
  </w:style>
  <w:style w:type="character" w:customStyle="1" w:styleId="506">
    <w:name w:val="标题 1 Char_file_541"/>
    <w:basedOn w:val="502"/>
    <w:link w:val="4"/>
    <w:qFormat/>
    <w:uiPriority w:val="9"/>
    <w:rPr>
      <w:rFonts w:ascii="宋体" w:hAnsi="宋体" w:eastAsia="宋体" w:cs="宋体"/>
      <w:b/>
      <w:bCs/>
      <w:kern w:val="44"/>
      <w:sz w:val="44"/>
      <w:szCs w:val="44"/>
    </w:rPr>
  </w:style>
  <w:style w:type="character" w:customStyle="1" w:styleId="507">
    <w:name w:val="标题 2 Char_file_541"/>
    <w:basedOn w:val="502"/>
    <w:link w:val="5"/>
    <w:semiHidden/>
    <w:qFormat/>
    <w:uiPriority w:val="9"/>
    <w:rPr>
      <w:rFonts w:asciiTheme="majorHAnsi" w:hAnsiTheme="majorHAnsi" w:eastAsiaTheme="majorEastAsia" w:cstheme="majorBidi"/>
      <w:b/>
      <w:bCs/>
      <w:sz w:val="32"/>
      <w:szCs w:val="32"/>
    </w:rPr>
  </w:style>
  <w:style w:type="character" w:customStyle="1" w:styleId="508">
    <w:name w:val="标题 3 Char_file_541"/>
    <w:basedOn w:val="502"/>
    <w:link w:val="6"/>
    <w:semiHidden/>
    <w:qFormat/>
    <w:uiPriority w:val="9"/>
    <w:rPr>
      <w:rFonts w:ascii="宋体" w:hAnsi="宋体" w:eastAsia="宋体" w:cs="宋体"/>
      <w:b/>
      <w:bCs/>
      <w:sz w:val="32"/>
      <w:szCs w:val="32"/>
    </w:rPr>
  </w:style>
  <w:style w:type="character" w:customStyle="1" w:styleId="509">
    <w:name w:val="标题 4 Char_file_541"/>
    <w:basedOn w:val="502"/>
    <w:link w:val="7"/>
    <w:semiHidden/>
    <w:qFormat/>
    <w:uiPriority w:val="9"/>
    <w:rPr>
      <w:rFonts w:asciiTheme="majorHAnsi" w:hAnsiTheme="majorHAnsi" w:eastAsiaTheme="majorEastAsia" w:cstheme="majorBidi"/>
      <w:b/>
      <w:bCs/>
      <w:sz w:val="28"/>
      <w:szCs w:val="28"/>
    </w:rPr>
  </w:style>
  <w:style w:type="character" w:customStyle="1" w:styleId="510">
    <w:name w:val="标题 5 Char_file_541"/>
    <w:basedOn w:val="502"/>
    <w:link w:val="8"/>
    <w:semiHidden/>
    <w:qFormat/>
    <w:uiPriority w:val="9"/>
    <w:rPr>
      <w:rFonts w:ascii="宋体" w:hAnsi="宋体" w:eastAsia="宋体" w:cs="宋体"/>
      <w:b/>
      <w:bCs/>
      <w:sz w:val="28"/>
      <w:szCs w:val="28"/>
    </w:rPr>
  </w:style>
  <w:style w:type="character" w:customStyle="1" w:styleId="511">
    <w:name w:val="标题 6 Char_file_541"/>
    <w:basedOn w:val="502"/>
    <w:link w:val="10"/>
    <w:semiHidden/>
    <w:qFormat/>
    <w:uiPriority w:val="9"/>
    <w:rPr>
      <w:rFonts w:asciiTheme="majorHAnsi" w:hAnsiTheme="majorHAnsi" w:eastAsiaTheme="majorEastAsia" w:cstheme="majorBidi"/>
      <w:b/>
      <w:bCs/>
      <w:sz w:val="24"/>
      <w:szCs w:val="24"/>
    </w:rPr>
  </w:style>
  <w:style w:type="paragraph" w:customStyle="1" w:styleId="512">
    <w:name w:val="cke_editable_file_541"/>
    <w:basedOn w:val="495"/>
    <w:qFormat/>
    <w:uiPriority w:val="0"/>
    <w:rPr>
      <w:rFonts w:ascii="仿宋_GB2312" w:eastAsia="仿宋_GB2312"/>
    </w:rPr>
  </w:style>
  <w:style w:type="paragraph" w:customStyle="1" w:styleId="513">
    <w:name w:val="marker_file_541"/>
    <w:basedOn w:val="495"/>
    <w:qFormat/>
    <w:uiPriority w:val="0"/>
    <w:pPr>
      <w:shd w:val="clear" w:color="auto" w:fill="FFFF00"/>
    </w:pPr>
  </w:style>
  <w:style w:type="paragraph" w:customStyle="1" w:styleId="514">
    <w:name w:val="Normal (Web)_file_541"/>
    <w:basedOn w:val="495"/>
    <w:semiHidden/>
    <w:unhideWhenUsed/>
    <w:qFormat/>
    <w:uiPriority w:val="99"/>
  </w:style>
  <w:style w:type="character" w:customStyle="1" w:styleId="515">
    <w:name w:val="Strong_file_541"/>
    <w:basedOn w:val="502"/>
    <w:qFormat/>
    <w:uiPriority w:val="22"/>
    <w:rPr>
      <w:b/>
      <w:bCs/>
    </w:rPr>
  </w:style>
  <w:style w:type="paragraph" w:customStyle="1" w:styleId="516">
    <w:name w:val="Normal_file_5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17">
    <w:name w:val="heading 1_file_542"/>
    <w:basedOn w:val="516"/>
    <w:qFormat/>
    <w:uiPriority w:val="9"/>
    <w:pPr>
      <w:outlineLvl w:val="0"/>
    </w:pPr>
    <w:rPr>
      <w:kern w:val="36"/>
      <w:sz w:val="48"/>
      <w:szCs w:val="48"/>
    </w:rPr>
  </w:style>
  <w:style w:type="paragraph" w:customStyle="1" w:styleId="518">
    <w:name w:val="heading 2_file_542"/>
    <w:basedOn w:val="516"/>
    <w:qFormat/>
    <w:uiPriority w:val="9"/>
    <w:pPr>
      <w:outlineLvl w:val="1"/>
    </w:pPr>
    <w:rPr>
      <w:sz w:val="36"/>
      <w:szCs w:val="36"/>
    </w:rPr>
  </w:style>
  <w:style w:type="paragraph" w:customStyle="1" w:styleId="519">
    <w:name w:val="heading 3_file_542"/>
    <w:basedOn w:val="516"/>
    <w:qFormat/>
    <w:uiPriority w:val="9"/>
    <w:pPr>
      <w:outlineLvl w:val="2"/>
    </w:pPr>
    <w:rPr>
      <w:sz w:val="27"/>
      <w:szCs w:val="27"/>
    </w:rPr>
  </w:style>
  <w:style w:type="paragraph" w:customStyle="1" w:styleId="520">
    <w:name w:val="heading 4_file_542"/>
    <w:basedOn w:val="516"/>
    <w:qFormat/>
    <w:uiPriority w:val="9"/>
    <w:pPr>
      <w:outlineLvl w:val="3"/>
    </w:pPr>
  </w:style>
  <w:style w:type="paragraph" w:customStyle="1" w:styleId="521">
    <w:name w:val="heading 5_file_542"/>
    <w:basedOn w:val="516"/>
    <w:qFormat/>
    <w:uiPriority w:val="9"/>
    <w:pPr>
      <w:outlineLvl w:val="4"/>
    </w:pPr>
    <w:rPr>
      <w:sz w:val="20"/>
      <w:szCs w:val="20"/>
    </w:rPr>
  </w:style>
  <w:style w:type="paragraph" w:customStyle="1" w:styleId="522">
    <w:name w:val="heading 6_file_542"/>
    <w:basedOn w:val="516"/>
    <w:qFormat/>
    <w:uiPriority w:val="9"/>
    <w:pPr>
      <w:outlineLvl w:val="5"/>
    </w:pPr>
    <w:rPr>
      <w:sz w:val="15"/>
      <w:szCs w:val="15"/>
    </w:rPr>
  </w:style>
  <w:style w:type="character" w:customStyle="1" w:styleId="523">
    <w:name w:val="Default Paragraph Font_file_542"/>
    <w:semiHidden/>
    <w:unhideWhenUsed/>
    <w:qFormat/>
    <w:uiPriority w:val="1"/>
  </w:style>
  <w:style w:type="table" w:customStyle="1" w:styleId="524">
    <w:name w:val="Normal Table_file_542"/>
    <w:semiHidden/>
    <w:unhideWhenUsed/>
    <w:qFormat/>
    <w:uiPriority w:val="99"/>
    <w:tblPr>
      <w:tblCellMar>
        <w:top w:w="0" w:type="dxa"/>
        <w:left w:w="108" w:type="dxa"/>
        <w:bottom w:w="0" w:type="dxa"/>
        <w:right w:w="108" w:type="dxa"/>
      </w:tblCellMar>
    </w:tblPr>
  </w:style>
  <w:style w:type="character" w:customStyle="1" w:styleId="525">
    <w:name w:val="Hyperlink_file_542"/>
    <w:basedOn w:val="523"/>
    <w:semiHidden/>
    <w:unhideWhenUsed/>
    <w:qFormat/>
    <w:uiPriority w:val="99"/>
    <w:rPr>
      <w:color w:val="0782C1"/>
      <w:u w:val="single"/>
    </w:rPr>
  </w:style>
  <w:style w:type="character" w:customStyle="1" w:styleId="526">
    <w:name w:val="FollowedHyperlink_file_542"/>
    <w:basedOn w:val="523"/>
    <w:semiHidden/>
    <w:unhideWhenUsed/>
    <w:qFormat/>
    <w:uiPriority w:val="99"/>
    <w:rPr>
      <w:color w:val="0782C1"/>
      <w:u w:val="single"/>
    </w:rPr>
  </w:style>
  <w:style w:type="character" w:customStyle="1" w:styleId="527">
    <w:name w:val="标题 1 Char_file_542"/>
    <w:basedOn w:val="523"/>
    <w:link w:val="4"/>
    <w:qFormat/>
    <w:uiPriority w:val="9"/>
    <w:rPr>
      <w:rFonts w:ascii="宋体" w:hAnsi="宋体" w:eastAsia="宋体" w:cs="宋体"/>
      <w:b/>
      <w:bCs/>
      <w:kern w:val="44"/>
      <w:sz w:val="44"/>
      <w:szCs w:val="44"/>
    </w:rPr>
  </w:style>
  <w:style w:type="character" w:customStyle="1" w:styleId="528">
    <w:name w:val="标题 2 Char_file_542"/>
    <w:basedOn w:val="523"/>
    <w:link w:val="5"/>
    <w:semiHidden/>
    <w:qFormat/>
    <w:uiPriority w:val="9"/>
    <w:rPr>
      <w:rFonts w:asciiTheme="majorHAnsi" w:hAnsiTheme="majorHAnsi" w:eastAsiaTheme="majorEastAsia" w:cstheme="majorBidi"/>
      <w:b/>
      <w:bCs/>
      <w:sz w:val="32"/>
      <w:szCs w:val="32"/>
    </w:rPr>
  </w:style>
  <w:style w:type="character" w:customStyle="1" w:styleId="529">
    <w:name w:val="标题 3 Char_file_542"/>
    <w:basedOn w:val="523"/>
    <w:link w:val="6"/>
    <w:semiHidden/>
    <w:qFormat/>
    <w:uiPriority w:val="9"/>
    <w:rPr>
      <w:rFonts w:ascii="宋体" w:hAnsi="宋体" w:eastAsia="宋体" w:cs="宋体"/>
      <w:b/>
      <w:bCs/>
      <w:sz w:val="32"/>
      <w:szCs w:val="32"/>
    </w:rPr>
  </w:style>
  <w:style w:type="character" w:customStyle="1" w:styleId="530">
    <w:name w:val="标题 4 Char_file_542"/>
    <w:basedOn w:val="523"/>
    <w:link w:val="7"/>
    <w:semiHidden/>
    <w:qFormat/>
    <w:uiPriority w:val="9"/>
    <w:rPr>
      <w:rFonts w:asciiTheme="majorHAnsi" w:hAnsiTheme="majorHAnsi" w:eastAsiaTheme="majorEastAsia" w:cstheme="majorBidi"/>
      <w:b/>
      <w:bCs/>
      <w:sz w:val="28"/>
      <w:szCs w:val="28"/>
    </w:rPr>
  </w:style>
  <w:style w:type="character" w:customStyle="1" w:styleId="531">
    <w:name w:val="标题 5 Char_file_542"/>
    <w:basedOn w:val="523"/>
    <w:link w:val="8"/>
    <w:semiHidden/>
    <w:qFormat/>
    <w:uiPriority w:val="9"/>
    <w:rPr>
      <w:rFonts w:ascii="宋体" w:hAnsi="宋体" w:eastAsia="宋体" w:cs="宋体"/>
      <w:b/>
      <w:bCs/>
      <w:sz w:val="28"/>
      <w:szCs w:val="28"/>
    </w:rPr>
  </w:style>
  <w:style w:type="character" w:customStyle="1" w:styleId="532">
    <w:name w:val="标题 6 Char_file_542"/>
    <w:basedOn w:val="523"/>
    <w:link w:val="10"/>
    <w:semiHidden/>
    <w:qFormat/>
    <w:uiPriority w:val="9"/>
    <w:rPr>
      <w:rFonts w:asciiTheme="majorHAnsi" w:hAnsiTheme="majorHAnsi" w:eastAsiaTheme="majorEastAsia" w:cstheme="majorBidi"/>
      <w:b/>
      <w:bCs/>
      <w:sz w:val="24"/>
      <w:szCs w:val="24"/>
    </w:rPr>
  </w:style>
  <w:style w:type="paragraph" w:customStyle="1" w:styleId="533">
    <w:name w:val="cke_editable_file_542"/>
    <w:basedOn w:val="516"/>
    <w:qFormat/>
    <w:uiPriority w:val="0"/>
    <w:rPr>
      <w:rFonts w:ascii="仿宋_GB2312" w:eastAsia="仿宋_GB2312"/>
    </w:rPr>
  </w:style>
  <w:style w:type="paragraph" w:customStyle="1" w:styleId="534">
    <w:name w:val="marker_file_542"/>
    <w:basedOn w:val="516"/>
    <w:qFormat/>
    <w:uiPriority w:val="0"/>
    <w:pPr>
      <w:shd w:val="clear" w:color="auto" w:fill="FFFF00"/>
    </w:pPr>
  </w:style>
  <w:style w:type="paragraph" w:customStyle="1" w:styleId="535">
    <w:name w:val="Normal (Web)_file_542"/>
    <w:basedOn w:val="516"/>
    <w:semiHidden/>
    <w:unhideWhenUsed/>
    <w:qFormat/>
    <w:uiPriority w:val="99"/>
  </w:style>
  <w:style w:type="paragraph" w:customStyle="1" w:styleId="536">
    <w:name w:val="Normal_file_54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37">
    <w:name w:val="heading 1_file_543"/>
    <w:basedOn w:val="536"/>
    <w:qFormat/>
    <w:uiPriority w:val="9"/>
    <w:pPr>
      <w:outlineLvl w:val="0"/>
    </w:pPr>
    <w:rPr>
      <w:kern w:val="36"/>
      <w:sz w:val="48"/>
      <w:szCs w:val="48"/>
    </w:rPr>
  </w:style>
  <w:style w:type="paragraph" w:customStyle="1" w:styleId="538">
    <w:name w:val="heading 2_file_543"/>
    <w:basedOn w:val="536"/>
    <w:qFormat/>
    <w:uiPriority w:val="9"/>
    <w:pPr>
      <w:outlineLvl w:val="1"/>
    </w:pPr>
    <w:rPr>
      <w:sz w:val="36"/>
      <w:szCs w:val="36"/>
    </w:rPr>
  </w:style>
  <w:style w:type="paragraph" w:customStyle="1" w:styleId="539">
    <w:name w:val="heading 3_file_543"/>
    <w:basedOn w:val="536"/>
    <w:qFormat/>
    <w:uiPriority w:val="9"/>
    <w:pPr>
      <w:outlineLvl w:val="2"/>
    </w:pPr>
    <w:rPr>
      <w:sz w:val="27"/>
      <w:szCs w:val="27"/>
    </w:rPr>
  </w:style>
  <w:style w:type="paragraph" w:customStyle="1" w:styleId="540">
    <w:name w:val="heading 4_file_543"/>
    <w:basedOn w:val="536"/>
    <w:qFormat/>
    <w:uiPriority w:val="9"/>
    <w:pPr>
      <w:outlineLvl w:val="3"/>
    </w:pPr>
  </w:style>
  <w:style w:type="paragraph" w:customStyle="1" w:styleId="541">
    <w:name w:val="heading 5_file_543"/>
    <w:basedOn w:val="536"/>
    <w:qFormat/>
    <w:uiPriority w:val="9"/>
    <w:pPr>
      <w:outlineLvl w:val="4"/>
    </w:pPr>
    <w:rPr>
      <w:sz w:val="20"/>
      <w:szCs w:val="20"/>
    </w:rPr>
  </w:style>
  <w:style w:type="paragraph" w:customStyle="1" w:styleId="542">
    <w:name w:val="heading 6_file_543"/>
    <w:basedOn w:val="536"/>
    <w:qFormat/>
    <w:uiPriority w:val="9"/>
    <w:pPr>
      <w:outlineLvl w:val="5"/>
    </w:pPr>
    <w:rPr>
      <w:sz w:val="15"/>
      <w:szCs w:val="15"/>
    </w:rPr>
  </w:style>
  <w:style w:type="character" w:customStyle="1" w:styleId="543">
    <w:name w:val="Default Paragraph Font_file_543"/>
    <w:semiHidden/>
    <w:unhideWhenUsed/>
    <w:qFormat/>
    <w:uiPriority w:val="1"/>
  </w:style>
  <w:style w:type="table" w:customStyle="1" w:styleId="544">
    <w:name w:val="Normal Table_file_543"/>
    <w:semiHidden/>
    <w:unhideWhenUsed/>
    <w:qFormat/>
    <w:uiPriority w:val="99"/>
    <w:tblPr>
      <w:tblCellMar>
        <w:top w:w="0" w:type="dxa"/>
        <w:left w:w="108" w:type="dxa"/>
        <w:bottom w:w="0" w:type="dxa"/>
        <w:right w:w="108" w:type="dxa"/>
      </w:tblCellMar>
    </w:tblPr>
  </w:style>
  <w:style w:type="character" w:customStyle="1" w:styleId="545">
    <w:name w:val="Hyperlink_file_543"/>
    <w:basedOn w:val="543"/>
    <w:semiHidden/>
    <w:unhideWhenUsed/>
    <w:qFormat/>
    <w:uiPriority w:val="99"/>
    <w:rPr>
      <w:color w:val="0782C1"/>
      <w:u w:val="single"/>
    </w:rPr>
  </w:style>
  <w:style w:type="character" w:customStyle="1" w:styleId="546">
    <w:name w:val="FollowedHyperlink_file_543"/>
    <w:basedOn w:val="543"/>
    <w:semiHidden/>
    <w:unhideWhenUsed/>
    <w:qFormat/>
    <w:uiPriority w:val="99"/>
    <w:rPr>
      <w:color w:val="0782C1"/>
      <w:u w:val="single"/>
    </w:rPr>
  </w:style>
  <w:style w:type="character" w:customStyle="1" w:styleId="547">
    <w:name w:val="标题 1 Char_file_543"/>
    <w:basedOn w:val="543"/>
    <w:link w:val="4"/>
    <w:qFormat/>
    <w:uiPriority w:val="9"/>
    <w:rPr>
      <w:rFonts w:ascii="宋体" w:hAnsi="宋体" w:eastAsia="宋体" w:cs="宋体"/>
      <w:b/>
      <w:bCs/>
      <w:kern w:val="44"/>
      <w:sz w:val="44"/>
      <w:szCs w:val="44"/>
    </w:rPr>
  </w:style>
  <w:style w:type="character" w:customStyle="1" w:styleId="548">
    <w:name w:val="标题 2 Char_file_543"/>
    <w:basedOn w:val="543"/>
    <w:link w:val="5"/>
    <w:semiHidden/>
    <w:qFormat/>
    <w:uiPriority w:val="9"/>
    <w:rPr>
      <w:rFonts w:asciiTheme="majorHAnsi" w:hAnsiTheme="majorHAnsi" w:eastAsiaTheme="majorEastAsia" w:cstheme="majorBidi"/>
      <w:b/>
      <w:bCs/>
      <w:sz w:val="32"/>
      <w:szCs w:val="32"/>
    </w:rPr>
  </w:style>
  <w:style w:type="character" w:customStyle="1" w:styleId="549">
    <w:name w:val="标题 3 Char_file_543"/>
    <w:basedOn w:val="543"/>
    <w:link w:val="6"/>
    <w:semiHidden/>
    <w:qFormat/>
    <w:uiPriority w:val="9"/>
    <w:rPr>
      <w:rFonts w:ascii="宋体" w:hAnsi="宋体" w:eastAsia="宋体" w:cs="宋体"/>
      <w:b/>
      <w:bCs/>
      <w:sz w:val="32"/>
      <w:szCs w:val="32"/>
    </w:rPr>
  </w:style>
  <w:style w:type="character" w:customStyle="1" w:styleId="550">
    <w:name w:val="标题 4 Char_file_543"/>
    <w:basedOn w:val="543"/>
    <w:link w:val="7"/>
    <w:semiHidden/>
    <w:qFormat/>
    <w:uiPriority w:val="9"/>
    <w:rPr>
      <w:rFonts w:asciiTheme="majorHAnsi" w:hAnsiTheme="majorHAnsi" w:eastAsiaTheme="majorEastAsia" w:cstheme="majorBidi"/>
      <w:b/>
      <w:bCs/>
      <w:sz w:val="28"/>
      <w:szCs w:val="28"/>
    </w:rPr>
  </w:style>
  <w:style w:type="character" w:customStyle="1" w:styleId="551">
    <w:name w:val="标题 5 Char_file_543"/>
    <w:basedOn w:val="543"/>
    <w:link w:val="8"/>
    <w:semiHidden/>
    <w:qFormat/>
    <w:uiPriority w:val="9"/>
    <w:rPr>
      <w:rFonts w:ascii="宋体" w:hAnsi="宋体" w:eastAsia="宋体" w:cs="宋体"/>
      <w:b/>
      <w:bCs/>
      <w:sz w:val="28"/>
      <w:szCs w:val="28"/>
    </w:rPr>
  </w:style>
  <w:style w:type="character" w:customStyle="1" w:styleId="552">
    <w:name w:val="标题 6 Char_file_543"/>
    <w:basedOn w:val="543"/>
    <w:link w:val="10"/>
    <w:semiHidden/>
    <w:qFormat/>
    <w:uiPriority w:val="9"/>
    <w:rPr>
      <w:rFonts w:asciiTheme="majorHAnsi" w:hAnsiTheme="majorHAnsi" w:eastAsiaTheme="majorEastAsia" w:cstheme="majorBidi"/>
      <w:b/>
      <w:bCs/>
      <w:sz w:val="24"/>
      <w:szCs w:val="24"/>
    </w:rPr>
  </w:style>
  <w:style w:type="paragraph" w:customStyle="1" w:styleId="553">
    <w:name w:val="cke_editable_file_543"/>
    <w:basedOn w:val="536"/>
    <w:qFormat/>
    <w:uiPriority w:val="0"/>
    <w:rPr>
      <w:rFonts w:ascii="仿宋_GB2312" w:eastAsia="仿宋_GB2312"/>
    </w:rPr>
  </w:style>
  <w:style w:type="paragraph" w:customStyle="1" w:styleId="554">
    <w:name w:val="marker_file_543"/>
    <w:basedOn w:val="536"/>
    <w:qFormat/>
    <w:uiPriority w:val="0"/>
    <w:pPr>
      <w:shd w:val="clear" w:color="auto" w:fill="FFFF00"/>
    </w:pPr>
  </w:style>
  <w:style w:type="paragraph" w:customStyle="1" w:styleId="555">
    <w:name w:val="Normal (Web)_file_543"/>
    <w:basedOn w:val="536"/>
    <w:semiHidden/>
    <w:unhideWhenUsed/>
    <w:qFormat/>
    <w:uiPriority w:val="99"/>
  </w:style>
  <w:style w:type="paragraph" w:customStyle="1" w:styleId="556">
    <w:name w:val="Normal_file_5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57">
    <w:name w:val="heading 1_file_544"/>
    <w:basedOn w:val="556"/>
    <w:qFormat/>
    <w:uiPriority w:val="9"/>
    <w:pPr>
      <w:outlineLvl w:val="0"/>
    </w:pPr>
    <w:rPr>
      <w:kern w:val="36"/>
      <w:sz w:val="48"/>
      <w:szCs w:val="48"/>
    </w:rPr>
  </w:style>
  <w:style w:type="paragraph" w:customStyle="1" w:styleId="558">
    <w:name w:val="heading 2_file_544"/>
    <w:basedOn w:val="556"/>
    <w:qFormat/>
    <w:uiPriority w:val="9"/>
    <w:pPr>
      <w:outlineLvl w:val="1"/>
    </w:pPr>
    <w:rPr>
      <w:sz w:val="36"/>
      <w:szCs w:val="36"/>
    </w:rPr>
  </w:style>
  <w:style w:type="paragraph" w:customStyle="1" w:styleId="559">
    <w:name w:val="heading 3_file_544"/>
    <w:basedOn w:val="556"/>
    <w:qFormat/>
    <w:uiPriority w:val="9"/>
    <w:pPr>
      <w:outlineLvl w:val="2"/>
    </w:pPr>
    <w:rPr>
      <w:sz w:val="27"/>
      <w:szCs w:val="27"/>
    </w:rPr>
  </w:style>
  <w:style w:type="paragraph" w:customStyle="1" w:styleId="560">
    <w:name w:val="heading 4_file_544"/>
    <w:basedOn w:val="556"/>
    <w:qFormat/>
    <w:uiPriority w:val="9"/>
    <w:pPr>
      <w:outlineLvl w:val="3"/>
    </w:pPr>
  </w:style>
  <w:style w:type="paragraph" w:customStyle="1" w:styleId="561">
    <w:name w:val="heading 5_file_544"/>
    <w:basedOn w:val="556"/>
    <w:qFormat/>
    <w:uiPriority w:val="9"/>
    <w:pPr>
      <w:outlineLvl w:val="4"/>
    </w:pPr>
    <w:rPr>
      <w:sz w:val="20"/>
      <w:szCs w:val="20"/>
    </w:rPr>
  </w:style>
  <w:style w:type="paragraph" w:customStyle="1" w:styleId="562">
    <w:name w:val="heading 6_file_544"/>
    <w:basedOn w:val="556"/>
    <w:qFormat/>
    <w:uiPriority w:val="9"/>
    <w:pPr>
      <w:outlineLvl w:val="5"/>
    </w:pPr>
    <w:rPr>
      <w:sz w:val="15"/>
      <w:szCs w:val="15"/>
    </w:rPr>
  </w:style>
  <w:style w:type="character" w:customStyle="1" w:styleId="563">
    <w:name w:val="Default Paragraph Font_file_544"/>
    <w:semiHidden/>
    <w:unhideWhenUsed/>
    <w:qFormat/>
    <w:uiPriority w:val="1"/>
  </w:style>
  <w:style w:type="table" w:customStyle="1" w:styleId="564">
    <w:name w:val="Normal Table_file_544"/>
    <w:semiHidden/>
    <w:unhideWhenUsed/>
    <w:qFormat/>
    <w:uiPriority w:val="99"/>
    <w:tblPr>
      <w:tblCellMar>
        <w:top w:w="0" w:type="dxa"/>
        <w:left w:w="108" w:type="dxa"/>
        <w:bottom w:w="0" w:type="dxa"/>
        <w:right w:w="108" w:type="dxa"/>
      </w:tblCellMar>
    </w:tblPr>
  </w:style>
  <w:style w:type="character" w:customStyle="1" w:styleId="565">
    <w:name w:val="Hyperlink_file_544"/>
    <w:basedOn w:val="563"/>
    <w:semiHidden/>
    <w:unhideWhenUsed/>
    <w:qFormat/>
    <w:uiPriority w:val="99"/>
    <w:rPr>
      <w:color w:val="0782C1"/>
      <w:u w:val="single"/>
    </w:rPr>
  </w:style>
  <w:style w:type="character" w:customStyle="1" w:styleId="566">
    <w:name w:val="FollowedHyperlink_file_544"/>
    <w:basedOn w:val="563"/>
    <w:semiHidden/>
    <w:unhideWhenUsed/>
    <w:qFormat/>
    <w:uiPriority w:val="99"/>
    <w:rPr>
      <w:color w:val="0782C1"/>
      <w:u w:val="single"/>
    </w:rPr>
  </w:style>
  <w:style w:type="character" w:customStyle="1" w:styleId="567">
    <w:name w:val="标题 1 Char_file_544"/>
    <w:basedOn w:val="563"/>
    <w:link w:val="4"/>
    <w:qFormat/>
    <w:uiPriority w:val="9"/>
    <w:rPr>
      <w:rFonts w:ascii="宋体" w:hAnsi="宋体" w:eastAsia="宋体" w:cs="宋体"/>
      <w:b/>
      <w:bCs/>
      <w:kern w:val="44"/>
      <w:sz w:val="44"/>
      <w:szCs w:val="44"/>
    </w:rPr>
  </w:style>
  <w:style w:type="character" w:customStyle="1" w:styleId="568">
    <w:name w:val="标题 2 Char_file_544"/>
    <w:basedOn w:val="563"/>
    <w:link w:val="5"/>
    <w:semiHidden/>
    <w:qFormat/>
    <w:uiPriority w:val="9"/>
    <w:rPr>
      <w:rFonts w:asciiTheme="majorHAnsi" w:hAnsiTheme="majorHAnsi" w:eastAsiaTheme="majorEastAsia" w:cstheme="majorBidi"/>
      <w:b/>
      <w:bCs/>
      <w:sz w:val="32"/>
      <w:szCs w:val="32"/>
    </w:rPr>
  </w:style>
  <w:style w:type="character" w:customStyle="1" w:styleId="569">
    <w:name w:val="标题 3 Char_file_544"/>
    <w:basedOn w:val="563"/>
    <w:link w:val="6"/>
    <w:semiHidden/>
    <w:qFormat/>
    <w:uiPriority w:val="9"/>
    <w:rPr>
      <w:rFonts w:ascii="宋体" w:hAnsi="宋体" w:eastAsia="宋体" w:cs="宋体"/>
      <w:b/>
      <w:bCs/>
      <w:sz w:val="32"/>
      <w:szCs w:val="32"/>
    </w:rPr>
  </w:style>
  <w:style w:type="character" w:customStyle="1" w:styleId="570">
    <w:name w:val="标题 4 Char_file_544"/>
    <w:basedOn w:val="563"/>
    <w:link w:val="7"/>
    <w:semiHidden/>
    <w:qFormat/>
    <w:uiPriority w:val="9"/>
    <w:rPr>
      <w:rFonts w:asciiTheme="majorHAnsi" w:hAnsiTheme="majorHAnsi" w:eastAsiaTheme="majorEastAsia" w:cstheme="majorBidi"/>
      <w:b/>
      <w:bCs/>
      <w:sz w:val="28"/>
      <w:szCs w:val="28"/>
    </w:rPr>
  </w:style>
  <w:style w:type="character" w:customStyle="1" w:styleId="571">
    <w:name w:val="标题 5 Char_file_544"/>
    <w:basedOn w:val="563"/>
    <w:link w:val="8"/>
    <w:semiHidden/>
    <w:qFormat/>
    <w:uiPriority w:val="9"/>
    <w:rPr>
      <w:rFonts w:ascii="宋体" w:hAnsi="宋体" w:eastAsia="宋体" w:cs="宋体"/>
      <w:b/>
      <w:bCs/>
      <w:sz w:val="28"/>
      <w:szCs w:val="28"/>
    </w:rPr>
  </w:style>
  <w:style w:type="character" w:customStyle="1" w:styleId="572">
    <w:name w:val="标题 6 Char_file_544"/>
    <w:basedOn w:val="563"/>
    <w:link w:val="10"/>
    <w:semiHidden/>
    <w:qFormat/>
    <w:uiPriority w:val="9"/>
    <w:rPr>
      <w:rFonts w:asciiTheme="majorHAnsi" w:hAnsiTheme="majorHAnsi" w:eastAsiaTheme="majorEastAsia" w:cstheme="majorBidi"/>
      <w:b/>
      <w:bCs/>
      <w:sz w:val="24"/>
      <w:szCs w:val="24"/>
    </w:rPr>
  </w:style>
  <w:style w:type="paragraph" w:customStyle="1" w:styleId="573">
    <w:name w:val="cke_editable_file_544"/>
    <w:basedOn w:val="556"/>
    <w:qFormat/>
    <w:uiPriority w:val="0"/>
    <w:rPr>
      <w:rFonts w:ascii="仿宋_GB2312" w:eastAsia="仿宋_GB2312"/>
    </w:rPr>
  </w:style>
  <w:style w:type="paragraph" w:customStyle="1" w:styleId="574">
    <w:name w:val="marker_file_544"/>
    <w:basedOn w:val="556"/>
    <w:qFormat/>
    <w:uiPriority w:val="0"/>
    <w:pPr>
      <w:shd w:val="clear" w:color="auto" w:fill="FFFF00"/>
    </w:pPr>
  </w:style>
  <w:style w:type="paragraph" w:customStyle="1" w:styleId="575">
    <w:name w:val="Normal (Web)_file_544"/>
    <w:basedOn w:val="556"/>
    <w:semiHidden/>
    <w:unhideWhenUsed/>
    <w:qFormat/>
    <w:uiPriority w:val="99"/>
  </w:style>
  <w:style w:type="paragraph" w:customStyle="1" w:styleId="576">
    <w:name w:val="Normal_file_54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77">
    <w:name w:val="heading 1_file_545"/>
    <w:basedOn w:val="576"/>
    <w:qFormat/>
    <w:uiPriority w:val="9"/>
    <w:pPr>
      <w:outlineLvl w:val="0"/>
    </w:pPr>
    <w:rPr>
      <w:kern w:val="36"/>
      <w:sz w:val="48"/>
      <w:szCs w:val="48"/>
    </w:rPr>
  </w:style>
  <w:style w:type="paragraph" w:customStyle="1" w:styleId="578">
    <w:name w:val="heading 2_file_545"/>
    <w:basedOn w:val="576"/>
    <w:qFormat/>
    <w:uiPriority w:val="9"/>
    <w:pPr>
      <w:outlineLvl w:val="1"/>
    </w:pPr>
    <w:rPr>
      <w:sz w:val="36"/>
      <w:szCs w:val="36"/>
    </w:rPr>
  </w:style>
  <w:style w:type="paragraph" w:customStyle="1" w:styleId="579">
    <w:name w:val="heading 3_file_545"/>
    <w:basedOn w:val="576"/>
    <w:qFormat/>
    <w:uiPriority w:val="9"/>
    <w:pPr>
      <w:outlineLvl w:val="2"/>
    </w:pPr>
    <w:rPr>
      <w:sz w:val="27"/>
      <w:szCs w:val="27"/>
    </w:rPr>
  </w:style>
  <w:style w:type="paragraph" w:customStyle="1" w:styleId="580">
    <w:name w:val="heading 4_file_545"/>
    <w:basedOn w:val="576"/>
    <w:qFormat/>
    <w:uiPriority w:val="9"/>
    <w:pPr>
      <w:outlineLvl w:val="3"/>
    </w:pPr>
  </w:style>
  <w:style w:type="paragraph" w:customStyle="1" w:styleId="581">
    <w:name w:val="heading 5_file_545"/>
    <w:basedOn w:val="576"/>
    <w:qFormat/>
    <w:uiPriority w:val="9"/>
    <w:pPr>
      <w:outlineLvl w:val="4"/>
    </w:pPr>
    <w:rPr>
      <w:sz w:val="20"/>
      <w:szCs w:val="20"/>
    </w:rPr>
  </w:style>
  <w:style w:type="paragraph" w:customStyle="1" w:styleId="582">
    <w:name w:val="heading 6_file_545"/>
    <w:basedOn w:val="576"/>
    <w:qFormat/>
    <w:uiPriority w:val="9"/>
    <w:pPr>
      <w:outlineLvl w:val="5"/>
    </w:pPr>
    <w:rPr>
      <w:sz w:val="15"/>
      <w:szCs w:val="15"/>
    </w:rPr>
  </w:style>
  <w:style w:type="character" w:customStyle="1" w:styleId="583">
    <w:name w:val="Default Paragraph Font_file_545"/>
    <w:semiHidden/>
    <w:unhideWhenUsed/>
    <w:qFormat/>
    <w:uiPriority w:val="1"/>
  </w:style>
  <w:style w:type="table" w:customStyle="1" w:styleId="584">
    <w:name w:val="Normal Table_file_545"/>
    <w:semiHidden/>
    <w:unhideWhenUsed/>
    <w:qFormat/>
    <w:uiPriority w:val="99"/>
    <w:tblPr>
      <w:tblCellMar>
        <w:top w:w="0" w:type="dxa"/>
        <w:left w:w="108" w:type="dxa"/>
        <w:bottom w:w="0" w:type="dxa"/>
        <w:right w:w="108" w:type="dxa"/>
      </w:tblCellMar>
    </w:tblPr>
  </w:style>
  <w:style w:type="character" w:customStyle="1" w:styleId="585">
    <w:name w:val="Hyperlink_file_545"/>
    <w:basedOn w:val="583"/>
    <w:semiHidden/>
    <w:unhideWhenUsed/>
    <w:qFormat/>
    <w:uiPriority w:val="99"/>
    <w:rPr>
      <w:color w:val="0782C1"/>
      <w:u w:val="single"/>
    </w:rPr>
  </w:style>
  <w:style w:type="character" w:customStyle="1" w:styleId="586">
    <w:name w:val="FollowedHyperlink_file_545"/>
    <w:basedOn w:val="583"/>
    <w:semiHidden/>
    <w:unhideWhenUsed/>
    <w:qFormat/>
    <w:uiPriority w:val="99"/>
    <w:rPr>
      <w:color w:val="0782C1"/>
      <w:u w:val="single"/>
    </w:rPr>
  </w:style>
  <w:style w:type="character" w:customStyle="1" w:styleId="587">
    <w:name w:val="标题 1 Char_file_545"/>
    <w:basedOn w:val="583"/>
    <w:link w:val="4"/>
    <w:qFormat/>
    <w:uiPriority w:val="9"/>
    <w:rPr>
      <w:rFonts w:ascii="宋体" w:hAnsi="宋体" w:eastAsia="宋体" w:cs="宋体"/>
      <w:b/>
      <w:bCs/>
      <w:kern w:val="44"/>
      <w:sz w:val="44"/>
      <w:szCs w:val="44"/>
    </w:rPr>
  </w:style>
  <w:style w:type="character" w:customStyle="1" w:styleId="588">
    <w:name w:val="标题 2 Char_file_545"/>
    <w:basedOn w:val="583"/>
    <w:link w:val="5"/>
    <w:semiHidden/>
    <w:qFormat/>
    <w:uiPriority w:val="9"/>
    <w:rPr>
      <w:rFonts w:asciiTheme="majorHAnsi" w:hAnsiTheme="majorHAnsi" w:eastAsiaTheme="majorEastAsia" w:cstheme="majorBidi"/>
      <w:b/>
      <w:bCs/>
      <w:sz w:val="32"/>
      <w:szCs w:val="32"/>
    </w:rPr>
  </w:style>
  <w:style w:type="character" w:customStyle="1" w:styleId="589">
    <w:name w:val="标题 3 Char_file_545"/>
    <w:basedOn w:val="583"/>
    <w:link w:val="6"/>
    <w:semiHidden/>
    <w:qFormat/>
    <w:uiPriority w:val="9"/>
    <w:rPr>
      <w:rFonts w:ascii="宋体" w:hAnsi="宋体" w:eastAsia="宋体" w:cs="宋体"/>
      <w:b/>
      <w:bCs/>
      <w:sz w:val="32"/>
      <w:szCs w:val="32"/>
    </w:rPr>
  </w:style>
  <w:style w:type="character" w:customStyle="1" w:styleId="590">
    <w:name w:val="标题 4 Char_file_545"/>
    <w:basedOn w:val="583"/>
    <w:link w:val="7"/>
    <w:semiHidden/>
    <w:qFormat/>
    <w:uiPriority w:val="9"/>
    <w:rPr>
      <w:rFonts w:asciiTheme="majorHAnsi" w:hAnsiTheme="majorHAnsi" w:eastAsiaTheme="majorEastAsia" w:cstheme="majorBidi"/>
      <w:b/>
      <w:bCs/>
      <w:sz w:val="28"/>
      <w:szCs w:val="28"/>
    </w:rPr>
  </w:style>
  <w:style w:type="character" w:customStyle="1" w:styleId="591">
    <w:name w:val="标题 5 Char_file_545"/>
    <w:basedOn w:val="583"/>
    <w:link w:val="8"/>
    <w:semiHidden/>
    <w:qFormat/>
    <w:uiPriority w:val="9"/>
    <w:rPr>
      <w:rFonts w:ascii="宋体" w:hAnsi="宋体" w:eastAsia="宋体" w:cs="宋体"/>
      <w:b/>
      <w:bCs/>
      <w:sz w:val="28"/>
      <w:szCs w:val="28"/>
    </w:rPr>
  </w:style>
  <w:style w:type="character" w:customStyle="1" w:styleId="592">
    <w:name w:val="标题 6 Char_file_545"/>
    <w:basedOn w:val="583"/>
    <w:link w:val="10"/>
    <w:semiHidden/>
    <w:qFormat/>
    <w:uiPriority w:val="9"/>
    <w:rPr>
      <w:rFonts w:asciiTheme="majorHAnsi" w:hAnsiTheme="majorHAnsi" w:eastAsiaTheme="majorEastAsia" w:cstheme="majorBidi"/>
      <w:b/>
      <w:bCs/>
      <w:sz w:val="24"/>
      <w:szCs w:val="24"/>
    </w:rPr>
  </w:style>
  <w:style w:type="paragraph" w:customStyle="1" w:styleId="593">
    <w:name w:val="cke_editable_file_545"/>
    <w:basedOn w:val="576"/>
    <w:qFormat/>
    <w:uiPriority w:val="0"/>
    <w:rPr>
      <w:rFonts w:ascii="仿宋_GB2312" w:eastAsia="仿宋_GB2312"/>
    </w:rPr>
  </w:style>
  <w:style w:type="paragraph" w:customStyle="1" w:styleId="594">
    <w:name w:val="marker_file_545"/>
    <w:basedOn w:val="576"/>
    <w:qFormat/>
    <w:uiPriority w:val="0"/>
    <w:pPr>
      <w:shd w:val="clear" w:color="auto" w:fill="FFFF00"/>
    </w:pPr>
  </w:style>
  <w:style w:type="paragraph" w:customStyle="1" w:styleId="595">
    <w:name w:val="Normal (Web)_file_545"/>
    <w:basedOn w:val="576"/>
    <w:semiHidden/>
    <w:unhideWhenUsed/>
    <w:qFormat/>
    <w:uiPriority w:val="99"/>
  </w:style>
  <w:style w:type="character" w:customStyle="1" w:styleId="596">
    <w:name w:val="Strong_file_545"/>
    <w:basedOn w:val="583"/>
    <w:qFormat/>
    <w:uiPriority w:val="22"/>
    <w:rPr>
      <w:b/>
      <w:bCs/>
    </w:rPr>
  </w:style>
  <w:style w:type="paragraph" w:customStyle="1" w:styleId="597">
    <w:name w:val="Normal_file_54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98">
    <w:name w:val="heading 1_file_546"/>
    <w:basedOn w:val="597"/>
    <w:qFormat/>
    <w:uiPriority w:val="9"/>
    <w:pPr>
      <w:outlineLvl w:val="0"/>
    </w:pPr>
    <w:rPr>
      <w:kern w:val="36"/>
      <w:sz w:val="48"/>
      <w:szCs w:val="48"/>
    </w:rPr>
  </w:style>
  <w:style w:type="paragraph" w:customStyle="1" w:styleId="599">
    <w:name w:val="heading 2_file_546"/>
    <w:basedOn w:val="597"/>
    <w:qFormat/>
    <w:uiPriority w:val="9"/>
    <w:pPr>
      <w:outlineLvl w:val="1"/>
    </w:pPr>
    <w:rPr>
      <w:sz w:val="36"/>
      <w:szCs w:val="36"/>
    </w:rPr>
  </w:style>
  <w:style w:type="paragraph" w:customStyle="1" w:styleId="600">
    <w:name w:val="heading 3_file_546"/>
    <w:basedOn w:val="597"/>
    <w:qFormat/>
    <w:uiPriority w:val="9"/>
    <w:pPr>
      <w:outlineLvl w:val="2"/>
    </w:pPr>
    <w:rPr>
      <w:sz w:val="27"/>
      <w:szCs w:val="27"/>
    </w:rPr>
  </w:style>
  <w:style w:type="paragraph" w:customStyle="1" w:styleId="601">
    <w:name w:val="heading 4_file_546"/>
    <w:basedOn w:val="597"/>
    <w:qFormat/>
    <w:uiPriority w:val="9"/>
    <w:pPr>
      <w:outlineLvl w:val="3"/>
    </w:pPr>
  </w:style>
  <w:style w:type="paragraph" w:customStyle="1" w:styleId="602">
    <w:name w:val="heading 5_file_546"/>
    <w:basedOn w:val="597"/>
    <w:qFormat/>
    <w:uiPriority w:val="9"/>
    <w:pPr>
      <w:outlineLvl w:val="4"/>
    </w:pPr>
    <w:rPr>
      <w:sz w:val="20"/>
      <w:szCs w:val="20"/>
    </w:rPr>
  </w:style>
  <w:style w:type="paragraph" w:customStyle="1" w:styleId="603">
    <w:name w:val="heading 6_file_546"/>
    <w:basedOn w:val="597"/>
    <w:qFormat/>
    <w:uiPriority w:val="9"/>
    <w:pPr>
      <w:outlineLvl w:val="5"/>
    </w:pPr>
    <w:rPr>
      <w:sz w:val="15"/>
      <w:szCs w:val="15"/>
    </w:rPr>
  </w:style>
  <w:style w:type="character" w:customStyle="1" w:styleId="604">
    <w:name w:val="Default Paragraph Font_file_546"/>
    <w:semiHidden/>
    <w:unhideWhenUsed/>
    <w:qFormat/>
    <w:uiPriority w:val="1"/>
  </w:style>
  <w:style w:type="table" w:customStyle="1" w:styleId="605">
    <w:name w:val="Normal Table_file_546"/>
    <w:semiHidden/>
    <w:unhideWhenUsed/>
    <w:qFormat/>
    <w:uiPriority w:val="99"/>
    <w:tblPr>
      <w:tblCellMar>
        <w:top w:w="0" w:type="dxa"/>
        <w:left w:w="108" w:type="dxa"/>
        <w:bottom w:w="0" w:type="dxa"/>
        <w:right w:w="108" w:type="dxa"/>
      </w:tblCellMar>
    </w:tblPr>
  </w:style>
  <w:style w:type="character" w:customStyle="1" w:styleId="606">
    <w:name w:val="Hyperlink_file_546"/>
    <w:basedOn w:val="604"/>
    <w:semiHidden/>
    <w:unhideWhenUsed/>
    <w:qFormat/>
    <w:uiPriority w:val="99"/>
    <w:rPr>
      <w:color w:val="0782C1"/>
      <w:u w:val="single"/>
    </w:rPr>
  </w:style>
  <w:style w:type="character" w:customStyle="1" w:styleId="607">
    <w:name w:val="FollowedHyperlink_file_546"/>
    <w:basedOn w:val="604"/>
    <w:semiHidden/>
    <w:unhideWhenUsed/>
    <w:qFormat/>
    <w:uiPriority w:val="99"/>
    <w:rPr>
      <w:color w:val="0782C1"/>
      <w:u w:val="single"/>
    </w:rPr>
  </w:style>
  <w:style w:type="character" w:customStyle="1" w:styleId="608">
    <w:name w:val="标题 1 Char_file_546"/>
    <w:basedOn w:val="604"/>
    <w:link w:val="4"/>
    <w:qFormat/>
    <w:uiPriority w:val="9"/>
    <w:rPr>
      <w:rFonts w:ascii="宋体" w:hAnsi="宋体" w:eastAsia="宋体" w:cs="宋体"/>
      <w:b/>
      <w:bCs/>
      <w:kern w:val="44"/>
      <w:sz w:val="44"/>
      <w:szCs w:val="44"/>
    </w:rPr>
  </w:style>
  <w:style w:type="character" w:customStyle="1" w:styleId="609">
    <w:name w:val="标题 2 Char_file_546"/>
    <w:basedOn w:val="604"/>
    <w:link w:val="5"/>
    <w:semiHidden/>
    <w:qFormat/>
    <w:uiPriority w:val="9"/>
    <w:rPr>
      <w:rFonts w:asciiTheme="majorHAnsi" w:hAnsiTheme="majorHAnsi" w:eastAsiaTheme="majorEastAsia" w:cstheme="majorBidi"/>
      <w:b/>
      <w:bCs/>
      <w:sz w:val="32"/>
      <w:szCs w:val="32"/>
    </w:rPr>
  </w:style>
  <w:style w:type="character" w:customStyle="1" w:styleId="610">
    <w:name w:val="标题 3 Char_file_546"/>
    <w:basedOn w:val="604"/>
    <w:link w:val="6"/>
    <w:semiHidden/>
    <w:qFormat/>
    <w:uiPriority w:val="9"/>
    <w:rPr>
      <w:rFonts w:ascii="宋体" w:hAnsi="宋体" w:eastAsia="宋体" w:cs="宋体"/>
      <w:b/>
      <w:bCs/>
      <w:sz w:val="32"/>
      <w:szCs w:val="32"/>
    </w:rPr>
  </w:style>
  <w:style w:type="character" w:customStyle="1" w:styleId="611">
    <w:name w:val="标题 4 Char_file_546"/>
    <w:basedOn w:val="604"/>
    <w:link w:val="7"/>
    <w:semiHidden/>
    <w:qFormat/>
    <w:uiPriority w:val="9"/>
    <w:rPr>
      <w:rFonts w:asciiTheme="majorHAnsi" w:hAnsiTheme="majorHAnsi" w:eastAsiaTheme="majorEastAsia" w:cstheme="majorBidi"/>
      <w:b/>
      <w:bCs/>
      <w:sz w:val="28"/>
      <w:szCs w:val="28"/>
    </w:rPr>
  </w:style>
  <w:style w:type="character" w:customStyle="1" w:styleId="612">
    <w:name w:val="标题 5 Char_file_546"/>
    <w:basedOn w:val="604"/>
    <w:link w:val="8"/>
    <w:semiHidden/>
    <w:qFormat/>
    <w:uiPriority w:val="9"/>
    <w:rPr>
      <w:rFonts w:ascii="宋体" w:hAnsi="宋体" w:eastAsia="宋体" w:cs="宋体"/>
      <w:b/>
      <w:bCs/>
      <w:sz w:val="28"/>
      <w:szCs w:val="28"/>
    </w:rPr>
  </w:style>
  <w:style w:type="character" w:customStyle="1" w:styleId="613">
    <w:name w:val="标题 6 Char_file_546"/>
    <w:basedOn w:val="604"/>
    <w:link w:val="10"/>
    <w:semiHidden/>
    <w:qFormat/>
    <w:uiPriority w:val="9"/>
    <w:rPr>
      <w:rFonts w:asciiTheme="majorHAnsi" w:hAnsiTheme="majorHAnsi" w:eastAsiaTheme="majorEastAsia" w:cstheme="majorBidi"/>
      <w:b/>
      <w:bCs/>
      <w:sz w:val="24"/>
      <w:szCs w:val="24"/>
    </w:rPr>
  </w:style>
  <w:style w:type="paragraph" w:customStyle="1" w:styleId="614">
    <w:name w:val="cke_editable_file_546"/>
    <w:basedOn w:val="597"/>
    <w:qFormat/>
    <w:uiPriority w:val="0"/>
    <w:rPr>
      <w:rFonts w:ascii="仿宋_GB2312" w:eastAsia="仿宋_GB2312"/>
    </w:rPr>
  </w:style>
  <w:style w:type="paragraph" w:customStyle="1" w:styleId="615">
    <w:name w:val="marker_file_546"/>
    <w:basedOn w:val="597"/>
    <w:qFormat/>
    <w:uiPriority w:val="0"/>
    <w:pPr>
      <w:shd w:val="clear" w:color="auto" w:fill="FFFF00"/>
    </w:pPr>
  </w:style>
  <w:style w:type="paragraph" w:customStyle="1" w:styleId="616">
    <w:name w:val="Normal (Web)_file_546"/>
    <w:basedOn w:val="597"/>
    <w:semiHidden/>
    <w:unhideWhenUsed/>
    <w:qFormat/>
    <w:uiPriority w:val="99"/>
  </w:style>
  <w:style w:type="paragraph" w:customStyle="1" w:styleId="617">
    <w:name w:val="Normal_file_54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18">
    <w:name w:val="heading 1_file_547"/>
    <w:basedOn w:val="617"/>
    <w:qFormat/>
    <w:uiPriority w:val="9"/>
    <w:pPr>
      <w:outlineLvl w:val="0"/>
    </w:pPr>
    <w:rPr>
      <w:kern w:val="36"/>
      <w:sz w:val="48"/>
      <w:szCs w:val="48"/>
    </w:rPr>
  </w:style>
  <w:style w:type="paragraph" w:customStyle="1" w:styleId="619">
    <w:name w:val="heading 2_file_547"/>
    <w:basedOn w:val="617"/>
    <w:qFormat/>
    <w:uiPriority w:val="9"/>
    <w:pPr>
      <w:outlineLvl w:val="1"/>
    </w:pPr>
    <w:rPr>
      <w:sz w:val="36"/>
      <w:szCs w:val="36"/>
    </w:rPr>
  </w:style>
  <w:style w:type="paragraph" w:customStyle="1" w:styleId="620">
    <w:name w:val="heading 3_file_547"/>
    <w:basedOn w:val="617"/>
    <w:qFormat/>
    <w:uiPriority w:val="9"/>
    <w:pPr>
      <w:outlineLvl w:val="2"/>
    </w:pPr>
    <w:rPr>
      <w:sz w:val="27"/>
      <w:szCs w:val="27"/>
    </w:rPr>
  </w:style>
  <w:style w:type="paragraph" w:customStyle="1" w:styleId="621">
    <w:name w:val="heading 4_file_547"/>
    <w:basedOn w:val="617"/>
    <w:qFormat/>
    <w:uiPriority w:val="9"/>
    <w:pPr>
      <w:outlineLvl w:val="3"/>
    </w:pPr>
  </w:style>
  <w:style w:type="paragraph" w:customStyle="1" w:styleId="622">
    <w:name w:val="heading 5_file_547"/>
    <w:basedOn w:val="617"/>
    <w:qFormat/>
    <w:uiPriority w:val="9"/>
    <w:pPr>
      <w:outlineLvl w:val="4"/>
    </w:pPr>
    <w:rPr>
      <w:sz w:val="20"/>
      <w:szCs w:val="20"/>
    </w:rPr>
  </w:style>
  <w:style w:type="paragraph" w:customStyle="1" w:styleId="623">
    <w:name w:val="heading 6_file_547"/>
    <w:basedOn w:val="617"/>
    <w:qFormat/>
    <w:uiPriority w:val="9"/>
    <w:pPr>
      <w:outlineLvl w:val="5"/>
    </w:pPr>
    <w:rPr>
      <w:sz w:val="15"/>
      <w:szCs w:val="15"/>
    </w:rPr>
  </w:style>
  <w:style w:type="character" w:customStyle="1" w:styleId="624">
    <w:name w:val="Default Paragraph Font_file_547"/>
    <w:semiHidden/>
    <w:unhideWhenUsed/>
    <w:qFormat/>
    <w:uiPriority w:val="1"/>
  </w:style>
  <w:style w:type="table" w:customStyle="1" w:styleId="625">
    <w:name w:val="Normal Table_file_547"/>
    <w:semiHidden/>
    <w:unhideWhenUsed/>
    <w:qFormat/>
    <w:uiPriority w:val="99"/>
    <w:tblPr>
      <w:tblCellMar>
        <w:top w:w="0" w:type="dxa"/>
        <w:left w:w="108" w:type="dxa"/>
        <w:bottom w:w="0" w:type="dxa"/>
        <w:right w:w="108" w:type="dxa"/>
      </w:tblCellMar>
    </w:tblPr>
  </w:style>
  <w:style w:type="character" w:customStyle="1" w:styleId="626">
    <w:name w:val="Hyperlink_file_547"/>
    <w:basedOn w:val="624"/>
    <w:semiHidden/>
    <w:unhideWhenUsed/>
    <w:qFormat/>
    <w:uiPriority w:val="99"/>
    <w:rPr>
      <w:color w:val="0782C1"/>
      <w:u w:val="single"/>
    </w:rPr>
  </w:style>
  <w:style w:type="character" w:customStyle="1" w:styleId="627">
    <w:name w:val="FollowedHyperlink_file_547"/>
    <w:basedOn w:val="624"/>
    <w:semiHidden/>
    <w:unhideWhenUsed/>
    <w:qFormat/>
    <w:uiPriority w:val="99"/>
    <w:rPr>
      <w:color w:val="0782C1"/>
      <w:u w:val="single"/>
    </w:rPr>
  </w:style>
  <w:style w:type="character" w:customStyle="1" w:styleId="628">
    <w:name w:val="标题 1 Char_file_547"/>
    <w:basedOn w:val="624"/>
    <w:link w:val="4"/>
    <w:qFormat/>
    <w:uiPriority w:val="9"/>
    <w:rPr>
      <w:rFonts w:ascii="宋体" w:hAnsi="宋体" w:eastAsia="宋体" w:cs="宋体"/>
      <w:b/>
      <w:bCs/>
      <w:kern w:val="44"/>
      <w:sz w:val="44"/>
      <w:szCs w:val="44"/>
    </w:rPr>
  </w:style>
  <w:style w:type="character" w:customStyle="1" w:styleId="629">
    <w:name w:val="标题 2 Char_file_547"/>
    <w:basedOn w:val="624"/>
    <w:link w:val="5"/>
    <w:semiHidden/>
    <w:qFormat/>
    <w:uiPriority w:val="9"/>
    <w:rPr>
      <w:rFonts w:asciiTheme="majorHAnsi" w:hAnsiTheme="majorHAnsi" w:eastAsiaTheme="majorEastAsia" w:cstheme="majorBidi"/>
      <w:b/>
      <w:bCs/>
      <w:sz w:val="32"/>
      <w:szCs w:val="32"/>
    </w:rPr>
  </w:style>
  <w:style w:type="character" w:customStyle="1" w:styleId="630">
    <w:name w:val="标题 3 Char_file_547"/>
    <w:basedOn w:val="624"/>
    <w:link w:val="6"/>
    <w:semiHidden/>
    <w:qFormat/>
    <w:uiPriority w:val="9"/>
    <w:rPr>
      <w:rFonts w:ascii="宋体" w:hAnsi="宋体" w:eastAsia="宋体" w:cs="宋体"/>
      <w:b/>
      <w:bCs/>
      <w:sz w:val="32"/>
      <w:szCs w:val="32"/>
    </w:rPr>
  </w:style>
  <w:style w:type="character" w:customStyle="1" w:styleId="631">
    <w:name w:val="标题 4 Char_file_547"/>
    <w:basedOn w:val="624"/>
    <w:link w:val="7"/>
    <w:semiHidden/>
    <w:qFormat/>
    <w:uiPriority w:val="9"/>
    <w:rPr>
      <w:rFonts w:asciiTheme="majorHAnsi" w:hAnsiTheme="majorHAnsi" w:eastAsiaTheme="majorEastAsia" w:cstheme="majorBidi"/>
      <w:b/>
      <w:bCs/>
      <w:sz w:val="28"/>
      <w:szCs w:val="28"/>
    </w:rPr>
  </w:style>
  <w:style w:type="character" w:customStyle="1" w:styleId="632">
    <w:name w:val="标题 5 Char_file_547"/>
    <w:basedOn w:val="624"/>
    <w:link w:val="8"/>
    <w:semiHidden/>
    <w:qFormat/>
    <w:uiPriority w:val="9"/>
    <w:rPr>
      <w:rFonts w:ascii="宋体" w:hAnsi="宋体" w:eastAsia="宋体" w:cs="宋体"/>
      <w:b/>
      <w:bCs/>
      <w:sz w:val="28"/>
      <w:szCs w:val="28"/>
    </w:rPr>
  </w:style>
  <w:style w:type="character" w:customStyle="1" w:styleId="633">
    <w:name w:val="标题 6 Char_file_547"/>
    <w:basedOn w:val="624"/>
    <w:link w:val="10"/>
    <w:semiHidden/>
    <w:qFormat/>
    <w:uiPriority w:val="9"/>
    <w:rPr>
      <w:rFonts w:asciiTheme="majorHAnsi" w:hAnsiTheme="majorHAnsi" w:eastAsiaTheme="majorEastAsia" w:cstheme="majorBidi"/>
      <w:b/>
      <w:bCs/>
      <w:sz w:val="24"/>
      <w:szCs w:val="24"/>
    </w:rPr>
  </w:style>
  <w:style w:type="paragraph" w:customStyle="1" w:styleId="634">
    <w:name w:val="cke_editable_file_547"/>
    <w:basedOn w:val="617"/>
    <w:qFormat/>
    <w:uiPriority w:val="0"/>
    <w:rPr>
      <w:rFonts w:ascii="仿宋_GB2312" w:eastAsia="仿宋_GB2312"/>
    </w:rPr>
  </w:style>
  <w:style w:type="paragraph" w:customStyle="1" w:styleId="635">
    <w:name w:val="marker_file_547"/>
    <w:basedOn w:val="617"/>
    <w:qFormat/>
    <w:uiPriority w:val="0"/>
    <w:pPr>
      <w:shd w:val="clear" w:color="auto" w:fill="FFFF00"/>
    </w:pPr>
  </w:style>
  <w:style w:type="paragraph" w:customStyle="1" w:styleId="636">
    <w:name w:val="Normal (Web)_file_547"/>
    <w:basedOn w:val="617"/>
    <w:semiHidden/>
    <w:unhideWhenUsed/>
    <w:qFormat/>
    <w:uiPriority w:val="99"/>
  </w:style>
  <w:style w:type="paragraph" w:customStyle="1" w:styleId="637">
    <w:name w:val="Normal_file_54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38">
    <w:name w:val="heading 1_file_548"/>
    <w:basedOn w:val="637"/>
    <w:qFormat/>
    <w:uiPriority w:val="9"/>
    <w:pPr>
      <w:outlineLvl w:val="0"/>
    </w:pPr>
    <w:rPr>
      <w:kern w:val="36"/>
      <w:sz w:val="48"/>
      <w:szCs w:val="48"/>
    </w:rPr>
  </w:style>
  <w:style w:type="paragraph" w:customStyle="1" w:styleId="639">
    <w:name w:val="heading 2_file_548"/>
    <w:basedOn w:val="637"/>
    <w:qFormat/>
    <w:uiPriority w:val="9"/>
    <w:pPr>
      <w:outlineLvl w:val="1"/>
    </w:pPr>
    <w:rPr>
      <w:sz w:val="36"/>
      <w:szCs w:val="36"/>
    </w:rPr>
  </w:style>
  <w:style w:type="paragraph" w:customStyle="1" w:styleId="640">
    <w:name w:val="heading 3_file_548"/>
    <w:basedOn w:val="637"/>
    <w:qFormat/>
    <w:uiPriority w:val="9"/>
    <w:pPr>
      <w:outlineLvl w:val="2"/>
    </w:pPr>
    <w:rPr>
      <w:sz w:val="27"/>
      <w:szCs w:val="27"/>
    </w:rPr>
  </w:style>
  <w:style w:type="paragraph" w:customStyle="1" w:styleId="641">
    <w:name w:val="heading 4_file_548"/>
    <w:basedOn w:val="637"/>
    <w:qFormat/>
    <w:uiPriority w:val="9"/>
    <w:pPr>
      <w:outlineLvl w:val="3"/>
    </w:pPr>
  </w:style>
  <w:style w:type="paragraph" w:customStyle="1" w:styleId="642">
    <w:name w:val="heading 5_file_548"/>
    <w:basedOn w:val="637"/>
    <w:qFormat/>
    <w:uiPriority w:val="9"/>
    <w:pPr>
      <w:outlineLvl w:val="4"/>
    </w:pPr>
    <w:rPr>
      <w:sz w:val="20"/>
      <w:szCs w:val="20"/>
    </w:rPr>
  </w:style>
  <w:style w:type="paragraph" w:customStyle="1" w:styleId="643">
    <w:name w:val="heading 6_file_548"/>
    <w:basedOn w:val="637"/>
    <w:qFormat/>
    <w:uiPriority w:val="9"/>
    <w:pPr>
      <w:outlineLvl w:val="5"/>
    </w:pPr>
    <w:rPr>
      <w:sz w:val="15"/>
      <w:szCs w:val="15"/>
    </w:rPr>
  </w:style>
  <w:style w:type="character" w:customStyle="1" w:styleId="644">
    <w:name w:val="Default Paragraph Font_file_548"/>
    <w:semiHidden/>
    <w:unhideWhenUsed/>
    <w:qFormat/>
    <w:uiPriority w:val="1"/>
  </w:style>
  <w:style w:type="table" w:customStyle="1" w:styleId="645">
    <w:name w:val="Normal Table_file_548"/>
    <w:semiHidden/>
    <w:unhideWhenUsed/>
    <w:qFormat/>
    <w:uiPriority w:val="99"/>
    <w:tblPr>
      <w:tblCellMar>
        <w:top w:w="0" w:type="dxa"/>
        <w:left w:w="108" w:type="dxa"/>
        <w:bottom w:w="0" w:type="dxa"/>
        <w:right w:w="108" w:type="dxa"/>
      </w:tblCellMar>
    </w:tblPr>
  </w:style>
  <w:style w:type="character" w:customStyle="1" w:styleId="646">
    <w:name w:val="Hyperlink_file_548"/>
    <w:basedOn w:val="644"/>
    <w:semiHidden/>
    <w:unhideWhenUsed/>
    <w:qFormat/>
    <w:uiPriority w:val="99"/>
    <w:rPr>
      <w:color w:val="0782C1"/>
      <w:u w:val="single"/>
    </w:rPr>
  </w:style>
  <w:style w:type="character" w:customStyle="1" w:styleId="647">
    <w:name w:val="FollowedHyperlink_file_548"/>
    <w:basedOn w:val="644"/>
    <w:semiHidden/>
    <w:unhideWhenUsed/>
    <w:qFormat/>
    <w:uiPriority w:val="99"/>
    <w:rPr>
      <w:color w:val="0782C1"/>
      <w:u w:val="single"/>
    </w:rPr>
  </w:style>
  <w:style w:type="character" w:customStyle="1" w:styleId="648">
    <w:name w:val="标题 1 Char_file_548"/>
    <w:basedOn w:val="644"/>
    <w:link w:val="4"/>
    <w:qFormat/>
    <w:uiPriority w:val="9"/>
    <w:rPr>
      <w:rFonts w:ascii="宋体" w:hAnsi="宋体" w:eastAsia="宋体" w:cs="宋体"/>
      <w:b/>
      <w:bCs/>
      <w:kern w:val="44"/>
      <w:sz w:val="44"/>
      <w:szCs w:val="44"/>
    </w:rPr>
  </w:style>
  <w:style w:type="character" w:customStyle="1" w:styleId="649">
    <w:name w:val="标题 2 Char_file_548"/>
    <w:basedOn w:val="644"/>
    <w:link w:val="5"/>
    <w:semiHidden/>
    <w:qFormat/>
    <w:uiPriority w:val="9"/>
    <w:rPr>
      <w:rFonts w:asciiTheme="majorHAnsi" w:hAnsiTheme="majorHAnsi" w:eastAsiaTheme="majorEastAsia" w:cstheme="majorBidi"/>
      <w:b/>
      <w:bCs/>
      <w:sz w:val="32"/>
      <w:szCs w:val="32"/>
    </w:rPr>
  </w:style>
  <w:style w:type="character" w:customStyle="1" w:styleId="650">
    <w:name w:val="标题 3 Char_file_548"/>
    <w:basedOn w:val="644"/>
    <w:link w:val="6"/>
    <w:semiHidden/>
    <w:qFormat/>
    <w:uiPriority w:val="9"/>
    <w:rPr>
      <w:rFonts w:ascii="宋体" w:hAnsi="宋体" w:eastAsia="宋体" w:cs="宋体"/>
      <w:b/>
      <w:bCs/>
      <w:sz w:val="32"/>
      <w:szCs w:val="32"/>
    </w:rPr>
  </w:style>
  <w:style w:type="character" w:customStyle="1" w:styleId="651">
    <w:name w:val="标题 4 Char_file_548"/>
    <w:basedOn w:val="644"/>
    <w:link w:val="7"/>
    <w:semiHidden/>
    <w:qFormat/>
    <w:uiPriority w:val="9"/>
    <w:rPr>
      <w:rFonts w:asciiTheme="majorHAnsi" w:hAnsiTheme="majorHAnsi" w:eastAsiaTheme="majorEastAsia" w:cstheme="majorBidi"/>
      <w:b/>
      <w:bCs/>
      <w:sz w:val="28"/>
      <w:szCs w:val="28"/>
    </w:rPr>
  </w:style>
  <w:style w:type="character" w:customStyle="1" w:styleId="652">
    <w:name w:val="标题 5 Char_file_548"/>
    <w:basedOn w:val="644"/>
    <w:link w:val="8"/>
    <w:semiHidden/>
    <w:qFormat/>
    <w:uiPriority w:val="9"/>
    <w:rPr>
      <w:rFonts w:ascii="宋体" w:hAnsi="宋体" w:eastAsia="宋体" w:cs="宋体"/>
      <w:b/>
      <w:bCs/>
      <w:sz w:val="28"/>
      <w:szCs w:val="28"/>
    </w:rPr>
  </w:style>
  <w:style w:type="character" w:customStyle="1" w:styleId="653">
    <w:name w:val="标题 6 Char_file_548"/>
    <w:basedOn w:val="644"/>
    <w:link w:val="10"/>
    <w:semiHidden/>
    <w:qFormat/>
    <w:uiPriority w:val="9"/>
    <w:rPr>
      <w:rFonts w:asciiTheme="majorHAnsi" w:hAnsiTheme="majorHAnsi" w:eastAsiaTheme="majorEastAsia" w:cstheme="majorBidi"/>
      <w:b/>
      <w:bCs/>
      <w:sz w:val="24"/>
      <w:szCs w:val="24"/>
    </w:rPr>
  </w:style>
  <w:style w:type="paragraph" w:customStyle="1" w:styleId="654">
    <w:name w:val="cke_editable_file_548"/>
    <w:basedOn w:val="637"/>
    <w:qFormat/>
    <w:uiPriority w:val="0"/>
    <w:rPr>
      <w:rFonts w:ascii="仿宋_GB2312" w:eastAsia="仿宋_GB2312"/>
    </w:rPr>
  </w:style>
  <w:style w:type="paragraph" w:customStyle="1" w:styleId="655">
    <w:name w:val="marker_file_548"/>
    <w:basedOn w:val="637"/>
    <w:qFormat/>
    <w:uiPriority w:val="0"/>
    <w:pPr>
      <w:shd w:val="clear" w:color="auto" w:fill="FFFF00"/>
    </w:pPr>
  </w:style>
  <w:style w:type="paragraph" w:customStyle="1" w:styleId="656">
    <w:name w:val="Normal (Web)_file_548"/>
    <w:basedOn w:val="637"/>
    <w:semiHidden/>
    <w:unhideWhenUsed/>
    <w:qFormat/>
    <w:uiPriority w:val="99"/>
  </w:style>
  <w:style w:type="paragraph" w:customStyle="1" w:styleId="657">
    <w:name w:val="Normal_file_54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8">
    <w:name w:val="heading 1_file_549"/>
    <w:basedOn w:val="657"/>
    <w:qFormat/>
    <w:uiPriority w:val="9"/>
    <w:pPr>
      <w:outlineLvl w:val="0"/>
    </w:pPr>
    <w:rPr>
      <w:kern w:val="36"/>
      <w:sz w:val="48"/>
      <w:szCs w:val="48"/>
    </w:rPr>
  </w:style>
  <w:style w:type="paragraph" w:customStyle="1" w:styleId="659">
    <w:name w:val="heading 2_file_549"/>
    <w:basedOn w:val="657"/>
    <w:qFormat/>
    <w:uiPriority w:val="9"/>
    <w:pPr>
      <w:outlineLvl w:val="1"/>
    </w:pPr>
    <w:rPr>
      <w:sz w:val="36"/>
      <w:szCs w:val="36"/>
    </w:rPr>
  </w:style>
  <w:style w:type="paragraph" w:customStyle="1" w:styleId="660">
    <w:name w:val="heading 3_file_549"/>
    <w:basedOn w:val="657"/>
    <w:qFormat/>
    <w:uiPriority w:val="9"/>
    <w:pPr>
      <w:outlineLvl w:val="2"/>
    </w:pPr>
    <w:rPr>
      <w:sz w:val="27"/>
      <w:szCs w:val="27"/>
    </w:rPr>
  </w:style>
  <w:style w:type="paragraph" w:customStyle="1" w:styleId="661">
    <w:name w:val="heading 4_file_549"/>
    <w:basedOn w:val="657"/>
    <w:qFormat/>
    <w:uiPriority w:val="9"/>
    <w:pPr>
      <w:outlineLvl w:val="3"/>
    </w:pPr>
  </w:style>
  <w:style w:type="paragraph" w:customStyle="1" w:styleId="662">
    <w:name w:val="heading 5_file_549"/>
    <w:basedOn w:val="657"/>
    <w:qFormat/>
    <w:uiPriority w:val="9"/>
    <w:pPr>
      <w:outlineLvl w:val="4"/>
    </w:pPr>
    <w:rPr>
      <w:sz w:val="20"/>
      <w:szCs w:val="20"/>
    </w:rPr>
  </w:style>
  <w:style w:type="paragraph" w:customStyle="1" w:styleId="663">
    <w:name w:val="heading 6_file_549"/>
    <w:basedOn w:val="657"/>
    <w:qFormat/>
    <w:uiPriority w:val="9"/>
    <w:pPr>
      <w:outlineLvl w:val="5"/>
    </w:pPr>
    <w:rPr>
      <w:sz w:val="15"/>
      <w:szCs w:val="15"/>
    </w:rPr>
  </w:style>
  <w:style w:type="character" w:customStyle="1" w:styleId="664">
    <w:name w:val="Default Paragraph Font_file_549"/>
    <w:semiHidden/>
    <w:unhideWhenUsed/>
    <w:qFormat/>
    <w:uiPriority w:val="1"/>
  </w:style>
  <w:style w:type="table" w:customStyle="1" w:styleId="665">
    <w:name w:val="Normal Table_file_549"/>
    <w:semiHidden/>
    <w:unhideWhenUsed/>
    <w:qFormat/>
    <w:uiPriority w:val="99"/>
    <w:tblPr>
      <w:tblCellMar>
        <w:top w:w="0" w:type="dxa"/>
        <w:left w:w="108" w:type="dxa"/>
        <w:bottom w:w="0" w:type="dxa"/>
        <w:right w:w="108" w:type="dxa"/>
      </w:tblCellMar>
    </w:tblPr>
  </w:style>
  <w:style w:type="character" w:customStyle="1" w:styleId="666">
    <w:name w:val="Hyperlink_file_549"/>
    <w:basedOn w:val="664"/>
    <w:semiHidden/>
    <w:unhideWhenUsed/>
    <w:qFormat/>
    <w:uiPriority w:val="99"/>
    <w:rPr>
      <w:color w:val="0782C1"/>
      <w:u w:val="single"/>
    </w:rPr>
  </w:style>
  <w:style w:type="character" w:customStyle="1" w:styleId="667">
    <w:name w:val="FollowedHyperlink_file_549"/>
    <w:basedOn w:val="664"/>
    <w:semiHidden/>
    <w:unhideWhenUsed/>
    <w:qFormat/>
    <w:uiPriority w:val="99"/>
    <w:rPr>
      <w:color w:val="0782C1"/>
      <w:u w:val="single"/>
    </w:rPr>
  </w:style>
  <w:style w:type="character" w:customStyle="1" w:styleId="668">
    <w:name w:val="标题 1 Char_file_549"/>
    <w:basedOn w:val="664"/>
    <w:link w:val="4"/>
    <w:qFormat/>
    <w:uiPriority w:val="9"/>
    <w:rPr>
      <w:rFonts w:ascii="宋体" w:hAnsi="宋体" w:eastAsia="宋体" w:cs="宋体"/>
      <w:b/>
      <w:bCs/>
      <w:kern w:val="44"/>
      <w:sz w:val="44"/>
      <w:szCs w:val="44"/>
    </w:rPr>
  </w:style>
  <w:style w:type="character" w:customStyle="1" w:styleId="669">
    <w:name w:val="标题 2 Char_file_549"/>
    <w:basedOn w:val="664"/>
    <w:link w:val="5"/>
    <w:semiHidden/>
    <w:qFormat/>
    <w:uiPriority w:val="9"/>
    <w:rPr>
      <w:rFonts w:asciiTheme="majorHAnsi" w:hAnsiTheme="majorHAnsi" w:eastAsiaTheme="majorEastAsia" w:cstheme="majorBidi"/>
      <w:b/>
      <w:bCs/>
      <w:sz w:val="32"/>
      <w:szCs w:val="32"/>
    </w:rPr>
  </w:style>
  <w:style w:type="character" w:customStyle="1" w:styleId="670">
    <w:name w:val="标题 3 Char_file_549"/>
    <w:basedOn w:val="664"/>
    <w:link w:val="6"/>
    <w:semiHidden/>
    <w:qFormat/>
    <w:uiPriority w:val="9"/>
    <w:rPr>
      <w:rFonts w:ascii="宋体" w:hAnsi="宋体" w:eastAsia="宋体" w:cs="宋体"/>
      <w:b/>
      <w:bCs/>
      <w:sz w:val="32"/>
      <w:szCs w:val="32"/>
    </w:rPr>
  </w:style>
  <w:style w:type="character" w:customStyle="1" w:styleId="671">
    <w:name w:val="标题 4 Char_file_549"/>
    <w:basedOn w:val="664"/>
    <w:link w:val="7"/>
    <w:semiHidden/>
    <w:qFormat/>
    <w:uiPriority w:val="9"/>
    <w:rPr>
      <w:rFonts w:asciiTheme="majorHAnsi" w:hAnsiTheme="majorHAnsi" w:eastAsiaTheme="majorEastAsia" w:cstheme="majorBidi"/>
      <w:b/>
      <w:bCs/>
      <w:sz w:val="28"/>
      <w:szCs w:val="28"/>
    </w:rPr>
  </w:style>
  <w:style w:type="character" w:customStyle="1" w:styleId="672">
    <w:name w:val="标题 5 Char_file_549"/>
    <w:basedOn w:val="664"/>
    <w:link w:val="8"/>
    <w:semiHidden/>
    <w:qFormat/>
    <w:uiPriority w:val="9"/>
    <w:rPr>
      <w:rFonts w:ascii="宋体" w:hAnsi="宋体" w:eastAsia="宋体" w:cs="宋体"/>
      <w:b/>
      <w:bCs/>
      <w:sz w:val="28"/>
      <w:szCs w:val="28"/>
    </w:rPr>
  </w:style>
  <w:style w:type="character" w:customStyle="1" w:styleId="673">
    <w:name w:val="标题 6 Char_file_549"/>
    <w:basedOn w:val="664"/>
    <w:link w:val="10"/>
    <w:semiHidden/>
    <w:qFormat/>
    <w:uiPriority w:val="9"/>
    <w:rPr>
      <w:rFonts w:asciiTheme="majorHAnsi" w:hAnsiTheme="majorHAnsi" w:eastAsiaTheme="majorEastAsia" w:cstheme="majorBidi"/>
      <w:b/>
      <w:bCs/>
      <w:sz w:val="24"/>
      <w:szCs w:val="24"/>
    </w:rPr>
  </w:style>
  <w:style w:type="paragraph" w:customStyle="1" w:styleId="674">
    <w:name w:val="cke_editable_file_549"/>
    <w:basedOn w:val="657"/>
    <w:qFormat/>
    <w:uiPriority w:val="0"/>
    <w:rPr>
      <w:rFonts w:ascii="仿宋_GB2312" w:eastAsia="仿宋_GB2312"/>
    </w:rPr>
  </w:style>
  <w:style w:type="paragraph" w:customStyle="1" w:styleId="675">
    <w:name w:val="marker_file_549"/>
    <w:basedOn w:val="657"/>
    <w:qFormat/>
    <w:uiPriority w:val="0"/>
    <w:pPr>
      <w:shd w:val="clear" w:color="auto" w:fill="FFFF00"/>
    </w:pPr>
  </w:style>
  <w:style w:type="paragraph" w:customStyle="1" w:styleId="676">
    <w:name w:val="Normal (Web)_file_549"/>
    <w:basedOn w:val="657"/>
    <w:semiHidden/>
    <w:unhideWhenUsed/>
    <w:qFormat/>
    <w:uiPriority w:val="99"/>
  </w:style>
  <w:style w:type="character" w:customStyle="1" w:styleId="677">
    <w:name w:val="Strong_file_549"/>
    <w:basedOn w:val="664"/>
    <w:qFormat/>
    <w:uiPriority w:val="22"/>
    <w:rPr>
      <w:b/>
      <w:bCs/>
    </w:rPr>
  </w:style>
  <w:style w:type="paragraph" w:customStyle="1" w:styleId="678">
    <w:name w:val="Normal_file_55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9">
    <w:name w:val="heading 1_file_550"/>
    <w:basedOn w:val="678"/>
    <w:qFormat/>
    <w:uiPriority w:val="9"/>
    <w:pPr>
      <w:outlineLvl w:val="0"/>
    </w:pPr>
    <w:rPr>
      <w:kern w:val="36"/>
      <w:sz w:val="48"/>
      <w:szCs w:val="48"/>
    </w:rPr>
  </w:style>
  <w:style w:type="paragraph" w:customStyle="1" w:styleId="680">
    <w:name w:val="heading 2_file_550"/>
    <w:basedOn w:val="678"/>
    <w:qFormat/>
    <w:uiPriority w:val="9"/>
    <w:pPr>
      <w:outlineLvl w:val="1"/>
    </w:pPr>
    <w:rPr>
      <w:sz w:val="36"/>
      <w:szCs w:val="36"/>
    </w:rPr>
  </w:style>
  <w:style w:type="paragraph" w:customStyle="1" w:styleId="681">
    <w:name w:val="heading 3_file_550"/>
    <w:basedOn w:val="678"/>
    <w:qFormat/>
    <w:uiPriority w:val="9"/>
    <w:pPr>
      <w:outlineLvl w:val="2"/>
    </w:pPr>
    <w:rPr>
      <w:sz w:val="27"/>
      <w:szCs w:val="27"/>
    </w:rPr>
  </w:style>
  <w:style w:type="paragraph" w:customStyle="1" w:styleId="682">
    <w:name w:val="heading 4_file_550"/>
    <w:basedOn w:val="678"/>
    <w:qFormat/>
    <w:uiPriority w:val="9"/>
    <w:pPr>
      <w:outlineLvl w:val="3"/>
    </w:pPr>
  </w:style>
  <w:style w:type="paragraph" w:customStyle="1" w:styleId="683">
    <w:name w:val="heading 5_file_550"/>
    <w:basedOn w:val="678"/>
    <w:qFormat/>
    <w:uiPriority w:val="9"/>
    <w:pPr>
      <w:outlineLvl w:val="4"/>
    </w:pPr>
    <w:rPr>
      <w:sz w:val="20"/>
      <w:szCs w:val="20"/>
    </w:rPr>
  </w:style>
  <w:style w:type="paragraph" w:customStyle="1" w:styleId="684">
    <w:name w:val="heading 6_file_550"/>
    <w:basedOn w:val="678"/>
    <w:qFormat/>
    <w:uiPriority w:val="9"/>
    <w:pPr>
      <w:outlineLvl w:val="5"/>
    </w:pPr>
    <w:rPr>
      <w:sz w:val="15"/>
      <w:szCs w:val="15"/>
    </w:rPr>
  </w:style>
  <w:style w:type="character" w:customStyle="1" w:styleId="685">
    <w:name w:val="Default Paragraph Font_file_550"/>
    <w:semiHidden/>
    <w:unhideWhenUsed/>
    <w:qFormat/>
    <w:uiPriority w:val="1"/>
  </w:style>
  <w:style w:type="table" w:customStyle="1" w:styleId="686">
    <w:name w:val="Normal Table_file_550"/>
    <w:semiHidden/>
    <w:unhideWhenUsed/>
    <w:qFormat/>
    <w:uiPriority w:val="99"/>
    <w:tblPr>
      <w:tblCellMar>
        <w:top w:w="0" w:type="dxa"/>
        <w:left w:w="108" w:type="dxa"/>
        <w:bottom w:w="0" w:type="dxa"/>
        <w:right w:w="108" w:type="dxa"/>
      </w:tblCellMar>
    </w:tblPr>
  </w:style>
  <w:style w:type="character" w:customStyle="1" w:styleId="687">
    <w:name w:val="Hyperlink_file_550"/>
    <w:basedOn w:val="685"/>
    <w:semiHidden/>
    <w:unhideWhenUsed/>
    <w:qFormat/>
    <w:uiPriority w:val="99"/>
    <w:rPr>
      <w:color w:val="0782C1"/>
      <w:u w:val="single"/>
    </w:rPr>
  </w:style>
  <w:style w:type="character" w:customStyle="1" w:styleId="688">
    <w:name w:val="FollowedHyperlink_file_550"/>
    <w:basedOn w:val="685"/>
    <w:semiHidden/>
    <w:unhideWhenUsed/>
    <w:qFormat/>
    <w:uiPriority w:val="99"/>
    <w:rPr>
      <w:color w:val="0782C1"/>
      <w:u w:val="single"/>
    </w:rPr>
  </w:style>
  <w:style w:type="character" w:customStyle="1" w:styleId="689">
    <w:name w:val="标题 1 Char_file_550"/>
    <w:basedOn w:val="685"/>
    <w:link w:val="4"/>
    <w:qFormat/>
    <w:uiPriority w:val="9"/>
    <w:rPr>
      <w:rFonts w:ascii="宋体" w:hAnsi="宋体" w:eastAsia="宋体" w:cs="宋体"/>
      <w:b/>
      <w:bCs/>
      <w:kern w:val="44"/>
      <w:sz w:val="44"/>
      <w:szCs w:val="44"/>
    </w:rPr>
  </w:style>
  <w:style w:type="character" w:customStyle="1" w:styleId="690">
    <w:name w:val="标题 2 Char_file_550"/>
    <w:basedOn w:val="685"/>
    <w:link w:val="5"/>
    <w:semiHidden/>
    <w:qFormat/>
    <w:uiPriority w:val="9"/>
    <w:rPr>
      <w:rFonts w:asciiTheme="majorHAnsi" w:hAnsiTheme="majorHAnsi" w:eastAsiaTheme="majorEastAsia" w:cstheme="majorBidi"/>
      <w:b/>
      <w:bCs/>
      <w:sz w:val="32"/>
      <w:szCs w:val="32"/>
    </w:rPr>
  </w:style>
  <w:style w:type="character" w:customStyle="1" w:styleId="691">
    <w:name w:val="标题 3 Char_file_550"/>
    <w:basedOn w:val="685"/>
    <w:link w:val="6"/>
    <w:semiHidden/>
    <w:qFormat/>
    <w:uiPriority w:val="9"/>
    <w:rPr>
      <w:rFonts w:ascii="宋体" w:hAnsi="宋体" w:eastAsia="宋体" w:cs="宋体"/>
      <w:b/>
      <w:bCs/>
      <w:sz w:val="32"/>
      <w:szCs w:val="32"/>
    </w:rPr>
  </w:style>
  <w:style w:type="character" w:customStyle="1" w:styleId="692">
    <w:name w:val="标题 4 Char_file_550"/>
    <w:basedOn w:val="685"/>
    <w:link w:val="7"/>
    <w:semiHidden/>
    <w:qFormat/>
    <w:uiPriority w:val="9"/>
    <w:rPr>
      <w:rFonts w:asciiTheme="majorHAnsi" w:hAnsiTheme="majorHAnsi" w:eastAsiaTheme="majorEastAsia" w:cstheme="majorBidi"/>
      <w:b/>
      <w:bCs/>
      <w:sz w:val="28"/>
      <w:szCs w:val="28"/>
    </w:rPr>
  </w:style>
  <w:style w:type="character" w:customStyle="1" w:styleId="693">
    <w:name w:val="标题 5 Char_file_550"/>
    <w:basedOn w:val="685"/>
    <w:link w:val="8"/>
    <w:semiHidden/>
    <w:qFormat/>
    <w:uiPriority w:val="9"/>
    <w:rPr>
      <w:rFonts w:ascii="宋体" w:hAnsi="宋体" w:eastAsia="宋体" w:cs="宋体"/>
      <w:b/>
      <w:bCs/>
      <w:sz w:val="28"/>
      <w:szCs w:val="28"/>
    </w:rPr>
  </w:style>
  <w:style w:type="character" w:customStyle="1" w:styleId="694">
    <w:name w:val="标题 6 Char_file_550"/>
    <w:basedOn w:val="685"/>
    <w:link w:val="10"/>
    <w:semiHidden/>
    <w:qFormat/>
    <w:uiPriority w:val="9"/>
    <w:rPr>
      <w:rFonts w:asciiTheme="majorHAnsi" w:hAnsiTheme="majorHAnsi" w:eastAsiaTheme="majorEastAsia" w:cstheme="majorBidi"/>
      <w:b/>
      <w:bCs/>
      <w:sz w:val="24"/>
      <w:szCs w:val="24"/>
    </w:rPr>
  </w:style>
  <w:style w:type="paragraph" w:customStyle="1" w:styleId="695">
    <w:name w:val="cke_editable_file_550"/>
    <w:basedOn w:val="678"/>
    <w:qFormat/>
    <w:uiPriority w:val="0"/>
    <w:rPr>
      <w:rFonts w:ascii="仿宋_GB2312" w:eastAsia="仿宋_GB2312"/>
    </w:rPr>
  </w:style>
  <w:style w:type="paragraph" w:customStyle="1" w:styleId="696">
    <w:name w:val="marker_file_550"/>
    <w:basedOn w:val="678"/>
    <w:qFormat/>
    <w:uiPriority w:val="0"/>
    <w:pPr>
      <w:shd w:val="clear" w:color="auto" w:fill="FFFF00"/>
    </w:pPr>
  </w:style>
  <w:style w:type="paragraph" w:customStyle="1" w:styleId="697">
    <w:name w:val="Normal (Web)_file_550"/>
    <w:basedOn w:val="678"/>
    <w:semiHidden/>
    <w:unhideWhenUsed/>
    <w:qFormat/>
    <w:uiPriority w:val="99"/>
  </w:style>
  <w:style w:type="paragraph" w:customStyle="1" w:styleId="698">
    <w:name w:val="Normal_file_55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9">
    <w:name w:val="heading 1_file_551"/>
    <w:basedOn w:val="698"/>
    <w:qFormat/>
    <w:uiPriority w:val="9"/>
    <w:pPr>
      <w:outlineLvl w:val="0"/>
    </w:pPr>
    <w:rPr>
      <w:kern w:val="36"/>
      <w:sz w:val="48"/>
      <w:szCs w:val="48"/>
    </w:rPr>
  </w:style>
  <w:style w:type="paragraph" w:customStyle="1" w:styleId="700">
    <w:name w:val="heading 2_file_551"/>
    <w:basedOn w:val="698"/>
    <w:qFormat/>
    <w:uiPriority w:val="9"/>
    <w:pPr>
      <w:outlineLvl w:val="1"/>
    </w:pPr>
    <w:rPr>
      <w:sz w:val="36"/>
      <w:szCs w:val="36"/>
    </w:rPr>
  </w:style>
  <w:style w:type="paragraph" w:customStyle="1" w:styleId="701">
    <w:name w:val="heading 3_file_551"/>
    <w:basedOn w:val="698"/>
    <w:qFormat/>
    <w:uiPriority w:val="9"/>
    <w:pPr>
      <w:outlineLvl w:val="2"/>
    </w:pPr>
    <w:rPr>
      <w:sz w:val="27"/>
      <w:szCs w:val="27"/>
    </w:rPr>
  </w:style>
  <w:style w:type="paragraph" w:customStyle="1" w:styleId="702">
    <w:name w:val="heading 4_file_551"/>
    <w:basedOn w:val="698"/>
    <w:qFormat/>
    <w:uiPriority w:val="9"/>
    <w:pPr>
      <w:outlineLvl w:val="3"/>
    </w:pPr>
  </w:style>
  <w:style w:type="paragraph" w:customStyle="1" w:styleId="703">
    <w:name w:val="heading 5_file_551"/>
    <w:basedOn w:val="698"/>
    <w:qFormat/>
    <w:uiPriority w:val="9"/>
    <w:pPr>
      <w:outlineLvl w:val="4"/>
    </w:pPr>
    <w:rPr>
      <w:sz w:val="20"/>
      <w:szCs w:val="20"/>
    </w:rPr>
  </w:style>
  <w:style w:type="paragraph" w:customStyle="1" w:styleId="704">
    <w:name w:val="heading 6_file_551"/>
    <w:basedOn w:val="698"/>
    <w:qFormat/>
    <w:uiPriority w:val="9"/>
    <w:pPr>
      <w:outlineLvl w:val="5"/>
    </w:pPr>
    <w:rPr>
      <w:sz w:val="15"/>
      <w:szCs w:val="15"/>
    </w:rPr>
  </w:style>
  <w:style w:type="character" w:customStyle="1" w:styleId="705">
    <w:name w:val="Default Paragraph Font_file_551"/>
    <w:semiHidden/>
    <w:unhideWhenUsed/>
    <w:qFormat/>
    <w:uiPriority w:val="1"/>
  </w:style>
  <w:style w:type="table" w:customStyle="1" w:styleId="706">
    <w:name w:val="Normal Table_file_551"/>
    <w:semiHidden/>
    <w:unhideWhenUsed/>
    <w:qFormat/>
    <w:uiPriority w:val="99"/>
    <w:tblPr>
      <w:tblCellMar>
        <w:top w:w="0" w:type="dxa"/>
        <w:left w:w="108" w:type="dxa"/>
        <w:bottom w:w="0" w:type="dxa"/>
        <w:right w:w="108" w:type="dxa"/>
      </w:tblCellMar>
    </w:tblPr>
  </w:style>
  <w:style w:type="character" w:customStyle="1" w:styleId="707">
    <w:name w:val="Hyperlink_file_551"/>
    <w:basedOn w:val="705"/>
    <w:semiHidden/>
    <w:unhideWhenUsed/>
    <w:qFormat/>
    <w:uiPriority w:val="99"/>
    <w:rPr>
      <w:color w:val="0782C1"/>
      <w:u w:val="single"/>
    </w:rPr>
  </w:style>
  <w:style w:type="character" w:customStyle="1" w:styleId="708">
    <w:name w:val="FollowedHyperlink_file_551"/>
    <w:basedOn w:val="705"/>
    <w:semiHidden/>
    <w:unhideWhenUsed/>
    <w:qFormat/>
    <w:uiPriority w:val="99"/>
    <w:rPr>
      <w:color w:val="0782C1"/>
      <w:u w:val="single"/>
    </w:rPr>
  </w:style>
  <w:style w:type="character" w:customStyle="1" w:styleId="709">
    <w:name w:val="标题 1 Char_file_551"/>
    <w:basedOn w:val="705"/>
    <w:link w:val="4"/>
    <w:qFormat/>
    <w:uiPriority w:val="9"/>
    <w:rPr>
      <w:rFonts w:ascii="宋体" w:hAnsi="宋体" w:eastAsia="宋体" w:cs="宋体"/>
      <w:b/>
      <w:bCs/>
      <w:kern w:val="44"/>
      <w:sz w:val="44"/>
      <w:szCs w:val="44"/>
    </w:rPr>
  </w:style>
  <w:style w:type="character" w:customStyle="1" w:styleId="710">
    <w:name w:val="标题 2 Char_file_551"/>
    <w:basedOn w:val="705"/>
    <w:link w:val="5"/>
    <w:semiHidden/>
    <w:qFormat/>
    <w:uiPriority w:val="9"/>
    <w:rPr>
      <w:rFonts w:asciiTheme="majorHAnsi" w:hAnsiTheme="majorHAnsi" w:eastAsiaTheme="majorEastAsia" w:cstheme="majorBidi"/>
      <w:b/>
      <w:bCs/>
      <w:sz w:val="32"/>
      <w:szCs w:val="32"/>
    </w:rPr>
  </w:style>
  <w:style w:type="character" w:customStyle="1" w:styleId="711">
    <w:name w:val="标题 3 Char_file_551"/>
    <w:basedOn w:val="705"/>
    <w:link w:val="6"/>
    <w:semiHidden/>
    <w:qFormat/>
    <w:uiPriority w:val="9"/>
    <w:rPr>
      <w:rFonts w:ascii="宋体" w:hAnsi="宋体" w:eastAsia="宋体" w:cs="宋体"/>
      <w:b/>
      <w:bCs/>
      <w:sz w:val="32"/>
      <w:szCs w:val="32"/>
    </w:rPr>
  </w:style>
  <w:style w:type="character" w:customStyle="1" w:styleId="712">
    <w:name w:val="标题 4 Char_file_551"/>
    <w:basedOn w:val="705"/>
    <w:link w:val="7"/>
    <w:semiHidden/>
    <w:qFormat/>
    <w:uiPriority w:val="9"/>
    <w:rPr>
      <w:rFonts w:asciiTheme="majorHAnsi" w:hAnsiTheme="majorHAnsi" w:eastAsiaTheme="majorEastAsia" w:cstheme="majorBidi"/>
      <w:b/>
      <w:bCs/>
      <w:sz w:val="28"/>
      <w:szCs w:val="28"/>
    </w:rPr>
  </w:style>
  <w:style w:type="character" w:customStyle="1" w:styleId="713">
    <w:name w:val="标题 5 Char_file_551"/>
    <w:basedOn w:val="705"/>
    <w:link w:val="8"/>
    <w:semiHidden/>
    <w:qFormat/>
    <w:uiPriority w:val="9"/>
    <w:rPr>
      <w:rFonts w:ascii="宋体" w:hAnsi="宋体" w:eastAsia="宋体" w:cs="宋体"/>
      <w:b/>
      <w:bCs/>
      <w:sz w:val="28"/>
      <w:szCs w:val="28"/>
    </w:rPr>
  </w:style>
  <w:style w:type="character" w:customStyle="1" w:styleId="714">
    <w:name w:val="标题 6 Char_file_551"/>
    <w:basedOn w:val="705"/>
    <w:link w:val="10"/>
    <w:semiHidden/>
    <w:qFormat/>
    <w:uiPriority w:val="9"/>
    <w:rPr>
      <w:rFonts w:asciiTheme="majorHAnsi" w:hAnsiTheme="majorHAnsi" w:eastAsiaTheme="majorEastAsia" w:cstheme="majorBidi"/>
      <w:b/>
      <w:bCs/>
      <w:sz w:val="24"/>
      <w:szCs w:val="24"/>
    </w:rPr>
  </w:style>
  <w:style w:type="paragraph" w:customStyle="1" w:styleId="715">
    <w:name w:val="cke_editable_file_551"/>
    <w:basedOn w:val="698"/>
    <w:qFormat/>
    <w:uiPriority w:val="0"/>
    <w:rPr>
      <w:rFonts w:ascii="仿宋_GB2312" w:eastAsia="仿宋_GB2312"/>
    </w:rPr>
  </w:style>
  <w:style w:type="paragraph" w:customStyle="1" w:styleId="716">
    <w:name w:val="marker_file_551"/>
    <w:basedOn w:val="698"/>
    <w:qFormat/>
    <w:uiPriority w:val="0"/>
    <w:pPr>
      <w:shd w:val="clear" w:color="auto" w:fill="FFFF00"/>
    </w:pPr>
  </w:style>
  <w:style w:type="paragraph" w:customStyle="1" w:styleId="717">
    <w:name w:val="Normal (Web)_file_551"/>
    <w:basedOn w:val="698"/>
    <w:semiHidden/>
    <w:unhideWhenUsed/>
    <w:qFormat/>
    <w:uiPriority w:val="99"/>
  </w:style>
  <w:style w:type="paragraph" w:customStyle="1" w:styleId="718">
    <w:name w:val="Normal_file_55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9">
    <w:name w:val="heading 1_file_552"/>
    <w:basedOn w:val="718"/>
    <w:qFormat/>
    <w:uiPriority w:val="9"/>
    <w:pPr>
      <w:outlineLvl w:val="0"/>
    </w:pPr>
    <w:rPr>
      <w:kern w:val="36"/>
      <w:sz w:val="48"/>
      <w:szCs w:val="48"/>
    </w:rPr>
  </w:style>
  <w:style w:type="paragraph" w:customStyle="1" w:styleId="720">
    <w:name w:val="heading 2_file_552"/>
    <w:basedOn w:val="718"/>
    <w:qFormat/>
    <w:uiPriority w:val="9"/>
    <w:pPr>
      <w:outlineLvl w:val="1"/>
    </w:pPr>
    <w:rPr>
      <w:sz w:val="36"/>
      <w:szCs w:val="36"/>
    </w:rPr>
  </w:style>
  <w:style w:type="paragraph" w:customStyle="1" w:styleId="721">
    <w:name w:val="heading 3_file_552"/>
    <w:basedOn w:val="718"/>
    <w:qFormat/>
    <w:uiPriority w:val="9"/>
    <w:pPr>
      <w:outlineLvl w:val="2"/>
    </w:pPr>
    <w:rPr>
      <w:sz w:val="27"/>
      <w:szCs w:val="27"/>
    </w:rPr>
  </w:style>
  <w:style w:type="paragraph" w:customStyle="1" w:styleId="722">
    <w:name w:val="heading 4_file_552"/>
    <w:basedOn w:val="718"/>
    <w:qFormat/>
    <w:uiPriority w:val="9"/>
    <w:pPr>
      <w:outlineLvl w:val="3"/>
    </w:pPr>
  </w:style>
  <w:style w:type="paragraph" w:customStyle="1" w:styleId="723">
    <w:name w:val="heading 5_file_552"/>
    <w:basedOn w:val="718"/>
    <w:qFormat/>
    <w:uiPriority w:val="9"/>
    <w:pPr>
      <w:outlineLvl w:val="4"/>
    </w:pPr>
    <w:rPr>
      <w:sz w:val="20"/>
      <w:szCs w:val="20"/>
    </w:rPr>
  </w:style>
  <w:style w:type="paragraph" w:customStyle="1" w:styleId="724">
    <w:name w:val="heading 6_file_552"/>
    <w:basedOn w:val="718"/>
    <w:qFormat/>
    <w:uiPriority w:val="9"/>
    <w:pPr>
      <w:outlineLvl w:val="5"/>
    </w:pPr>
    <w:rPr>
      <w:sz w:val="15"/>
      <w:szCs w:val="15"/>
    </w:rPr>
  </w:style>
  <w:style w:type="character" w:customStyle="1" w:styleId="725">
    <w:name w:val="Default Paragraph Font_file_552"/>
    <w:semiHidden/>
    <w:unhideWhenUsed/>
    <w:qFormat/>
    <w:uiPriority w:val="1"/>
  </w:style>
  <w:style w:type="table" w:customStyle="1" w:styleId="726">
    <w:name w:val="Normal Table_file_552"/>
    <w:semiHidden/>
    <w:unhideWhenUsed/>
    <w:qFormat/>
    <w:uiPriority w:val="99"/>
    <w:tblPr>
      <w:tblCellMar>
        <w:top w:w="0" w:type="dxa"/>
        <w:left w:w="108" w:type="dxa"/>
        <w:bottom w:w="0" w:type="dxa"/>
        <w:right w:w="108" w:type="dxa"/>
      </w:tblCellMar>
    </w:tblPr>
  </w:style>
  <w:style w:type="character" w:customStyle="1" w:styleId="727">
    <w:name w:val="Hyperlink_file_552"/>
    <w:basedOn w:val="725"/>
    <w:semiHidden/>
    <w:unhideWhenUsed/>
    <w:qFormat/>
    <w:uiPriority w:val="99"/>
    <w:rPr>
      <w:color w:val="0782C1"/>
      <w:u w:val="single"/>
    </w:rPr>
  </w:style>
  <w:style w:type="character" w:customStyle="1" w:styleId="728">
    <w:name w:val="FollowedHyperlink_file_552"/>
    <w:basedOn w:val="725"/>
    <w:semiHidden/>
    <w:unhideWhenUsed/>
    <w:qFormat/>
    <w:uiPriority w:val="99"/>
    <w:rPr>
      <w:color w:val="0782C1"/>
      <w:u w:val="single"/>
    </w:rPr>
  </w:style>
  <w:style w:type="character" w:customStyle="1" w:styleId="729">
    <w:name w:val="标题 1 Char_file_552"/>
    <w:basedOn w:val="725"/>
    <w:link w:val="4"/>
    <w:qFormat/>
    <w:uiPriority w:val="9"/>
    <w:rPr>
      <w:rFonts w:ascii="宋体" w:hAnsi="宋体" w:eastAsia="宋体" w:cs="宋体"/>
      <w:b/>
      <w:bCs/>
      <w:kern w:val="44"/>
      <w:sz w:val="44"/>
      <w:szCs w:val="44"/>
    </w:rPr>
  </w:style>
  <w:style w:type="character" w:customStyle="1" w:styleId="730">
    <w:name w:val="标题 2 Char_file_552"/>
    <w:basedOn w:val="725"/>
    <w:link w:val="5"/>
    <w:semiHidden/>
    <w:qFormat/>
    <w:uiPriority w:val="9"/>
    <w:rPr>
      <w:rFonts w:asciiTheme="majorHAnsi" w:hAnsiTheme="majorHAnsi" w:eastAsiaTheme="majorEastAsia" w:cstheme="majorBidi"/>
      <w:b/>
      <w:bCs/>
      <w:sz w:val="32"/>
      <w:szCs w:val="32"/>
    </w:rPr>
  </w:style>
  <w:style w:type="character" w:customStyle="1" w:styleId="731">
    <w:name w:val="标题 3 Char_file_552"/>
    <w:basedOn w:val="725"/>
    <w:link w:val="6"/>
    <w:semiHidden/>
    <w:qFormat/>
    <w:uiPriority w:val="9"/>
    <w:rPr>
      <w:rFonts w:ascii="宋体" w:hAnsi="宋体" w:eastAsia="宋体" w:cs="宋体"/>
      <w:b/>
      <w:bCs/>
      <w:sz w:val="32"/>
      <w:szCs w:val="32"/>
    </w:rPr>
  </w:style>
  <w:style w:type="character" w:customStyle="1" w:styleId="732">
    <w:name w:val="标题 4 Char_file_552"/>
    <w:basedOn w:val="725"/>
    <w:link w:val="7"/>
    <w:semiHidden/>
    <w:qFormat/>
    <w:uiPriority w:val="9"/>
    <w:rPr>
      <w:rFonts w:asciiTheme="majorHAnsi" w:hAnsiTheme="majorHAnsi" w:eastAsiaTheme="majorEastAsia" w:cstheme="majorBidi"/>
      <w:b/>
      <w:bCs/>
      <w:sz w:val="28"/>
      <w:szCs w:val="28"/>
    </w:rPr>
  </w:style>
  <w:style w:type="character" w:customStyle="1" w:styleId="733">
    <w:name w:val="标题 5 Char_file_552"/>
    <w:basedOn w:val="725"/>
    <w:link w:val="8"/>
    <w:semiHidden/>
    <w:qFormat/>
    <w:uiPriority w:val="9"/>
    <w:rPr>
      <w:rFonts w:ascii="宋体" w:hAnsi="宋体" w:eastAsia="宋体" w:cs="宋体"/>
      <w:b/>
      <w:bCs/>
      <w:sz w:val="28"/>
      <w:szCs w:val="28"/>
    </w:rPr>
  </w:style>
  <w:style w:type="character" w:customStyle="1" w:styleId="734">
    <w:name w:val="标题 6 Char_file_552"/>
    <w:basedOn w:val="725"/>
    <w:link w:val="10"/>
    <w:semiHidden/>
    <w:qFormat/>
    <w:uiPriority w:val="9"/>
    <w:rPr>
      <w:rFonts w:asciiTheme="majorHAnsi" w:hAnsiTheme="majorHAnsi" w:eastAsiaTheme="majorEastAsia" w:cstheme="majorBidi"/>
      <w:b/>
      <w:bCs/>
      <w:sz w:val="24"/>
      <w:szCs w:val="24"/>
    </w:rPr>
  </w:style>
  <w:style w:type="paragraph" w:customStyle="1" w:styleId="735">
    <w:name w:val="cke_editable_file_552"/>
    <w:basedOn w:val="718"/>
    <w:qFormat/>
    <w:uiPriority w:val="0"/>
    <w:rPr>
      <w:rFonts w:ascii="仿宋_GB2312" w:eastAsia="仿宋_GB2312"/>
    </w:rPr>
  </w:style>
  <w:style w:type="paragraph" w:customStyle="1" w:styleId="736">
    <w:name w:val="marker_file_552"/>
    <w:basedOn w:val="718"/>
    <w:qFormat/>
    <w:uiPriority w:val="0"/>
    <w:pPr>
      <w:shd w:val="clear" w:color="auto" w:fill="FFFF00"/>
    </w:pPr>
  </w:style>
  <w:style w:type="paragraph" w:customStyle="1" w:styleId="737">
    <w:name w:val="Normal (Web)_file_552"/>
    <w:basedOn w:val="718"/>
    <w:semiHidden/>
    <w:unhideWhenUsed/>
    <w:qFormat/>
    <w:uiPriority w:val="99"/>
  </w:style>
  <w:style w:type="paragraph" w:customStyle="1" w:styleId="738">
    <w:name w:val="Normal_file_55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9">
    <w:name w:val="heading 1_file_553"/>
    <w:basedOn w:val="738"/>
    <w:qFormat/>
    <w:uiPriority w:val="9"/>
    <w:pPr>
      <w:outlineLvl w:val="0"/>
    </w:pPr>
    <w:rPr>
      <w:kern w:val="36"/>
      <w:sz w:val="48"/>
      <w:szCs w:val="48"/>
    </w:rPr>
  </w:style>
  <w:style w:type="paragraph" w:customStyle="1" w:styleId="740">
    <w:name w:val="heading 2_file_553"/>
    <w:basedOn w:val="738"/>
    <w:qFormat/>
    <w:uiPriority w:val="9"/>
    <w:pPr>
      <w:outlineLvl w:val="1"/>
    </w:pPr>
    <w:rPr>
      <w:sz w:val="36"/>
      <w:szCs w:val="36"/>
    </w:rPr>
  </w:style>
  <w:style w:type="paragraph" w:customStyle="1" w:styleId="741">
    <w:name w:val="heading 3_file_553"/>
    <w:basedOn w:val="738"/>
    <w:qFormat/>
    <w:uiPriority w:val="9"/>
    <w:pPr>
      <w:outlineLvl w:val="2"/>
    </w:pPr>
    <w:rPr>
      <w:sz w:val="27"/>
      <w:szCs w:val="27"/>
    </w:rPr>
  </w:style>
  <w:style w:type="paragraph" w:customStyle="1" w:styleId="742">
    <w:name w:val="heading 4_file_553"/>
    <w:basedOn w:val="738"/>
    <w:qFormat/>
    <w:uiPriority w:val="9"/>
    <w:pPr>
      <w:outlineLvl w:val="3"/>
    </w:pPr>
  </w:style>
  <w:style w:type="paragraph" w:customStyle="1" w:styleId="743">
    <w:name w:val="heading 5_file_553"/>
    <w:basedOn w:val="738"/>
    <w:qFormat/>
    <w:uiPriority w:val="9"/>
    <w:pPr>
      <w:outlineLvl w:val="4"/>
    </w:pPr>
    <w:rPr>
      <w:sz w:val="20"/>
      <w:szCs w:val="20"/>
    </w:rPr>
  </w:style>
  <w:style w:type="paragraph" w:customStyle="1" w:styleId="744">
    <w:name w:val="heading 6_file_553"/>
    <w:basedOn w:val="738"/>
    <w:qFormat/>
    <w:uiPriority w:val="9"/>
    <w:pPr>
      <w:outlineLvl w:val="5"/>
    </w:pPr>
    <w:rPr>
      <w:sz w:val="15"/>
      <w:szCs w:val="15"/>
    </w:rPr>
  </w:style>
  <w:style w:type="character" w:customStyle="1" w:styleId="745">
    <w:name w:val="Default Paragraph Font_file_553"/>
    <w:semiHidden/>
    <w:unhideWhenUsed/>
    <w:qFormat/>
    <w:uiPriority w:val="1"/>
  </w:style>
  <w:style w:type="table" w:customStyle="1" w:styleId="746">
    <w:name w:val="Normal Table_file_553"/>
    <w:semiHidden/>
    <w:unhideWhenUsed/>
    <w:qFormat/>
    <w:uiPriority w:val="99"/>
    <w:tblPr>
      <w:tblCellMar>
        <w:top w:w="0" w:type="dxa"/>
        <w:left w:w="108" w:type="dxa"/>
        <w:bottom w:w="0" w:type="dxa"/>
        <w:right w:w="108" w:type="dxa"/>
      </w:tblCellMar>
    </w:tblPr>
  </w:style>
  <w:style w:type="character" w:customStyle="1" w:styleId="747">
    <w:name w:val="Hyperlink_file_553"/>
    <w:basedOn w:val="745"/>
    <w:semiHidden/>
    <w:unhideWhenUsed/>
    <w:qFormat/>
    <w:uiPriority w:val="99"/>
    <w:rPr>
      <w:color w:val="0782C1"/>
      <w:u w:val="single"/>
    </w:rPr>
  </w:style>
  <w:style w:type="character" w:customStyle="1" w:styleId="748">
    <w:name w:val="FollowedHyperlink_file_553"/>
    <w:basedOn w:val="745"/>
    <w:semiHidden/>
    <w:unhideWhenUsed/>
    <w:qFormat/>
    <w:uiPriority w:val="99"/>
    <w:rPr>
      <w:color w:val="0782C1"/>
      <w:u w:val="single"/>
    </w:rPr>
  </w:style>
  <w:style w:type="character" w:customStyle="1" w:styleId="749">
    <w:name w:val="标题 1 Char_file_553"/>
    <w:basedOn w:val="745"/>
    <w:link w:val="4"/>
    <w:qFormat/>
    <w:uiPriority w:val="9"/>
    <w:rPr>
      <w:rFonts w:ascii="宋体" w:hAnsi="宋体" w:eastAsia="宋体" w:cs="宋体"/>
      <w:b/>
      <w:bCs/>
      <w:kern w:val="44"/>
      <w:sz w:val="44"/>
      <w:szCs w:val="44"/>
    </w:rPr>
  </w:style>
  <w:style w:type="character" w:customStyle="1" w:styleId="750">
    <w:name w:val="标题 2 Char_file_553"/>
    <w:basedOn w:val="745"/>
    <w:link w:val="5"/>
    <w:semiHidden/>
    <w:qFormat/>
    <w:uiPriority w:val="9"/>
    <w:rPr>
      <w:rFonts w:asciiTheme="majorHAnsi" w:hAnsiTheme="majorHAnsi" w:eastAsiaTheme="majorEastAsia" w:cstheme="majorBidi"/>
      <w:b/>
      <w:bCs/>
      <w:sz w:val="32"/>
      <w:szCs w:val="32"/>
    </w:rPr>
  </w:style>
  <w:style w:type="character" w:customStyle="1" w:styleId="751">
    <w:name w:val="标题 3 Char_file_553"/>
    <w:basedOn w:val="745"/>
    <w:link w:val="6"/>
    <w:semiHidden/>
    <w:qFormat/>
    <w:uiPriority w:val="9"/>
    <w:rPr>
      <w:rFonts w:ascii="宋体" w:hAnsi="宋体" w:eastAsia="宋体" w:cs="宋体"/>
      <w:b/>
      <w:bCs/>
      <w:sz w:val="32"/>
      <w:szCs w:val="32"/>
    </w:rPr>
  </w:style>
  <w:style w:type="character" w:customStyle="1" w:styleId="752">
    <w:name w:val="标题 4 Char_file_553"/>
    <w:basedOn w:val="745"/>
    <w:link w:val="7"/>
    <w:semiHidden/>
    <w:qFormat/>
    <w:uiPriority w:val="9"/>
    <w:rPr>
      <w:rFonts w:asciiTheme="majorHAnsi" w:hAnsiTheme="majorHAnsi" w:eastAsiaTheme="majorEastAsia" w:cstheme="majorBidi"/>
      <w:b/>
      <w:bCs/>
      <w:sz w:val="28"/>
      <w:szCs w:val="28"/>
    </w:rPr>
  </w:style>
  <w:style w:type="character" w:customStyle="1" w:styleId="753">
    <w:name w:val="标题 5 Char_file_553"/>
    <w:basedOn w:val="745"/>
    <w:link w:val="8"/>
    <w:semiHidden/>
    <w:qFormat/>
    <w:uiPriority w:val="9"/>
    <w:rPr>
      <w:rFonts w:ascii="宋体" w:hAnsi="宋体" w:eastAsia="宋体" w:cs="宋体"/>
      <w:b/>
      <w:bCs/>
      <w:sz w:val="28"/>
      <w:szCs w:val="28"/>
    </w:rPr>
  </w:style>
  <w:style w:type="character" w:customStyle="1" w:styleId="754">
    <w:name w:val="标题 6 Char_file_553"/>
    <w:basedOn w:val="745"/>
    <w:link w:val="10"/>
    <w:semiHidden/>
    <w:qFormat/>
    <w:uiPriority w:val="9"/>
    <w:rPr>
      <w:rFonts w:asciiTheme="majorHAnsi" w:hAnsiTheme="majorHAnsi" w:eastAsiaTheme="majorEastAsia" w:cstheme="majorBidi"/>
      <w:b/>
      <w:bCs/>
      <w:sz w:val="24"/>
      <w:szCs w:val="24"/>
    </w:rPr>
  </w:style>
  <w:style w:type="paragraph" w:customStyle="1" w:styleId="755">
    <w:name w:val="cke_editable_file_553"/>
    <w:basedOn w:val="738"/>
    <w:qFormat/>
    <w:uiPriority w:val="0"/>
    <w:rPr>
      <w:rFonts w:ascii="仿宋_GB2312" w:eastAsia="仿宋_GB2312"/>
    </w:rPr>
  </w:style>
  <w:style w:type="paragraph" w:customStyle="1" w:styleId="756">
    <w:name w:val="marker_file_553"/>
    <w:basedOn w:val="738"/>
    <w:qFormat/>
    <w:uiPriority w:val="0"/>
    <w:pPr>
      <w:shd w:val="clear" w:color="auto" w:fill="FFFF00"/>
    </w:pPr>
  </w:style>
  <w:style w:type="paragraph" w:customStyle="1" w:styleId="757">
    <w:name w:val="Normal (Web)_file_553"/>
    <w:basedOn w:val="738"/>
    <w:semiHidden/>
    <w:unhideWhenUsed/>
    <w:qFormat/>
    <w:uiPriority w:val="99"/>
  </w:style>
  <w:style w:type="paragraph" w:customStyle="1" w:styleId="758">
    <w:name w:val="Normal_file_55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9">
    <w:name w:val="heading 1_file_554"/>
    <w:basedOn w:val="758"/>
    <w:qFormat/>
    <w:uiPriority w:val="9"/>
    <w:pPr>
      <w:outlineLvl w:val="0"/>
    </w:pPr>
    <w:rPr>
      <w:kern w:val="36"/>
      <w:sz w:val="48"/>
      <w:szCs w:val="48"/>
    </w:rPr>
  </w:style>
  <w:style w:type="paragraph" w:customStyle="1" w:styleId="760">
    <w:name w:val="heading 2_file_554"/>
    <w:basedOn w:val="758"/>
    <w:qFormat/>
    <w:uiPriority w:val="9"/>
    <w:pPr>
      <w:outlineLvl w:val="1"/>
    </w:pPr>
    <w:rPr>
      <w:sz w:val="36"/>
      <w:szCs w:val="36"/>
    </w:rPr>
  </w:style>
  <w:style w:type="paragraph" w:customStyle="1" w:styleId="761">
    <w:name w:val="heading 3_file_554"/>
    <w:basedOn w:val="758"/>
    <w:qFormat/>
    <w:uiPriority w:val="9"/>
    <w:pPr>
      <w:outlineLvl w:val="2"/>
    </w:pPr>
    <w:rPr>
      <w:sz w:val="27"/>
      <w:szCs w:val="27"/>
    </w:rPr>
  </w:style>
  <w:style w:type="paragraph" w:customStyle="1" w:styleId="762">
    <w:name w:val="heading 4_file_554"/>
    <w:basedOn w:val="758"/>
    <w:qFormat/>
    <w:uiPriority w:val="9"/>
    <w:pPr>
      <w:outlineLvl w:val="3"/>
    </w:pPr>
  </w:style>
  <w:style w:type="paragraph" w:customStyle="1" w:styleId="763">
    <w:name w:val="heading 5_file_554"/>
    <w:basedOn w:val="758"/>
    <w:qFormat/>
    <w:uiPriority w:val="9"/>
    <w:pPr>
      <w:outlineLvl w:val="4"/>
    </w:pPr>
    <w:rPr>
      <w:sz w:val="20"/>
      <w:szCs w:val="20"/>
    </w:rPr>
  </w:style>
  <w:style w:type="paragraph" w:customStyle="1" w:styleId="764">
    <w:name w:val="heading 6_file_554"/>
    <w:basedOn w:val="758"/>
    <w:qFormat/>
    <w:uiPriority w:val="9"/>
    <w:pPr>
      <w:outlineLvl w:val="5"/>
    </w:pPr>
    <w:rPr>
      <w:sz w:val="15"/>
      <w:szCs w:val="15"/>
    </w:rPr>
  </w:style>
  <w:style w:type="character" w:customStyle="1" w:styleId="765">
    <w:name w:val="Default Paragraph Font_file_554"/>
    <w:semiHidden/>
    <w:unhideWhenUsed/>
    <w:qFormat/>
    <w:uiPriority w:val="1"/>
  </w:style>
  <w:style w:type="table" w:customStyle="1" w:styleId="766">
    <w:name w:val="Normal Table_file_554"/>
    <w:semiHidden/>
    <w:unhideWhenUsed/>
    <w:qFormat/>
    <w:uiPriority w:val="99"/>
    <w:tblPr>
      <w:tblCellMar>
        <w:top w:w="0" w:type="dxa"/>
        <w:left w:w="108" w:type="dxa"/>
        <w:bottom w:w="0" w:type="dxa"/>
        <w:right w:w="108" w:type="dxa"/>
      </w:tblCellMar>
    </w:tblPr>
  </w:style>
  <w:style w:type="character" w:customStyle="1" w:styleId="767">
    <w:name w:val="Hyperlink_file_554"/>
    <w:basedOn w:val="765"/>
    <w:semiHidden/>
    <w:unhideWhenUsed/>
    <w:qFormat/>
    <w:uiPriority w:val="99"/>
    <w:rPr>
      <w:color w:val="0782C1"/>
      <w:u w:val="single"/>
    </w:rPr>
  </w:style>
  <w:style w:type="character" w:customStyle="1" w:styleId="768">
    <w:name w:val="FollowedHyperlink_file_554"/>
    <w:basedOn w:val="765"/>
    <w:semiHidden/>
    <w:unhideWhenUsed/>
    <w:qFormat/>
    <w:uiPriority w:val="99"/>
    <w:rPr>
      <w:color w:val="0782C1"/>
      <w:u w:val="single"/>
    </w:rPr>
  </w:style>
  <w:style w:type="character" w:customStyle="1" w:styleId="769">
    <w:name w:val="标题 1 Char_file_554"/>
    <w:basedOn w:val="765"/>
    <w:link w:val="4"/>
    <w:qFormat/>
    <w:uiPriority w:val="9"/>
    <w:rPr>
      <w:rFonts w:ascii="宋体" w:hAnsi="宋体" w:eastAsia="宋体" w:cs="宋体"/>
      <w:b/>
      <w:bCs/>
      <w:kern w:val="44"/>
      <w:sz w:val="44"/>
      <w:szCs w:val="44"/>
    </w:rPr>
  </w:style>
  <w:style w:type="character" w:customStyle="1" w:styleId="770">
    <w:name w:val="标题 2 Char_file_554"/>
    <w:basedOn w:val="765"/>
    <w:link w:val="5"/>
    <w:semiHidden/>
    <w:qFormat/>
    <w:uiPriority w:val="9"/>
    <w:rPr>
      <w:rFonts w:asciiTheme="majorHAnsi" w:hAnsiTheme="majorHAnsi" w:eastAsiaTheme="majorEastAsia" w:cstheme="majorBidi"/>
      <w:b/>
      <w:bCs/>
      <w:sz w:val="32"/>
      <w:szCs w:val="32"/>
    </w:rPr>
  </w:style>
  <w:style w:type="character" w:customStyle="1" w:styleId="771">
    <w:name w:val="标题 3 Char_file_554"/>
    <w:basedOn w:val="765"/>
    <w:link w:val="6"/>
    <w:semiHidden/>
    <w:qFormat/>
    <w:uiPriority w:val="9"/>
    <w:rPr>
      <w:rFonts w:ascii="宋体" w:hAnsi="宋体" w:eastAsia="宋体" w:cs="宋体"/>
      <w:b/>
      <w:bCs/>
      <w:sz w:val="32"/>
      <w:szCs w:val="32"/>
    </w:rPr>
  </w:style>
  <w:style w:type="character" w:customStyle="1" w:styleId="772">
    <w:name w:val="标题 4 Char_file_554"/>
    <w:basedOn w:val="765"/>
    <w:link w:val="7"/>
    <w:semiHidden/>
    <w:qFormat/>
    <w:uiPriority w:val="9"/>
    <w:rPr>
      <w:rFonts w:asciiTheme="majorHAnsi" w:hAnsiTheme="majorHAnsi" w:eastAsiaTheme="majorEastAsia" w:cstheme="majorBidi"/>
      <w:b/>
      <w:bCs/>
      <w:sz w:val="28"/>
      <w:szCs w:val="28"/>
    </w:rPr>
  </w:style>
  <w:style w:type="character" w:customStyle="1" w:styleId="773">
    <w:name w:val="标题 5 Char_file_554"/>
    <w:basedOn w:val="765"/>
    <w:link w:val="8"/>
    <w:semiHidden/>
    <w:qFormat/>
    <w:uiPriority w:val="9"/>
    <w:rPr>
      <w:rFonts w:ascii="宋体" w:hAnsi="宋体" w:eastAsia="宋体" w:cs="宋体"/>
      <w:b/>
      <w:bCs/>
      <w:sz w:val="28"/>
      <w:szCs w:val="28"/>
    </w:rPr>
  </w:style>
  <w:style w:type="character" w:customStyle="1" w:styleId="774">
    <w:name w:val="标题 6 Char_file_554"/>
    <w:basedOn w:val="765"/>
    <w:link w:val="10"/>
    <w:semiHidden/>
    <w:qFormat/>
    <w:uiPriority w:val="9"/>
    <w:rPr>
      <w:rFonts w:asciiTheme="majorHAnsi" w:hAnsiTheme="majorHAnsi" w:eastAsiaTheme="majorEastAsia" w:cstheme="majorBidi"/>
      <w:b/>
      <w:bCs/>
      <w:sz w:val="24"/>
      <w:szCs w:val="24"/>
    </w:rPr>
  </w:style>
  <w:style w:type="paragraph" w:customStyle="1" w:styleId="775">
    <w:name w:val="cke_editable_file_554"/>
    <w:basedOn w:val="758"/>
    <w:qFormat/>
    <w:uiPriority w:val="0"/>
    <w:rPr>
      <w:rFonts w:ascii="仿宋_GB2312" w:eastAsia="仿宋_GB2312"/>
    </w:rPr>
  </w:style>
  <w:style w:type="paragraph" w:customStyle="1" w:styleId="776">
    <w:name w:val="marker_file_554"/>
    <w:basedOn w:val="758"/>
    <w:qFormat/>
    <w:uiPriority w:val="0"/>
    <w:pPr>
      <w:shd w:val="clear" w:color="auto" w:fill="FFFF00"/>
    </w:pPr>
  </w:style>
  <w:style w:type="paragraph" w:customStyle="1" w:styleId="777">
    <w:name w:val="Normal (Web)_file_554"/>
    <w:basedOn w:val="758"/>
    <w:semiHidden/>
    <w:unhideWhenUsed/>
    <w:qFormat/>
    <w:uiPriority w:val="99"/>
  </w:style>
  <w:style w:type="paragraph" w:customStyle="1" w:styleId="778">
    <w:name w:val="Normal_file_55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9">
    <w:name w:val="heading 1_file_555"/>
    <w:basedOn w:val="778"/>
    <w:qFormat/>
    <w:uiPriority w:val="9"/>
    <w:pPr>
      <w:outlineLvl w:val="0"/>
    </w:pPr>
    <w:rPr>
      <w:kern w:val="36"/>
      <w:sz w:val="48"/>
      <w:szCs w:val="48"/>
    </w:rPr>
  </w:style>
  <w:style w:type="paragraph" w:customStyle="1" w:styleId="780">
    <w:name w:val="heading 2_file_555"/>
    <w:basedOn w:val="778"/>
    <w:qFormat/>
    <w:uiPriority w:val="9"/>
    <w:pPr>
      <w:outlineLvl w:val="1"/>
    </w:pPr>
    <w:rPr>
      <w:sz w:val="36"/>
      <w:szCs w:val="36"/>
    </w:rPr>
  </w:style>
  <w:style w:type="paragraph" w:customStyle="1" w:styleId="781">
    <w:name w:val="heading 3_file_555"/>
    <w:basedOn w:val="778"/>
    <w:qFormat/>
    <w:uiPriority w:val="9"/>
    <w:pPr>
      <w:outlineLvl w:val="2"/>
    </w:pPr>
    <w:rPr>
      <w:sz w:val="27"/>
      <w:szCs w:val="27"/>
    </w:rPr>
  </w:style>
  <w:style w:type="paragraph" w:customStyle="1" w:styleId="782">
    <w:name w:val="heading 4_file_555"/>
    <w:basedOn w:val="778"/>
    <w:qFormat/>
    <w:uiPriority w:val="9"/>
    <w:pPr>
      <w:outlineLvl w:val="3"/>
    </w:pPr>
  </w:style>
  <w:style w:type="paragraph" w:customStyle="1" w:styleId="783">
    <w:name w:val="heading 5_file_555"/>
    <w:basedOn w:val="778"/>
    <w:qFormat/>
    <w:uiPriority w:val="9"/>
    <w:pPr>
      <w:outlineLvl w:val="4"/>
    </w:pPr>
    <w:rPr>
      <w:sz w:val="20"/>
      <w:szCs w:val="20"/>
    </w:rPr>
  </w:style>
  <w:style w:type="paragraph" w:customStyle="1" w:styleId="784">
    <w:name w:val="heading 6_file_555"/>
    <w:basedOn w:val="778"/>
    <w:qFormat/>
    <w:uiPriority w:val="9"/>
    <w:pPr>
      <w:outlineLvl w:val="5"/>
    </w:pPr>
    <w:rPr>
      <w:sz w:val="15"/>
      <w:szCs w:val="15"/>
    </w:rPr>
  </w:style>
  <w:style w:type="character" w:customStyle="1" w:styleId="785">
    <w:name w:val="Default Paragraph Font_file_555"/>
    <w:semiHidden/>
    <w:unhideWhenUsed/>
    <w:qFormat/>
    <w:uiPriority w:val="1"/>
  </w:style>
  <w:style w:type="table" w:customStyle="1" w:styleId="786">
    <w:name w:val="Normal Table_file_555"/>
    <w:semiHidden/>
    <w:unhideWhenUsed/>
    <w:qFormat/>
    <w:uiPriority w:val="99"/>
    <w:tblPr>
      <w:tblCellMar>
        <w:top w:w="0" w:type="dxa"/>
        <w:left w:w="108" w:type="dxa"/>
        <w:bottom w:w="0" w:type="dxa"/>
        <w:right w:w="108" w:type="dxa"/>
      </w:tblCellMar>
    </w:tblPr>
  </w:style>
  <w:style w:type="character" w:customStyle="1" w:styleId="787">
    <w:name w:val="Hyperlink_file_555"/>
    <w:basedOn w:val="785"/>
    <w:semiHidden/>
    <w:unhideWhenUsed/>
    <w:qFormat/>
    <w:uiPriority w:val="99"/>
    <w:rPr>
      <w:color w:val="0782C1"/>
      <w:u w:val="single"/>
    </w:rPr>
  </w:style>
  <w:style w:type="character" w:customStyle="1" w:styleId="788">
    <w:name w:val="FollowedHyperlink_file_555"/>
    <w:basedOn w:val="785"/>
    <w:semiHidden/>
    <w:unhideWhenUsed/>
    <w:qFormat/>
    <w:uiPriority w:val="99"/>
    <w:rPr>
      <w:color w:val="0782C1"/>
      <w:u w:val="single"/>
    </w:rPr>
  </w:style>
  <w:style w:type="character" w:customStyle="1" w:styleId="789">
    <w:name w:val="标题 1 Char_file_555"/>
    <w:basedOn w:val="785"/>
    <w:link w:val="4"/>
    <w:qFormat/>
    <w:uiPriority w:val="9"/>
    <w:rPr>
      <w:rFonts w:ascii="宋体" w:hAnsi="宋体" w:eastAsia="宋体" w:cs="宋体"/>
      <w:b/>
      <w:bCs/>
      <w:kern w:val="44"/>
      <w:sz w:val="44"/>
      <w:szCs w:val="44"/>
    </w:rPr>
  </w:style>
  <w:style w:type="character" w:customStyle="1" w:styleId="790">
    <w:name w:val="标题 2 Char_file_555"/>
    <w:basedOn w:val="785"/>
    <w:link w:val="5"/>
    <w:semiHidden/>
    <w:qFormat/>
    <w:uiPriority w:val="9"/>
    <w:rPr>
      <w:rFonts w:asciiTheme="majorHAnsi" w:hAnsiTheme="majorHAnsi" w:eastAsiaTheme="majorEastAsia" w:cstheme="majorBidi"/>
      <w:b/>
      <w:bCs/>
      <w:sz w:val="32"/>
      <w:szCs w:val="32"/>
    </w:rPr>
  </w:style>
  <w:style w:type="character" w:customStyle="1" w:styleId="791">
    <w:name w:val="标题 3 Char_file_555"/>
    <w:basedOn w:val="785"/>
    <w:link w:val="6"/>
    <w:semiHidden/>
    <w:qFormat/>
    <w:uiPriority w:val="9"/>
    <w:rPr>
      <w:rFonts w:ascii="宋体" w:hAnsi="宋体" w:eastAsia="宋体" w:cs="宋体"/>
      <w:b/>
      <w:bCs/>
      <w:sz w:val="32"/>
      <w:szCs w:val="32"/>
    </w:rPr>
  </w:style>
  <w:style w:type="character" w:customStyle="1" w:styleId="792">
    <w:name w:val="标题 4 Char_file_555"/>
    <w:basedOn w:val="785"/>
    <w:link w:val="7"/>
    <w:semiHidden/>
    <w:qFormat/>
    <w:uiPriority w:val="9"/>
    <w:rPr>
      <w:rFonts w:asciiTheme="majorHAnsi" w:hAnsiTheme="majorHAnsi" w:eastAsiaTheme="majorEastAsia" w:cstheme="majorBidi"/>
      <w:b/>
      <w:bCs/>
      <w:sz w:val="28"/>
      <w:szCs w:val="28"/>
    </w:rPr>
  </w:style>
  <w:style w:type="character" w:customStyle="1" w:styleId="793">
    <w:name w:val="标题 5 Char_file_555"/>
    <w:basedOn w:val="785"/>
    <w:link w:val="8"/>
    <w:semiHidden/>
    <w:qFormat/>
    <w:uiPriority w:val="9"/>
    <w:rPr>
      <w:rFonts w:ascii="宋体" w:hAnsi="宋体" w:eastAsia="宋体" w:cs="宋体"/>
      <w:b/>
      <w:bCs/>
      <w:sz w:val="28"/>
      <w:szCs w:val="28"/>
    </w:rPr>
  </w:style>
  <w:style w:type="character" w:customStyle="1" w:styleId="794">
    <w:name w:val="标题 6 Char_file_555"/>
    <w:basedOn w:val="785"/>
    <w:link w:val="10"/>
    <w:semiHidden/>
    <w:qFormat/>
    <w:uiPriority w:val="9"/>
    <w:rPr>
      <w:rFonts w:asciiTheme="majorHAnsi" w:hAnsiTheme="majorHAnsi" w:eastAsiaTheme="majorEastAsia" w:cstheme="majorBidi"/>
      <w:b/>
      <w:bCs/>
      <w:sz w:val="24"/>
      <w:szCs w:val="24"/>
    </w:rPr>
  </w:style>
  <w:style w:type="paragraph" w:customStyle="1" w:styleId="795">
    <w:name w:val="cke_editable_file_555"/>
    <w:basedOn w:val="778"/>
    <w:qFormat/>
    <w:uiPriority w:val="0"/>
    <w:rPr>
      <w:rFonts w:ascii="仿宋_GB2312" w:eastAsia="仿宋_GB2312"/>
    </w:rPr>
  </w:style>
  <w:style w:type="paragraph" w:customStyle="1" w:styleId="796">
    <w:name w:val="marker_file_555"/>
    <w:basedOn w:val="778"/>
    <w:qFormat/>
    <w:uiPriority w:val="0"/>
    <w:pPr>
      <w:shd w:val="clear" w:color="auto" w:fill="FFFF00"/>
    </w:pPr>
  </w:style>
  <w:style w:type="paragraph" w:customStyle="1" w:styleId="797">
    <w:name w:val="Normal (Web)_file_555"/>
    <w:basedOn w:val="778"/>
    <w:semiHidden/>
    <w:unhideWhenUsed/>
    <w:qFormat/>
    <w:uiPriority w:val="99"/>
  </w:style>
  <w:style w:type="character" w:customStyle="1" w:styleId="798">
    <w:name w:val="Strong_file_555"/>
    <w:basedOn w:val="785"/>
    <w:qFormat/>
    <w:uiPriority w:val="22"/>
    <w:rPr>
      <w:b/>
      <w:bCs/>
    </w:rPr>
  </w:style>
  <w:style w:type="paragraph" w:customStyle="1" w:styleId="799">
    <w:name w:val="Normal_file_55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0">
    <w:name w:val="heading 1_file_556"/>
    <w:basedOn w:val="799"/>
    <w:qFormat/>
    <w:uiPriority w:val="9"/>
    <w:pPr>
      <w:outlineLvl w:val="0"/>
    </w:pPr>
    <w:rPr>
      <w:kern w:val="36"/>
      <w:sz w:val="48"/>
      <w:szCs w:val="48"/>
    </w:rPr>
  </w:style>
  <w:style w:type="paragraph" w:customStyle="1" w:styleId="801">
    <w:name w:val="heading 2_file_556"/>
    <w:basedOn w:val="799"/>
    <w:qFormat/>
    <w:uiPriority w:val="9"/>
    <w:pPr>
      <w:outlineLvl w:val="1"/>
    </w:pPr>
    <w:rPr>
      <w:sz w:val="36"/>
      <w:szCs w:val="36"/>
    </w:rPr>
  </w:style>
  <w:style w:type="paragraph" w:customStyle="1" w:styleId="802">
    <w:name w:val="heading 3_file_556"/>
    <w:basedOn w:val="799"/>
    <w:qFormat/>
    <w:uiPriority w:val="9"/>
    <w:pPr>
      <w:outlineLvl w:val="2"/>
    </w:pPr>
    <w:rPr>
      <w:sz w:val="27"/>
      <w:szCs w:val="27"/>
    </w:rPr>
  </w:style>
  <w:style w:type="paragraph" w:customStyle="1" w:styleId="803">
    <w:name w:val="heading 4_file_556"/>
    <w:basedOn w:val="799"/>
    <w:qFormat/>
    <w:uiPriority w:val="9"/>
    <w:pPr>
      <w:outlineLvl w:val="3"/>
    </w:pPr>
  </w:style>
  <w:style w:type="paragraph" w:customStyle="1" w:styleId="804">
    <w:name w:val="heading 5_file_556"/>
    <w:basedOn w:val="799"/>
    <w:qFormat/>
    <w:uiPriority w:val="9"/>
    <w:pPr>
      <w:outlineLvl w:val="4"/>
    </w:pPr>
    <w:rPr>
      <w:sz w:val="20"/>
      <w:szCs w:val="20"/>
    </w:rPr>
  </w:style>
  <w:style w:type="paragraph" w:customStyle="1" w:styleId="805">
    <w:name w:val="heading 6_file_556"/>
    <w:basedOn w:val="799"/>
    <w:qFormat/>
    <w:uiPriority w:val="9"/>
    <w:pPr>
      <w:outlineLvl w:val="5"/>
    </w:pPr>
    <w:rPr>
      <w:sz w:val="15"/>
      <w:szCs w:val="15"/>
    </w:rPr>
  </w:style>
  <w:style w:type="character" w:customStyle="1" w:styleId="806">
    <w:name w:val="Default Paragraph Font_file_556"/>
    <w:semiHidden/>
    <w:unhideWhenUsed/>
    <w:qFormat/>
    <w:uiPriority w:val="1"/>
  </w:style>
  <w:style w:type="table" w:customStyle="1" w:styleId="807">
    <w:name w:val="Normal Table_file_556"/>
    <w:semiHidden/>
    <w:unhideWhenUsed/>
    <w:qFormat/>
    <w:uiPriority w:val="99"/>
    <w:tblPr>
      <w:tblCellMar>
        <w:top w:w="0" w:type="dxa"/>
        <w:left w:w="108" w:type="dxa"/>
        <w:bottom w:w="0" w:type="dxa"/>
        <w:right w:w="108" w:type="dxa"/>
      </w:tblCellMar>
    </w:tblPr>
  </w:style>
  <w:style w:type="character" w:customStyle="1" w:styleId="808">
    <w:name w:val="Hyperlink_file_556"/>
    <w:basedOn w:val="806"/>
    <w:semiHidden/>
    <w:unhideWhenUsed/>
    <w:qFormat/>
    <w:uiPriority w:val="99"/>
    <w:rPr>
      <w:color w:val="0782C1"/>
      <w:u w:val="single"/>
    </w:rPr>
  </w:style>
  <w:style w:type="character" w:customStyle="1" w:styleId="809">
    <w:name w:val="FollowedHyperlink_file_556"/>
    <w:basedOn w:val="806"/>
    <w:semiHidden/>
    <w:unhideWhenUsed/>
    <w:qFormat/>
    <w:uiPriority w:val="99"/>
    <w:rPr>
      <w:color w:val="0782C1"/>
      <w:u w:val="single"/>
    </w:rPr>
  </w:style>
  <w:style w:type="character" w:customStyle="1" w:styleId="810">
    <w:name w:val="标题 1 Char_file_556"/>
    <w:basedOn w:val="806"/>
    <w:link w:val="4"/>
    <w:qFormat/>
    <w:uiPriority w:val="9"/>
    <w:rPr>
      <w:rFonts w:ascii="宋体" w:hAnsi="宋体" w:eastAsia="宋体" w:cs="宋体"/>
      <w:b/>
      <w:bCs/>
      <w:kern w:val="44"/>
      <w:sz w:val="44"/>
      <w:szCs w:val="44"/>
    </w:rPr>
  </w:style>
  <w:style w:type="character" w:customStyle="1" w:styleId="811">
    <w:name w:val="标题 2 Char_file_556"/>
    <w:basedOn w:val="806"/>
    <w:link w:val="5"/>
    <w:semiHidden/>
    <w:qFormat/>
    <w:uiPriority w:val="9"/>
    <w:rPr>
      <w:rFonts w:asciiTheme="majorHAnsi" w:hAnsiTheme="majorHAnsi" w:eastAsiaTheme="majorEastAsia" w:cstheme="majorBidi"/>
      <w:b/>
      <w:bCs/>
      <w:sz w:val="32"/>
      <w:szCs w:val="32"/>
    </w:rPr>
  </w:style>
  <w:style w:type="character" w:customStyle="1" w:styleId="812">
    <w:name w:val="标题 3 Char_file_556"/>
    <w:basedOn w:val="806"/>
    <w:link w:val="6"/>
    <w:semiHidden/>
    <w:qFormat/>
    <w:uiPriority w:val="9"/>
    <w:rPr>
      <w:rFonts w:ascii="宋体" w:hAnsi="宋体" w:eastAsia="宋体" w:cs="宋体"/>
      <w:b/>
      <w:bCs/>
      <w:sz w:val="32"/>
      <w:szCs w:val="32"/>
    </w:rPr>
  </w:style>
  <w:style w:type="character" w:customStyle="1" w:styleId="813">
    <w:name w:val="标题 4 Char_file_556"/>
    <w:basedOn w:val="806"/>
    <w:link w:val="7"/>
    <w:semiHidden/>
    <w:qFormat/>
    <w:uiPriority w:val="9"/>
    <w:rPr>
      <w:rFonts w:asciiTheme="majorHAnsi" w:hAnsiTheme="majorHAnsi" w:eastAsiaTheme="majorEastAsia" w:cstheme="majorBidi"/>
      <w:b/>
      <w:bCs/>
      <w:sz w:val="28"/>
      <w:szCs w:val="28"/>
    </w:rPr>
  </w:style>
  <w:style w:type="character" w:customStyle="1" w:styleId="814">
    <w:name w:val="标题 5 Char_file_556"/>
    <w:basedOn w:val="806"/>
    <w:link w:val="8"/>
    <w:semiHidden/>
    <w:qFormat/>
    <w:uiPriority w:val="9"/>
    <w:rPr>
      <w:rFonts w:ascii="宋体" w:hAnsi="宋体" w:eastAsia="宋体" w:cs="宋体"/>
      <w:b/>
      <w:bCs/>
      <w:sz w:val="28"/>
      <w:szCs w:val="28"/>
    </w:rPr>
  </w:style>
  <w:style w:type="character" w:customStyle="1" w:styleId="815">
    <w:name w:val="标题 6 Char_file_556"/>
    <w:basedOn w:val="806"/>
    <w:link w:val="10"/>
    <w:semiHidden/>
    <w:qFormat/>
    <w:uiPriority w:val="9"/>
    <w:rPr>
      <w:rFonts w:asciiTheme="majorHAnsi" w:hAnsiTheme="majorHAnsi" w:eastAsiaTheme="majorEastAsia" w:cstheme="majorBidi"/>
      <w:b/>
      <w:bCs/>
      <w:sz w:val="24"/>
      <w:szCs w:val="24"/>
    </w:rPr>
  </w:style>
  <w:style w:type="paragraph" w:customStyle="1" w:styleId="816">
    <w:name w:val="cke_editable_file_556"/>
    <w:basedOn w:val="799"/>
    <w:qFormat/>
    <w:uiPriority w:val="0"/>
    <w:rPr>
      <w:rFonts w:ascii="仿宋_GB2312" w:eastAsia="仿宋_GB2312"/>
    </w:rPr>
  </w:style>
  <w:style w:type="paragraph" w:customStyle="1" w:styleId="817">
    <w:name w:val="marker_file_556"/>
    <w:basedOn w:val="799"/>
    <w:qFormat/>
    <w:uiPriority w:val="0"/>
    <w:pPr>
      <w:shd w:val="clear" w:color="auto" w:fill="FFFF00"/>
    </w:pPr>
  </w:style>
  <w:style w:type="paragraph" w:customStyle="1" w:styleId="818">
    <w:name w:val="Normal (Web)_file_556"/>
    <w:basedOn w:val="799"/>
    <w:semiHidden/>
    <w:unhideWhenUsed/>
    <w:qFormat/>
    <w:uiPriority w:val="99"/>
  </w:style>
  <w:style w:type="character" w:customStyle="1" w:styleId="819">
    <w:name w:val="Strong_file_556"/>
    <w:basedOn w:val="806"/>
    <w:qFormat/>
    <w:uiPriority w:val="22"/>
    <w:rPr>
      <w:b/>
      <w:bCs/>
    </w:rPr>
  </w:style>
  <w:style w:type="paragraph" w:customStyle="1" w:styleId="820">
    <w:name w:val="Normal_file_55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1">
    <w:name w:val="heading 1_file_557"/>
    <w:basedOn w:val="820"/>
    <w:qFormat/>
    <w:uiPriority w:val="9"/>
    <w:pPr>
      <w:outlineLvl w:val="0"/>
    </w:pPr>
    <w:rPr>
      <w:kern w:val="36"/>
      <w:sz w:val="48"/>
      <w:szCs w:val="48"/>
    </w:rPr>
  </w:style>
  <w:style w:type="paragraph" w:customStyle="1" w:styleId="822">
    <w:name w:val="heading 2_file_557"/>
    <w:basedOn w:val="820"/>
    <w:qFormat/>
    <w:uiPriority w:val="9"/>
    <w:pPr>
      <w:outlineLvl w:val="1"/>
    </w:pPr>
    <w:rPr>
      <w:sz w:val="36"/>
      <w:szCs w:val="36"/>
    </w:rPr>
  </w:style>
  <w:style w:type="paragraph" w:customStyle="1" w:styleId="823">
    <w:name w:val="heading 3_file_557"/>
    <w:basedOn w:val="820"/>
    <w:qFormat/>
    <w:uiPriority w:val="9"/>
    <w:pPr>
      <w:outlineLvl w:val="2"/>
    </w:pPr>
    <w:rPr>
      <w:sz w:val="27"/>
      <w:szCs w:val="27"/>
    </w:rPr>
  </w:style>
  <w:style w:type="paragraph" w:customStyle="1" w:styleId="824">
    <w:name w:val="heading 4_file_557"/>
    <w:basedOn w:val="820"/>
    <w:qFormat/>
    <w:uiPriority w:val="9"/>
    <w:pPr>
      <w:outlineLvl w:val="3"/>
    </w:pPr>
  </w:style>
  <w:style w:type="paragraph" w:customStyle="1" w:styleId="825">
    <w:name w:val="heading 5_file_557"/>
    <w:basedOn w:val="820"/>
    <w:qFormat/>
    <w:uiPriority w:val="9"/>
    <w:pPr>
      <w:outlineLvl w:val="4"/>
    </w:pPr>
    <w:rPr>
      <w:sz w:val="20"/>
      <w:szCs w:val="20"/>
    </w:rPr>
  </w:style>
  <w:style w:type="paragraph" w:customStyle="1" w:styleId="826">
    <w:name w:val="heading 6_file_557"/>
    <w:basedOn w:val="820"/>
    <w:qFormat/>
    <w:uiPriority w:val="9"/>
    <w:pPr>
      <w:outlineLvl w:val="5"/>
    </w:pPr>
    <w:rPr>
      <w:sz w:val="15"/>
      <w:szCs w:val="15"/>
    </w:rPr>
  </w:style>
  <w:style w:type="character" w:customStyle="1" w:styleId="827">
    <w:name w:val="Default Paragraph Font_file_557"/>
    <w:semiHidden/>
    <w:unhideWhenUsed/>
    <w:qFormat/>
    <w:uiPriority w:val="1"/>
  </w:style>
  <w:style w:type="table" w:customStyle="1" w:styleId="828">
    <w:name w:val="Normal Table_file_557"/>
    <w:semiHidden/>
    <w:unhideWhenUsed/>
    <w:qFormat/>
    <w:uiPriority w:val="99"/>
    <w:tblPr>
      <w:tblCellMar>
        <w:top w:w="0" w:type="dxa"/>
        <w:left w:w="108" w:type="dxa"/>
        <w:bottom w:w="0" w:type="dxa"/>
        <w:right w:w="108" w:type="dxa"/>
      </w:tblCellMar>
    </w:tblPr>
  </w:style>
  <w:style w:type="character" w:customStyle="1" w:styleId="829">
    <w:name w:val="Hyperlink_file_557"/>
    <w:basedOn w:val="827"/>
    <w:semiHidden/>
    <w:unhideWhenUsed/>
    <w:qFormat/>
    <w:uiPriority w:val="99"/>
    <w:rPr>
      <w:color w:val="0782C1"/>
      <w:u w:val="single"/>
    </w:rPr>
  </w:style>
  <w:style w:type="character" w:customStyle="1" w:styleId="830">
    <w:name w:val="FollowedHyperlink_file_557"/>
    <w:basedOn w:val="827"/>
    <w:semiHidden/>
    <w:unhideWhenUsed/>
    <w:qFormat/>
    <w:uiPriority w:val="99"/>
    <w:rPr>
      <w:color w:val="0782C1"/>
      <w:u w:val="single"/>
    </w:rPr>
  </w:style>
  <w:style w:type="character" w:customStyle="1" w:styleId="831">
    <w:name w:val="标题 1 Char_file_557"/>
    <w:basedOn w:val="827"/>
    <w:link w:val="4"/>
    <w:qFormat/>
    <w:uiPriority w:val="9"/>
    <w:rPr>
      <w:rFonts w:ascii="宋体" w:hAnsi="宋体" w:eastAsia="宋体" w:cs="宋体"/>
      <w:b/>
      <w:bCs/>
      <w:kern w:val="44"/>
      <w:sz w:val="44"/>
      <w:szCs w:val="44"/>
    </w:rPr>
  </w:style>
  <w:style w:type="character" w:customStyle="1" w:styleId="832">
    <w:name w:val="标题 2 Char_file_557"/>
    <w:basedOn w:val="827"/>
    <w:link w:val="5"/>
    <w:semiHidden/>
    <w:qFormat/>
    <w:uiPriority w:val="9"/>
    <w:rPr>
      <w:rFonts w:asciiTheme="majorHAnsi" w:hAnsiTheme="majorHAnsi" w:eastAsiaTheme="majorEastAsia" w:cstheme="majorBidi"/>
      <w:b/>
      <w:bCs/>
      <w:sz w:val="32"/>
      <w:szCs w:val="32"/>
    </w:rPr>
  </w:style>
  <w:style w:type="character" w:customStyle="1" w:styleId="833">
    <w:name w:val="标题 3 Char_file_557"/>
    <w:basedOn w:val="827"/>
    <w:link w:val="6"/>
    <w:semiHidden/>
    <w:qFormat/>
    <w:uiPriority w:val="9"/>
    <w:rPr>
      <w:rFonts w:ascii="宋体" w:hAnsi="宋体" w:eastAsia="宋体" w:cs="宋体"/>
      <w:b/>
      <w:bCs/>
      <w:sz w:val="32"/>
      <w:szCs w:val="32"/>
    </w:rPr>
  </w:style>
  <w:style w:type="character" w:customStyle="1" w:styleId="834">
    <w:name w:val="标题 4 Char_file_557"/>
    <w:basedOn w:val="827"/>
    <w:link w:val="7"/>
    <w:semiHidden/>
    <w:qFormat/>
    <w:uiPriority w:val="9"/>
    <w:rPr>
      <w:rFonts w:asciiTheme="majorHAnsi" w:hAnsiTheme="majorHAnsi" w:eastAsiaTheme="majorEastAsia" w:cstheme="majorBidi"/>
      <w:b/>
      <w:bCs/>
      <w:sz w:val="28"/>
      <w:szCs w:val="28"/>
    </w:rPr>
  </w:style>
  <w:style w:type="character" w:customStyle="1" w:styleId="835">
    <w:name w:val="标题 5 Char_file_557"/>
    <w:basedOn w:val="827"/>
    <w:link w:val="8"/>
    <w:semiHidden/>
    <w:qFormat/>
    <w:uiPriority w:val="9"/>
    <w:rPr>
      <w:rFonts w:ascii="宋体" w:hAnsi="宋体" w:eastAsia="宋体" w:cs="宋体"/>
      <w:b/>
      <w:bCs/>
      <w:sz w:val="28"/>
      <w:szCs w:val="28"/>
    </w:rPr>
  </w:style>
  <w:style w:type="character" w:customStyle="1" w:styleId="836">
    <w:name w:val="标题 6 Char_file_557"/>
    <w:basedOn w:val="827"/>
    <w:link w:val="10"/>
    <w:semiHidden/>
    <w:qFormat/>
    <w:uiPriority w:val="9"/>
    <w:rPr>
      <w:rFonts w:asciiTheme="majorHAnsi" w:hAnsiTheme="majorHAnsi" w:eastAsiaTheme="majorEastAsia" w:cstheme="majorBidi"/>
      <w:b/>
      <w:bCs/>
      <w:sz w:val="24"/>
      <w:szCs w:val="24"/>
    </w:rPr>
  </w:style>
  <w:style w:type="paragraph" w:customStyle="1" w:styleId="837">
    <w:name w:val="cke_editable_file_557"/>
    <w:basedOn w:val="820"/>
    <w:qFormat/>
    <w:uiPriority w:val="0"/>
    <w:rPr>
      <w:rFonts w:ascii="仿宋_GB2312" w:eastAsia="仿宋_GB2312"/>
    </w:rPr>
  </w:style>
  <w:style w:type="paragraph" w:customStyle="1" w:styleId="838">
    <w:name w:val="marker_file_557"/>
    <w:basedOn w:val="820"/>
    <w:qFormat/>
    <w:uiPriority w:val="0"/>
    <w:pPr>
      <w:shd w:val="clear" w:color="auto" w:fill="FFFF00"/>
    </w:pPr>
  </w:style>
  <w:style w:type="paragraph" w:customStyle="1" w:styleId="839">
    <w:name w:val="Normal (Web)_file_557"/>
    <w:basedOn w:val="820"/>
    <w:semiHidden/>
    <w:unhideWhenUsed/>
    <w:qFormat/>
    <w:uiPriority w:val="99"/>
  </w:style>
  <w:style w:type="character" w:customStyle="1" w:styleId="840">
    <w:name w:val="Strong_file_557"/>
    <w:basedOn w:val="827"/>
    <w:qFormat/>
    <w:uiPriority w:val="22"/>
    <w:rPr>
      <w:b/>
      <w:bCs/>
    </w:rPr>
  </w:style>
  <w:style w:type="paragraph" w:customStyle="1" w:styleId="841">
    <w:name w:val="Normal_file_55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42">
    <w:name w:val="heading 1_file_558"/>
    <w:basedOn w:val="841"/>
    <w:qFormat/>
    <w:uiPriority w:val="9"/>
    <w:pPr>
      <w:outlineLvl w:val="0"/>
    </w:pPr>
    <w:rPr>
      <w:kern w:val="36"/>
      <w:sz w:val="48"/>
      <w:szCs w:val="48"/>
    </w:rPr>
  </w:style>
  <w:style w:type="paragraph" w:customStyle="1" w:styleId="843">
    <w:name w:val="heading 2_file_558"/>
    <w:basedOn w:val="841"/>
    <w:qFormat/>
    <w:uiPriority w:val="9"/>
    <w:pPr>
      <w:outlineLvl w:val="1"/>
    </w:pPr>
    <w:rPr>
      <w:sz w:val="36"/>
      <w:szCs w:val="36"/>
    </w:rPr>
  </w:style>
  <w:style w:type="paragraph" w:customStyle="1" w:styleId="844">
    <w:name w:val="heading 3_file_558"/>
    <w:basedOn w:val="841"/>
    <w:qFormat/>
    <w:uiPriority w:val="9"/>
    <w:pPr>
      <w:outlineLvl w:val="2"/>
    </w:pPr>
    <w:rPr>
      <w:sz w:val="27"/>
      <w:szCs w:val="27"/>
    </w:rPr>
  </w:style>
  <w:style w:type="paragraph" w:customStyle="1" w:styleId="845">
    <w:name w:val="heading 4_file_558"/>
    <w:basedOn w:val="841"/>
    <w:qFormat/>
    <w:uiPriority w:val="9"/>
    <w:pPr>
      <w:outlineLvl w:val="3"/>
    </w:pPr>
  </w:style>
  <w:style w:type="paragraph" w:customStyle="1" w:styleId="846">
    <w:name w:val="heading 5_file_558"/>
    <w:basedOn w:val="841"/>
    <w:qFormat/>
    <w:uiPriority w:val="9"/>
    <w:pPr>
      <w:outlineLvl w:val="4"/>
    </w:pPr>
    <w:rPr>
      <w:sz w:val="20"/>
      <w:szCs w:val="20"/>
    </w:rPr>
  </w:style>
  <w:style w:type="paragraph" w:customStyle="1" w:styleId="847">
    <w:name w:val="heading 6_file_558"/>
    <w:basedOn w:val="841"/>
    <w:qFormat/>
    <w:uiPriority w:val="9"/>
    <w:pPr>
      <w:outlineLvl w:val="5"/>
    </w:pPr>
    <w:rPr>
      <w:sz w:val="15"/>
      <w:szCs w:val="15"/>
    </w:rPr>
  </w:style>
  <w:style w:type="character" w:customStyle="1" w:styleId="848">
    <w:name w:val="Default Paragraph Font_file_558"/>
    <w:semiHidden/>
    <w:unhideWhenUsed/>
    <w:qFormat/>
    <w:uiPriority w:val="1"/>
  </w:style>
  <w:style w:type="table" w:customStyle="1" w:styleId="849">
    <w:name w:val="Normal Table_file_558"/>
    <w:semiHidden/>
    <w:unhideWhenUsed/>
    <w:qFormat/>
    <w:uiPriority w:val="99"/>
    <w:tblPr>
      <w:tblCellMar>
        <w:top w:w="0" w:type="dxa"/>
        <w:left w:w="108" w:type="dxa"/>
        <w:bottom w:w="0" w:type="dxa"/>
        <w:right w:w="108" w:type="dxa"/>
      </w:tblCellMar>
    </w:tblPr>
  </w:style>
  <w:style w:type="character" w:customStyle="1" w:styleId="850">
    <w:name w:val="Hyperlink_file_558"/>
    <w:basedOn w:val="848"/>
    <w:semiHidden/>
    <w:unhideWhenUsed/>
    <w:qFormat/>
    <w:uiPriority w:val="99"/>
    <w:rPr>
      <w:color w:val="0782C1"/>
      <w:u w:val="single"/>
    </w:rPr>
  </w:style>
  <w:style w:type="character" w:customStyle="1" w:styleId="851">
    <w:name w:val="FollowedHyperlink_file_558"/>
    <w:basedOn w:val="848"/>
    <w:semiHidden/>
    <w:unhideWhenUsed/>
    <w:qFormat/>
    <w:uiPriority w:val="99"/>
    <w:rPr>
      <w:color w:val="0782C1"/>
      <w:u w:val="single"/>
    </w:rPr>
  </w:style>
  <w:style w:type="character" w:customStyle="1" w:styleId="852">
    <w:name w:val="标题 1 Char_file_558"/>
    <w:basedOn w:val="848"/>
    <w:link w:val="4"/>
    <w:qFormat/>
    <w:uiPriority w:val="9"/>
    <w:rPr>
      <w:rFonts w:ascii="宋体" w:hAnsi="宋体" w:eastAsia="宋体" w:cs="宋体"/>
      <w:b/>
      <w:bCs/>
      <w:kern w:val="44"/>
      <w:sz w:val="44"/>
      <w:szCs w:val="44"/>
    </w:rPr>
  </w:style>
  <w:style w:type="character" w:customStyle="1" w:styleId="853">
    <w:name w:val="标题 2 Char_file_558"/>
    <w:basedOn w:val="848"/>
    <w:link w:val="5"/>
    <w:semiHidden/>
    <w:qFormat/>
    <w:uiPriority w:val="9"/>
    <w:rPr>
      <w:rFonts w:asciiTheme="majorHAnsi" w:hAnsiTheme="majorHAnsi" w:eastAsiaTheme="majorEastAsia" w:cstheme="majorBidi"/>
      <w:b/>
      <w:bCs/>
      <w:sz w:val="32"/>
      <w:szCs w:val="32"/>
    </w:rPr>
  </w:style>
  <w:style w:type="character" w:customStyle="1" w:styleId="854">
    <w:name w:val="标题 3 Char_file_558"/>
    <w:basedOn w:val="848"/>
    <w:link w:val="6"/>
    <w:semiHidden/>
    <w:qFormat/>
    <w:uiPriority w:val="9"/>
    <w:rPr>
      <w:rFonts w:ascii="宋体" w:hAnsi="宋体" w:eastAsia="宋体" w:cs="宋体"/>
      <w:b/>
      <w:bCs/>
      <w:sz w:val="32"/>
      <w:szCs w:val="32"/>
    </w:rPr>
  </w:style>
  <w:style w:type="character" w:customStyle="1" w:styleId="855">
    <w:name w:val="标题 4 Char_file_558"/>
    <w:basedOn w:val="848"/>
    <w:link w:val="7"/>
    <w:semiHidden/>
    <w:qFormat/>
    <w:uiPriority w:val="9"/>
    <w:rPr>
      <w:rFonts w:asciiTheme="majorHAnsi" w:hAnsiTheme="majorHAnsi" w:eastAsiaTheme="majorEastAsia" w:cstheme="majorBidi"/>
      <w:b/>
      <w:bCs/>
      <w:sz w:val="28"/>
      <w:szCs w:val="28"/>
    </w:rPr>
  </w:style>
  <w:style w:type="character" w:customStyle="1" w:styleId="856">
    <w:name w:val="标题 5 Char_file_558"/>
    <w:basedOn w:val="848"/>
    <w:link w:val="8"/>
    <w:semiHidden/>
    <w:qFormat/>
    <w:uiPriority w:val="9"/>
    <w:rPr>
      <w:rFonts w:ascii="宋体" w:hAnsi="宋体" w:eastAsia="宋体" w:cs="宋体"/>
      <w:b/>
      <w:bCs/>
      <w:sz w:val="28"/>
      <w:szCs w:val="28"/>
    </w:rPr>
  </w:style>
  <w:style w:type="character" w:customStyle="1" w:styleId="857">
    <w:name w:val="标题 6 Char_file_558"/>
    <w:basedOn w:val="848"/>
    <w:link w:val="10"/>
    <w:semiHidden/>
    <w:qFormat/>
    <w:uiPriority w:val="9"/>
    <w:rPr>
      <w:rFonts w:asciiTheme="majorHAnsi" w:hAnsiTheme="majorHAnsi" w:eastAsiaTheme="majorEastAsia" w:cstheme="majorBidi"/>
      <w:b/>
      <w:bCs/>
      <w:sz w:val="24"/>
      <w:szCs w:val="24"/>
    </w:rPr>
  </w:style>
  <w:style w:type="paragraph" w:customStyle="1" w:styleId="858">
    <w:name w:val="cke_editable_file_558"/>
    <w:basedOn w:val="841"/>
    <w:qFormat/>
    <w:uiPriority w:val="0"/>
    <w:rPr>
      <w:rFonts w:ascii="仿宋_GB2312" w:eastAsia="仿宋_GB2312"/>
    </w:rPr>
  </w:style>
  <w:style w:type="paragraph" w:customStyle="1" w:styleId="859">
    <w:name w:val="marker_file_558"/>
    <w:basedOn w:val="841"/>
    <w:qFormat/>
    <w:uiPriority w:val="0"/>
    <w:pPr>
      <w:shd w:val="clear" w:color="auto" w:fill="FFFF00"/>
    </w:pPr>
  </w:style>
  <w:style w:type="paragraph" w:customStyle="1" w:styleId="860">
    <w:name w:val="Normal (Web)_file_558"/>
    <w:basedOn w:val="841"/>
    <w:semiHidden/>
    <w:unhideWhenUsed/>
    <w:qFormat/>
    <w:uiPriority w:val="99"/>
  </w:style>
  <w:style w:type="paragraph" w:customStyle="1" w:styleId="861">
    <w:name w:val="Normal_file_55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62">
    <w:name w:val="heading 1_file_559"/>
    <w:basedOn w:val="861"/>
    <w:qFormat/>
    <w:uiPriority w:val="9"/>
    <w:pPr>
      <w:outlineLvl w:val="0"/>
    </w:pPr>
    <w:rPr>
      <w:kern w:val="36"/>
      <w:sz w:val="48"/>
      <w:szCs w:val="48"/>
    </w:rPr>
  </w:style>
  <w:style w:type="paragraph" w:customStyle="1" w:styleId="863">
    <w:name w:val="heading 2_file_559"/>
    <w:basedOn w:val="861"/>
    <w:qFormat/>
    <w:uiPriority w:val="9"/>
    <w:pPr>
      <w:outlineLvl w:val="1"/>
    </w:pPr>
    <w:rPr>
      <w:sz w:val="36"/>
      <w:szCs w:val="36"/>
    </w:rPr>
  </w:style>
  <w:style w:type="paragraph" w:customStyle="1" w:styleId="864">
    <w:name w:val="heading 3_file_559"/>
    <w:basedOn w:val="861"/>
    <w:qFormat/>
    <w:uiPriority w:val="9"/>
    <w:pPr>
      <w:outlineLvl w:val="2"/>
    </w:pPr>
    <w:rPr>
      <w:sz w:val="27"/>
      <w:szCs w:val="27"/>
    </w:rPr>
  </w:style>
  <w:style w:type="paragraph" w:customStyle="1" w:styleId="865">
    <w:name w:val="heading 4_file_559"/>
    <w:basedOn w:val="861"/>
    <w:qFormat/>
    <w:uiPriority w:val="9"/>
    <w:pPr>
      <w:outlineLvl w:val="3"/>
    </w:pPr>
  </w:style>
  <w:style w:type="paragraph" w:customStyle="1" w:styleId="866">
    <w:name w:val="heading 5_file_559"/>
    <w:basedOn w:val="861"/>
    <w:qFormat/>
    <w:uiPriority w:val="9"/>
    <w:pPr>
      <w:outlineLvl w:val="4"/>
    </w:pPr>
    <w:rPr>
      <w:sz w:val="20"/>
      <w:szCs w:val="20"/>
    </w:rPr>
  </w:style>
  <w:style w:type="paragraph" w:customStyle="1" w:styleId="867">
    <w:name w:val="heading 6_file_559"/>
    <w:basedOn w:val="861"/>
    <w:qFormat/>
    <w:uiPriority w:val="9"/>
    <w:pPr>
      <w:outlineLvl w:val="5"/>
    </w:pPr>
    <w:rPr>
      <w:sz w:val="15"/>
      <w:szCs w:val="15"/>
    </w:rPr>
  </w:style>
  <w:style w:type="character" w:customStyle="1" w:styleId="868">
    <w:name w:val="Default Paragraph Font_file_559"/>
    <w:semiHidden/>
    <w:unhideWhenUsed/>
    <w:qFormat/>
    <w:uiPriority w:val="1"/>
  </w:style>
  <w:style w:type="table" w:customStyle="1" w:styleId="869">
    <w:name w:val="Normal Table_file_559"/>
    <w:semiHidden/>
    <w:unhideWhenUsed/>
    <w:qFormat/>
    <w:uiPriority w:val="99"/>
    <w:tblPr>
      <w:tblCellMar>
        <w:top w:w="0" w:type="dxa"/>
        <w:left w:w="108" w:type="dxa"/>
        <w:bottom w:w="0" w:type="dxa"/>
        <w:right w:w="108" w:type="dxa"/>
      </w:tblCellMar>
    </w:tblPr>
  </w:style>
  <w:style w:type="character" w:customStyle="1" w:styleId="870">
    <w:name w:val="Hyperlink_file_559"/>
    <w:basedOn w:val="868"/>
    <w:semiHidden/>
    <w:unhideWhenUsed/>
    <w:qFormat/>
    <w:uiPriority w:val="99"/>
    <w:rPr>
      <w:color w:val="0782C1"/>
      <w:u w:val="single"/>
    </w:rPr>
  </w:style>
  <w:style w:type="character" w:customStyle="1" w:styleId="871">
    <w:name w:val="FollowedHyperlink_file_559"/>
    <w:basedOn w:val="868"/>
    <w:semiHidden/>
    <w:unhideWhenUsed/>
    <w:qFormat/>
    <w:uiPriority w:val="99"/>
    <w:rPr>
      <w:color w:val="0782C1"/>
      <w:u w:val="single"/>
    </w:rPr>
  </w:style>
  <w:style w:type="character" w:customStyle="1" w:styleId="872">
    <w:name w:val="标题 1 Char_file_559"/>
    <w:basedOn w:val="868"/>
    <w:link w:val="4"/>
    <w:qFormat/>
    <w:uiPriority w:val="9"/>
    <w:rPr>
      <w:rFonts w:ascii="宋体" w:hAnsi="宋体" w:eastAsia="宋体" w:cs="宋体"/>
      <w:b/>
      <w:bCs/>
      <w:kern w:val="44"/>
      <w:sz w:val="44"/>
      <w:szCs w:val="44"/>
    </w:rPr>
  </w:style>
  <w:style w:type="character" w:customStyle="1" w:styleId="873">
    <w:name w:val="标题 2 Char_file_559"/>
    <w:basedOn w:val="868"/>
    <w:link w:val="5"/>
    <w:semiHidden/>
    <w:qFormat/>
    <w:uiPriority w:val="9"/>
    <w:rPr>
      <w:rFonts w:asciiTheme="majorHAnsi" w:hAnsiTheme="majorHAnsi" w:eastAsiaTheme="majorEastAsia" w:cstheme="majorBidi"/>
      <w:b/>
      <w:bCs/>
      <w:sz w:val="32"/>
      <w:szCs w:val="32"/>
    </w:rPr>
  </w:style>
  <w:style w:type="character" w:customStyle="1" w:styleId="874">
    <w:name w:val="标题 3 Char_file_559"/>
    <w:basedOn w:val="868"/>
    <w:link w:val="6"/>
    <w:semiHidden/>
    <w:qFormat/>
    <w:uiPriority w:val="9"/>
    <w:rPr>
      <w:rFonts w:ascii="宋体" w:hAnsi="宋体" w:eastAsia="宋体" w:cs="宋体"/>
      <w:b/>
      <w:bCs/>
      <w:sz w:val="32"/>
      <w:szCs w:val="32"/>
    </w:rPr>
  </w:style>
  <w:style w:type="character" w:customStyle="1" w:styleId="875">
    <w:name w:val="标题 4 Char_file_559"/>
    <w:basedOn w:val="868"/>
    <w:link w:val="7"/>
    <w:semiHidden/>
    <w:qFormat/>
    <w:uiPriority w:val="9"/>
    <w:rPr>
      <w:rFonts w:asciiTheme="majorHAnsi" w:hAnsiTheme="majorHAnsi" w:eastAsiaTheme="majorEastAsia" w:cstheme="majorBidi"/>
      <w:b/>
      <w:bCs/>
      <w:sz w:val="28"/>
      <w:szCs w:val="28"/>
    </w:rPr>
  </w:style>
  <w:style w:type="character" w:customStyle="1" w:styleId="876">
    <w:name w:val="标题 5 Char_file_559"/>
    <w:basedOn w:val="868"/>
    <w:link w:val="8"/>
    <w:semiHidden/>
    <w:qFormat/>
    <w:uiPriority w:val="9"/>
    <w:rPr>
      <w:rFonts w:ascii="宋体" w:hAnsi="宋体" w:eastAsia="宋体" w:cs="宋体"/>
      <w:b/>
      <w:bCs/>
      <w:sz w:val="28"/>
      <w:szCs w:val="28"/>
    </w:rPr>
  </w:style>
  <w:style w:type="character" w:customStyle="1" w:styleId="877">
    <w:name w:val="标题 6 Char_file_559"/>
    <w:basedOn w:val="868"/>
    <w:link w:val="10"/>
    <w:semiHidden/>
    <w:qFormat/>
    <w:uiPriority w:val="9"/>
    <w:rPr>
      <w:rFonts w:asciiTheme="majorHAnsi" w:hAnsiTheme="majorHAnsi" w:eastAsiaTheme="majorEastAsia" w:cstheme="majorBidi"/>
      <w:b/>
      <w:bCs/>
      <w:sz w:val="24"/>
      <w:szCs w:val="24"/>
    </w:rPr>
  </w:style>
  <w:style w:type="paragraph" w:customStyle="1" w:styleId="878">
    <w:name w:val="cke_editable_file_559"/>
    <w:basedOn w:val="861"/>
    <w:qFormat/>
    <w:uiPriority w:val="0"/>
    <w:rPr>
      <w:rFonts w:ascii="仿宋_GB2312" w:eastAsia="仿宋_GB2312"/>
    </w:rPr>
  </w:style>
  <w:style w:type="paragraph" w:customStyle="1" w:styleId="879">
    <w:name w:val="marker_file_559"/>
    <w:basedOn w:val="861"/>
    <w:qFormat/>
    <w:uiPriority w:val="0"/>
    <w:pPr>
      <w:shd w:val="clear" w:color="auto" w:fill="FFFF00"/>
    </w:pPr>
  </w:style>
  <w:style w:type="paragraph" w:customStyle="1" w:styleId="880">
    <w:name w:val="Normal (Web)_file_559"/>
    <w:basedOn w:val="861"/>
    <w:semiHidden/>
    <w:unhideWhenUsed/>
    <w:qFormat/>
    <w:uiPriority w:val="99"/>
  </w:style>
  <w:style w:type="paragraph" w:customStyle="1" w:styleId="881">
    <w:name w:val="Normal_file_56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82">
    <w:name w:val="heading 1_file_560"/>
    <w:basedOn w:val="881"/>
    <w:qFormat/>
    <w:uiPriority w:val="9"/>
    <w:pPr>
      <w:outlineLvl w:val="0"/>
    </w:pPr>
    <w:rPr>
      <w:kern w:val="36"/>
      <w:sz w:val="48"/>
      <w:szCs w:val="48"/>
    </w:rPr>
  </w:style>
  <w:style w:type="paragraph" w:customStyle="1" w:styleId="883">
    <w:name w:val="heading 2_file_560"/>
    <w:basedOn w:val="881"/>
    <w:qFormat/>
    <w:uiPriority w:val="9"/>
    <w:pPr>
      <w:outlineLvl w:val="1"/>
    </w:pPr>
    <w:rPr>
      <w:sz w:val="36"/>
      <w:szCs w:val="36"/>
    </w:rPr>
  </w:style>
  <w:style w:type="paragraph" w:customStyle="1" w:styleId="884">
    <w:name w:val="heading 3_file_560"/>
    <w:basedOn w:val="881"/>
    <w:qFormat/>
    <w:uiPriority w:val="9"/>
    <w:pPr>
      <w:outlineLvl w:val="2"/>
    </w:pPr>
    <w:rPr>
      <w:sz w:val="27"/>
      <w:szCs w:val="27"/>
    </w:rPr>
  </w:style>
  <w:style w:type="paragraph" w:customStyle="1" w:styleId="885">
    <w:name w:val="heading 4_file_560"/>
    <w:basedOn w:val="881"/>
    <w:qFormat/>
    <w:uiPriority w:val="9"/>
    <w:pPr>
      <w:outlineLvl w:val="3"/>
    </w:pPr>
  </w:style>
  <w:style w:type="paragraph" w:customStyle="1" w:styleId="886">
    <w:name w:val="heading 5_file_560"/>
    <w:basedOn w:val="881"/>
    <w:qFormat/>
    <w:uiPriority w:val="9"/>
    <w:pPr>
      <w:outlineLvl w:val="4"/>
    </w:pPr>
    <w:rPr>
      <w:sz w:val="20"/>
      <w:szCs w:val="20"/>
    </w:rPr>
  </w:style>
  <w:style w:type="paragraph" w:customStyle="1" w:styleId="887">
    <w:name w:val="heading 6_file_560"/>
    <w:basedOn w:val="881"/>
    <w:qFormat/>
    <w:uiPriority w:val="9"/>
    <w:pPr>
      <w:outlineLvl w:val="5"/>
    </w:pPr>
    <w:rPr>
      <w:sz w:val="15"/>
      <w:szCs w:val="15"/>
    </w:rPr>
  </w:style>
  <w:style w:type="character" w:customStyle="1" w:styleId="888">
    <w:name w:val="Default Paragraph Font_file_560"/>
    <w:semiHidden/>
    <w:unhideWhenUsed/>
    <w:qFormat/>
    <w:uiPriority w:val="1"/>
  </w:style>
  <w:style w:type="table" w:customStyle="1" w:styleId="889">
    <w:name w:val="Normal Table_file_560"/>
    <w:semiHidden/>
    <w:unhideWhenUsed/>
    <w:qFormat/>
    <w:uiPriority w:val="99"/>
    <w:tblPr>
      <w:tblCellMar>
        <w:top w:w="0" w:type="dxa"/>
        <w:left w:w="108" w:type="dxa"/>
        <w:bottom w:w="0" w:type="dxa"/>
        <w:right w:w="108" w:type="dxa"/>
      </w:tblCellMar>
    </w:tblPr>
  </w:style>
  <w:style w:type="character" w:customStyle="1" w:styleId="890">
    <w:name w:val="Hyperlink_file_560"/>
    <w:basedOn w:val="888"/>
    <w:semiHidden/>
    <w:unhideWhenUsed/>
    <w:qFormat/>
    <w:uiPriority w:val="99"/>
    <w:rPr>
      <w:color w:val="0782C1"/>
      <w:u w:val="single"/>
    </w:rPr>
  </w:style>
  <w:style w:type="character" w:customStyle="1" w:styleId="891">
    <w:name w:val="FollowedHyperlink_file_560"/>
    <w:basedOn w:val="888"/>
    <w:semiHidden/>
    <w:unhideWhenUsed/>
    <w:qFormat/>
    <w:uiPriority w:val="99"/>
    <w:rPr>
      <w:color w:val="0782C1"/>
      <w:u w:val="single"/>
    </w:rPr>
  </w:style>
  <w:style w:type="character" w:customStyle="1" w:styleId="892">
    <w:name w:val="标题 1 Char_file_560"/>
    <w:basedOn w:val="888"/>
    <w:link w:val="4"/>
    <w:qFormat/>
    <w:uiPriority w:val="9"/>
    <w:rPr>
      <w:rFonts w:ascii="宋体" w:hAnsi="宋体" w:eastAsia="宋体" w:cs="宋体"/>
      <w:b/>
      <w:bCs/>
      <w:kern w:val="44"/>
      <w:sz w:val="44"/>
      <w:szCs w:val="44"/>
    </w:rPr>
  </w:style>
  <w:style w:type="character" w:customStyle="1" w:styleId="893">
    <w:name w:val="标题 2 Char_file_560"/>
    <w:basedOn w:val="888"/>
    <w:link w:val="5"/>
    <w:semiHidden/>
    <w:qFormat/>
    <w:uiPriority w:val="9"/>
    <w:rPr>
      <w:rFonts w:asciiTheme="majorHAnsi" w:hAnsiTheme="majorHAnsi" w:eastAsiaTheme="majorEastAsia" w:cstheme="majorBidi"/>
      <w:b/>
      <w:bCs/>
      <w:sz w:val="32"/>
      <w:szCs w:val="32"/>
    </w:rPr>
  </w:style>
  <w:style w:type="character" w:customStyle="1" w:styleId="894">
    <w:name w:val="标题 3 Char_file_560"/>
    <w:basedOn w:val="888"/>
    <w:link w:val="6"/>
    <w:semiHidden/>
    <w:qFormat/>
    <w:uiPriority w:val="9"/>
    <w:rPr>
      <w:rFonts w:ascii="宋体" w:hAnsi="宋体" w:eastAsia="宋体" w:cs="宋体"/>
      <w:b/>
      <w:bCs/>
      <w:sz w:val="32"/>
      <w:szCs w:val="32"/>
    </w:rPr>
  </w:style>
  <w:style w:type="character" w:customStyle="1" w:styleId="895">
    <w:name w:val="标题 4 Char_file_560"/>
    <w:basedOn w:val="888"/>
    <w:link w:val="7"/>
    <w:semiHidden/>
    <w:qFormat/>
    <w:uiPriority w:val="9"/>
    <w:rPr>
      <w:rFonts w:asciiTheme="majorHAnsi" w:hAnsiTheme="majorHAnsi" w:eastAsiaTheme="majorEastAsia" w:cstheme="majorBidi"/>
      <w:b/>
      <w:bCs/>
      <w:sz w:val="28"/>
      <w:szCs w:val="28"/>
    </w:rPr>
  </w:style>
  <w:style w:type="character" w:customStyle="1" w:styleId="896">
    <w:name w:val="标题 5 Char_file_560"/>
    <w:basedOn w:val="888"/>
    <w:link w:val="8"/>
    <w:semiHidden/>
    <w:qFormat/>
    <w:uiPriority w:val="9"/>
    <w:rPr>
      <w:rFonts w:ascii="宋体" w:hAnsi="宋体" w:eastAsia="宋体" w:cs="宋体"/>
      <w:b/>
      <w:bCs/>
      <w:sz w:val="28"/>
      <w:szCs w:val="28"/>
    </w:rPr>
  </w:style>
  <w:style w:type="character" w:customStyle="1" w:styleId="897">
    <w:name w:val="标题 6 Char_file_560"/>
    <w:basedOn w:val="888"/>
    <w:link w:val="10"/>
    <w:semiHidden/>
    <w:qFormat/>
    <w:uiPriority w:val="9"/>
    <w:rPr>
      <w:rFonts w:asciiTheme="majorHAnsi" w:hAnsiTheme="majorHAnsi" w:eastAsiaTheme="majorEastAsia" w:cstheme="majorBidi"/>
      <w:b/>
      <w:bCs/>
      <w:sz w:val="24"/>
      <w:szCs w:val="24"/>
    </w:rPr>
  </w:style>
  <w:style w:type="paragraph" w:customStyle="1" w:styleId="898">
    <w:name w:val="cke_editable_file_560"/>
    <w:basedOn w:val="881"/>
    <w:qFormat/>
    <w:uiPriority w:val="0"/>
    <w:rPr>
      <w:rFonts w:ascii="仿宋_GB2312" w:eastAsia="仿宋_GB2312"/>
    </w:rPr>
  </w:style>
  <w:style w:type="paragraph" w:customStyle="1" w:styleId="899">
    <w:name w:val="marker_file_560"/>
    <w:basedOn w:val="881"/>
    <w:qFormat/>
    <w:uiPriority w:val="0"/>
    <w:pPr>
      <w:shd w:val="clear" w:color="auto" w:fill="FFFF00"/>
    </w:pPr>
  </w:style>
  <w:style w:type="paragraph" w:customStyle="1" w:styleId="900">
    <w:name w:val="Normal (Web)_file_560"/>
    <w:basedOn w:val="881"/>
    <w:semiHidden/>
    <w:unhideWhenUsed/>
    <w:qFormat/>
    <w:uiPriority w:val="99"/>
  </w:style>
  <w:style w:type="paragraph" w:customStyle="1" w:styleId="901">
    <w:name w:val="Normal_file_56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902">
    <w:name w:val="heading 1_file_561"/>
    <w:basedOn w:val="901"/>
    <w:qFormat/>
    <w:uiPriority w:val="9"/>
    <w:pPr>
      <w:outlineLvl w:val="0"/>
    </w:pPr>
    <w:rPr>
      <w:kern w:val="36"/>
      <w:sz w:val="48"/>
      <w:szCs w:val="48"/>
    </w:rPr>
  </w:style>
  <w:style w:type="paragraph" w:customStyle="1" w:styleId="903">
    <w:name w:val="heading 2_file_561"/>
    <w:basedOn w:val="901"/>
    <w:qFormat/>
    <w:uiPriority w:val="9"/>
    <w:pPr>
      <w:outlineLvl w:val="1"/>
    </w:pPr>
    <w:rPr>
      <w:sz w:val="36"/>
      <w:szCs w:val="36"/>
    </w:rPr>
  </w:style>
  <w:style w:type="paragraph" w:customStyle="1" w:styleId="904">
    <w:name w:val="heading 3_file_561"/>
    <w:basedOn w:val="901"/>
    <w:qFormat/>
    <w:uiPriority w:val="9"/>
    <w:pPr>
      <w:outlineLvl w:val="2"/>
    </w:pPr>
    <w:rPr>
      <w:sz w:val="27"/>
      <w:szCs w:val="27"/>
    </w:rPr>
  </w:style>
  <w:style w:type="paragraph" w:customStyle="1" w:styleId="905">
    <w:name w:val="heading 4_file_561"/>
    <w:basedOn w:val="901"/>
    <w:qFormat/>
    <w:uiPriority w:val="9"/>
    <w:pPr>
      <w:outlineLvl w:val="3"/>
    </w:pPr>
  </w:style>
  <w:style w:type="paragraph" w:customStyle="1" w:styleId="906">
    <w:name w:val="heading 5_file_561"/>
    <w:basedOn w:val="901"/>
    <w:qFormat/>
    <w:uiPriority w:val="9"/>
    <w:pPr>
      <w:outlineLvl w:val="4"/>
    </w:pPr>
    <w:rPr>
      <w:sz w:val="20"/>
      <w:szCs w:val="20"/>
    </w:rPr>
  </w:style>
  <w:style w:type="paragraph" w:customStyle="1" w:styleId="907">
    <w:name w:val="heading 6_file_561"/>
    <w:basedOn w:val="901"/>
    <w:qFormat/>
    <w:uiPriority w:val="9"/>
    <w:pPr>
      <w:outlineLvl w:val="5"/>
    </w:pPr>
    <w:rPr>
      <w:sz w:val="15"/>
      <w:szCs w:val="15"/>
    </w:rPr>
  </w:style>
  <w:style w:type="character" w:customStyle="1" w:styleId="908">
    <w:name w:val="Default Paragraph Font_file_561"/>
    <w:semiHidden/>
    <w:unhideWhenUsed/>
    <w:qFormat/>
    <w:uiPriority w:val="1"/>
  </w:style>
  <w:style w:type="table" w:customStyle="1" w:styleId="909">
    <w:name w:val="Normal Table_file_561"/>
    <w:semiHidden/>
    <w:unhideWhenUsed/>
    <w:qFormat/>
    <w:uiPriority w:val="99"/>
    <w:tblPr>
      <w:tblCellMar>
        <w:top w:w="0" w:type="dxa"/>
        <w:left w:w="108" w:type="dxa"/>
        <w:bottom w:w="0" w:type="dxa"/>
        <w:right w:w="108" w:type="dxa"/>
      </w:tblCellMar>
    </w:tblPr>
  </w:style>
  <w:style w:type="character" w:customStyle="1" w:styleId="910">
    <w:name w:val="Hyperlink_file_561"/>
    <w:basedOn w:val="908"/>
    <w:semiHidden/>
    <w:unhideWhenUsed/>
    <w:qFormat/>
    <w:uiPriority w:val="99"/>
    <w:rPr>
      <w:color w:val="0782C1"/>
      <w:u w:val="single"/>
    </w:rPr>
  </w:style>
  <w:style w:type="character" w:customStyle="1" w:styleId="911">
    <w:name w:val="FollowedHyperlink_file_561"/>
    <w:basedOn w:val="908"/>
    <w:semiHidden/>
    <w:unhideWhenUsed/>
    <w:qFormat/>
    <w:uiPriority w:val="99"/>
    <w:rPr>
      <w:color w:val="0782C1"/>
      <w:u w:val="single"/>
    </w:rPr>
  </w:style>
  <w:style w:type="character" w:customStyle="1" w:styleId="912">
    <w:name w:val="标题 1 Char_file_561"/>
    <w:basedOn w:val="908"/>
    <w:link w:val="4"/>
    <w:qFormat/>
    <w:uiPriority w:val="9"/>
    <w:rPr>
      <w:rFonts w:ascii="宋体" w:hAnsi="宋体" w:eastAsia="宋体" w:cs="宋体"/>
      <w:b/>
      <w:bCs/>
      <w:kern w:val="44"/>
      <w:sz w:val="44"/>
      <w:szCs w:val="44"/>
    </w:rPr>
  </w:style>
  <w:style w:type="character" w:customStyle="1" w:styleId="913">
    <w:name w:val="标题 2 Char_file_561"/>
    <w:basedOn w:val="908"/>
    <w:link w:val="5"/>
    <w:semiHidden/>
    <w:qFormat/>
    <w:uiPriority w:val="9"/>
    <w:rPr>
      <w:rFonts w:asciiTheme="majorHAnsi" w:hAnsiTheme="majorHAnsi" w:eastAsiaTheme="majorEastAsia" w:cstheme="majorBidi"/>
      <w:b/>
      <w:bCs/>
      <w:sz w:val="32"/>
      <w:szCs w:val="32"/>
    </w:rPr>
  </w:style>
  <w:style w:type="character" w:customStyle="1" w:styleId="914">
    <w:name w:val="标题 3 Char_file_561"/>
    <w:basedOn w:val="908"/>
    <w:link w:val="6"/>
    <w:semiHidden/>
    <w:qFormat/>
    <w:uiPriority w:val="9"/>
    <w:rPr>
      <w:rFonts w:ascii="宋体" w:hAnsi="宋体" w:eastAsia="宋体" w:cs="宋体"/>
      <w:b/>
      <w:bCs/>
      <w:sz w:val="32"/>
      <w:szCs w:val="32"/>
    </w:rPr>
  </w:style>
  <w:style w:type="character" w:customStyle="1" w:styleId="915">
    <w:name w:val="标题 4 Char_file_561"/>
    <w:basedOn w:val="908"/>
    <w:link w:val="7"/>
    <w:semiHidden/>
    <w:qFormat/>
    <w:uiPriority w:val="9"/>
    <w:rPr>
      <w:rFonts w:asciiTheme="majorHAnsi" w:hAnsiTheme="majorHAnsi" w:eastAsiaTheme="majorEastAsia" w:cstheme="majorBidi"/>
      <w:b/>
      <w:bCs/>
      <w:sz w:val="28"/>
      <w:szCs w:val="28"/>
    </w:rPr>
  </w:style>
  <w:style w:type="character" w:customStyle="1" w:styleId="916">
    <w:name w:val="标题 5 Char_file_561"/>
    <w:basedOn w:val="908"/>
    <w:link w:val="8"/>
    <w:semiHidden/>
    <w:qFormat/>
    <w:uiPriority w:val="9"/>
    <w:rPr>
      <w:rFonts w:ascii="宋体" w:hAnsi="宋体" w:eastAsia="宋体" w:cs="宋体"/>
      <w:b/>
      <w:bCs/>
      <w:sz w:val="28"/>
      <w:szCs w:val="28"/>
    </w:rPr>
  </w:style>
  <w:style w:type="character" w:customStyle="1" w:styleId="917">
    <w:name w:val="标题 6 Char_file_561"/>
    <w:basedOn w:val="908"/>
    <w:link w:val="10"/>
    <w:semiHidden/>
    <w:qFormat/>
    <w:uiPriority w:val="9"/>
    <w:rPr>
      <w:rFonts w:asciiTheme="majorHAnsi" w:hAnsiTheme="majorHAnsi" w:eastAsiaTheme="majorEastAsia" w:cstheme="majorBidi"/>
      <w:b/>
      <w:bCs/>
      <w:sz w:val="24"/>
      <w:szCs w:val="24"/>
    </w:rPr>
  </w:style>
  <w:style w:type="paragraph" w:customStyle="1" w:styleId="918">
    <w:name w:val="cke_editable_file_561"/>
    <w:basedOn w:val="901"/>
    <w:qFormat/>
    <w:uiPriority w:val="0"/>
    <w:rPr>
      <w:rFonts w:ascii="仿宋_GB2312" w:eastAsia="仿宋_GB2312"/>
    </w:rPr>
  </w:style>
  <w:style w:type="paragraph" w:customStyle="1" w:styleId="919">
    <w:name w:val="marker_file_561"/>
    <w:basedOn w:val="901"/>
    <w:qFormat/>
    <w:uiPriority w:val="0"/>
    <w:pPr>
      <w:shd w:val="clear" w:color="auto" w:fill="FFFF00"/>
    </w:pPr>
  </w:style>
  <w:style w:type="paragraph" w:customStyle="1" w:styleId="920">
    <w:name w:val="Normal (Web)_file_561"/>
    <w:basedOn w:val="901"/>
    <w:semiHidden/>
    <w:unhideWhenUsed/>
    <w:qFormat/>
    <w:uiPriority w:val="99"/>
  </w:style>
  <w:style w:type="table" w:customStyle="1" w:styleId="921">
    <w:name w:val="Normal Table_file_1078_file_331_file_451_file_3229_file_3208"/>
    <w:semiHidden/>
    <w:qFormat/>
    <w:uiPriority w:val="0"/>
    <w:tblPr>
      <w:tblCellMar>
        <w:top w:w="0" w:type="dxa"/>
        <w:left w:w="108" w:type="dxa"/>
        <w:bottom w:w="0" w:type="dxa"/>
        <w:right w:w="108" w:type="dxa"/>
      </w:tblCellMar>
    </w:tblPr>
  </w:style>
  <w:style w:type="paragraph" w:customStyle="1" w:styleId="922">
    <w:name w:val="Plain Text_file_457_file_528_file_222_file_589_file_653"/>
    <w:basedOn w:val="923"/>
    <w:next w:val="6"/>
    <w:qFormat/>
    <w:uiPriority w:val="0"/>
    <w:rPr>
      <w:rFonts w:ascii="宋体" w:hAnsi="Courier New" w:cs="Courier New"/>
      <w:szCs w:val="21"/>
    </w:rPr>
  </w:style>
  <w:style w:type="paragraph" w:customStyle="1" w:styleId="923">
    <w:name w:val="Normal_file_457_file_528_file_222_file_589_file_653"/>
    <w:next w:val="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4">
    <w:name w:val="表格文字_file_1078_file_331_file_451_file_3229_file_3208"/>
    <w:basedOn w:val="925"/>
    <w:qFormat/>
    <w:uiPriority w:val="99"/>
    <w:pPr>
      <w:spacing w:before="25" w:after="25"/>
      <w:jc w:val="left"/>
    </w:pPr>
    <w:rPr>
      <w:bCs/>
      <w:spacing w:val="10"/>
      <w:kern w:val="0"/>
      <w:sz w:val="24"/>
    </w:rPr>
  </w:style>
  <w:style w:type="paragraph" w:customStyle="1" w:styleId="925">
    <w:name w:val="Normal_file_1078_file_331_file_451_file_3229_file_3208"/>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6">
    <w:name w:val="Plain Text_file_1078_file_331_file_451_file_3229_file_3208"/>
    <w:basedOn w:val="925"/>
    <w:qFormat/>
    <w:uiPriority w:val="0"/>
    <w:rPr>
      <w:rFonts w:ascii="宋体" w:hAnsi="Courier New" w:cs="Courier New"/>
      <w:szCs w:val="21"/>
    </w:rPr>
  </w:style>
  <w:style w:type="paragraph" w:customStyle="1" w:styleId="927">
    <w:name w:val="Normal (Web)_file_929"/>
    <w:basedOn w:val="928"/>
    <w:unhideWhenUsed/>
    <w:qFormat/>
    <w:uiPriority w:val="99"/>
  </w:style>
  <w:style w:type="paragraph" w:customStyle="1" w:styleId="928">
    <w:name w:val="Normal_file_9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929">
    <w:name w:val="Normal (Web)_file_933"/>
    <w:basedOn w:val="930"/>
    <w:unhideWhenUsed/>
    <w:qFormat/>
    <w:uiPriority w:val="99"/>
  </w:style>
  <w:style w:type="paragraph" w:customStyle="1" w:styleId="930">
    <w:name w:val="Normal_file_9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931">
    <w:name w:val="Normal (Web)_file_2412"/>
    <w:basedOn w:val="932"/>
    <w:unhideWhenUsed/>
    <w:qFormat/>
    <w:uiPriority w:val="99"/>
  </w:style>
  <w:style w:type="paragraph" w:customStyle="1" w:styleId="932">
    <w:name w:val="Normal_file_24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933">
    <w:name w:val="Normal (Web)_file_936"/>
    <w:basedOn w:val="934"/>
    <w:unhideWhenUsed/>
    <w:qFormat/>
    <w:uiPriority w:val="99"/>
  </w:style>
  <w:style w:type="paragraph" w:customStyle="1" w:styleId="934">
    <w:name w:val="Normal_file_93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935">
    <w:name w:val="Table Text"/>
    <w:basedOn w:val="1"/>
    <w:semiHidden/>
    <w:qFormat/>
    <w:uiPriority w:val="0"/>
    <w:rPr>
      <w:rFonts w:ascii="宋体" w:hAnsi="宋体" w:cs="宋体"/>
      <w:sz w:val="19"/>
      <w:szCs w:val="19"/>
      <w:lang w:eastAsia="en-US"/>
    </w:rPr>
  </w:style>
  <w:style w:type="table" w:customStyle="1" w:styleId="93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7517AA-3234-4880-A4E2-7F788C3853ED}">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206</Pages>
  <Words>31242</Words>
  <Characters>35095</Characters>
  <Lines>877</Lines>
  <Paragraphs>748</Paragraphs>
  <TotalTime>36</TotalTime>
  <ScaleCrop>false</ScaleCrop>
  <LinksUpToDate>false</LinksUpToDate>
  <CharactersWithSpaces>35256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2026-01-07T01:14:00Z</dcterms:created>
  <dc:creator>集采中心260612</dc:creator>
  <cp:lastModifiedBy>惟伊</cp:lastModifiedBy>
  <cp:lastPrinted>2018-11-29T07:27:00Z</cp:lastPrinted>
  <dcterms:modified xsi:type="dcterms:W3CDTF">2026-08-14T07:40:56Z</dcterms:modified>
  <dc:title>公招_货物模板_保证金_否_分标区分评分标准_20260612</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eyJoZGlkIjoiODVmZTAwYzk1ZDAwMmNkMTI4MTllNGRiMWJjNGVkOTkiLCJ1c2VySWQiOiI4MTcyNTAyOTIifQ==</vt:lpwstr>
  </property>
  <property fmtid="{D5CDD505-2E9C-101B-9397-08002B2CF9AE}" pid="4" name="ICV">
    <vt:lpwstr>E8574918EFBE4B86AE3D8FCCEA959C8A_13</vt:lpwstr>
  </property>
</Properties>
</file>